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6.xml" ContentType="application/vnd.openxmlformats-officedocument.drawingml.chart+xml"/>
  <Override PartName="/word/theme/theme1.xml" ContentType="application/vnd.openxmlformats-officedocument.theme+xml"/>
  <Override PartName="/word/charts/chart5.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4.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55930" w14:textId="77777777" w:rsidR="004652D0" w:rsidRPr="000A7545" w:rsidRDefault="004652D0" w:rsidP="004652D0">
      <w:pPr>
        <w:jc w:val="center"/>
        <w:rPr>
          <w:rStyle w:val="IntenseEmphasis"/>
          <w:rFonts w:eastAsiaTheme="majorEastAsia" w:cstheme="majorBidi"/>
          <w:b/>
          <w:spacing w:val="15"/>
          <w:sz w:val="36"/>
          <w:szCs w:val="24"/>
        </w:rPr>
      </w:pPr>
      <w:bookmarkStart w:id="0" w:name="_GoBack"/>
      <w:bookmarkEnd w:id="0"/>
      <w:r w:rsidRPr="000A7545">
        <w:rPr>
          <w:rStyle w:val="IntenseEmphasis"/>
          <w:rFonts w:eastAsiaTheme="majorEastAsia" w:cstheme="majorBidi"/>
          <w:b/>
          <w:spacing w:val="15"/>
          <w:sz w:val="36"/>
          <w:szCs w:val="24"/>
        </w:rPr>
        <w:t>Joint Progress Report on</w:t>
      </w:r>
    </w:p>
    <w:p w14:paraId="13B55931" w14:textId="77777777" w:rsidR="004652D0" w:rsidRPr="000A7545" w:rsidRDefault="004652D0" w:rsidP="004652D0">
      <w:pPr>
        <w:jc w:val="center"/>
        <w:rPr>
          <w:rStyle w:val="IntenseEmphasis"/>
          <w:rFonts w:eastAsiaTheme="majorEastAsia" w:cstheme="majorBidi"/>
          <w:b/>
          <w:spacing w:val="15"/>
          <w:sz w:val="36"/>
          <w:szCs w:val="24"/>
        </w:rPr>
      </w:pPr>
      <w:r w:rsidRPr="000A7545">
        <w:rPr>
          <w:rStyle w:val="IntenseEmphasis"/>
          <w:rFonts w:eastAsiaTheme="majorEastAsia" w:cstheme="majorBidi"/>
          <w:b/>
          <w:spacing w:val="15"/>
          <w:sz w:val="36"/>
          <w:szCs w:val="24"/>
        </w:rPr>
        <w:t>Australia-UNICEF Education Assistance to Papua and West Papua</w:t>
      </w:r>
    </w:p>
    <w:p w14:paraId="13B55932" w14:textId="77777777" w:rsidR="004652D0" w:rsidRPr="000A7545" w:rsidRDefault="004652D0" w:rsidP="004652D0">
      <w:pPr>
        <w:jc w:val="center"/>
        <w:rPr>
          <w:rStyle w:val="IntenseEmphasis"/>
          <w:rFonts w:eastAsiaTheme="majorEastAsia" w:cstheme="majorBidi"/>
          <w:b/>
          <w:spacing w:val="15"/>
          <w:sz w:val="36"/>
          <w:szCs w:val="24"/>
        </w:rPr>
      </w:pPr>
      <w:r w:rsidRPr="000A7545">
        <w:rPr>
          <w:rStyle w:val="IntenseEmphasis"/>
          <w:rFonts w:eastAsiaTheme="majorEastAsia" w:cstheme="majorBidi"/>
          <w:b/>
          <w:spacing w:val="15"/>
          <w:sz w:val="36"/>
          <w:szCs w:val="24"/>
        </w:rPr>
        <w:t>and</w:t>
      </w:r>
    </w:p>
    <w:p w14:paraId="13B55933" w14:textId="77777777" w:rsidR="00D60A17" w:rsidRPr="000A7545" w:rsidRDefault="004652D0" w:rsidP="004652D0">
      <w:pPr>
        <w:jc w:val="center"/>
        <w:rPr>
          <w:rStyle w:val="IntenseEmphasis"/>
          <w:rFonts w:eastAsiaTheme="majorEastAsia" w:cstheme="majorBidi"/>
          <w:b/>
          <w:spacing w:val="15"/>
          <w:sz w:val="36"/>
          <w:szCs w:val="24"/>
        </w:rPr>
      </w:pPr>
      <w:r w:rsidRPr="000A7545">
        <w:rPr>
          <w:rStyle w:val="IntenseEmphasis"/>
          <w:rFonts w:eastAsiaTheme="majorEastAsia" w:cstheme="majorBidi"/>
          <w:b/>
          <w:spacing w:val="15"/>
          <w:sz w:val="36"/>
          <w:szCs w:val="24"/>
        </w:rPr>
        <w:t>Striding towards Equity in Education in Papua and West Papua (STEP)</w:t>
      </w:r>
    </w:p>
    <w:p w14:paraId="13B55934" w14:textId="77777777" w:rsidR="00D60A17" w:rsidRPr="000A7545" w:rsidRDefault="00D60A17" w:rsidP="00D60A17"/>
    <w:p w14:paraId="13B55935" w14:textId="77777777" w:rsidR="00D60A17" w:rsidRPr="000A7545" w:rsidRDefault="004652D0" w:rsidP="00D60A17">
      <w:r w:rsidRPr="000A7545">
        <w:rPr>
          <w:rFonts w:cstheme="minorHAnsi"/>
          <w:noProof/>
          <w:color w:val="00B0F0"/>
          <w:sz w:val="40"/>
          <w:szCs w:val="40"/>
          <w:lang w:val="en-AU" w:eastAsia="en-AU"/>
        </w:rPr>
        <w:drawing>
          <wp:anchor distT="0" distB="0" distL="114300" distR="114300" simplePos="0" relativeHeight="251663360" behindDoc="0" locked="0" layoutInCell="1" allowOverlap="1" wp14:anchorId="13B565DD" wp14:editId="13B565DE">
            <wp:simplePos x="0" y="0"/>
            <wp:positionH relativeFrom="margin">
              <wp:posOffset>352425</wp:posOffset>
            </wp:positionH>
            <wp:positionV relativeFrom="margin">
              <wp:posOffset>2524125</wp:posOffset>
            </wp:positionV>
            <wp:extent cx="5133975" cy="3314700"/>
            <wp:effectExtent l="0" t="0" r="9525" b="0"/>
            <wp:wrapSquare wrapText="bothSides"/>
            <wp:docPr id="25" name="Picture 25" descr="Z:\PUBLIC\PICTURES\EAD\Education\SD Honelama\DSC_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PUBLIC\PICTURES\EAD\Education\SD Honelama\DSC_0229.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t="14504" r="13333" b="6089"/>
                    <a:stretch/>
                  </pic:blipFill>
                  <pic:spPr bwMode="auto">
                    <a:xfrm>
                      <a:off x="0" y="0"/>
                      <a:ext cx="5133975" cy="3314700"/>
                    </a:xfrm>
                    <a:prstGeom prst="rect">
                      <a:avLst/>
                    </a:prstGeom>
                    <a:noFill/>
                    <a:ln>
                      <a:noFill/>
                    </a:ln>
                    <a:extLst>
                      <a:ext uri="{53640926-AAD7-44D8-BBD7-CCE9431645EC}">
                        <a14:shadowObscured xmlns:a14="http://schemas.microsoft.com/office/drawing/2010/main"/>
                      </a:ext>
                    </a:extLst>
                  </pic:spPr>
                </pic:pic>
              </a:graphicData>
            </a:graphic>
          </wp:anchor>
        </w:drawing>
      </w:r>
    </w:p>
    <w:p w14:paraId="13B55936" w14:textId="77777777" w:rsidR="00D60A17" w:rsidRPr="000A7545" w:rsidRDefault="00D60A17" w:rsidP="00D60A17"/>
    <w:p w14:paraId="13B55937" w14:textId="77777777" w:rsidR="00D60A17" w:rsidRPr="000A7545" w:rsidRDefault="00D60A17" w:rsidP="00D60A17"/>
    <w:p w14:paraId="13B55938" w14:textId="77777777" w:rsidR="00D60A17" w:rsidRPr="000A7545" w:rsidRDefault="00D60A17" w:rsidP="00D60A17"/>
    <w:p w14:paraId="13B55939" w14:textId="77777777" w:rsidR="00D60A17" w:rsidRPr="000A7545" w:rsidRDefault="00D60A17" w:rsidP="002F582D">
      <w:pPr>
        <w:spacing w:after="0" w:line="240" w:lineRule="auto"/>
      </w:pPr>
    </w:p>
    <w:p w14:paraId="13B5593A" w14:textId="77777777" w:rsidR="00D60A17" w:rsidRPr="000A7545" w:rsidRDefault="00D60A17" w:rsidP="00D60A17"/>
    <w:p w14:paraId="13B5593B" w14:textId="77777777" w:rsidR="00D60A17" w:rsidRPr="000A7545" w:rsidRDefault="00D60A17" w:rsidP="00D60A17"/>
    <w:p w14:paraId="13B5593C" w14:textId="77777777" w:rsidR="00D60A17" w:rsidRPr="000A7545" w:rsidRDefault="00D60A17" w:rsidP="00D60A17"/>
    <w:p w14:paraId="13B5593D" w14:textId="77777777" w:rsidR="00D60A17" w:rsidRPr="000A7545" w:rsidRDefault="00D60A17" w:rsidP="00D60A17"/>
    <w:p w14:paraId="13B5593E" w14:textId="77777777" w:rsidR="00D60A17" w:rsidRPr="000A7545" w:rsidRDefault="00D60A17" w:rsidP="00D60A17"/>
    <w:p w14:paraId="13B5593F" w14:textId="77777777" w:rsidR="00D60A17" w:rsidRPr="000A7545" w:rsidRDefault="00D60A17" w:rsidP="00D60A17"/>
    <w:p w14:paraId="13B55940" w14:textId="77777777" w:rsidR="00D60A17" w:rsidRPr="000A7545" w:rsidRDefault="00D60A17" w:rsidP="002F582D"/>
    <w:p w14:paraId="13B55941" w14:textId="77777777" w:rsidR="002F582D" w:rsidRPr="000A7545" w:rsidRDefault="002F582D" w:rsidP="002F582D"/>
    <w:p w14:paraId="13B55942" w14:textId="77777777" w:rsidR="002F582D" w:rsidRPr="000A7545" w:rsidRDefault="004652D0" w:rsidP="002F582D">
      <w:r w:rsidRPr="000A7545">
        <w:rPr>
          <w:noProof/>
          <w:lang w:val="en-AU" w:eastAsia="en-AU"/>
        </w:rPr>
        <mc:AlternateContent>
          <mc:Choice Requires="wps">
            <w:drawing>
              <wp:anchor distT="0" distB="0" distL="114300" distR="114300" simplePos="0" relativeHeight="251666432" behindDoc="0" locked="0" layoutInCell="1" allowOverlap="1" wp14:anchorId="13B565DF" wp14:editId="13B565E0">
                <wp:simplePos x="0" y="0"/>
                <wp:positionH relativeFrom="column">
                  <wp:posOffset>352425</wp:posOffset>
                </wp:positionH>
                <wp:positionV relativeFrom="paragraph">
                  <wp:posOffset>167640</wp:posOffset>
                </wp:positionV>
                <wp:extent cx="5133975" cy="635"/>
                <wp:effectExtent l="0" t="0" r="9525" b="1905"/>
                <wp:wrapSquare wrapText="bothSides"/>
                <wp:docPr id="3" name="Text Box 3"/>
                <wp:cNvGraphicFramePr/>
                <a:graphic xmlns:a="http://schemas.openxmlformats.org/drawingml/2006/main">
                  <a:graphicData uri="http://schemas.microsoft.com/office/word/2010/wordprocessingShape">
                    <wps:wsp>
                      <wps:cNvSpPr txBox="1"/>
                      <wps:spPr>
                        <a:xfrm>
                          <a:off x="0" y="0"/>
                          <a:ext cx="5133975" cy="635"/>
                        </a:xfrm>
                        <a:prstGeom prst="rect">
                          <a:avLst/>
                        </a:prstGeom>
                        <a:solidFill>
                          <a:prstClr val="white"/>
                        </a:solidFill>
                        <a:ln>
                          <a:noFill/>
                        </a:ln>
                        <a:effectLst/>
                      </wps:spPr>
                      <wps:txbx>
                        <w:txbxContent>
                          <w:p w14:paraId="13B56610" w14:textId="77777777" w:rsidR="00003C07" w:rsidRPr="001752CF" w:rsidRDefault="00003C07" w:rsidP="004652D0">
                            <w:pPr>
                              <w:pStyle w:val="Caption"/>
                              <w:spacing w:before="120"/>
                              <w:jc w:val="right"/>
                              <w:rPr>
                                <w:rFonts w:ascii="Arial" w:hAnsi="Arial" w:cstheme="minorHAnsi"/>
                                <w:noProof/>
                                <w:color w:val="00B0F0"/>
                                <w:sz w:val="40"/>
                                <w:szCs w:val="40"/>
                              </w:rPr>
                            </w:pPr>
                            <w:r>
                              <w:t>© UNICEF/2011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75pt;margin-top:13.2pt;width:404.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" stroked="f">
                <v:textbox style="mso-fit-shape-to-text:t" inset="0,0,0,0">
                  <w:txbxContent>
                    <w:p w:rsidR="007C4313" w:rsidRPr="001752CF" w:rsidRDefault="007C4313" w:rsidP="004652D0">
                      <w:pPr>
                        <w:pStyle w:val="Caption"/>
                        <w:spacing w:before="120"/>
                        <w:jc w:val="right"/>
                        <w:rPr>
                          <w:rFonts w:ascii="Arial" w:hAnsi="Arial" w:cstheme="minorHAnsi"/>
                          <w:noProof/>
                          <w:color w:val="00B0F0"/>
                          <w:sz w:val="40"/>
                          <w:szCs w:val="40"/>
                        </w:rPr>
                      </w:pPr>
                      <w:r>
                        <w:t>© UNICEF/2011</w:t>
                      </w:r>
                    </w:p>
                  </w:txbxContent>
                </v:textbox>
                <w10:wrap type="square"/>
              </v:shape>
            </w:pict>
          </mc:Fallback>
        </mc:AlternateContent>
      </w:r>
    </w:p>
    <w:p w14:paraId="13B55943" w14:textId="77777777" w:rsidR="002F582D" w:rsidRPr="000A7545" w:rsidRDefault="002F582D" w:rsidP="002F582D"/>
    <w:p w14:paraId="13B55944" w14:textId="77777777" w:rsidR="002F582D" w:rsidRPr="000A7545" w:rsidRDefault="002F582D" w:rsidP="003D753C">
      <w:pPr>
        <w:pStyle w:val="Subtitle"/>
        <w:spacing w:before="0" w:after="0"/>
        <w:rPr>
          <w:bCs/>
          <w:iCs w:val="0"/>
        </w:rPr>
      </w:pPr>
      <w:r w:rsidRPr="000A7545">
        <w:rPr>
          <w:rStyle w:val="IntenseEmphasis"/>
        </w:rPr>
        <w:t>Second Progress Report</w:t>
      </w:r>
    </w:p>
    <w:p w14:paraId="13B55945" w14:textId="77777777" w:rsidR="00D60A17" w:rsidRPr="000A7545" w:rsidRDefault="002F582D" w:rsidP="003D753C">
      <w:pPr>
        <w:spacing w:after="0" w:line="240" w:lineRule="auto"/>
        <w:jc w:val="center"/>
        <w:rPr>
          <w:rStyle w:val="IntenseEmphasis"/>
        </w:rPr>
      </w:pPr>
      <w:r w:rsidRPr="000A7545">
        <w:rPr>
          <w:rStyle w:val="IntenseEmphasis"/>
        </w:rPr>
        <w:t>Reporting period: 01 March 2011 – 31 March 2012</w:t>
      </w:r>
    </w:p>
    <w:p w14:paraId="13B55946" w14:textId="77777777" w:rsidR="00D60A17" w:rsidRPr="000A7545" w:rsidRDefault="00D60A17" w:rsidP="003D753C">
      <w:pPr>
        <w:spacing w:after="0" w:line="240" w:lineRule="auto"/>
        <w:rPr>
          <w:rStyle w:val="IntenseEmphasis"/>
        </w:rPr>
      </w:pPr>
    </w:p>
    <w:p w14:paraId="13B55947" w14:textId="77777777" w:rsidR="00D60A17" w:rsidRPr="000A7545" w:rsidRDefault="002F582D" w:rsidP="003D753C">
      <w:pPr>
        <w:spacing w:after="0" w:line="240" w:lineRule="auto"/>
        <w:jc w:val="center"/>
        <w:rPr>
          <w:rStyle w:val="IntenseEmphasis"/>
        </w:rPr>
      </w:pPr>
      <w:r w:rsidRPr="000A7545">
        <w:rPr>
          <w:rStyle w:val="IntenseEmphasis"/>
        </w:rPr>
        <w:t>20 April 2012</w:t>
      </w:r>
    </w:p>
    <w:p w14:paraId="13B55948" w14:textId="77777777" w:rsidR="00D60A17" w:rsidRPr="000A7545" w:rsidRDefault="00D60A17" w:rsidP="003D753C">
      <w:pPr>
        <w:spacing w:after="0" w:line="240" w:lineRule="auto"/>
        <w:jc w:val="center"/>
        <w:rPr>
          <w:rStyle w:val="IntenseEmphasis"/>
        </w:rPr>
      </w:pPr>
      <w:r w:rsidRPr="000A7545">
        <w:rPr>
          <w:rStyle w:val="IntenseEmphasis"/>
        </w:rPr>
        <w:t>UNICEF Indonesia</w:t>
      </w:r>
    </w:p>
    <w:p w14:paraId="13B55949" w14:textId="77777777" w:rsidR="003D753C" w:rsidRDefault="003D753C" w:rsidP="003D753C"/>
    <w:p w14:paraId="13B5594A" w14:textId="77777777" w:rsidR="003D753C" w:rsidRPr="003D753C" w:rsidRDefault="003D753C" w:rsidP="003D753C">
      <w:pPr>
        <w:jc w:val="right"/>
        <w:rPr>
          <w:rFonts w:asciiTheme="minorHAnsi" w:hAnsiTheme="minorHAnsi"/>
        </w:rPr>
      </w:pPr>
      <w:r w:rsidRPr="003D753C">
        <w:rPr>
          <w:rFonts w:asciiTheme="minorHAnsi" w:hAnsiTheme="minorHAnsi"/>
          <w:color w:val="0070C0"/>
        </w:rPr>
        <w:t>[For Dissemination]</w:t>
      </w:r>
      <w:r w:rsidR="00D60A17" w:rsidRPr="003D753C">
        <w:rPr>
          <w:rFonts w:asciiTheme="minorHAnsi" w:hAnsiTheme="minorHAnsi"/>
          <w:noProof/>
          <w:lang w:val="en-AU" w:eastAsia="en-AU"/>
        </w:rPr>
        <w:drawing>
          <wp:anchor distT="0" distB="0" distL="114300" distR="114300" simplePos="0" relativeHeight="251664384" behindDoc="0" locked="0" layoutInCell="1" allowOverlap="1" wp14:anchorId="13B565E1" wp14:editId="13B565E2">
            <wp:simplePos x="0" y="0"/>
            <wp:positionH relativeFrom="column">
              <wp:posOffset>0</wp:posOffset>
            </wp:positionH>
            <wp:positionV relativeFrom="paragraph">
              <wp:posOffset>509905</wp:posOffset>
            </wp:positionV>
            <wp:extent cx="5760720" cy="356616"/>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6616"/>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303330146"/>
    </w:p>
    <w:p w14:paraId="13B5594B" w14:textId="77777777" w:rsidR="003D753C" w:rsidRDefault="003D753C">
      <w:pPr>
        <w:spacing w:after="200"/>
      </w:pPr>
      <w:r>
        <w:br w:type="page"/>
      </w:r>
    </w:p>
    <w:p w14:paraId="13B5594C" w14:textId="77777777" w:rsidR="003D753C" w:rsidRPr="000A7545" w:rsidRDefault="003D753C" w:rsidP="003D753C"/>
    <w:p w14:paraId="13B5594D" w14:textId="77777777" w:rsidR="00D60A17" w:rsidRPr="000A7545" w:rsidRDefault="00D60A17" w:rsidP="00D60A17">
      <w:pPr>
        <w:pStyle w:val="Heading1"/>
        <w:numPr>
          <w:ilvl w:val="0"/>
          <w:numId w:val="0"/>
        </w:numPr>
        <w:ind w:left="360" w:hanging="360"/>
      </w:pPr>
      <w:bookmarkStart w:id="2" w:name="_Toc322507183"/>
      <w:bookmarkStart w:id="3" w:name="_Toc322702750"/>
      <w:r w:rsidRPr="000A7545">
        <w:t>Contribution Data Sheet</w:t>
      </w:r>
      <w:bookmarkEnd w:id="1"/>
      <w:bookmarkEnd w:id="2"/>
      <w:bookmarkEnd w:id="3"/>
    </w:p>
    <w:p w14:paraId="13B5594E" w14:textId="77777777" w:rsidR="00443110" w:rsidRPr="000A7545" w:rsidRDefault="00443110" w:rsidP="00443110"/>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5634"/>
      </w:tblGrid>
      <w:tr w:rsidR="00443110" w:rsidRPr="000A7545" w14:paraId="13B55951" w14:textId="77777777" w:rsidTr="00443110">
        <w:trPr>
          <w:trHeight w:hRule="exact" w:val="576"/>
          <w:jc w:val="center"/>
        </w:trPr>
        <w:tc>
          <w:tcPr>
            <w:tcW w:w="3366" w:type="dxa"/>
            <w:tcBorders>
              <w:top w:val="single" w:sz="4" w:space="0" w:color="auto"/>
              <w:left w:val="single" w:sz="4" w:space="0" w:color="auto"/>
              <w:bottom w:val="single" w:sz="4" w:space="0" w:color="auto"/>
              <w:right w:val="single" w:sz="4" w:space="0" w:color="auto"/>
            </w:tcBorders>
            <w:vAlign w:val="center"/>
            <w:hideMark/>
          </w:tcPr>
          <w:p w14:paraId="13B5594F"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Country</w:t>
            </w:r>
          </w:p>
        </w:tc>
        <w:tc>
          <w:tcPr>
            <w:tcW w:w="5634" w:type="dxa"/>
            <w:tcBorders>
              <w:top w:val="single" w:sz="4" w:space="0" w:color="auto"/>
              <w:left w:val="single" w:sz="4" w:space="0" w:color="auto"/>
              <w:bottom w:val="single" w:sz="4" w:space="0" w:color="auto"/>
              <w:right w:val="single" w:sz="4" w:space="0" w:color="auto"/>
            </w:tcBorders>
            <w:vAlign w:val="center"/>
          </w:tcPr>
          <w:p w14:paraId="13B55950"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Indonesia</w:t>
            </w:r>
          </w:p>
        </w:tc>
      </w:tr>
      <w:tr w:rsidR="00443110" w:rsidRPr="000A7545" w14:paraId="13B55955" w14:textId="77777777" w:rsidTr="00443110">
        <w:trPr>
          <w:trHeight w:hRule="exact" w:val="1333"/>
          <w:jc w:val="center"/>
        </w:trPr>
        <w:tc>
          <w:tcPr>
            <w:tcW w:w="3366" w:type="dxa"/>
            <w:tcBorders>
              <w:top w:val="single" w:sz="4" w:space="0" w:color="auto"/>
              <w:left w:val="single" w:sz="4" w:space="0" w:color="auto"/>
              <w:bottom w:val="single" w:sz="4" w:space="0" w:color="auto"/>
              <w:right w:val="single" w:sz="4" w:space="0" w:color="auto"/>
            </w:tcBorders>
            <w:vAlign w:val="center"/>
          </w:tcPr>
          <w:p w14:paraId="13B55952"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Programme/Project name</w:t>
            </w:r>
          </w:p>
        </w:tc>
        <w:tc>
          <w:tcPr>
            <w:tcW w:w="5634" w:type="dxa"/>
            <w:tcBorders>
              <w:top w:val="single" w:sz="4" w:space="0" w:color="auto"/>
              <w:left w:val="single" w:sz="4" w:space="0" w:color="auto"/>
              <w:bottom w:val="single" w:sz="4" w:space="0" w:color="auto"/>
              <w:right w:val="single" w:sz="4" w:space="0" w:color="auto"/>
            </w:tcBorders>
            <w:vAlign w:val="center"/>
          </w:tcPr>
          <w:p w14:paraId="13B55953"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USAID - Striding towards Equity in Papua and West Papua (STEP)</w:t>
            </w:r>
          </w:p>
          <w:p w14:paraId="13B55954"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AUSAID - Australia-UNICEF Education Assistance to Papua and West Papua</w:t>
            </w:r>
          </w:p>
        </w:tc>
      </w:tr>
      <w:tr w:rsidR="00443110" w:rsidRPr="000A7545" w14:paraId="13B55959" w14:textId="77777777" w:rsidTr="00443110">
        <w:trPr>
          <w:trHeight w:hRule="exact" w:val="1342"/>
          <w:jc w:val="center"/>
        </w:trPr>
        <w:tc>
          <w:tcPr>
            <w:tcW w:w="3366" w:type="dxa"/>
            <w:tcBorders>
              <w:top w:val="single" w:sz="4" w:space="0" w:color="auto"/>
              <w:left w:val="single" w:sz="4" w:space="0" w:color="auto"/>
              <w:bottom w:val="single" w:sz="4" w:space="0" w:color="auto"/>
              <w:right w:val="single" w:sz="4" w:space="0" w:color="auto"/>
            </w:tcBorders>
            <w:vAlign w:val="center"/>
            <w:hideMark/>
          </w:tcPr>
          <w:p w14:paraId="13B55956"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Donor</w:t>
            </w:r>
          </w:p>
        </w:tc>
        <w:tc>
          <w:tcPr>
            <w:tcW w:w="5634" w:type="dxa"/>
            <w:tcBorders>
              <w:top w:val="single" w:sz="4" w:space="0" w:color="auto"/>
              <w:left w:val="single" w:sz="4" w:space="0" w:color="auto"/>
              <w:bottom w:val="single" w:sz="4" w:space="0" w:color="auto"/>
              <w:right w:val="single" w:sz="4" w:space="0" w:color="auto"/>
            </w:tcBorders>
            <w:vAlign w:val="center"/>
          </w:tcPr>
          <w:p w14:paraId="13B55957"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United States Agency for International Development (USAID)</w:t>
            </w:r>
          </w:p>
          <w:p w14:paraId="13B55958"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Australia Agency for International Development (AusAID)</w:t>
            </w:r>
          </w:p>
        </w:tc>
      </w:tr>
      <w:tr w:rsidR="00443110" w:rsidRPr="000A7545" w14:paraId="13B5595C" w14:textId="77777777" w:rsidTr="00443110">
        <w:trPr>
          <w:trHeight w:hRule="exact" w:val="576"/>
          <w:jc w:val="center"/>
        </w:trPr>
        <w:tc>
          <w:tcPr>
            <w:tcW w:w="3366" w:type="dxa"/>
            <w:tcBorders>
              <w:top w:val="single" w:sz="4" w:space="0" w:color="auto"/>
              <w:left w:val="single" w:sz="4" w:space="0" w:color="auto"/>
              <w:bottom w:val="single" w:sz="4" w:space="0" w:color="auto"/>
              <w:right w:val="single" w:sz="4" w:space="0" w:color="auto"/>
            </w:tcBorders>
            <w:vAlign w:val="center"/>
          </w:tcPr>
          <w:p w14:paraId="13B5595A"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USAID Contribution Agreement</w:t>
            </w:r>
          </w:p>
        </w:tc>
        <w:tc>
          <w:tcPr>
            <w:tcW w:w="5634" w:type="dxa"/>
            <w:tcBorders>
              <w:top w:val="single" w:sz="4" w:space="0" w:color="auto"/>
              <w:left w:val="single" w:sz="4" w:space="0" w:color="auto"/>
              <w:bottom w:val="single" w:sz="4" w:space="0" w:color="auto"/>
              <w:right w:val="single" w:sz="4" w:space="0" w:color="auto"/>
            </w:tcBorders>
            <w:vAlign w:val="center"/>
          </w:tcPr>
          <w:p w14:paraId="13B5595B"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Amendment No. 8 of Grant GHA-G-00-07-00007</w:t>
            </w:r>
          </w:p>
        </w:tc>
      </w:tr>
      <w:tr w:rsidR="00443110" w:rsidRPr="000A7545" w14:paraId="13B5595F" w14:textId="77777777" w:rsidTr="00443110">
        <w:trPr>
          <w:trHeight w:hRule="exact" w:val="576"/>
          <w:jc w:val="center"/>
        </w:trPr>
        <w:tc>
          <w:tcPr>
            <w:tcW w:w="3366" w:type="dxa"/>
            <w:tcBorders>
              <w:top w:val="single" w:sz="4" w:space="0" w:color="auto"/>
              <w:left w:val="single" w:sz="4" w:space="0" w:color="auto"/>
              <w:bottom w:val="single" w:sz="4" w:space="0" w:color="auto"/>
              <w:right w:val="single" w:sz="4" w:space="0" w:color="auto"/>
            </w:tcBorders>
            <w:vAlign w:val="center"/>
          </w:tcPr>
          <w:p w14:paraId="13B5595D"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AUSAIS Contribution Agreement</w:t>
            </w:r>
          </w:p>
        </w:tc>
        <w:tc>
          <w:tcPr>
            <w:tcW w:w="5634" w:type="dxa"/>
            <w:tcBorders>
              <w:top w:val="single" w:sz="4" w:space="0" w:color="auto"/>
              <w:left w:val="single" w:sz="4" w:space="0" w:color="auto"/>
              <w:bottom w:val="single" w:sz="4" w:space="0" w:color="auto"/>
              <w:right w:val="single" w:sz="4" w:space="0" w:color="auto"/>
            </w:tcBorders>
            <w:vAlign w:val="center"/>
          </w:tcPr>
          <w:p w14:paraId="13B5595E"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 xml:space="preserve">2010/49714 </w:t>
            </w:r>
          </w:p>
        </w:tc>
      </w:tr>
      <w:tr w:rsidR="00443110" w:rsidRPr="000A7545" w14:paraId="13B55963" w14:textId="77777777" w:rsidTr="00443110">
        <w:trPr>
          <w:trHeight w:hRule="exact" w:val="1090"/>
          <w:jc w:val="center"/>
        </w:trPr>
        <w:tc>
          <w:tcPr>
            <w:tcW w:w="3366" w:type="dxa"/>
            <w:tcBorders>
              <w:top w:val="single" w:sz="4" w:space="0" w:color="auto"/>
              <w:left w:val="single" w:sz="4" w:space="0" w:color="auto"/>
              <w:bottom w:val="single" w:sz="4" w:space="0" w:color="auto"/>
              <w:right w:val="single" w:sz="4" w:space="0" w:color="auto"/>
            </w:tcBorders>
            <w:vAlign w:val="center"/>
            <w:hideMark/>
          </w:tcPr>
          <w:p w14:paraId="13B55960"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PBA reference, issue date, expiry date</w:t>
            </w:r>
          </w:p>
        </w:tc>
        <w:tc>
          <w:tcPr>
            <w:tcW w:w="5634" w:type="dxa"/>
            <w:tcBorders>
              <w:top w:val="single" w:sz="4" w:space="0" w:color="auto"/>
              <w:left w:val="single" w:sz="4" w:space="0" w:color="auto"/>
              <w:bottom w:val="single" w:sz="4" w:space="0" w:color="auto"/>
              <w:right w:val="single" w:sz="4" w:space="0" w:color="auto"/>
            </w:tcBorders>
            <w:vAlign w:val="center"/>
          </w:tcPr>
          <w:p w14:paraId="13B55961"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USAID - SC/2011/0126 (31/03/2011 – 30/09/2012)</w:t>
            </w:r>
          </w:p>
          <w:p w14:paraId="13B55962"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AUSAID – SC/2010/0091 (01/02/2010 – 31/12/2012)</w:t>
            </w:r>
          </w:p>
        </w:tc>
      </w:tr>
      <w:tr w:rsidR="00443110" w:rsidRPr="000A7545" w14:paraId="13B55969" w14:textId="77777777" w:rsidTr="00443110">
        <w:trPr>
          <w:trHeight w:hRule="exact" w:val="1252"/>
          <w:jc w:val="center"/>
        </w:trPr>
        <w:tc>
          <w:tcPr>
            <w:tcW w:w="3366" w:type="dxa"/>
            <w:tcBorders>
              <w:top w:val="single" w:sz="4" w:space="0" w:color="auto"/>
              <w:left w:val="single" w:sz="4" w:space="0" w:color="auto"/>
              <w:bottom w:val="single" w:sz="4" w:space="0" w:color="auto"/>
              <w:right w:val="single" w:sz="4" w:space="0" w:color="auto"/>
            </w:tcBorders>
            <w:vAlign w:val="center"/>
            <w:hideMark/>
          </w:tcPr>
          <w:p w14:paraId="13B55964"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Total contribution</w:t>
            </w:r>
            <w:r w:rsidR="00013FF4" w:rsidRPr="000A7545">
              <w:rPr>
                <w:rFonts w:ascii="Arial Narrow" w:hAnsi="Arial Narrow" w:cs="Arial"/>
                <w:b/>
              </w:rPr>
              <w:t>*</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3B55965" w14:textId="77777777" w:rsidR="00443110" w:rsidRPr="000A7545" w:rsidRDefault="00013FF4" w:rsidP="00013FF4">
            <w:pPr>
              <w:spacing w:before="120" w:line="240" w:lineRule="auto"/>
              <w:rPr>
                <w:rFonts w:ascii="Arial Narrow" w:hAnsi="Arial Narrow" w:cs="Arial"/>
              </w:rPr>
            </w:pPr>
            <w:r w:rsidRPr="000A7545">
              <w:rPr>
                <w:rFonts w:ascii="Arial Narrow" w:hAnsi="Arial Narrow" w:cs="Arial"/>
              </w:rPr>
              <w:t xml:space="preserve">USAID: </w:t>
            </w:r>
            <w:r w:rsidR="00443110" w:rsidRPr="000A7545">
              <w:rPr>
                <w:rFonts w:ascii="Arial Narrow" w:hAnsi="Arial Narrow" w:cs="Arial"/>
              </w:rPr>
              <w:t>USD 2,500,000</w:t>
            </w:r>
          </w:p>
          <w:p w14:paraId="13B55966"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AUSAID</w:t>
            </w:r>
            <w:r w:rsidR="00013FF4" w:rsidRPr="000A7545">
              <w:rPr>
                <w:rFonts w:ascii="Arial Narrow" w:hAnsi="Arial Narrow" w:cs="Arial"/>
              </w:rPr>
              <w:t>:</w:t>
            </w:r>
            <w:r w:rsidRPr="000A7545">
              <w:rPr>
                <w:rFonts w:ascii="Arial Narrow" w:hAnsi="Arial Narrow" w:cs="Arial"/>
              </w:rPr>
              <w:t xml:space="preserve"> USD 6,446,286</w:t>
            </w:r>
          </w:p>
          <w:p w14:paraId="13B55967"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Total</w:t>
            </w:r>
            <w:r w:rsidR="00013FF4" w:rsidRPr="000A7545">
              <w:rPr>
                <w:rFonts w:ascii="Arial Narrow" w:hAnsi="Arial Narrow" w:cs="Arial"/>
              </w:rPr>
              <w:t>:</w:t>
            </w:r>
            <w:r w:rsidRPr="000A7545">
              <w:rPr>
                <w:rFonts w:ascii="Arial Narrow" w:hAnsi="Arial Narrow" w:cs="Arial"/>
              </w:rPr>
              <w:t xml:space="preserve"> USD 8,946,286</w:t>
            </w:r>
          </w:p>
          <w:p w14:paraId="13B55968" w14:textId="77777777" w:rsidR="00443110" w:rsidRPr="000A7545" w:rsidRDefault="00443110" w:rsidP="00443110">
            <w:pPr>
              <w:spacing w:before="120" w:line="240" w:lineRule="auto"/>
              <w:rPr>
                <w:rFonts w:ascii="Arial Narrow" w:hAnsi="Arial Narrow" w:cs="Arial"/>
              </w:rPr>
            </w:pPr>
          </w:p>
        </w:tc>
      </w:tr>
      <w:tr w:rsidR="00443110" w:rsidRPr="000A7545" w14:paraId="13B5596E" w14:textId="77777777" w:rsidTr="00443110">
        <w:trPr>
          <w:trHeight w:hRule="exact" w:val="1162"/>
          <w:jc w:val="center"/>
        </w:trPr>
        <w:tc>
          <w:tcPr>
            <w:tcW w:w="3366" w:type="dxa"/>
            <w:tcBorders>
              <w:top w:val="single" w:sz="4" w:space="0" w:color="auto"/>
              <w:left w:val="single" w:sz="4" w:space="0" w:color="auto"/>
              <w:bottom w:val="single" w:sz="4" w:space="0" w:color="auto"/>
              <w:right w:val="single" w:sz="4" w:space="0" w:color="auto"/>
            </w:tcBorders>
            <w:vAlign w:val="center"/>
            <w:hideMark/>
          </w:tcPr>
          <w:p w14:paraId="13B5596A"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Programmable amount</w:t>
            </w:r>
            <w:r w:rsidR="00013FF4" w:rsidRPr="000A7545">
              <w:rPr>
                <w:rFonts w:ascii="Arial Narrow" w:hAnsi="Arial Narrow" w:cs="Arial"/>
                <w:b/>
              </w:rPr>
              <w:t>*</w:t>
            </w:r>
          </w:p>
        </w:tc>
        <w:tc>
          <w:tcPr>
            <w:tcW w:w="5634" w:type="dxa"/>
            <w:tcBorders>
              <w:top w:val="single" w:sz="4" w:space="0" w:color="auto"/>
              <w:left w:val="single" w:sz="4" w:space="0" w:color="auto"/>
              <w:bottom w:val="single" w:sz="4" w:space="0" w:color="auto"/>
              <w:right w:val="single" w:sz="4" w:space="0" w:color="auto"/>
            </w:tcBorders>
            <w:vAlign w:val="center"/>
          </w:tcPr>
          <w:p w14:paraId="13B5596B"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USAID</w:t>
            </w:r>
            <w:r w:rsidR="00013FF4" w:rsidRPr="000A7545">
              <w:rPr>
                <w:rFonts w:ascii="Arial Narrow" w:hAnsi="Arial Narrow" w:cs="Arial"/>
              </w:rPr>
              <w:t>:</w:t>
            </w:r>
            <w:r w:rsidRPr="000A7545">
              <w:rPr>
                <w:rFonts w:ascii="Arial Narrow" w:hAnsi="Arial Narrow" w:cs="Arial"/>
              </w:rPr>
              <w:t xml:space="preserve"> USD 2,336,500</w:t>
            </w:r>
          </w:p>
          <w:p w14:paraId="13B5596C"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AUSAID</w:t>
            </w:r>
            <w:r w:rsidR="00013FF4" w:rsidRPr="000A7545">
              <w:rPr>
                <w:rFonts w:ascii="Arial Narrow" w:hAnsi="Arial Narrow" w:cs="Arial"/>
              </w:rPr>
              <w:t>:</w:t>
            </w:r>
            <w:r w:rsidRPr="000A7545">
              <w:rPr>
                <w:rFonts w:ascii="Arial Narrow" w:hAnsi="Arial Narrow" w:cs="Arial"/>
              </w:rPr>
              <w:t xml:space="preserve"> USD 6,024,698</w:t>
            </w:r>
          </w:p>
          <w:p w14:paraId="13B5596D" w14:textId="77777777" w:rsidR="00443110" w:rsidRPr="000A7545" w:rsidRDefault="00443110" w:rsidP="00013FF4">
            <w:pPr>
              <w:spacing w:before="120" w:line="240" w:lineRule="auto"/>
              <w:rPr>
                <w:rFonts w:ascii="Arial Narrow" w:hAnsi="Arial Narrow" w:cs="Arial"/>
              </w:rPr>
            </w:pPr>
            <w:r w:rsidRPr="000A7545">
              <w:rPr>
                <w:rFonts w:ascii="Arial Narrow" w:hAnsi="Arial Narrow" w:cs="Arial"/>
              </w:rPr>
              <w:t>Total</w:t>
            </w:r>
            <w:r w:rsidR="00013FF4" w:rsidRPr="000A7545">
              <w:rPr>
                <w:rFonts w:ascii="Arial Narrow" w:hAnsi="Arial Narrow" w:cs="Arial"/>
              </w:rPr>
              <w:t>:</w:t>
            </w:r>
            <w:r w:rsidRPr="000A7545">
              <w:rPr>
                <w:rFonts w:ascii="Arial Narrow" w:hAnsi="Arial Narrow" w:cs="Arial"/>
              </w:rPr>
              <w:t xml:space="preserve"> USD 8,361,198</w:t>
            </w:r>
          </w:p>
        </w:tc>
      </w:tr>
      <w:tr w:rsidR="00443110" w:rsidRPr="000A7545" w14:paraId="13B55971" w14:textId="77777777" w:rsidTr="00443110">
        <w:trPr>
          <w:trHeight w:hRule="exact" w:val="576"/>
          <w:jc w:val="center"/>
        </w:trPr>
        <w:tc>
          <w:tcPr>
            <w:tcW w:w="3366" w:type="dxa"/>
            <w:tcBorders>
              <w:top w:val="single" w:sz="4" w:space="0" w:color="auto"/>
              <w:left w:val="single" w:sz="4" w:space="0" w:color="auto"/>
              <w:bottom w:val="single" w:sz="4" w:space="0" w:color="auto"/>
              <w:right w:val="single" w:sz="4" w:space="0" w:color="auto"/>
            </w:tcBorders>
            <w:vAlign w:val="center"/>
            <w:hideMark/>
          </w:tcPr>
          <w:p w14:paraId="13B5596F"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Report type</w:t>
            </w:r>
          </w:p>
        </w:tc>
        <w:tc>
          <w:tcPr>
            <w:tcW w:w="5634" w:type="dxa"/>
            <w:tcBorders>
              <w:top w:val="single" w:sz="4" w:space="0" w:color="auto"/>
              <w:left w:val="single" w:sz="4" w:space="0" w:color="auto"/>
              <w:bottom w:val="single" w:sz="4" w:space="0" w:color="auto"/>
              <w:right w:val="single" w:sz="4" w:space="0" w:color="auto"/>
            </w:tcBorders>
            <w:vAlign w:val="center"/>
          </w:tcPr>
          <w:p w14:paraId="13B55970" w14:textId="77777777" w:rsidR="00443110" w:rsidRPr="000A7545" w:rsidRDefault="00013FF4" w:rsidP="00443110">
            <w:pPr>
              <w:spacing w:before="120" w:line="240" w:lineRule="auto"/>
              <w:rPr>
                <w:rFonts w:ascii="Arial Narrow" w:hAnsi="Arial Narrow" w:cs="Arial"/>
              </w:rPr>
            </w:pPr>
            <w:r w:rsidRPr="000A7545">
              <w:rPr>
                <w:rFonts w:ascii="Arial Narrow" w:hAnsi="Arial Narrow" w:cs="Arial"/>
              </w:rPr>
              <w:t xml:space="preserve">Second </w:t>
            </w:r>
            <w:r w:rsidR="00443110" w:rsidRPr="000A7545">
              <w:rPr>
                <w:rFonts w:ascii="Arial Narrow" w:hAnsi="Arial Narrow" w:cs="Arial"/>
              </w:rPr>
              <w:t>Progress Report</w:t>
            </w:r>
          </w:p>
        </w:tc>
      </w:tr>
      <w:tr w:rsidR="00443110" w:rsidRPr="000A7545" w14:paraId="13B55974" w14:textId="77777777" w:rsidTr="00443110">
        <w:trPr>
          <w:trHeight w:hRule="exact" w:val="576"/>
          <w:jc w:val="center"/>
        </w:trPr>
        <w:tc>
          <w:tcPr>
            <w:tcW w:w="3366" w:type="dxa"/>
            <w:tcBorders>
              <w:top w:val="single" w:sz="4" w:space="0" w:color="auto"/>
              <w:left w:val="single" w:sz="4" w:space="0" w:color="auto"/>
              <w:bottom w:val="single" w:sz="4" w:space="0" w:color="auto"/>
              <w:right w:val="single" w:sz="4" w:space="0" w:color="auto"/>
            </w:tcBorders>
            <w:vAlign w:val="center"/>
            <w:hideMark/>
          </w:tcPr>
          <w:p w14:paraId="13B55972"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Reporting period</w:t>
            </w:r>
          </w:p>
        </w:tc>
        <w:tc>
          <w:tcPr>
            <w:tcW w:w="5634" w:type="dxa"/>
            <w:tcBorders>
              <w:top w:val="single" w:sz="4" w:space="0" w:color="auto"/>
              <w:left w:val="single" w:sz="4" w:space="0" w:color="auto"/>
              <w:bottom w:val="single" w:sz="4" w:space="0" w:color="auto"/>
              <w:right w:val="single" w:sz="4" w:space="0" w:color="auto"/>
            </w:tcBorders>
            <w:vAlign w:val="center"/>
          </w:tcPr>
          <w:p w14:paraId="13B55973" w14:textId="77777777" w:rsidR="00443110" w:rsidRPr="000A7545" w:rsidRDefault="00013FF4" w:rsidP="00443110">
            <w:pPr>
              <w:pStyle w:val="ListParagraph"/>
              <w:spacing w:before="120" w:line="240" w:lineRule="auto"/>
              <w:ind w:left="0"/>
              <w:rPr>
                <w:rFonts w:ascii="Arial Narrow" w:hAnsi="Arial Narrow" w:cs="Arial"/>
              </w:rPr>
            </w:pPr>
            <w:r w:rsidRPr="000A7545">
              <w:rPr>
                <w:rFonts w:ascii="Arial Narrow" w:hAnsi="Arial Narrow" w:cs="Arial"/>
              </w:rPr>
              <w:t xml:space="preserve">01 </w:t>
            </w:r>
            <w:r w:rsidR="00443110" w:rsidRPr="000A7545">
              <w:rPr>
                <w:rFonts w:ascii="Arial Narrow" w:hAnsi="Arial Narrow" w:cs="Arial"/>
              </w:rPr>
              <w:t xml:space="preserve">March 2011 – </w:t>
            </w:r>
            <w:r w:rsidRPr="000A7545">
              <w:rPr>
                <w:rFonts w:ascii="Arial Narrow" w:hAnsi="Arial Narrow" w:cs="Arial"/>
              </w:rPr>
              <w:t xml:space="preserve">31 </w:t>
            </w:r>
            <w:r w:rsidR="00443110" w:rsidRPr="000A7545">
              <w:rPr>
                <w:rFonts w:ascii="Arial Narrow" w:hAnsi="Arial Narrow" w:cs="Arial"/>
              </w:rPr>
              <w:t>March 2012</w:t>
            </w:r>
          </w:p>
        </w:tc>
      </w:tr>
      <w:tr w:rsidR="00443110" w:rsidRPr="000A7545" w14:paraId="13B55977" w14:textId="77777777" w:rsidTr="00443110">
        <w:trPr>
          <w:trHeight w:hRule="exact" w:val="576"/>
          <w:jc w:val="center"/>
        </w:trPr>
        <w:tc>
          <w:tcPr>
            <w:tcW w:w="3366" w:type="dxa"/>
            <w:tcBorders>
              <w:top w:val="single" w:sz="4" w:space="0" w:color="auto"/>
              <w:left w:val="single" w:sz="4" w:space="0" w:color="auto"/>
              <w:bottom w:val="single" w:sz="4" w:space="0" w:color="auto"/>
              <w:right w:val="single" w:sz="4" w:space="0" w:color="auto"/>
            </w:tcBorders>
            <w:vAlign w:val="center"/>
          </w:tcPr>
          <w:p w14:paraId="13B55975"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Geographic focus area</w:t>
            </w:r>
          </w:p>
        </w:tc>
        <w:tc>
          <w:tcPr>
            <w:tcW w:w="5634" w:type="dxa"/>
            <w:tcBorders>
              <w:top w:val="single" w:sz="4" w:space="0" w:color="auto"/>
              <w:left w:val="single" w:sz="4" w:space="0" w:color="auto"/>
              <w:bottom w:val="single" w:sz="4" w:space="0" w:color="auto"/>
              <w:right w:val="single" w:sz="4" w:space="0" w:color="auto"/>
            </w:tcBorders>
            <w:vAlign w:val="center"/>
          </w:tcPr>
          <w:p w14:paraId="13B55976" w14:textId="77777777" w:rsidR="00443110" w:rsidRPr="000A7545" w:rsidRDefault="00443110" w:rsidP="00443110">
            <w:pPr>
              <w:spacing w:before="120" w:line="240" w:lineRule="auto"/>
              <w:rPr>
                <w:rFonts w:ascii="Arial Narrow" w:hAnsi="Arial Narrow" w:cs="Arial"/>
                <w:highlight w:val="green"/>
              </w:rPr>
            </w:pPr>
            <w:r w:rsidRPr="000A7545">
              <w:rPr>
                <w:rFonts w:ascii="Arial Narrow" w:hAnsi="Arial Narrow" w:cs="Arial"/>
              </w:rPr>
              <w:t>Papua and West Papua</w:t>
            </w:r>
          </w:p>
        </w:tc>
      </w:tr>
      <w:tr w:rsidR="00443110" w:rsidRPr="000A7545" w14:paraId="13B5597C" w14:textId="77777777" w:rsidTr="00443110">
        <w:trPr>
          <w:trHeight w:hRule="exact" w:val="1162"/>
          <w:jc w:val="center"/>
        </w:trPr>
        <w:tc>
          <w:tcPr>
            <w:tcW w:w="3366" w:type="dxa"/>
            <w:tcBorders>
              <w:top w:val="single" w:sz="4" w:space="0" w:color="auto"/>
              <w:left w:val="single" w:sz="4" w:space="0" w:color="auto"/>
              <w:bottom w:val="single" w:sz="4" w:space="0" w:color="auto"/>
              <w:right w:val="single" w:sz="4" w:space="0" w:color="auto"/>
            </w:tcBorders>
            <w:vAlign w:val="center"/>
          </w:tcPr>
          <w:p w14:paraId="13B55978" w14:textId="77777777" w:rsidR="00443110" w:rsidRPr="000A7545" w:rsidRDefault="00443110" w:rsidP="00443110">
            <w:pPr>
              <w:spacing w:before="120" w:line="240" w:lineRule="auto"/>
              <w:rPr>
                <w:rFonts w:ascii="Arial Narrow" w:hAnsi="Arial Narrow" w:cs="Arial"/>
                <w:b/>
              </w:rPr>
            </w:pPr>
            <w:r w:rsidRPr="000A7545">
              <w:rPr>
                <w:rFonts w:ascii="Arial Narrow" w:hAnsi="Arial Narrow" w:cs="Arial"/>
                <w:b/>
              </w:rPr>
              <w:t>UNICEF contacts</w:t>
            </w:r>
          </w:p>
        </w:tc>
        <w:tc>
          <w:tcPr>
            <w:tcW w:w="5634" w:type="dxa"/>
            <w:tcBorders>
              <w:top w:val="single" w:sz="4" w:space="0" w:color="auto"/>
              <w:left w:val="single" w:sz="4" w:space="0" w:color="auto"/>
              <w:bottom w:val="single" w:sz="4" w:space="0" w:color="auto"/>
              <w:right w:val="single" w:sz="4" w:space="0" w:color="auto"/>
            </w:tcBorders>
            <w:vAlign w:val="center"/>
          </w:tcPr>
          <w:p w14:paraId="13B55979" w14:textId="77777777" w:rsidR="00443110" w:rsidRPr="000A7545" w:rsidRDefault="00443110" w:rsidP="00443110">
            <w:pPr>
              <w:spacing w:before="120" w:line="240" w:lineRule="auto"/>
              <w:rPr>
                <w:rFonts w:ascii="Arial Narrow" w:hAnsi="Arial Narrow" w:cs="Arial"/>
              </w:rPr>
            </w:pPr>
            <w:r w:rsidRPr="000A7545">
              <w:rPr>
                <w:rFonts w:ascii="Arial Narrow" w:hAnsi="Arial Narrow" w:cs="Arial"/>
              </w:rPr>
              <w:t xml:space="preserve">Ms Angela Kearney, </w:t>
            </w:r>
            <w:hyperlink r:id="rId11" w:history="1">
              <w:r w:rsidRPr="000A7545">
                <w:rPr>
                  <w:rStyle w:val="Hyperlink"/>
                  <w:rFonts w:ascii="Arial Narrow" w:hAnsi="Arial Narrow" w:cs="Arial"/>
                </w:rPr>
                <w:t>akearney@unicef.org</w:t>
              </w:r>
            </w:hyperlink>
            <w:r w:rsidRPr="000A7545">
              <w:rPr>
                <w:rFonts w:ascii="Arial Narrow" w:hAnsi="Arial Narrow" w:cs="Arial"/>
              </w:rPr>
              <w:t>, tel. +62 21 2996 8001</w:t>
            </w:r>
          </w:p>
          <w:p w14:paraId="13B5597A" w14:textId="77777777" w:rsidR="00443110" w:rsidRPr="000A7545" w:rsidRDefault="00443110" w:rsidP="00443110">
            <w:pPr>
              <w:spacing w:before="120" w:after="0" w:line="240" w:lineRule="auto"/>
              <w:rPr>
                <w:rFonts w:ascii="Arial Narrow" w:hAnsi="Arial Narrow" w:cs="Arial"/>
              </w:rPr>
            </w:pPr>
            <w:r w:rsidRPr="000A7545">
              <w:rPr>
                <w:rFonts w:ascii="Arial Narrow" w:hAnsi="Arial Narrow" w:cs="Arial"/>
              </w:rPr>
              <w:t xml:space="preserve">Dr Seema Agarwal-Harding, </w:t>
            </w:r>
            <w:hyperlink r:id="rId12" w:history="1">
              <w:r w:rsidRPr="000A7545">
                <w:rPr>
                  <w:rStyle w:val="Hyperlink"/>
                  <w:rFonts w:ascii="Arial Narrow" w:hAnsi="Arial Narrow" w:cs="Arial"/>
                </w:rPr>
                <w:t>sagarwalharding@unicef.org</w:t>
              </w:r>
            </w:hyperlink>
            <w:r w:rsidRPr="000A7545">
              <w:rPr>
                <w:rFonts w:ascii="Arial Narrow" w:hAnsi="Arial Narrow" w:cs="Arial"/>
              </w:rPr>
              <w:t>,</w:t>
            </w:r>
          </w:p>
          <w:p w14:paraId="13B5597B" w14:textId="77777777" w:rsidR="00443110" w:rsidRPr="000A7545" w:rsidRDefault="00443110" w:rsidP="00443110">
            <w:pPr>
              <w:spacing w:line="240" w:lineRule="auto"/>
              <w:rPr>
                <w:rFonts w:ascii="Arial Narrow" w:hAnsi="Arial Narrow" w:cs="Arial"/>
              </w:rPr>
            </w:pPr>
            <w:r w:rsidRPr="000A7545">
              <w:rPr>
                <w:rFonts w:ascii="Arial Narrow" w:hAnsi="Arial Narrow" w:cs="Arial"/>
              </w:rPr>
              <w:t>tel. +62 21 2996 8060</w:t>
            </w:r>
          </w:p>
        </w:tc>
      </w:tr>
    </w:tbl>
    <w:p w14:paraId="13B5597D" w14:textId="77777777" w:rsidR="00844F99" w:rsidRPr="000A7545" w:rsidRDefault="00013FF4" w:rsidP="00844F99">
      <w:r w:rsidRPr="000A7545">
        <w:rPr>
          <w:rFonts w:cs="Arial"/>
          <w:i/>
          <w:color w:val="000000"/>
          <w:sz w:val="18"/>
          <w:szCs w:val="18"/>
        </w:rPr>
        <w:t>*The amounts reflect the figures available at the field office level and should be considered as indicative. Actual expenditures will be reflected in the Statement of Accounts prepared by the Division of Financial Management, New York</w:t>
      </w:r>
      <w:r w:rsidRPr="000A7545">
        <w:rPr>
          <w:rFonts w:cs="Arial"/>
          <w:color w:val="000000"/>
          <w:sz w:val="18"/>
          <w:szCs w:val="18"/>
        </w:rPr>
        <w:t>.</w:t>
      </w:r>
    </w:p>
    <w:p w14:paraId="13B5597E" w14:textId="77777777" w:rsidR="00D60A17" w:rsidRPr="000A7545" w:rsidRDefault="00D60A17" w:rsidP="00D60A17">
      <w:pPr>
        <w:rPr>
          <w:rFonts w:cs="Arial"/>
          <w:color w:val="000000"/>
          <w:sz w:val="18"/>
          <w:szCs w:val="18"/>
        </w:rPr>
      </w:pPr>
      <w:bookmarkStart w:id="4" w:name="_Toc303330147"/>
      <w:r w:rsidRPr="000A7545">
        <w:rPr>
          <w:rFonts w:cs="Arial"/>
          <w:color w:val="000000"/>
          <w:sz w:val="18"/>
          <w:szCs w:val="18"/>
        </w:rPr>
        <w:br w:type="page"/>
      </w:r>
    </w:p>
    <w:p w14:paraId="13B5597F" w14:textId="77777777" w:rsidR="00D60A17" w:rsidRPr="000A7545" w:rsidRDefault="00D60A17" w:rsidP="00D60A17">
      <w:pPr>
        <w:pStyle w:val="Heading1"/>
        <w:numPr>
          <w:ilvl w:val="0"/>
          <w:numId w:val="0"/>
        </w:numPr>
        <w:ind w:left="360" w:hanging="360"/>
      </w:pPr>
      <w:bookmarkStart w:id="5" w:name="_Toc322507184"/>
      <w:bookmarkStart w:id="6" w:name="_Toc322702751"/>
      <w:r w:rsidRPr="000A7545">
        <w:lastRenderedPageBreak/>
        <w:t>List of Abbreviations and Acronyms</w:t>
      </w:r>
      <w:bookmarkEnd w:id="4"/>
      <w:bookmarkEnd w:id="5"/>
      <w:bookmarkEnd w:id="6"/>
    </w:p>
    <w:p w14:paraId="13B55980" w14:textId="77777777" w:rsidR="00D60A17" w:rsidRPr="000A7545" w:rsidRDefault="00D60A17" w:rsidP="00D60A17"/>
    <w:p w14:paraId="13B55981" w14:textId="77777777" w:rsidR="00E903CC" w:rsidRPr="000A7545" w:rsidRDefault="00E903CC" w:rsidP="00E903CC">
      <w:pPr>
        <w:rPr>
          <w:rFonts w:cstheme="minorHAnsi"/>
        </w:rPr>
      </w:pPr>
      <w:r w:rsidRPr="000A7545">
        <w:rPr>
          <w:rFonts w:cstheme="minorHAnsi"/>
        </w:rPr>
        <w:t>AJEL</w:t>
      </w:r>
      <w:r w:rsidRPr="000A7545">
        <w:rPr>
          <w:rFonts w:cstheme="minorHAnsi"/>
        </w:rPr>
        <w:tab/>
      </w:r>
      <w:r w:rsidRPr="000A7545">
        <w:rPr>
          <w:rFonts w:cstheme="minorHAnsi"/>
        </w:rPr>
        <w:tab/>
        <w:t>Active, Joyful and Effective Learning</w:t>
      </w:r>
    </w:p>
    <w:p w14:paraId="13B55982" w14:textId="77777777" w:rsidR="00E903CC" w:rsidRPr="00B05D52" w:rsidRDefault="00E903CC" w:rsidP="00E903CC">
      <w:pPr>
        <w:rPr>
          <w:rFonts w:cstheme="minorHAnsi"/>
          <w:lang w:val="es-US"/>
        </w:rPr>
      </w:pPr>
      <w:r w:rsidRPr="00B05D52">
        <w:rPr>
          <w:rFonts w:cstheme="minorHAnsi"/>
          <w:lang w:val="es-US"/>
        </w:rPr>
        <w:t>APBD</w:t>
      </w:r>
      <w:r w:rsidRPr="00B05D52">
        <w:rPr>
          <w:rFonts w:cstheme="minorHAnsi"/>
          <w:lang w:val="es-US"/>
        </w:rPr>
        <w:tab/>
      </w:r>
      <w:r w:rsidRPr="00B05D52">
        <w:rPr>
          <w:rFonts w:cstheme="minorHAnsi"/>
          <w:lang w:val="es-US"/>
        </w:rPr>
        <w:tab/>
      </w:r>
      <w:r w:rsidRPr="00B05D52">
        <w:rPr>
          <w:rFonts w:cstheme="minorHAnsi"/>
          <w:i/>
          <w:lang w:val="es-US"/>
        </w:rPr>
        <w:t xml:space="preserve">Anggaran Pendapatan dan Belanja Daerah </w:t>
      </w:r>
      <w:r w:rsidRPr="00B05D52">
        <w:rPr>
          <w:rFonts w:cstheme="minorHAnsi"/>
          <w:lang w:val="es-US"/>
        </w:rPr>
        <w:t>(Regional Budget)</w:t>
      </w:r>
    </w:p>
    <w:p w14:paraId="13B55983" w14:textId="77777777" w:rsidR="00E903CC" w:rsidRPr="000A7545" w:rsidRDefault="00E903CC" w:rsidP="00E903CC">
      <w:pPr>
        <w:rPr>
          <w:rFonts w:cstheme="minorHAnsi"/>
        </w:rPr>
      </w:pPr>
      <w:r w:rsidRPr="000A7545">
        <w:rPr>
          <w:rFonts w:cstheme="minorHAnsi"/>
        </w:rPr>
        <w:t>AusAID</w:t>
      </w:r>
      <w:r w:rsidRPr="000A7545">
        <w:rPr>
          <w:rFonts w:cstheme="minorHAnsi"/>
        </w:rPr>
        <w:tab/>
        <w:t>Australian Agency for International Development</w:t>
      </w:r>
    </w:p>
    <w:p w14:paraId="13B55984" w14:textId="77777777" w:rsidR="00E903CC" w:rsidRPr="000A7545" w:rsidRDefault="00E903CC" w:rsidP="00E903CC">
      <w:pPr>
        <w:ind w:left="1440" w:hanging="1440"/>
        <w:rPr>
          <w:rFonts w:cstheme="minorHAnsi"/>
        </w:rPr>
      </w:pPr>
      <w:r w:rsidRPr="000A7545">
        <w:rPr>
          <w:rFonts w:cstheme="minorHAnsi"/>
        </w:rPr>
        <w:t>Bappeda</w:t>
      </w:r>
      <w:r w:rsidRPr="000A7545">
        <w:rPr>
          <w:rFonts w:cstheme="minorHAnsi"/>
        </w:rPr>
        <w:tab/>
      </w:r>
      <w:r w:rsidRPr="000A7545">
        <w:rPr>
          <w:rFonts w:cstheme="minorHAnsi"/>
          <w:i/>
        </w:rPr>
        <w:t>Badan Perencanaan dan Pembangunan Daerah</w:t>
      </w:r>
      <w:r w:rsidR="00B35516">
        <w:rPr>
          <w:rFonts w:cstheme="minorHAnsi"/>
          <w:i/>
        </w:rPr>
        <w:t xml:space="preserve"> </w:t>
      </w:r>
      <w:r w:rsidRPr="000A7545">
        <w:rPr>
          <w:rFonts w:cstheme="minorHAnsi"/>
        </w:rPr>
        <w:t>(District Planning and Development Agency)</w:t>
      </w:r>
    </w:p>
    <w:p w14:paraId="13B55985" w14:textId="77777777" w:rsidR="00E903CC" w:rsidRPr="000A7545" w:rsidRDefault="00E903CC" w:rsidP="00E903CC">
      <w:pPr>
        <w:ind w:left="1440" w:hanging="1440"/>
        <w:rPr>
          <w:rFonts w:cstheme="minorHAnsi"/>
        </w:rPr>
      </w:pPr>
      <w:r w:rsidRPr="000A7545">
        <w:rPr>
          <w:rFonts w:cstheme="minorHAnsi"/>
        </w:rPr>
        <w:t>Bappenas</w:t>
      </w:r>
      <w:r w:rsidRPr="000A7545">
        <w:rPr>
          <w:rFonts w:cstheme="minorHAnsi"/>
        </w:rPr>
        <w:tab/>
      </w:r>
      <w:r w:rsidRPr="000A7545">
        <w:rPr>
          <w:rFonts w:cstheme="minorHAnsi"/>
          <w:i/>
        </w:rPr>
        <w:t>Badan Perencanaan dan Pembangunan Nasional</w:t>
      </w:r>
      <w:r w:rsidR="00B35516">
        <w:rPr>
          <w:rFonts w:cstheme="minorHAnsi"/>
          <w:i/>
        </w:rPr>
        <w:t xml:space="preserve"> </w:t>
      </w:r>
      <w:r w:rsidRPr="000A7545">
        <w:rPr>
          <w:rFonts w:cstheme="minorHAnsi"/>
        </w:rPr>
        <w:t>(National Planning and Development Agency)</w:t>
      </w:r>
    </w:p>
    <w:p w14:paraId="13B55986" w14:textId="77777777" w:rsidR="00E903CC" w:rsidRPr="000A7545" w:rsidRDefault="00E903CC" w:rsidP="00E903CC">
      <w:pPr>
        <w:rPr>
          <w:rFonts w:cstheme="minorHAnsi"/>
        </w:rPr>
      </w:pPr>
      <w:r w:rsidRPr="000A7545">
        <w:rPr>
          <w:rFonts w:cstheme="minorHAnsi"/>
        </w:rPr>
        <w:t>BOS</w:t>
      </w:r>
      <w:r w:rsidRPr="000A7545">
        <w:rPr>
          <w:rFonts w:cstheme="minorHAnsi"/>
        </w:rPr>
        <w:tab/>
      </w:r>
      <w:r w:rsidRPr="000A7545">
        <w:rPr>
          <w:rFonts w:cstheme="minorHAnsi"/>
        </w:rPr>
        <w:tab/>
      </w:r>
      <w:r w:rsidRPr="000A7545">
        <w:rPr>
          <w:rFonts w:cstheme="minorHAnsi"/>
          <w:i/>
        </w:rPr>
        <w:t>Biaya Operasional Sekolah</w:t>
      </w:r>
      <w:r w:rsidRPr="000A7545">
        <w:rPr>
          <w:rFonts w:cstheme="minorHAnsi"/>
        </w:rPr>
        <w:t xml:space="preserve"> (School Operational Cost)</w:t>
      </w:r>
    </w:p>
    <w:p w14:paraId="13B55987" w14:textId="77777777" w:rsidR="00E903CC" w:rsidRPr="000A7545" w:rsidRDefault="00E903CC" w:rsidP="00E903CC">
      <w:pPr>
        <w:rPr>
          <w:rFonts w:cstheme="minorHAnsi"/>
        </w:rPr>
      </w:pPr>
      <w:r w:rsidRPr="000A7545">
        <w:rPr>
          <w:rFonts w:cstheme="minorHAnsi"/>
        </w:rPr>
        <w:t>CLCC</w:t>
      </w:r>
      <w:r w:rsidRPr="000A7545">
        <w:rPr>
          <w:rFonts w:cstheme="minorHAnsi"/>
        </w:rPr>
        <w:tab/>
      </w:r>
      <w:r w:rsidRPr="000A7545">
        <w:rPr>
          <w:rFonts w:cstheme="minorHAnsi"/>
        </w:rPr>
        <w:tab/>
        <w:t>Creating Learning Community for Children</w:t>
      </w:r>
    </w:p>
    <w:p w14:paraId="13B55988" w14:textId="77777777" w:rsidR="00E903CC" w:rsidRPr="000A7545" w:rsidRDefault="00E903CC" w:rsidP="00E903CC">
      <w:pPr>
        <w:rPr>
          <w:rFonts w:cstheme="minorHAnsi"/>
        </w:rPr>
      </w:pPr>
      <w:r w:rsidRPr="000A7545">
        <w:rPr>
          <w:rFonts w:cstheme="minorHAnsi"/>
        </w:rPr>
        <w:t>CSO</w:t>
      </w:r>
      <w:r w:rsidRPr="000A7545">
        <w:rPr>
          <w:rFonts w:cstheme="minorHAnsi"/>
        </w:rPr>
        <w:tab/>
      </w:r>
      <w:r w:rsidRPr="000A7545">
        <w:rPr>
          <w:rFonts w:cstheme="minorHAnsi"/>
        </w:rPr>
        <w:tab/>
        <w:t>Civil Society Organization</w:t>
      </w:r>
    </w:p>
    <w:p w14:paraId="13B55989" w14:textId="77777777" w:rsidR="00E903CC" w:rsidRPr="000A7545" w:rsidRDefault="00E903CC" w:rsidP="00E903CC">
      <w:pPr>
        <w:rPr>
          <w:rFonts w:cstheme="minorHAnsi"/>
        </w:rPr>
      </w:pPr>
      <w:r w:rsidRPr="000A7545">
        <w:rPr>
          <w:rFonts w:cstheme="minorHAnsi"/>
        </w:rPr>
        <w:t>DBE</w:t>
      </w:r>
      <w:r w:rsidRPr="000A7545">
        <w:rPr>
          <w:rFonts w:cstheme="minorHAnsi"/>
        </w:rPr>
        <w:tab/>
      </w:r>
      <w:r w:rsidRPr="000A7545">
        <w:rPr>
          <w:rFonts w:cstheme="minorHAnsi"/>
        </w:rPr>
        <w:tab/>
        <w:t>Decentralized Basic Education (funded by USAID)</w:t>
      </w:r>
    </w:p>
    <w:p w14:paraId="13B5598A" w14:textId="77777777" w:rsidR="00E903CC" w:rsidRPr="000A7545" w:rsidRDefault="00E903CC" w:rsidP="00E903CC">
      <w:pPr>
        <w:rPr>
          <w:rFonts w:cstheme="minorHAnsi"/>
        </w:rPr>
      </w:pPr>
      <w:r w:rsidRPr="000A7545">
        <w:rPr>
          <w:rFonts w:cstheme="minorHAnsi"/>
        </w:rPr>
        <w:t>Dikpora</w:t>
      </w:r>
      <w:r w:rsidRPr="000A7545">
        <w:rPr>
          <w:rFonts w:cstheme="minorHAnsi"/>
        </w:rPr>
        <w:tab/>
      </w:r>
      <w:r w:rsidRPr="000A7545">
        <w:rPr>
          <w:rFonts w:cstheme="minorHAnsi"/>
          <w:i/>
        </w:rPr>
        <w:t>Dinas Pendidikan Pemuda dan Olahraga</w:t>
      </w:r>
      <w:r w:rsidRPr="000A7545">
        <w:rPr>
          <w:rFonts w:cstheme="minorHAnsi"/>
        </w:rPr>
        <w:t xml:space="preserve"> (Education Youth and Sport)</w:t>
      </w:r>
    </w:p>
    <w:p w14:paraId="13B5598B" w14:textId="77777777" w:rsidR="00E903CC" w:rsidRPr="000A7545" w:rsidRDefault="00E903CC" w:rsidP="00E903CC">
      <w:pPr>
        <w:rPr>
          <w:rFonts w:cstheme="minorHAnsi"/>
        </w:rPr>
      </w:pPr>
      <w:r w:rsidRPr="000A7545">
        <w:rPr>
          <w:rFonts w:cstheme="minorHAnsi"/>
        </w:rPr>
        <w:t>DPRD</w:t>
      </w:r>
      <w:r w:rsidRPr="000A7545">
        <w:rPr>
          <w:rFonts w:cstheme="minorHAnsi"/>
        </w:rPr>
        <w:tab/>
      </w:r>
      <w:r w:rsidRPr="000A7545">
        <w:rPr>
          <w:rFonts w:cstheme="minorHAnsi"/>
        </w:rPr>
        <w:tab/>
      </w:r>
      <w:r w:rsidRPr="000A7545">
        <w:rPr>
          <w:rFonts w:cstheme="minorHAnsi"/>
          <w:i/>
        </w:rPr>
        <w:t>Dewan Perwakilan Rakyat Daerah</w:t>
      </w:r>
      <w:r w:rsidRPr="000A7545">
        <w:rPr>
          <w:rFonts w:cstheme="minorHAnsi"/>
        </w:rPr>
        <w:t xml:space="preserve"> (Provincial Legislature)</w:t>
      </w:r>
    </w:p>
    <w:p w14:paraId="13B5598C" w14:textId="77777777" w:rsidR="00E903CC" w:rsidRPr="000A7545" w:rsidRDefault="00E903CC" w:rsidP="00E903CC">
      <w:pPr>
        <w:rPr>
          <w:rFonts w:cstheme="minorHAnsi"/>
        </w:rPr>
      </w:pPr>
      <w:r w:rsidRPr="000A7545">
        <w:rPr>
          <w:rFonts w:cstheme="minorHAnsi"/>
        </w:rPr>
        <w:t>EAD</w:t>
      </w:r>
      <w:r w:rsidRPr="000A7545">
        <w:rPr>
          <w:rFonts w:cstheme="minorHAnsi"/>
        </w:rPr>
        <w:tab/>
      </w:r>
      <w:r w:rsidRPr="000A7545">
        <w:rPr>
          <w:rFonts w:cstheme="minorHAnsi"/>
        </w:rPr>
        <w:tab/>
        <w:t>Education and Adolescent Development Cluster, UNICEF</w:t>
      </w:r>
    </w:p>
    <w:p w14:paraId="13B5598D" w14:textId="77777777" w:rsidR="00E903CC" w:rsidRPr="000A7545" w:rsidRDefault="00E903CC" w:rsidP="00E903CC">
      <w:pPr>
        <w:rPr>
          <w:rFonts w:cstheme="minorHAnsi"/>
        </w:rPr>
      </w:pPr>
      <w:r w:rsidRPr="000A7545">
        <w:rPr>
          <w:rFonts w:cstheme="minorHAnsi"/>
        </w:rPr>
        <w:t>EFA</w:t>
      </w:r>
      <w:r w:rsidRPr="000A7545">
        <w:rPr>
          <w:rFonts w:cstheme="minorHAnsi"/>
        </w:rPr>
        <w:tab/>
      </w:r>
      <w:r w:rsidRPr="000A7545">
        <w:rPr>
          <w:rFonts w:cstheme="minorHAnsi"/>
        </w:rPr>
        <w:tab/>
        <w:t>Education for All</w:t>
      </w:r>
    </w:p>
    <w:p w14:paraId="13B5598E" w14:textId="77777777" w:rsidR="00E903CC" w:rsidRPr="000A7545" w:rsidRDefault="00E903CC" w:rsidP="00E903CC">
      <w:pPr>
        <w:ind w:left="1440" w:hanging="1440"/>
        <w:rPr>
          <w:rFonts w:cstheme="minorHAnsi"/>
        </w:rPr>
      </w:pPr>
      <w:r w:rsidRPr="000A7545">
        <w:rPr>
          <w:rFonts w:cstheme="minorHAnsi"/>
        </w:rPr>
        <w:t>FKIP</w:t>
      </w:r>
      <w:r w:rsidRPr="000A7545">
        <w:rPr>
          <w:rFonts w:cstheme="minorHAnsi"/>
        </w:rPr>
        <w:tab/>
      </w:r>
      <w:r w:rsidRPr="000A7545">
        <w:rPr>
          <w:rFonts w:cstheme="minorHAnsi"/>
          <w:bCs/>
          <w:i/>
          <w:color w:val="000000"/>
        </w:rPr>
        <w:t>Fakultas Keguruan dan Ilmu Pendidikan</w:t>
      </w:r>
      <w:r w:rsidRPr="000A7545">
        <w:rPr>
          <w:rFonts w:cstheme="minorHAnsi"/>
        </w:rPr>
        <w:t xml:space="preserve"> (Faculty of Teachers and Education Knowledge)</w:t>
      </w:r>
    </w:p>
    <w:p w14:paraId="13B5598F" w14:textId="77777777" w:rsidR="00E903CC" w:rsidRPr="000A7545" w:rsidRDefault="00E903CC" w:rsidP="00E903CC">
      <w:pPr>
        <w:ind w:left="1440" w:hanging="1440"/>
        <w:rPr>
          <w:rFonts w:cstheme="minorHAnsi"/>
        </w:rPr>
      </w:pPr>
      <w:r w:rsidRPr="000A7545">
        <w:rPr>
          <w:rFonts w:cstheme="minorHAnsi"/>
        </w:rPr>
        <w:t>GoI</w:t>
      </w:r>
      <w:r w:rsidRPr="000A7545">
        <w:rPr>
          <w:rFonts w:cstheme="minorHAnsi"/>
        </w:rPr>
        <w:tab/>
        <w:t>Government of the Republic of Indonesia</w:t>
      </w:r>
    </w:p>
    <w:p w14:paraId="13B55990" w14:textId="77777777" w:rsidR="00E903CC" w:rsidRPr="000A7545" w:rsidRDefault="00E903CC" w:rsidP="00E903CC">
      <w:pPr>
        <w:ind w:left="1440" w:hanging="1440"/>
        <w:rPr>
          <w:rFonts w:cstheme="minorHAnsi"/>
        </w:rPr>
      </w:pPr>
      <w:r w:rsidRPr="000A7545">
        <w:rPr>
          <w:rFonts w:cstheme="minorHAnsi"/>
        </w:rPr>
        <w:t>ICT</w:t>
      </w:r>
      <w:r w:rsidRPr="000A7545">
        <w:rPr>
          <w:rFonts w:cstheme="minorHAnsi"/>
        </w:rPr>
        <w:tab/>
        <w:t>Information Communication Technology</w:t>
      </w:r>
    </w:p>
    <w:p w14:paraId="13B55991" w14:textId="77777777" w:rsidR="00E903CC" w:rsidRPr="000A7545" w:rsidRDefault="00E903CC" w:rsidP="00E903CC">
      <w:pPr>
        <w:ind w:left="1440" w:hanging="1440"/>
        <w:rPr>
          <w:rFonts w:cstheme="minorHAnsi"/>
        </w:rPr>
      </w:pPr>
      <w:r w:rsidRPr="000A7545">
        <w:rPr>
          <w:rFonts w:cstheme="minorHAnsi"/>
        </w:rPr>
        <w:t>KKG</w:t>
      </w:r>
      <w:r w:rsidRPr="000A7545">
        <w:rPr>
          <w:rFonts w:cstheme="minorHAnsi"/>
        </w:rPr>
        <w:tab/>
      </w:r>
      <w:r w:rsidRPr="000A7545">
        <w:rPr>
          <w:rFonts w:cstheme="minorHAnsi"/>
          <w:i/>
        </w:rPr>
        <w:t>Kerja Kelompok Guru</w:t>
      </w:r>
      <w:r w:rsidRPr="000A7545">
        <w:rPr>
          <w:rFonts w:cstheme="minorHAnsi"/>
        </w:rPr>
        <w:t xml:space="preserve"> (Teachers’ Working Group)</w:t>
      </w:r>
    </w:p>
    <w:p w14:paraId="13B55992" w14:textId="77777777" w:rsidR="00E903CC" w:rsidRPr="000A7545" w:rsidRDefault="00E903CC" w:rsidP="00E903CC">
      <w:pPr>
        <w:ind w:left="1440" w:hanging="1440"/>
        <w:rPr>
          <w:rFonts w:cstheme="minorHAnsi"/>
        </w:rPr>
      </w:pPr>
      <w:r w:rsidRPr="000A7545">
        <w:rPr>
          <w:rFonts w:cstheme="minorHAnsi"/>
        </w:rPr>
        <w:t>KKKS</w:t>
      </w:r>
      <w:r w:rsidRPr="000A7545">
        <w:rPr>
          <w:rFonts w:cstheme="minorHAnsi"/>
        </w:rPr>
        <w:tab/>
      </w:r>
      <w:r w:rsidRPr="000A7545">
        <w:rPr>
          <w:rFonts w:cstheme="minorHAnsi"/>
          <w:i/>
        </w:rPr>
        <w:t>Kerja Kelompok Kepala Sekolah</w:t>
      </w:r>
      <w:r w:rsidRPr="000A7545">
        <w:rPr>
          <w:rFonts w:cstheme="minorHAnsi"/>
        </w:rPr>
        <w:t xml:space="preserve"> (Principals’ Working Group)</w:t>
      </w:r>
      <w:r w:rsidRPr="000A7545">
        <w:rPr>
          <w:rFonts w:cstheme="minorHAnsi"/>
        </w:rPr>
        <w:tab/>
      </w:r>
    </w:p>
    <w:p w14:paraId="13B55993" w14:textId="77777777" w:rsidR="00E903CC" w:rsidRPr="000A7545" w:rsidRDefault="00E903CC" w:rsidP="00E903CC">
      <w:pPr>
        <w:ind w:left="1440" w:hanging="1440"/>
        <w:rPr>
          <w:rFonts w:cstheme="minorHAnsi"/>
        </w:rPr>
      </w:pPr>
      <w:r w:rsidRPr="000A7545">
        <w:rPr>
          <w:rFonts w:cstheme="minorHAnsi"/>
        </w:rPr>
        <w:t>LPMP</w:t>
      </w:r>
      <w:r w:rsidRPr="000A7545">
        <w:rPr>
          <w:rFonts w:cstheme="minorHAnsi"/>
        </w:rPr>
        <w:tab/>
      </w:r>
      <w:r w:rsidRPr="000A7545">
        <w:rPr>
          <w:rFonts w:cstheme="minorHAnsi"/>
          <w:i/>
        </w:rPr>
        <w:t>Lembaga Penjamin Mutu Pendidikan</w:t>
      </w:r>
      <w:r w:rsidRPr="000A7545">
        <w:rPr>
          <w:rFonts w:cstheme="minorHAnsi"/>
        </w:rPr>
        <w:t xml:space="preserve"> (Education Quality Assurance Institute)</w:t>
      </w:r>
    </w:p>
    <w:p w14:paraId="13B55994" w14:textId="77777777" w:rsidR="00E903CC" w:rsidRPr="000A7545" w:rsidRDefault="00E903CC" w:rsidP="00E903CC">
      <w:pPr>
        <w:rPr>
          <w:rFonts w:cstheme="minorHAnsi"/>
        </w:rPr>
      </w:pPr>
      <w:r w:rsidRPr="000A7545">
        <w:rPr>
          <w:rFonts w:cstheme="minorHAnsi"/>
        </w:rPr>
        <w:t>MBS</w:t>
      </w:r>
      <w:r w:rsidRPr="000A7545">
        <w:rPr>
          <w:rFonts w:cstheme="minorHAnsi"/>
        </w:rPr>
        <w:tab/>
      </w:r>
      <w:r w:rsidRPr="000A7545">
        <w:rPr>
          <w:rFonts w:cstheme="minorHAnsi"/>
        </w:rPr>
        <w:tab/>
      </w:r>
      <w:r w:rsidRPr="000A7545">
        <w:rPr>
          <w:rFonts w:cstheme="minorHAnsi"/>
          <w:i/>
        </w:rPr>
        <w:t>Manajemen Berbasis Sekolah</w:t>
      </w:r>
      <w:r w:rsidRPr="000A7545">
        <w:rPr>
          <w:rFonts w:cstheme="minorHAnsi"/>
        </w:rPr>
        <w:t xml:space="preserve"> (School Based Management)</w:t>
      </w:r>
    </w:p>
    <w:p w14:paraId="13B55995" w14:textId="77777777" w:rsidR="00E903CC" w:rsidRPr="000A7545" w:rsidRDefault="00E903CC" w:rsidP="00E903CC">
      <w:pPr>
        <w:rPr>
          <w:rFonts w:cstheme="minorHAnsi"/>
        </w:rPr>
      </w:pPr>
      <w:r w:rsidRPr="000A7545">
        <w:rPr>
          <w:rFonts w:cstheme="minorHAnsi"/>
        </w:rPr>
        <w:t>MDGs</w:t>
      </w:r>
      <w:r w:rsidRPr="000A7545">
        <w:rPr>
          <w:rFonts w:cstheme="minorHAnsi"/>
        </w:rPr>
        <w:tab/>
      </w:r>
      <w:r w:rsidRPr="000A7545">
        <w:rPr>
          <w:rFonts w:cstheme="minorHAnsi"/>
        </w:rPr>
        <w:tab/>
        <w:t>Millennium Development Goals</w:t>
      </w:r>
    </w:p>
    <w:p w14:paraId="13B55996" w14:textId="77777777" w:rsidR="00E903CC" w:rsidRPr="000A7545" w:rsidRDefault="00E903CC" w:rsidP="00E903CC">
      <w:pPr>
        <w:rPr>
          <w:rFonts w:cstheme="minorHAnsi"/>
        </w:rPr>
      </w:pPr>
      <w:r w:rsidRPr="000A7545">
        <w:rPr>
          <w:rFonts w:cstheme="minorHAnsi"/>
        </w:rPr>
        <w:t>M&amp;E</w:t>
      </w:r>
      <w:r w:rsidRPr="000A7545">
        <w:rPr>
          <w:rFonts w:cstheme="minorHAnsi"/>
        </w:rPr>
        <w:tab/>
      </w:r>
      <w:r w:rsidRPr="000A7545">
        <w:rPr>
          <w:rFonts w:cstheme="minorHAnsi"/>
        </w:rPr>
        <w:tab/>
        <w:t>Monitoring and Evaluation</w:t>
      </w:r>
    </w:p>
    <w:p w14:paraId="13B55997" w14:textId="77777777" w:rsidR="00E903CC" w:rsidRPr="000A7545" w:rsidRDefault="00570937" w:rsidP="00E903CC">
      <w:pPr>
        <w:ind w:left="1440" w:hanging="1440"/>
        <w:rPr>
          <w:rFonts w:cstheme="minorHAnsi"/>
        </w:rPr>
      </w:pPr>
      <w:r>
        <w:rPr>
          <w:rFonts w:cstheme="minorHAnsi"/>
        </w:rPr>
        <w:t>Mo</w:t>
      </w:r>
      <w:r w:rsidR="00E903CC" w:rsidRPr="000A7545">
        <w:rPr>
          <w:rFonts w:cstheme="minorHAnsi"/>
        </w:rPr>
        <w:t>EC</w:t>
      </w:r>
      <w:r w:rsidR="00E903CC" w:rsidRPr="000A7545">
        <w:rPr>
          <w:rFonts w:cstheme="minorHAnsi"/>
        </w:rPr>
        <w:tab/>
        <w:t xml:space="preserve">Ministry of Education and Culture (or, </w:t>
      </w:r>
      <w:r w:rsidR="00E903CC" w:rsidRPr="000A7545">
        <w:rPr>
          <w:rFonts w:cstheme="minorHAnsi"/>
          <w:i/>
        </w:rPr>
        <w:t>Departemen Pendidikan dan Budaya Nasional,</w:t>
      </w:r>
      <w:r w:rsidR="00E903CC" w:rsidRPr="000A7545">
        <w:rPr>
          <w:rFonts w:cstheme="minorHAnsi"/>
        </w:rPr>
        <w:t>Depdikbud)</w:t>
      </w:r>
    </w:p>
    <w:p w14:paraId="13B55998" w14:textId="77777777" w:rsidR="00E903CC" w:rsidRPr="000A7545" w:rsidRDefault="00E903CC" w:rsidP="00E903CC">
      <w:pPr>
        <w:rPr>
          <w:rFonts w:cstheme="minorHAnsi"/>
        </w:rPr>
      </w:pPr>
      <w:r w:rsidRPr="000A7545">
        <w:rPr>
          <w:rFonts w:cstheme="minorHAnsi"/>
        </w:rPr>
        <w:t>MSS</w:t>
      </w:r>
      <w:r w:rsidRPr="000A7545">
        <w:rPr>
          <w:rFonts w:cstheme="minorHAnsi"/>
        </w:rPr>
        <w:tab/>
      </w:r>
      <w:r w:rsidRPr="000A7545">
        <w:rPr>
          <w:rFonts w:cstheme="minorHAnsi"/>
        </w:rPr>
        <w:tab/>
        <w:t>Minimum Service Standards (or SPM)</w:t>
      </w:r>
    </w:p>
    <w:p w14:paraId="13B55999" w14:textId="77777777" w:rsidR="00E903CC" w:rsidRPr="000A7545" w:rsidRDefault="00E903CC" w:rsidP="00E903CC">
      <w:pPr>
        <w:rPr>
          <w:rFonts w:cstheme="minorHAnsi"/>
        </w:rPr>
      </w:pPr>
      <w:r w:rsidRPr="000A7545">
        <w:rPr>
          <w:rFonts w:cstheme="minorHAnsi"/>
        </w:rPr>
        <w:t>NER</w:t>
      </w:r>
      <w:r w:rsidRPr="000A7545">
        <w:rPr>
          <w:rFonts w:cstheme="minorHAnsi"/>
        </w:rPr>
        <w:tab/>
      </w:r>
      <w:r w:rsidRPr="000A7545">
        <w:rPr>
          <w:rFonts w:cstheme="minorHAnsi"/>
        </w:rPr>
        <w:tab/>
        <w:t>National Enrolment Rate</w:t>
      </w:r>
    </w:p>
    <w:p w14:paraId="13B5599A" w14:textId="77777777" w:rsidR="00E903CC" w:rsidRPr="000A7545" w:rsidRDefault="00E903CC" w:rsidP="00E903CC">
      <w:pPr>
        <w:rPr>
          <w:rFonts w:cstheme="minorHAnsi"/>
        </w:rPr>
      </w:pPr>
      <w:r w:rsidRPr="000A7545">
        <w:rPr>
          <w:rFonts w:cstheme="minorHAnsi"/>
        </w:rPr>
        <w:t>NGO</w:t>
      </w:r>
      <w:r w:rsidRPr="000A7545">
        <w:rPr>
          <w:rFonts w:cstheme="minorHAnsi"/>
        </w:rPr>
        <w:tab/>
      </w:r>
      <w:r w:rsidRPr="000A7545">
        <w:rPr>
          <w:rFonts w:cstheme="minorHAnsi"/>
        </w:rPr>
        <w:tab/>
        <w:t>Non-Government Organization</w:t>
      </w:r>
    </w:p>
    <w:p w14:paraId="13B5599B" w14:textId="77777777" w:rsidR="00E903CC" w:rsidRPr="000A7545" w:rsidRDefault="00E903CC" w:rsidP="00E903CC">
      <w:pPr>
        <w:rPr>
          <w:rFonts w:cstheme="minorHAnsi"/>
        </w:rPr>
      </w:pPr>
      <w:r w:rsidRPr="000A7545">
        <w:rPr>
          <w:rFonts w:cstheme="minorHAnsi"/>
        </w:rPr>
        <w:t>OTSUS</w:t>
      </w:r>
      <w:r w:rsidRPr="000A7545">
        <w:rPr>
          <w:rFonts w:cstheme="minorHAnsi"/>
        </w:rPr>
        <w:tab/>
        <w:t>Otonomi Khusus (Special Autonomy)</w:t>
      </w:r>
    </w:p>
    <w:p w14:paraId="13B5599C" w14:textId="77777777" w:rsidR="00E903CC" w:rsidRPr="000A7545" w:rsidRDefault="00E903CC" w:rsidP="00E903CC">
      <w:pPr>
        <w:rPr>
          <w:rFonts w:cstheme="minorHAnsi"/>
        </w:rPr>
      </w:pPr>
      <w:r w:rsidRPr="000A7545">
        <w:rPr>
          <w:rFonts w:cstheme="minorHAnsi"/>
        </w:rPr>
        <w:t>PGSD</w:t>
      </w:r>
      <w:r w:rsidRPr="000A7545">
        <w:rPr>
          <w:rFonts w:cstheme="minorHAnsi"/>
        </w:rPr>
        <w:tab/>
      </w:r>
      <w:r w:rsidRPr="000A7545">
        <w:rPr>
          <w:rFonts w:cstheme="minorHAnsi"/>
        </w:rPr>
        <w:tab/>
      </w:r>
      <w:r w:rsidRPr="000A7545">
        <w:rPr>
          <w:rFonts w:cstheme="minorHAnsi"/>
          <w:bCs/>
          <w:i/>
          <w:color w:val="000000"/>
        </w:rPr>
        <w:t>Pendidikan Guru Sekolah Dasar</w:t>
      </w:r>
      <w:r w:rsidRPr="000A7545">
        <w:rPr>
          <w:rFonts w:cstheme="minorHAnsi"/>
          <w:bCs/>
          <w:color w:val="000000"/>
        </w:rPr>
        <w:t xml:space="preserve"> (Teacher Education for Basic Education)</w:t>
      </w:r>
    </w:p>
    <w:p w14:paraId="13B5599D" w14:textId="77777777" w:rsidR="00E903CC" w:rsidRPr="000A7545" w:rsidRDefault="00E903CC" w:rsidP="00E903CC">
      <w:pPr>
        <w:rPr>
          <w:rFonts w:cstheme="minorHAnsi"/>
        </w:rPr>
      </w:pPr>
      <w:r w:rsidRPr="000A7545">
        <w:rPr>
          <w:rFonts w:cstheme="minorHAnsi"/>
        </w:rPr>
        <w:t>P</w:t>
      </w:r>
      <w:r w:rsidR="0091213F" w:rsidRPr="000A7545">
        <w:rPr>
          <w:rFonts w:cstheme="minorHAnsi"/>
        </w:rPr>
        <w:t>Os</w:t>
      </w:r>
      <w:r w:rsidR="0091213F" w:rsidRPr="000A7545">
        <w:rPr>
          <w:rFonts w:cstheme="minorHAnsi"/>
        </w:rPr>
        <w:tab/>
      </w:r>
      <w:r w:rsidR="0091213F" w:rsidRPr="000A7545">
        <w:rPr>
          <w:rFonts w:cstheme="minorHAnsi"/>
        </w:rPr>
        <w:tab/>
        <w:t>Project</w:t>
      </w:r>
      <w:r w:rsidRPr="000A7545">
        <w:rPr>
          <w:rFonts w:cstheme="minorHAnsi"/>
        </w:rPr>
        <w:t xml:space="preserve"> Officers (UNICEF’s personnel)</w:t>
      </w:r>
    </w:p>
    <w:p w14:paraId="13B5599E" w14:textId="77777777" w:rsidR="00E903CC" w:rsidRPr="000A7545" w:rsidRDefault="00E903CC" w:rsidP="00E903CC">
      <w:pPr>
        <w:rPr>
          <w:rFonts w:cstheme="minorHAnsi"/>
        </w:rPr>
      </w:pPr>
      <w:r w:rsidRPr="000A7545">
        <w:rPr>
          <w:rFonts w:cstheme="minorHAnsi"/>
        </w:rPr>
        <w:t>PSC</w:t>
      </w:r>
      <w:r w:rsidRPr="000A7545">
        <w:rPr>
          <w:rFonts w:cstheme="minorHAnsi"/>
        </w:rPr>
        <w:tab/>
      </w:r>
      <w:r w:rsidRPr="000A7545">
        <w:rPr>
          <w:rFonts w:cstheme="minorHAnsi"/>
        </w:rPr>
        <w:tab/>
        <w:t>Pro</w:t>
      </w:r>
      <w:r w:rsidR="0025581A">
        <w:rPr>
          <w:rFonts w:cstheme="minorHAnsi"/>
        </w:rPr>
        <w:t>vinvial</w:t>
      </w:r>
      <w:r w:rsidRPr="000A7545">
        <w:rPr>
          <w:rFonts w:cstheme="minorHAnsi"/>
        </w:rPr>
        <w:t xml:space="preserve"> Steering Committee</w:t>
      </w:r>
    </w:p>
    <w:p w14:paraId="13B5599F" w14:textId="77777777" w:rsidR="0091213F" w:rsidRPr="000A7545" w:rsidRDefault="0091213F" w:rsidP="00E903CC">
      <w:pPr>
        <w:rPr>
          <w:rFonts w:cstheme="minorHAnsi"/>
        </w:rPr>
      </w:pPr>
      <w:r w:rsidRPr="000A7545">
        <w:rPr>
          <w:rFonts w:cstheme="minorHAnsi"/>
        </w:rPr>
        <w:t>Renja</w:t>
      </w:r>
      <w:r w:rsidRPr="000A7545">
        <w:rPr>
          <w:rFonts w:cstheme="minorHAnsi"/>
        </w:rPr>
        <w:tab/>
      </w:r>
      <w:r w:rsidRPr="000A7545">
        <w:rPr>
          <w:rFonts w:cstheme="minorHAnsi"/>
        </w:rPr>
        <w:tab/>
      </w:r>
      <w:r w:rsidRPr="000A7545">
        <w:rPr>
          <w:rFonts w:cstheme="minorHAnsi"/>
          <w:i/>
        </w:rPr>
        <w:t>Rencana Kerja</w:t>
      </w:r>
      <w:r w:rsidRPr="000A7545">
        <w:rPr>
          <w:rFonts w:cstheme="minorHAnsi"/>
        </w:rPr>
        <w:t xml:space="preserve"> (annual work plan)</w:t>
      </w:r>
    </w:p>
    <w:p w14:paraId="13B559A0" w14:textId="77777777" w:rsidR="00E903CC" w:rsidRPr="000A7545" w:rsidRDefault="00E903CC" w:rsidP="00E903CC">
      <w:pPr>
        <w:rPr>
          <w:rFonts w:cstheme="minorHAnsi"/>
        </w:rPr>
      </w:pPr>
      <w:r w:rsidRPr="000A7545">
        <w:rPr>
          <w:rFonts w:cstheme="minorHAnsi"/>
        </w:rPr>
        <w:t>Renstra</w:t>
      </w:r>
      <w:r w:rsidRPr="000A7545">
        <w:rPr>
          <w:rFonts w:cstheme="minorHAnsi"/>
        </w:rPr>
        <w:tab/>
      </w:r>
      <w:r w:rsidRPr="000A7545">
        <w:rPr>
          <w:rFonts w:cstheme="minorHAnsi"/>
          <w:i/>
        </w:rPr>
        <w:t>Rencana Strategis</w:t>
      </w:r>
      <w:r w:rsidRPr="000A7545">
        <w:rPr>
          <w:rFonts w:cstheme="minorHAnsi"/>
        </w:rPr>
        <w:t xml:space="preserve"> (Strategic Plan)</w:t>
      </w:r>
    </w:p>
    <w:p w14:paraId="13B559A1" w14:textId="77777777" w:rsidR="00E903CC" w:rsidRPr="000A7545" w:rsidRDefault="00E903CC" w:rsidP="00E903CC">
      <w:pPr>
        <w:rPr>
          <w:rFonts w:cstheme="minorHAnsi"/>
        </w:rPr>
      </w:pPr>
      <w:r w:rsidRPr="000A7545">
        <w:rPr>
          <w:rFonts w:cstheme="minorHAnsi"/>
        </w:rPr>
        <w:t>SBM</w:t>
      </w:r>
      <w:r w:rsidRPr="000A7545">
        <w:rPr>
          <w:rFonts w:cstheme="minorHAnsi"/>
        </w:rPr>
        <w:tab/>
      </w:r>
      <w:r w:rsidRPr="000A7545">
        <w:rPr>
          <w:rFonts w:cstheme="minorHAnsi"/>
        </w:rPr>
        <w:tab/>
        <w:t>School-Based Management</w:t>
      </w:r>
    </w:p>
    <w:p w14:paraId="13B559A2" w14:textId="77777777" w:rsidR="00E903CC" w:rsidRPr="000A7545" w:rsidRDefault="00E903CC" w:rsidP="00E903CC">
      <w:pPr>
        <w:rPr>
          <w:rFonts w:cstheme="minorHAnsi"/>
        </w:rPr>
      </w:pPr>
      <w:r w:rsidRPr="000A7545">
        <w:rPr>
          <w:rFonts w:cstheme="minorHAnsi"/>
        </w:rPr>
        <w:t>SD</w:t>
      </w:r>
      <w:r w:rsidRPr="000A7545">
        <w:rPr>
          <w:rFonts w:cstheme="minorHAnsi"/>
        </w:rPr>
        <w:tab/>
      </w:r>
      <w:r w:rsidRPr="000A7545">
        <w:rPr>
          <w:rFonts w:cstheme="minorHAnsi"/>
        </w:rPr>
        <w:tab/>
      </w:r>
      <w:r w:rsidRPr="000A7545">
        <w:rPr>
          <w:rFonts w:cstheme="minorHAnsi"/>
          <w:i/>
        </w:rPr>
        <w:t xml:space="preserve">Sekolah Dasar </w:t>
      </w:r>
      <w:r w:rsidRPr="000A7545">
        <w:rPr>
          <w:rFonts w:cstheme="minorHAnsi"/>
        </w:rPr>
        <w:t>(Primary School)</w:t>
      </w:r>
    </w:p>
    <w:p w14:paraId="13B559A3" w14:textId="77777777" w:rsidR="00E903CC" w:rsidRPr="000A7545" w:rsidRDefault="00E903CC" w:rsidP="00E903CC">
      <w:pPr>
        <w:rPr>
          <w:rFonts w:cstheme="minorHAnsi"/>
        </w:rPr>
      </w:pPr>
      <w:r w:rsidRPr="000A7545">
        <w:rPr>
          <w:rFonts w:cstheme="minorHAnsi"/>
        </w:rPr>
        <w:t>SPM</w:t>
      </w:r>
      <w:r w:rsidRPr="000A7545">
        <w:rPr>
          <w:rFonts w:cstheme="minorHAnsi"/>
        </w:rPr>
        <w:tab/>
      </w:r>
      <w:r w:rsidRPr="000A7545">
        <w:rPr>
          <w:rFonts w:cstheme="minorHAnsi"/>
        </w:rPr>
        <w:tab/>
      </w:r>
      <w:r w:rsidRPr="000A7545">
        <w:rPr>
          <w:rFonts w:cstheme="minorHAnsi"/>
          <w:i/>
        </w:rPr>
        <w:t>Standar Pelayanan Minimal</w:t>
      </w:r>
      <w:r w:rsidRPr="000A7545">
        <w:rPr>
          <w:rFonts w:cstheme="minorHAnsi"/>
        </w:rPr>
        <w:t xml:space="preserve"> (or MSS)</w:t>
      </w:r>
    </w:p>
    <w:p w14:paraId="13B559A4" w14:textId="77777777" w:rsidR="007C4313" w:rsidRDefault="00E903CC" w:rsidP="007C4313">
      <w:pPr>
        <w:spacing w:after="0"/>
        <w:rPr>
          <w:rFonts w:cstheme="minorHAnsi"/>
        </w:rPr>
      </w:pPr>
      <w:r w:rsidRPr="000A7545">
        <w:rPr>
          <w:rFonts w:cstheme="minorHAnsi"/>
        </w:rPr>
        <w:t>Subrayon/</w:t>
      </w:r>
    </w:p>
    <w:p w14:paraId="13B559A5" w14:textId="77777777" w:rsidR="00E903CC" w:rsidRPr="000A7545" w:rsidRDefault="00E903CC" w:rsidP="00E903CC">
      <w:pPr>
        <w:rPr>
          <w:rFonts w:cstheme="minorHAnsi"/>
        </w:rPr>
      </w:pPr>
      <w:r w:rsidRPr="000A7545">
        <w:rPr>
          <w:rFonts w:cstheme="minorHAnsi"/>
        </w:rPr>
        <w:t>Gugus</w:t>
      </w:r>
      <w:r w:rsidRPr="000A7545">
        <w:rPr>
          <w:rFonts w:cstheme="minorHAnsi"/>
        </w:rPr>
        <w:tab/>
      </w:r>
      <w:r w:rsidRPr="000A7545">
        <w:rPr>
          <w:rFonts w:cstheme="minorHAnsi"/>
        </w:rPr>
        <w:tab/>
        <w:t>Clusters for Junior Secondary Schools and Primary Schools</w:t>
      </w:r>
    </w:p>
    <w:p w14:paraId="13B559A6" w14:textId="77777777" w:rsidR="00E903CC" w:rsidRPr="000A7545" w:rsidRDefault="00E903CC" w:rsidP="00E903CC">
      <w:pPr>
        <w:rPr>
          <w:rFonts w:cstheme="minorHAnsi"/>
        </w:rPr>
      </w:pPr>
      <w:r w:rsidRPr="000A7545">
        <w:rPr>
          <w:rFonts w:cstheme="minorHAnsi"/>
        </w:rPr>
        <w:t>UNICEF</w:t>
      </w:r>
      <w:r w:rsidRPr="000A7545">
        <w:rPr>
          <w:rFonts w:cstheme="minorHAnsi"/>
        </w:rPr>
        <w:tab/>
        <w:t>United Nations Children’s Fund</w:t>
      </w:r>
    </w:p>
    <w:p w14:paraId="13B559A7" w14:textId="77777777" w:rsidR="00E903CC" w:rsidRPr="000A7545" w:rsidRDefault="00E903CC" w:rsidP="00E903CC">
      <w:pPr>
        <w:rPr>
          <w:rFonts w:cstheme="minorHAnsi"/>
        </w:rPr>
      </w:pPr>
      <w:r w:rsidRPr="000A7545">
        <w:rPr>
          <w:rFonts w:cstheme="minorHAnsi"/>
        </w:rPr>
        <w:t>USAID</w:t>
      </w:r>
      <w:r w:rsidRPr="000A7545">
        <w:rPr>
          <w:rFonts w:cstheme="minorHAnsi"/>
        </w:rPr>
        <w:tab/>
      </w:r>
      <w:r w:rsidRPr="000A7545">
        <w:rPr>
          <w:rFonts w:cstheme="minorHAnsi"/>
        </w:rPr>
        <w:tab/>
        <w:t>United States Agency for International Development</w:t>
      </w:r>
    </w:p>
    <w:p w14:paraId="13B559A8" w14:textId="77777777" w:rsidR="00D60A17" w:rsidRPr="000A7545" w:rsidRDefault="00D60A17" w:rsidP="00D60A17">
      <w:pPr>
        <w:rPr>
          <w:rFonts w:cs="Arial"/>
        </w:rPr>
      </w:pPr>
    </w:p>
    <w:p w14:paraId="13B559A9" w14:textId="77777777" w:rsidR="00DD07BE" w:rsidRPr="000A7545" w:rsidRDefault="00DD07BE" w:rsidP="00D60A17"/>
    <w:p w14:paraId="13B559AA" w14:textId="77777777" w:rsidR="00D60A17" w:rsidRPr="000A7545" w:rsidRDefault="00D60A17" w:rsidP="00D60A17"/>
    <w:p w14:paraId="13B559AB" w14:textId="77777777" w:rsidR="00D60A17" w:rsidRPr="000A7545" w:rsidRDefault="00D60A17" w:rsidP="00D60A17"/>
    <w:p w14:paraId="13B559AC" w14:textId="77777777" w:rsidR="00D60A17" w:rsidRPr="000A7545" w:rsidRDefault="00D60A17" w:rsidP="00D60A17"/>
    <w:p w14:paraId="13B559AD" w14:textId="77777777" w:rsidR="00D60A17" w:rsidRPr="000A7545" w:rsidRDefault="00D60A17" w:rsidP="00D60A17"/>
    <w:p w14:paraId="13B559AE" w14:textId="77777777" w:rsidR="00D60A17" w:rsidRPr="000A7545" w:rsidRDefault="00D60A17" w:rsidP="00D60A17">
      <w:r w:rsidRPr="000A7545">
        <w:br w:type="page"/>
      </w:r>
    </w:p>
    <w:p w14:paraId="13B559AF" w14:textId="77777777" w:rsidR="00AB06AB" w:rsidRPr="000A7545" w:rsidRDefault="00D60A17" w:rsidP="00AB06AB">
      <w:pPr>
        <w:pStyle w:val="Heading1"/>
        <w:numPr>
          <w:ilvl w:val="0"/>
          <w:numId w:val="0"/>
        </w:numPr>
        <w:ind w:left="360" w:hanging="360"/>
      </w:pPr>
      <w:bookmarkStart w:id="7" w:name="_Toc303330148"/>
      <w:bookmarkStart w:id="8" w:name="_Toc322507185"/>
      <w:bookmarkStart w:id="9" w:name="_Toc322702752"/>
      <w:r w:rsidRPr="000A7545">
        <w:t xml:space="preserve">Table of </w:t>
      </w:r>
      <w:bookmarkEnd w:id="7"/>
      <w:bookmarkEnd w:id="8"/>
      <w:r w:rsidR="00AB06AB" w:rsidRPr="000A7545">
        <w:t>Contents</w:t>
      </w:r>
      <w:bookmarkEnd w:id="9"/>
    </w:p>
    <w:p w14:paraId="13B559B0" w14:textId="77777777" w:rsidR="00D60A17" w:rsidRPr="000A7545" w:rsidRDefault="00D60A17" w:rsidP="00D60A17"/>
    <w:p w14:paraId="13B559B1" w14:textId="77777777" w:rsidR="005E0585" w:rsidRDefault="004652D0">
      <w:pPr>
        <w:pStyle w:val="TOC1"/>
        <w:tabs>
          <w:tab w:val="right" w:leader="dot" w:pos="9016"/>
        </w:tabs>
        <w:rPr>
          <w:rFonts w:asciiTheme="minorHAnsi" w:eastAsiaTheme="minorEastAsia" w:hAnsiTheme="minorHAnsi"/>
          <w:noProof/>
          <w:lang w:val="en-US"/>
        </w:rPr>
      </w:pPr>
      <w:r w:rsidRPr="000A7545">
        <w:fldChar w:fldCharType="begin"/>
      </w:r>
      <w:r w:rsidRPr="000A7545">
        <w:instrText xml:space="preserve"> TOC \o "1-3" \h \z \u </w:instrText>
      </w:r>
      <w:r w:rsidRPr="000A7545">
        <w:fldChar w:fldCharType="separate"/>
      </w:r>
      <w:hyperlink w:anchor="_Toc322702750" w:history="1">
        <w:r w:rsidR="005E0585" w:rsidRPr="00E101C1">
          <w:rPr>
            <w:rStyle w:val="Hyperlink"/>
            <w:noProof/>
          </w:rPr>
          <w:t>Contribution Data Sheet</w:t>
        </w:r>
        <w:r w:rsidR="005E0585">
          <w:rPr>
            <w:noProof/>
            <w:webHidden/>
          </w:rPr>
          <w:tab/>
        </w:r>
        <w:r w:rsidR="002A0B4D">
          <w:rPr>
            <w:noProof/>
            <w:webHidden/>
          </w:rPr>
          <w:t>ii</w:t>
        </w:r>
      </w:hyperlink>
    </w:p>
    <w:p w14:paraId="13B559B2" w14:textId="77777777" w:rsidR="005E0585" w:rsidRDefault="008D7FBB">
      <w:pPr>
        <w:pStyle w:val="TOC1"/>
        <w:tabs>
          <w:tab w:val="right" w:leader="dot" w:pos="9016"/>
        </w:tabs>
        <w:rPr>
          <w:rFonts w:asciiTheme="minorHAnsi" w:eastAsiaTheme="minorEastAsia" w:hAnsiTheme="minorHAnsi"/>
          <w:noProof/>
          <w:lang w:val="en-US"/>
        </w:rPr>
      </w:pPr>
      <w:hyperlink w:anchor="_Toc322702751" w:history="1">
        <w:r w:rsidR="005E0585" w:rsidRPr="00E101C1">
          <w:rPr>
            <w:rStyle w:val="Hyperlink"/>
            <w:noProof/>
          </w:rPr>
          <w:t>List of Abbreviations and Acronyms</w:t>
        </w:r>
        <w:r w:rsidR="005E0585">
          <w:rPr>
            <w:noProof/>
            <w:webHidden/>
          </w:rPr>
          <w:tab/>
        </w:r>
        <w:r w:rsidR="002A0B4D">
          <w:rPr>
            <w:noProof/>
            <w:webHidden/>
          </w:rPr>
          <w:t>iii</w:t>
        </w:r>
      </w:hyperlink>
    </w:p>
    <w:p w14:paraId="13B559B3" w14:textId="77777777" w:rsidR="005E0585" w:rsidRDefault="008D7FBB">
      <w:pPr>
        <w:pStyle w:val="TOC1"/>
        <w:tabs>
          <w:tab w:val="right" w:leader="dot" w:pos="9016"/>
        </w:tabs>
        <w:rPr>
          <w:rFonts w:asciiTheme="minorHAnsi" w:eastAsiaTheme="minorEastAsia" w:hAnsiTheme="minorHAnsi"/>
          <w:noProof/>
          <w:lang w:val="en-US"/>
        </w:rPr>
      </w:pPr>
      <w:hyperlink w:anchor="_Toc322702752" w:history="1">
        <w:r w:rsidR="005E0585" w:rsidRPr="00E101C1">
          <w:rPr>
            <w:rStyle w:val="Hyperlink"/>
            <w:noProof/>
          </w:rPr>
          <w:t>Table of Contents</w:t>
        </w:r>
        <w:r w:rsidR="005E0585">
          <w:rPr>
            <w:noProof/>
            <w:webHidden/>
          </w:rPr>
          <w:tab/>
        </w:r>
        <w:r w:rsidR="002A0B4D">
          <w:rPr>
            <w:noProof/>
            <w:webHidden/>
          </w:rPr>
          <w:t>v</w:t>
        </w:r>
      </w:hyperlink>
    </w:p>
    <w:p w14:paraId="13B559B4" w14:textId="77777777" w:rsidR="005E0585" w:rsidRDefault="008D7FBB">
      <w:pPr>
        <w:pStyle w:val="TOC1"/>
        <w:tabs>
          <w:tab w:val="right" w:leader="dot" w:pos="9016"/>
        </w:tabs>
        <w:rPr>
          <w:rFonts w:asciiTheme="minorHAnsi" w:eastAsiaTheme="minorEastAsia" w:hAnsiTheme="minorHAnsi"/>
          <w:noProof/>
          <w:lang w:val="en-US"/>
        </w:rPr>
      </w:pPr>
      <w:hyperlink w:anchor="_Toc322702753" w:history="1">
        <w:r w:rsidR="005E0585" w:rsidRPr="00E101C1">
          <w:rPr>
            <w:rStyle w:val="Hyperlink"/>
            <w:noProof/>
          </w:rPr>
          <w:t>List of Figures</w:t>
        </w:r>
        <w:r w:rsidR="005E0585">
          <w:rPr>
            <w:noProof/>
            <w:webHidden/>
          </w:rPr>
          <w:tab/>
        </w:r>
        <w:r w:rsidR="002A0B4D">
          <w:rPr>
            <w:noProof/>
            <w:webHidden/>
          </w:rPr>
          <w:t>vii</w:t>
        </w:r>
      </w:hyperlink>
    </w:p>
    <w:p w14:paraId="13B559B5" w14:textId="77777777" w:rsidR="005E0585" w:rsidRDefault="008D7FBB">
      <w:pPr>
        <w:pStyle w:val="TOC1"/>
        <w:tabs>
          <w:tab w:val="right" w:leader="dot" w:pos="9016"/>
        </w:tabs>
        <w:rPr>
          <w:rFonts w:asciiTheme="minorHAnsi" w:eastAsiaTheme="minorEastAsia" w:hAnsiTheme="minorHAnsi"/>
          <w:noProof/>
          <w:lang w:val="en-US"/>
        </w:rPr>
      </w:pPr>
      <w:hyperlink w:anchor="_Toc322702754" w:history="1">
        <w:r w:rsidR="005E0585" w:rsidRPr="00E101C1">
          <w:rPr>
            <w:rStyle w:val="Hyperlink"/>
            <w:noProof/>
          </w:rPr>
          <w:t>1 Executive Summary</w:t>
        </w:r>
        <w:r w:rsidR="005E0585">
          <w:rPr>
            <w:noProof/>
            <w:webHidden/>
          </w:rPr>
          <w:tab/>
        </w:r>
        <w:r w:rsidR="005E0585">
          <w:rPr>
            <w:noProof/>
            <w:webHidden/>
          </w:rPr>
          <w:fldChar w:fldCharType="begin"/>
        </w:r>
        <w:r w:rsidR="005E0585">
          <w:rPr>
            <w:noProof/>
            <w:webHidden/>
          </w:rPr>
          <w:instrText xml:space="preserve"> PAGEREF _Toc322702754 \h </w:instrText>
        </w:r>
        <w:r w:rsidR="005E0585">
          <w:rPr>
            <w:noProof/>
            <w:webHidden/>
          </w:rPr>
        </w:r>
        <w:r w:rsidR="005E0585">
          <w:rPr>
            <w:noProof/>
            <w:webHidden/>
          </w:rPr>
          <w:fldChar w:fldCharType="separate"/>
        </w:r>
        <w:r w:rsidR="009B4D84">
          <w:rPr>
            <w:noProof/>
            <w:webHidden/>
          </w:rPr>
          <w:t>1</w:t>
        </w:r>
        <w:r w:rsidR="005E0585">
          <w:rPr>
            <w:noProof/>
            <w:webHidden/>
          </w:rPr>
          <w:fldChar w:fldCharType="end"/>
        </w:r>
      </w:hyperlink>
    </w:p>
    <w:p w14:paraId="13B559B6" w14:textId="77777777" w:rsidR="005E0585" w:rsidRDefault="008D7FBB">
      <w:pPr>
        <w:pStyle w:val="TOC1"/>
        <w:tabs>
          <w:tab w:val="right" w:leader="dot" w:pos="9016"/>
        </w:tabs>
        <w:rPr>
          <w:rFonts w:asciiTheme="minorHAnsi" w:eastAsiaTheme="minorEastAsia" w:hAnsiTheme="minorHAnsi"/>
          <w:noProof/>
          <w:lang w:val="en-US"/>
        </w:rPr>
      </w:pPr>
      <w:hyperlink w:anchor="_Toc322702755" w:history="1">
        <w:r w:rsidR="005E0585" w:rsidRPr="00E101C1">
          <w:rPr>
            <w:rStyle w:val="Hyperlink"/>
            <w:noProof/>
          </w:rPr>
          <w:t>2 Purpose</w:t>
        </w:r>
        <w:r w:rsidR="005E0585">
          <w:rPr>
            <w:noProof/>
            <w:webHidden/>
          </w:rPr>
          <w:tab/>
        </w:r>
        <w:r w:rsidR="005E0585">
          <w:rPr>
            <w:noProof/>
            <w:webHidden/>
          </w:rPr>
          <w:fldChar w:fldCharType="begin"/>
        </w:r>
        <w:r w:rsidR="005E0585">
          <w:rPr>
            <w:noProof/>
            <w:webHidden/>
          </w:rPr>
          <w:instrText xml:space="preserve"> PAGEREF _Toc322702755 \h </w:instrText>
        </w:r>
        <w:r w:rsidR="005E0585">
          <w:rPr>
            <w:noProof/>
            <w:webHidden/>
          </w:rPr>
        </w:r>
        <w:r w:rsidR="005E0585">
          <w:rPr>
            <w:noProof/>
            <w:webHidden/>
          </w:rPr>
          <w:fldChar w:fldCharType="separate"/>
        </w:r>
        <w:r w:rsidR="009B4D84">
          <w:rPr>
            <w:noProof/>
            <w:webHidden/>
          </w:rPr>
          <w:t>3</w:t>
        </w:r>
        <w:r w:rsidR="005E0585">
          <w:rPr>
            <w:noProof/>
            <w:webHidden/>
          </w:rPr>
          <w:fldChar w:fldCharType="end"/>
        </w:r>
      </w:hyperlink>
    </w:p>
    <w:p w14:paraId="13B559B7" w14:textId="77777777" w:rsidR="005E0585" w:rsidRDefault="008D7FBB">
      <w:pPr>
        <w:pStyle w:val="TOC1"/>
        <w:tabs>
          <w:tab w:val="right" w:leader="dot" w:pos="9016"/>
        </w:tabs>
        <w:rPr>
          <w:rFonts w:asciiTheme="minorHAnsi" w:eastAsiaTheme="minorEastAsia" w:hAnsiTheme="minorHAnsi"/>
          <w:noProof/>
          <w:lang w:val="en-US"/>
        </w:rPr>
      </w:pPr>
      <w:hyperlink w:anchor="_Toc322702756" w:history="1">
        <w:r w:rsidR="005E0585" w:rsidRPr="00E101C1">
          <w:rPr>
            <w:rStyle w:val="Hyperlink"/>
            <w:noProof/>
          </w:rPr>
          <w:t>3 Results</w:t>
        </w:r>
        <w:r w:rsidR="005E0585">
          <w:rPr>
            <w:noProof/>
            <w:webHidden/>
          </w:rPr>
          <w:tab/>
        </w:r>
        <w:r w:rsidR="005E0585">
          <w:rPr>
            <w:noProof/>
            <w:webHidden/>
          </w:rPr>
          <w:fldChar w:fldCharType="begin"/>
        </w:r>
        <w:r w:rsidR="005E0585">
          <w:rPr>
            <w:noProof/>
            <w:webHidden/>
          </w:rPr>
          <w:instrText xml:space="preserve"> PAGEREF _Toc322702756 \h </w:instrText>
        </w:r>
        <w:r w:rsidR="005E0585">
          <w:rPr>
            <w:noProof/>
            <w:webHidden/>
          </w:rPr>
        </w:r>
        <w:r w:rsidR="005E0585">
          <w:rPr>
            <w:noProof/>
            <w:webHidden/>
          </w:rPr>
          <w:fldChar w:fldCharType="separate"/>
        </w:r>
        <w:r w:rsidR="009B4D84">
          <w:rPr>
            <w:noProof/>
            <w:webHidden/>
          </w:rPr>
          <w:t>6</w:t>
        </w:r>
        <w:r w:rsidR="005E0585">
          <w:rPr>
            <w:noProof/>
            <w:webHidden/>
          </w:rPr>
          <w:fldChar w:fldCharType="end"/>
        </w:r>
      </w:hyperlink>
    </w:p>
    <w:p w14:paraId="13B559B8" w14:textId="77777777" w:rsidR="005E0585" w:rsidRDefault="008D7FBB">
      <w:pPr>
        <w:pStyle w:val="TOC2"/>
        <w:tabs>
          <w:tab w:val="right" w:leader="dot" w:pos="9016"/>
        </w:tabs>
        <w:rPr>
          <w:rFonts w:asciiTheme="minorHAnsi" w:eastAsiaTheme="minorEastAsia" w:hAnsiTheme="minorHAnsi"/>
          <w:noProof/>
          <w:lang w:val="en-US"/>
        </w:rPr>
      </w:pPr>
      <w:hyperlink w:anchor="_Toc322702757" w:history="1">
        <w:r w:rsidR="005E0585" w:rsidRPr="00E101C1">
          <w:rPr>
            <w:rStyle w:val="Hyperlink"/>
            <w:noProof/>
          </w:rPr>
          <w:t>3.1 Outcome 1.1: provincial and selected district education Offices use plans (renstra and renja) including improved budgeting and financial management system (AusAID and USAID)</w:t>
        </w:r>
        <w:r w:rsidR="005E0585">
          <w:rPr>
            <w:noProof/>
            <w:webHidden/>
          </w:rPr>
          <w:tab/>
        </w:r>
        <w:r w:rsidR="005E0585">
          <w:rPr>
            <w:noProof/>
            <w:webHidden/>
          </w:rPr>
          <w:fldChar w:fldCharType="begin"/>
        </w:r>
        <w:r w:rsidR="005E0585">
          <w:rPr>
            <w:noProof/>
            <w:webHidden/>
          </w:rPr>
          <w:instrText xml:space="preserve"> PAGEREF _Toc322702757 \h </w:instrText>
        </w:r>
        <w:r w:rsidR="005E0585">
          <w:rPr>
            <w:noProof/>
            <w:webHidden/>
          </w:rPr>
        </w:r>
        <w:r w:rsidR="005E0585">
          <w:rPr>
            <w:noProof/>
            <w:webHidden/>
          </w:rPr>
          <w:fldChar w:fldCharType="separate"/>
        </w:r>
        <w:r w:rsidR="009B4D84">
          <w:rPr>
            <w:noProof/>
            <w:webHidden/>
          </w:rPr>
          <w:t>6</w:t>
        </w:r>
        <w:r w:rsidR="005E0585">
          <w:rPr>
            <w:noProof/>
            <w:webHidden/>
          </w:rPr>
          <w:fldChar w:fldCharType="end"/>
        </w:r>
      </w:hyperlink>
    </w:p>
    <w:p w14:paraId="13B559B9" w14:textId="77777777" w:rsidR="005E0585" w:rsidRDefault="008D7FBB">
      <w:pPr>
        <w:pStyle w:val="TOC3"/>
        <w:tabs>
          <w:tab w:val="right" w:leader="dot" w:pos="9016"/>
        </w:tabs>
        <w:rPr>
          <w:rFonts w:asciiTheme="minorHAnsi" w:eastAsiaTheme="minorEastAsia" w:hAnsiTheme="minorHAnsi"/>
          <w:noProof/>
          <w:lang w:val="en-US"/>
        </w:rPr>
      </w:pPr>
      <w:hyperlink w:anchor="_Toc322702758" w:history="1">
        <w:r w:rsidR="005E0585" w:rsidRPr="00E101C1">
          <w:rPr>
            <w:rStyle w:val="Hyperlink"/>
            <w:noProof/>
          </w:rPr>
          <w:t>Output 1.1.1: Government development partners participate in planning processes at provincial and district level (AusAID)</w:t>
        </w:r>
        <w:r w:rsidR="005E0585">
          <w:rPr>
            <w:noProof/>
            <w:webHidden/>
          </w:rPr>
          <w:tab/>
        </w:r>
        <w:r w:rsidR="005E0585">
          <w:rPr>
            <w:noProof/>
            <w:webHidden/>
          </w:rPr>
          <w:fldChar w:fldCharType="begin"/>
        </w:r>
        <w:r w:rsidR="005E0585">
          <w:rPr>
            <w:noProof/>
            <w:webHidden/>
          </w:rPr>
          <w:instrText xml:space="preserve"> PAGEREF _Toc322702758 \h </w:instrText>
        </w:r>
        <w:r w:rsidR="005E0585">
          <w:rPr>
            <w:noProof/>
            <w:webHidden/>
          </w:rPr>
        </w:r>
        <w:r w:rsidR="005E0585">
          <w:rPr>
            <w:noProof/>
            <w:webHidden/>
          </w:rPr>
          <w:fldChar w:fldCharType="separate"/>
        </w:r>
        <w:r w:rsidR="009B4D84">
          <w:rPr>
            <w:noProof/>
            <w:webHidden/>
          </w:rPr>
          <w:t>11</w:t>
        </w:r>
        <w:r w:rsidR="005E0585">
          <w:rPr>
            <w:noProof/>
            <w:webHidden/>
          </w:rPr>
          <w:fldChar w:fldCharType="end"/>
        </w:r>
      </w:hyperlink>
    </w:p>
    <w:p w14:paraId="13B559BA" w14:textId="77777777" w:rsidR="005E0585" w:rsidRDefault="008D7FBB">
      <w:pPr>
        <w:pStyle w:val="TOC3"/>
        <w:tabs>
          <w:tab w:val="right" w:leader="dot" w:pos="9016"/>
        </w:tabs>
        <w:rPr>
          <w:rFonts w:asciiTheme="minorHAnsi" w:eastAsiaTheme="minorEastAsia" w:hAnsiTheme="minorHAnsi"/>
          <w:noProof/>
          <w:lang w:val="en-US"/>
        </w:rPr>
      </w:pPr>
      <w:hyperlink w:anchor="_Toc322702759" w:history="1">
        <w:r w:rsidR="005E0585" w:rsidRPr="00E101C1">
          <w:rPr>
            <w:rStyle w:val="Hyperlink"/>
            <w:noProof/>
          </w:rPr>
          <w:t>Output 1.1.2 Education Offices in provinces and districts improve capacity for strategic planning and annual work (AusAID)</w:t>
        </w:r>
        <w:r w:rsidR="005E0585">
          <w:rPr>
            <w:noProof/>
            <w:webHidden/>
          </w:rPr>
          <w:tab/>
        </w:r>
        <w:r w:rsidR="005E0585">
          <w:rPr>
            <w:noProof/>
            <w:webHidden/>
          </w:rPr>
          <w:fldChar w:fldCharType="begin"/>
        </w:r>
        <w:r w:rsidR="005E0585">
          <w:rPr>
            <w:noProof/>
            <w:webHidden/>
          </w:rPr>
          <w:instrText xml:space="preserve"> PAGEREF _Toc322702759 \h </w:instrText>
        </w:r>
        <w:r w:rsidR="005E0585">
          <w:rPr>
            <w:noProof/>
            <w:webHidden/>
          </w:rPr>
        </w:r>
        <w:r w:rsidR="005E0585">
          <w:rPr>
            <w:noProof/>
            <w:webHidden/>
          </w:rPr>
          <w:fldChar w:fldCharType="separate"/>
        </w:r>
        <w:r w:rsidR="009B4D84">
          <w:rPr>
            <w:noProof/>
            <w:webHidden/>
          </w:rPr>
          <w:t>12</w:t>
        </w:r>
        <w:r w:rsidR="005E0585">
          <w:rPr>
            <w:noProof/>
            <w:webHidden/>
          </w:rPr>
          <w:fldChar w:fldCharType="end"/>
        </w:r>
      </w:hyperlink>
    </w:p>
    <w:p w14:paraId="13B559BB" w14:textId="77777777" w:rsidR="005E0585" w:rsidRDefault="008D7FBB">
      <w:pPr>
        <w:pStyle w:val="TOC3"/>
        <w:tabs>
          <w:tab w:val="right" w:leader="dot" w:pos="9016"/>
        </w:tabs>
        <w:rPr>
          <w:rFonts w:asciiTheme="minorHAnsi" w:eastAsiaTheme="minorEastAsia" w:hAnsiTheme="minorHAnsi"/>
          <w:noProof/>
          <w:lang w:val="en-US"/>
        </w:rPr>
      </w:pPr>
      <w:hyperlink w:anchor="_Toc322702760" w:history="1">
        <w:r w:rsidR="005E0585" w:rsidRPr="00E101C1">
          <w:rPr>
            <w:rStyle w:val="Hyperlink"/>
            <w:noProof/>
          </w:rPr>
          <w:t>Output 1.1.3: CSOs improve their capacity for policy development; communication for development; and financial management (USAID)</w:t>
        </w:r>
        <w:r w:rsidR="005E0585">
          <w:rPr>
            <w:noProof/>
            <w:webHidden/>
          </w:rPr>
          <w:tab/>
        </w:r>
        <w:r w:rsidR="005E0585">
          <w:rPr>
            <w:noProof/>
            <w:webHidden/>
          </w:rPr>
          <w:fldChar w:fldCharType="begin"/>
        </w:r>
        <w:r w:rsidR="005E0585">
          <w:rPr>
            <w:noProof/>
            <w:webHidden/>
          </w:rPr>
          <w:instrText xml:space="preserve"> PAGEREF _Toc322702760 \h </w:instrText>
        </w:r>
        <w:r w:rsidR="005E0585">
          <w:rPr>
            <w:noProof/>
            <w:webHidden/>
          </w:rPr>
        </w:r>
        <w:r w:rsidR="005E0585">
          <w:rPr>
            <w:noProof/>
            <w:webHidden/>
          </w:rPr>
          <w:fldChar w:fldCharType="separate"/>
        </w:r>
        <w:r w:rsidR="009B4D84">
          <w:rPr>
            <w:noProof/>
            <w:webHidden/>
          </w:rPr>
          <w:t>15</w:t>
        </w:r>
        <w:r w:rsidR="005E0585">
          <w:rPr>
            <w:noProof/>
            <w:webHidden/>
          </w:rPr>
          <w:fldChar w:fldCharType="end"/>
        </w:r>
      </w:hyperlink>
    </w:p>
    <w:p w14:paraId="13B559BC" w14:textId="77777777" w:rsidR="005E0585" w:rsidRDefault="008D7FBB">
      <w:pPr>
        <w:pStyle w:val="TOC3"/>
        <w:tabs>
          <w:tab w:val="right" w:leader="dot" w:pos="9016"/>
        </w:tabs>
        <w:rPr>
          <w:rFonts w:asciiTheme="minorHAnsi" w:eastAsiaTheme="minorEastAsia" w:hAnsiTheme="minorHAnsi"/>
          <w:noProof/>
          <w:lang w:val="en-US"/>
        </w:rPr>
      </w:pPr>
      <w:hyperlink w:anchor="_Toc322702761" w:history="1">
        <w:r w:rsidR="005E0585" w:rsidRPr="00E101C1">
          <w:rPr>
            <w:rStyle w:val="Hyperlink"/>
            <w:noProof/>
          </w:rPr>
          <w:t>Output 1.1.4: Provincial and district education staff have improved capacity for budgeting and financial planning (AusAID and USAID)</w:t>
        </w:r>
        <w:r w:rsidR="005E0585">
          <w:rPr>
            <w:noProof/>
            <w:webHidden/>
          </w:rPr>
          <w:tab/>
        </w:r>
        <w:r w:rsidR="005E0585">
          <w:rPr>
            <w:noProof/>
            <w:webHidden/>
          </w:rPr>
          <w:fldChar w:fldCharType="begin"/>
        </w:r>
        <w:r w:rsidR="005E0585">
          <w:rPr>
            <w:noProof/>
            <w:webHidden/>
          </w:rPr>
          <w:instrText xml:space="preserve"> PAGEREF _Toc322702761 \h </w:instrText>
        </w:r>
        <w:r w:rsidR="005E0585">
          <w:rPr>
            <w:noProof/>
            <w:webHidden/>
          </w:rPr>
        </w:r>
        <w:r w:rsidR="005E0585">
          <w:rPr>
            <w:noProof/>
            <w:webHidden/>
          </w:rPr>
          <w:fldChar w:fldCharType="separate"/>
        </w:r>
        <w:r w:rsidR="009B4D84">
          <w:rPr>
            <w:noProof/>
            <w:webHidden/>
          </w:rPr>
          <w:t>17</w:t>
        </w:r>
        <w:r w:rsidR="005E0585">
          <w:rPr>
            <w:noProof/>
            <w:webHidden/>
          </w:rPr>
          <w:fldChar w:fldCharType="end"/>
        </w:r>
      </w:hyperlink>
    </w:p>
    <w:p w14:paraId="13B559BD" w14:textId="77777777" w:rsidR="005E0585" w:rsidRDefault="008D7FBB">
      <w:pPr>
        <w:pStyle w:val="TOC3"/>
        <w:tabs>
          <w:tab w:val="right" w:leader="dot" w:pos="9016"/>
        </w:tabs>
        <w:rPr>
          <w:rFonts w:asciiTheme="minorHAnsi" w:eastAsiaTheme="minorEastAsia" w:hAnsiTheme="minorHAnsi"/>
          <w:noProof/>
          <w:lang w:val="en-US"/>
        </w:rPr>
      </w:pPr>
      <w:hyperlink w:anchor="_Toc322702762" w:history="1">
        <w:r w:rsidR="005E0585" w:rsidRPr="00E101C1">
          <w:rPr>
            <w:rStyle w:val="Hyperlink"/>
            <w:noProof/>
          </w:rPr>
          <w:t>Output 1.1.5: Provincial and district accountability systems improved (USAID)</w:t>
        </w:r>
        <w:r w:rsidR="005E0585">
          <w:rPr>
            <w:noProof/>
            <w:webHidden/>
          </w:rPr>
          <w:tab/>
        </w:r>
        <w:r w:rsidR="005E0585">
          <w:rPr>
            <w:noProof/>
            <w:webHidden/>
          </w:rPr>
          <w:fldChar w:fldCharType="begin"/>
        </w:r>
        <w:r w:rsidR="005E0585">
          <w:rPr>
            <w:noProof/>
            <w:webHidden/>
          </w:rPr>
          <w:instrText xml:space="preserve"> PAGEREF _Toc322702762 \h </w:instrText>
        </w:r>
        <w:r w:rsidR="005E0585">
          <w:rPr>
            <w:noProof/>
            <w:webHidden/>
          </w:rPr>
        </w:r>
        <w:r w:rsidR="005E0585">
          <w:rPr>
            <w:noProof/>
            <w:webHidden/>
          </w:rPr>
          <w:fldChar w:fldCharType="separate"/>
        </w:r>
        <w:r w:rsidR="009B4D84">
          <w:rPr>
            <w:noProof/>
            <w:webHidden/>
          </w:rPr>
          <w:t>20</w:t>
        </w:r>
        <w:r w:rsidR="005E0585">
          <w:rPr>
            <w:noProof/>
            <w:webHidden/>
          </w:rPr>
          <w:fldChar w:fldCharType="end"/>
        </w:r>
      </w:hyperlink>
    </w:p>
    <w:p w14:paraId="13B559BE" w14:textId="77777777" w:rsidR="005E0585" w:rsidRDefault="008D7FBB">
      <w:pPr>
        <w:pStyle w:val="TOC3"/>
        <w:tabs>
          <w:tab w:val="right" w:leader="dot" w:pos="9016"/>
        </w:tabs>
        <w:rPr>
          <w:rFonts w:asciiTheme="minorHAnsi" w:eastAsiaTheme="minorEastAsia" w:hAnsiTheme="minorHAnsi"/>
          <w:noProof/>
          <w:lang w:val="en-US"/>
        </w:rPr>
      </w:pPr>
      <w:hyperlink w:anchor="_Toc322702763" w:history="1">
        <w:r w:rsidR="005E0585" w:rsidRPr="00E101C1">
          <w:rPr>
            <w:rStyle w:val="Hyperlink"/>
            <w:noProof/>
          </w:rPr>
          <w:t>Output 1.1.6: Provincial and district education offices have access to and are using reliable data in planning process (AusAID and USAID)</w:t>
        </w:r>
        <w:r w:rsidR="005E0585">
          <w:rPr>
            <w:noProof/>
            <w:webHidden/>
          </w:rPr>
          <w:tab/>
        </w:r>
        <w:r w:rsidR="005E0585">
          <w:rPr>
            <w:noProof/>
            <w:webHidden/>
          </w:rPr>
          <w:fldChar w:fldCharType="begin"/>
        </w:r>
        <w:r w:rsidR="005E0585">
          <w:rPr>
            <w:noProof/>
            <w:webHidden/>
          </w:rPr>
          <w:instrText xml:space="preserve"> PAGEREF _Toc322702763 \h </w:instrText>
        </w:r>
        <w:r w:rsidR="005E0585">
          <w:rPr>
            <w:noProof/>
            <w:webHidden/>
          </w:rPr>
        </w:r>
        <w:r w:rsidR="005E0585">
          <w:rPr>
            <w:noProof/>
            <w:webHidden/>
          </w:rPr>
          <w:fldChar w:fldCharType="separate"/>
        </w:r>
        <w:r w:rsidR="009B4D84">
          <w:rPr>
            <w:noProof/>
            <w:webHidden/>
          </w:rPr>
          <w:t>20</w:t>
        </w:r>
        <w:r w:rsidR="005E0585">
          <w:rPr>
            <w:noProof/>
            <w:webHidden/>
          </w:rPr>
          <w:fldChar w:fldCharType="end"/>
        </w:r>
      </w:hyperlink>
    </w:p>
    <w:p w14:paraId="13B559BF" w14:textId="77777777" w:rsidR="005E0585" w:rsidRDefault="008D7FBB">
      <w:pPr>
        <w:pStyle w:val="TOC3"/>
        <w:tabs>
          <w:tab w:val="right" w:leader="dot" w:pos="9016"/>
        </w:tabs>
        <w:rPr>
          <w:rFonts w:asciiTheme="minorHAnsi" w:eastAsiaTheme="minorEastAsia" w:hAnsiTheme="minorHAnsi"/>
          <w:noProof/>
          <w:lang w:val="en-US"/>
        </w:rPr>
      </w:pPr>
      <w:hyperlink w:anchor="_Toc322702764" w:history="1">
        <w:r w:rsidR="005E0585" w:rsidRPr="00E101C1">
          <w:rPr>
            <w:rStyle w:val="Hyperlink"/>
            <w:noProof/>
          </w:rPr>
          <w:t>Output 1.1.7: Teacher Absenteeism Study provides evidence for Policy (USAID)</w:t>
        </w:r>
        <w:r w:rsidR="005E0585">
          <w:rPr>
            <w:noProof/>
            <w:webHidden/>
          </w:rPr>
          <w:tab/>
        </w:r>
        <w:r w:rsidR="005E0585">
          <w:rPr>
            <w:noProof/>
            <w:webHidden/>
          </w:rPr>
          <w:fldChar w:fldCharType="begin"/>
        </w:r>
        <w:r w:rsidR="005E0585">
          <w:rPr>
            <w:noProof/>
            <w:webHidden/>
          </w:rPr>
          <w:instrText xml:space="preserve"> PAGEREF _Toc322702764 \h </w:instrText>
        </w:r>
        <w:r w:rsidR="005E0585">
          <w:rPr>
            <w:noProof/>
            <w:webHidden/>
          </w:rPr>
        </w:r>
        <w:r w:rsidR="005E0585">
          <w:rPr>
            <w:noProof/>
            <w:webHidden/>
          </w:rPr>
          <w:fldChar w:fldCharType="separate"/>
        </w:r>
        <w:r w:rsidR="009B4D84">
          <w:rPr>
            <w:noProof/>
            <w:webHidden/>
          </w:rPr>
          <w:t>23</w:t>
        </w:r>
        <w:r w:rsidR="005E0585">
          <w:rPr>
            <w:noProof/>
            <w:webHidden/>
          </w:rPr>
          <w:fldChar w:fldCharType="end"/>
        </w:r>
      </w:hyperlink>
    </w:p>
    <w:p w14:paraId="13B559C0" w14:textId="77777777" w:rsidR="005E0585" w:rsidRDefault="008D7FBB">
      <w:pPr>
        <w:pStyle w:val="TOC2"/>
        <w:tabs>
          <w:tab w:val="right" w:leader="dot" w:pos="9016"/>
        </w:tabs>
        <w:rPr>
          <w:rFonts w:asciiTheme="minorHAnsi" w:eastAsiaTheme="minorEastAsia" w:hAnsiTheme="minorHAnsi"/>
          <w:noProof/>
          <w:lang w:val="en-US"/>
        </w:rPr>
      </w:pPr>
      <w:hyperlink w:anchor="_Toc322702765" w:history="1">
        <w:r w:rsidR="005E0585" w:rsidRPr="00E101C1">
          <w:rPr>
            <w:rStyle w:val="Hyperlink"/>
            <w:noProof/>
          </w:rPr>
          <w:t>3.2 Outcome 1.2: Primary school children in selected schools in target districts are benefiting from improved teaching (AUSAID)</w:t>
        </w:r>
        <w:r w:rsidR="005E0585">
          <w:rPr>
            <w:noProof/>
            <w:webHidden/>
          </w:rPr>
          <w:tab/>
        </w:r>
        <w:r w:rsidR="005E0585">
          <w:rPr>
            <w:noProof/>
            <w:webHidden/>
          </w:rPr>
          <w:fldChar w:fldCharType="begin"/>
        </w:r>
        <w:r w:rsidR="005E0585">
          <w:rPr>
            <w:noProof/>
            <w:webHidden/>
          </w:rPr>
          <w:instrText xml:space="preserve"> PAGEREF _Toc322702765 \h </w:instrText>
        </w:r>
        <w:r w:rsidR="005E0585">
          <w:rPr>
            <w:noProof/>
            <w:webHidden/>
          </w:rPr>
        </w:r>
        <w:r w:rsidR="005E0585">
          <w:rPr>
            <w:noProof/>
            <w:webHidden/>
          </w:rPr>
          <w:fldChar w:fldCharType="separate"/>
        </w:r>
        <w:r w:rsidR="009B4D84">
          <w:rPr>
            <w:noProof/>
            <w:webHidden/>
          </w:rPr>
          <w:t>25</w:t>
        </w:r>
        <w:r w:rsidR="005E0585">
          <w:rPr>
            <w:noProof/>
            <w:webHidden/>
          </w:rPr>
          <w:fldChar w:fldCharType="end"/>
        </w:r>
      </w:hyperlink>
    </w:p>
    <w:p w14:paraId="13B559C1" w14:textId="77777777" w:rsidR="005E0585" w:rsidRDefault="008D7FBB">
      <w:pPr>
        <w:pStyle w:val="TOC3"/>
        <w:tabs>
          <w:tab w:val="right" w:leader="dot" w:pos="9016"/>
        </w:tabs>
        <w:rPr>
          <w:rFonts w:asciiTheme="minorHAnsi" w:eastAsiaTheme="minorEastAsia" w:hAnsiTheme="minorHAnsi"/>
          <w:noProof/>
          <w:lang w:val="en-US"/>
        </w:rPr>
      </w:pPr>
      <w:hyperlink w:anchor="_Toc322702766" w:history="1">
        <w:r w:rsidR="005E0585" w:rsidRPr="00E101C1">
          <w:rPr>
            <w:rStyle w:val="Hyperlink"/>
            <w:noProof/>
          </w:rPr>
          <w:t>Output 1.2.1: Teachers, principals, and supervisors improve capacity to use child-centred learning approach in the classroom (AusAID)</w:t>
        </w:r>
        <w:r w:rsidR="005E0585">
          <w:rPr>
            <w:noProof/>
            <w:webHidden/>
          </w:rPr>
          <w:tab/>
        </w:r>
        <w:r w:rsidR="005E0585">
          <w:rPr>
            <w:noProof/>
            <w:webHidden/>
          </w:rPr>
          <w:fldChar w:fldCharType="begin"/>
        </w:r>
        <w:r w:rsidR="005E0585">
          <w:rPr>
            <w:noProof/>
            <w:webHidden/>
          </w:rPr>
          <w:instrText xml:space="preserve"> PAGEREF _Toc322702766 \h </w:instrText>
        </w:r>
        <w:r w:rsidR="005E0585">
          <w:rPr>
            <w:noProof/>
            <w:webHidden/>
          </w:rPr>
        </w:r>
        <w:r w:rsidR="005E0585">
          <w:rPr>
            <w:noProof/>
            <w:webHidden/>
          </w:rPr>
          <w:fldChar w:fldCharType="separate"/>
        </w:r>
        <w:r w:rsidR="009B4D84">
          <w:rPr>
            <w:noProof/>
            <w:webHidden/>
          </w:rPr>
          <w:t>27</w:t>
        </w:r>
        <w:r w:rsidR="005E0585">
          <w:rPr>
            <w:noProof/>
            <w:webHidden/>
          </w:rPr>
          <w:fldChar w:fldCharType="end"/>
        </w:r>
      </w:hyperlink>
    </w:p>
    <w:p w14:paraId="13B559C2" w14:textId="77777777" w:rsidR="005E0585" w:rsidRDefault="008D7FBB">
      <w:pPr>
        <w:pStyle w:val="TOC3"/>
        <w:tabs>
          <w:tab w:val="right" w:leader="dot" w:pos="9016"/>
        </w:tabs>
        <w:rPr>
          <w:rFonts w:asciiTheme="minorHAnsi" w:eastAsiaTheme="minorEastAsia" w:hAnsiTheme="minorHAnsi"/>
          <w:noProof/>
          <w:lang w:val="en-US"/>
        </w:rPr>
      </w:pPr>
      <w:hyperlink w:anchor="_Toc322702767" w:history="1">
        <w:r w:rsidR="005E0585" w:rsidRPr="00E101C1">
          <w:rPr>
            <w:rStyle w:val="Hyperlink"/>
            <w:noProof/>
          </w:rPr>
          <w:t>Output 1.2.2: Education personnel improve capacity to teach multi-grades in target schools (AusAID)</w:t>
        </w:r>
        <w:r w:rsidR="005E0585">
          <w:rPr>
            <w:noProof/>
            <w:webHidden/>
          </w:rPr>
          <w:tab/>
        </w:r>
        <w:r w:rsidR="005E0585">
          <w:rPr>
            <w:noProof/>
            <w:webHidden/>
          </w:rPr>
          <w:fldChar w:fldCharType="begin"/>
        </w:r>
        <w:r w:rsidR="005E0585">
          <w:rPr>
            <w:noProof/>
            <w:webHidden/>
          </w:rPr>
          <w:instrText xml:space="preserve"> PAGEREF _Toc322702767 \h </w:instrText>
        </w:r>
        <w:r w:rsidR="005E0585">
          <w:rPr>
            <w:noProof/>
            <w:webHidden/>
          </w:rPr>
        </w:r>
        <w:r w:rsidR="005E0585">
          <w:rPr>
            <w:noProof/>
            <w:webHidden/>
          </w:rPr>
          <w:fldChar w:fldCharType="separate"/>
        </w:r>
        <w:r w:rsidR="009B4D84">
          <w:rPr>
            <w:noProof/>
            <w:webHidden/>
          </w:rPr>
          <w:t>31</w:t>
        </w:r>
        <w:r w:rsidR="005E0585">
          <w:rPr>
            <w:noProof/>
            <w:webHidden/>
          </w:rPr>
          <w:fldChar w:fldCharType="end"/>
        </w:r>
      </w:hyperlink>
    </w:p>
    <w:p w14:paraId="13B559C3" w14:textId="77777777" w:rsidR="005E0585" w:rsidRDefault="008D7FBB">
      <w:pPr>
        <w:pStyle w:val="TOC3"/>
        <w:tabs>
          <w:tab w:val="right" w:leader="dot" w:pos="9016"/>
        </w:tabs>
        <w:rPr>
          <w:rFonts w:asciiTheme="minorHAnsi" w:eastAsiaTheme="minorEastAsia" w:hAnsiTheme="minorHAnsi"/>
          <w:noProof/>
          <w:lang w:val="en-US"/>
        </w:rPr>
      </w:pPr>
      <w:hyperlink w:anchor="_Toc322702768" w:history="1">
        <w:r w:rsidR="005E0585" w:rsidRPr="00E101C1">
          <w:rPr>
            <w:rStyle w:val="Hyperlink"/>
            <w:noProof/>
          </w:rPr>
          <w:t>Output 1.2.3: Education personnel improve capacity in early-grade teaching in the classroom in target schools (AusAID)</w:t>
        </w:r>
        <w:r w:rsidR="005E0585">
          <w:rPr>
            <w:noProof/>
            <w:webHidden/>
          </w:rPr>
          <w:tab/>
        </w:r>
        <w:r w:rsidR="005E0585">
          <w:rPr>
            <w:noProof/>
            <w:webHidden/>
          </w:rPr>
          <w:fldChar w:fldCharType="begin"/>
        </w:r>
        <w:r w:rsidR="005E0585">
          <w:rPr>
            <w:noProof/>
            <w:webHidden/>
          </w:rPr>
          <w:instrText xml:space="preserve"> PAGEREF _Toc322702768 \h </w:instrText>
        </w:r>
        <w:r w:rsidR="005E0585">
          <w:rPr>
            <w:noProof/>
            <w:webHidden/>
          </w:rPr>
        </w:r>
        <w:r w:rsidR="005E0585">
          <w:rPr>
            <w:noProof/>
            <w:webHidden/>
          </w:rPr>
          <w:fldChar w:fldCharType="separate"/>
        </w:r>
        <w:r w:rsidR="009B4D84">
          <w:rPr>
            <w:noProof/>
            <w:webHidden/>
          </w:rPr>
          <w:t>32</w:t>
        </w:r>
        <w:r w:rsidR="005E0585">
          <w:rPr>
            <w:noProof/>
            <w:webHidden/>
          </w:rPr>
          <w:fldChar w:fldCharType="end"/>
        </w:r>
      </w:hyperlink>
    </w:p>
    <w:p w14:paraId="13B559C4" w14:textId="77777777" w:rsidR="005E0585" w:rsidRDefault="008D7FBB">
      <w:pPr>
        <w:pStyle w:val="TOC3"/>
        <w:tabs>
          <w:tab w:val="right" w:leader="dot" w:pos="9016"/>
        </w:tabs>
        <w:rPr>
          <w:rFonts w:asciiTheme="minorHAnsi" w:eastAsiaTheme="minorEastAsia" w:hAnsiTheme="minorHAnsi"/>
          <w:noProof/>
          <w:lang w:val="en-US"/>
        </w:rPr>
      </w:pPr>
      <w:hyperlink w:anchor="_Toc322702769" w:history="1">
        <w:r w:rsidR="005E0585" w:rsidRPr="00E101C1">
          <w:rPr>
            <w:rStyle w:val="Hyperlink"/>
            <w:noProof/>
          </w:rPr>
          <w:t>Output 1.2.4: Schools use AJEL, multi-grade and early-grade teacher resource kits and materials (AusAID)</w:t>
        </w:r>
        <w:r w:rsidR="005E0585">
          <w:rPr>
            <w:noProof/>
            <w:webHidden/>
          </w:rPr>
          <w:tab/>
        </w:r>
        <w:r w:rsidR="005E0585">
          <w:rPr>
            <w:noProof/>
            <w:webHidden/>
          </w:rPr>
          <w:fldChar w:fldCharType="begin"/>
        </w:r>
        <w:r w:rsidR="005E0585">
          <w:rPr>
            <w:noProof/>
            <w:webHidden/>
          </w:rPr>
          <w:instrText xml:space="preserve"> PAGEREF _Toc322702769 \h </w:instrText>
        </w:r>
        <w:r w:rsidR="005E0585">
          <w:rPr>
            <w:noProof/>
            <w:webHidden/>
          </w:rPr>
        </w:r>
        <w:r w:rsidR="005E0585">
          <w:rPr>
            <w:noProof/>
            <w:webHidden/>
          </w:rPr>
          <w:fldChar w:fldCharType="separate"/>
        </w:r>
        <w:r w:rsidR="009B4D84">
          <w:rPr>
            <w:noProof/>
            <w:webHidden/>
          </w:rPr>
          <w:t>35</w:t>
        </w:r>
        <w:r w:rsidR="005E0585">
          <w:rPr>
            <w:noProof/>
            <w:webHidden/>
          </w:rPr>
          <w:fldChar w:fldCharType="end"/>
        </w:r>
      </w:hyperlink>
    </w:p>
    <w:p w14:paraId="13B559C5" w14:textId="77777777" w:rsidR="005E0585" w:rsidRDefault="008D7FBB">
      <w:pPr>
        <w:pStyle w:val="TOC2"/>
        <w:tabs>
          <w:tab w:val="right" w:leader="dot" w:pos="9016"/>
        </w:tabs>
        <w:rPr>
          <w:rFonts w:asciiTheme="minorHAnsi" w:eastAsiaTheme="minorEastAsia" w:hAnsiTheme="minorHAnsi"/>
          <w:noProof/>
          <w:lang w:val="en-US"/>
        </w:rPr>
      </w:pPr>
      <w:hyperlink w:anchor="_Toc322702770" w:history="1">
        <w:r w:rsidR="005E0585" w:rsidRPr="00E101C1">
          <w:rPr>
            <w:rStyle w:val="Hyperlink"/>
            <w:noProof/>
          </w:rPr>
          <w:t>3.3 Outcome 1.3: Strengthened leadership and management skills of principals, supervisors and school committees (AusAID and USAID)</w:t>
        </w:r>
        <w:r w:rsidR="005E0585">
          <w:rPr>
            <w:noProof/>
            <w:webHidden/>
          </w:rPr>
          <w:tab/>
        </w:r>
        <w:r w:rsidR="005E0585">
          <w:rPr>
            <w:noProof/>
            <w:webHidden/>
          </w:rPr>
          <w:fldChar w:fldCharType="begin"/>
        </w:r>
        <w:r w:rsidR="005E0585">
          <w:rPr>
            <w:noProof/>
            <w:webHidden/>
          </w:rPr>
          <w:instrText xml:space="preserve"> PAGEREF _Toc322702770 \h </w:instrText>
        </w:r>
        <w:r w:rsidR="005E0585">
          <w:rPr>
            <w:noProof/>
            <w:webHidden/>
          </w:rPr>
        </w:r>
        <w:r w:rsidR="005E0585">
          <w:rPr>
            <w:noProof/>
            <w:webHidden/>
          </w:rPr>
          <w:fldChar w:fldCharType="separate"/>
        </w:r>
        <w:r w:rsidR="009B4D84">
          <w:rPr>
            <w:noProof/>
            <w:webHidden/>
          </w:rPr>
          <w:t>37</w:t>
        </w:r>
        <w:r w:rsidR="005E0585">
          <w:rPr>
            <w:noProof/>
            <w:webHidden/>
          </w:rPr>
          <w:fldChar w:fldCharType="end"/>
        </w:r>
      </w:hyperlink>
    </w:p>
    <w:p w14:paraId="13B559C6" w14:textId="77777777" w:rsidR="005E0585" w:rsidRDefault="008D7FBB">
      <w:pPr>
        <w:pStyle w:val="TOC3"/>
        <w:tabs>
          <w:tab w:val="right" w:leader="dot" w:pos="9016"/>
        </w:tabs>
        <w:rPr>
          <w:rFonts w:asciiTheme="minorHAnsi" w:eastAsiaTheme="minorEastAsia" w:hAnsiTheme="minorHAnsi"/>
          <w:noProof/>
          <w:lang w:val="en-US"/>
        </w:rPr>
      </w:pPr>
      <w:hyperlink w:anchor="_Toc322702771" w:history="1">
        <w:r w:rsidR="005E0585" w:rsidRPr="00E101C1">
          <w:rPr>
            <w:rStyle w:val="Hyperlink"/>
            <w:noProof/>
          </w:rPr>
          <w:t>Output 1.3.1: Principals and school supervisors have improved leadership skills (AusAID and USAID)</w:t>
        </w:r>
        <w:r w:rsidR="005E0585">
          <w:rPr>
            <w:noProof/>
            <w:webHidden/>
          </w:rPr>
          <w:tab/>
        </w:r>
        <w:r w:rsidR="005E0585">
          <w:rPr>
            <w:noProof/>
            <w:webHidden/>
          </w:rPr>
          <w:fldChar w:fldCharType="begin"/>
        </w:r>
        <w:r w:rsidR="005E0585">
          <w:rPr>
            <w:noProof/>
            <w:webHidden/>
          </w:rPr>
          <w:instrText xml:space="preserve"> PAGEREF _Toc322702771 \h </w:instrText>
        </w:r>
        <w:r w:rsidR="005E0585">
          <w:rPr>
            <w:noProof/>
            <w:webHidden/>
          </w:rPr>
        </w:r>
        <w:r w:rsidR="005E0585">
          <w:rPr>
            <w:noProof/>
            <w:webHidden/>
          </w:rPr>
          <w:fldChar w:fldCharType="separate"/>
        </w:r>
        <w:r w:rsidR="009B4D84">
          <w:rPr>
            <w:noProof/>
            <w:webHidden/>
          </w:rPr>
          <w:t>37</w:t>
        </w:r>
        <w:r w:rsidR="005E0585">
          <w:rPr>
            <w:noProof/>
            <w:webHidden/>
          </w:rPr>
          <w:fldChar w:fldCharType="end"/>
        </w:r>
      </w:hyperlink>
    </w:p>
    <w:p w14:paraId="13B559C7" w14:textId="77777777" w:rsidR="005E0585" w:rsidRDefault="008D7FBB">
      <w:pPr>
        <w:pStyle w:val="TOC3"/>
        <w:tabs>
          <w:tab w:val="right" w:leader="dot" w:pos="9016"/>
        </w:tabs>
        <w:rPr>
          <w:rFonts w:asciiTheme="minorHAnsi" w:eastAsiaTheme="minorEastAsia" w:hAnsiTheme="minorHAnsi"/>
          <w:noProof/>
          <w:lang w:val="en-US"/>
        </w:rPr>
      </w:pPr>
      <w:hyperlink w:anchor="_Toc322702772" w:history="1">
        <w:r w:rsidR="005E0585" w:rsidRPr="00E101C1">
          <w:rPr>
            <w:rStyle w:val="Hyperlink"/>
            <w:noProof/>
          </w:rPr>
          <w:t>Output 1.3.2: Government development partners and school committees have improved capacity in strategic planning and annual work plan preparation (AusAID and USAID)</w:t>
        </w:r>
        <w:r w:rsidR="005E0585">
          <w:rPr>
            <w:noProof/>
            <w:webHidden/>
          </w:rPr>
          <w:tab/>
        </w:r>
        <w:r w:rsidR="005E0585">
          <w:rPr>
            <w:noProof/>
            <w:webHidden/>
          </w:rPr>
          <w:fldChar w:fldCharType="begin"/>
        </w:r>
        <w:r w:rsidR="005E0585">
          <w:rPr>
            <w:noProof/>
            <w:webHidden/>
          </w:rPr>
          <w:instrText xml:space="preserve"> PAGEREF _Toc322702772 \h </w:instrText>
        </w:r>
        <w:r w:rsidR="005E0585">
          <w:rPr>
            <w:noProof/>
            <w:webHidden/>
          </w:rPr>
        </w:r>
        <w:r w:rsidR="005E0585">
          <w:rPr>
            <w:noProof/>
            <w:webHidden/>
          </w:rPr>
          <w:fldChar w:fldCharType="separate"/>
        </w:r>
        <w:r w:rsidR="009B4D84">
          <w:rPr>
            <w:noProof/>
            <w:webHidden/>
          </w:rPr>
          <w:t>38</w:t>
        </w:r>
        <w:r w:rsidR="005E0585">
          <w:rPr>
            <w:noProof/>
            <w:webHidden/>
          </w:rPr>
          <w:fldChar w:fldCharType="end"/>
        </w:r>
      </w:hyperlink>
    </w:p>
    <w:p w14:paraId="13B559C8" w14:textId="77777777" w:rsidR="005E0585" w:rsidRDefault="008D7FBB">
      <w:pPr>
        <w:pStyle w:val="TOC3"/>
        <w:tabs>
          <w:tab w:val="right" w:leader="dot" w:pos="9016"/>
        </w:tabs>
        <w:rPr>
          <w:rFonts w:asciiTheme="minorHAnsi" w:eastAsiaTheme="minorEastAsia" w:hAnsiTheme="minorHAnsi"/>
          <w:noProof/>
          <w:lang w:val="en-US"/>
        </w:rPr>
      </w:pPr>
      <w:hyperlink w:anchor="_Toc322702773" w:history="1">
        <w:r w:rsidR="005E0585" w:rsidRPr="00E101C1">
          <w:rPr>
            <w:rStyle w:val="Hyperlink"/>
            <w:noProof/>
          </w:rPr>
          <w:t>Output 1.3.3: Principals, teachers and school committee members receive financial management training including asset management (USAID)</w:t>
        </w:r>
        <w:r w:rsidR="005E0585">
          <w:rPr>
            <w:noProof/>
            <w:webHidden/>
          </w:rPr>
          <w:tab/>
        </w:r>
        <w:r w:rsidR="005E0585">
          <w:rPr>
            <w:noProof/>
            <w:webHidden/>
          </w:rPr>
          <w:fldChar w:fldCharType="begin"/>
        </w:r>
        <w:r w:rsidR="005E0585">
          <w:rPr>
            <w:noProof/>
            <w:webHidden/>
          </w:rPr>
          <w:instrText xml:space="preserve"> PAGEREF _Toc322702773 \h </w:instrText>
        </w:r>
        <w:r w:rsidR="005E0585">
          <w:rPr>
            <w:noProof/>
            <w:webHidden/>
          </w:rPr>
        </w:r>
        <w:r w:rsidR="005E0585">
          <w:rPr>
            <w:noProof/>
            <w:webHidden/>
          </w:rPr>
          <w:fldChar w:fldCharType="separate"/>
        </w:r>
        <w:r w:rsidR="009B4D84">
          <w:rPr>
            <w:noProof/>
            <w:webHidden/>
          </w:rPr>
          <w:t>39</w:t>
        </w:r>
        <w:r w:rsidR="005E0585">
          <w:rPr>
            <w:noProof/>
            <w:webHidden/>
          </w:rPr>
          <w:fldChar w:fldCharType="end"/>
        </w:r>
      </w:hyperlink>
    </w:p>
    <w:p w14:paraId="13B559C9" w14:textId="77777777" w:rsidR="005E0585" w:rsidRDefault="008D7FBB">
      <w:pPr>
        <w:pStyle w:val="TOC1"/>
        <w:tabs>
          <w:tab w:val="right" w:leader="dot" w:pos="9016"/>
        </w:tabs>
        <w:rPr>
          <w:rFonts w:asciiTheme="minorHAnsi" w:eastAsiaTheme="minorEastAsia" w:hAnsiTheme="minorHAnsi"/>
          <w:noProof/>
          <w:lang w:val="en-US"/>
        </w:rPr>
      </w:pPr>
      <w:hyperlink w:anchor="_Toc322702774" w:history="1">
        <w:r w:rsidR="005E0585" w:rsidRPr="00E101C1">
          <w:rPr>
            <w:rStyle w:val="Hyperlink"/>
            <w:noProof/>
          </w:rPr>
          <w:t>4 Promoting gender Equity</w:t>
        </w:r>
        <w:r w:rsidR="005E0585">
          <w:rPr>
            <w:noProof/>
            <w:webHidden/>
          </w:rPr>
          <w:tab/>
        </w:r>
        <w:r w:rsidR="005E0585">
          <w:rPr>
            <w:noProof/>
            <w:webHidden/>
          </w:rPr>
          <w:fldChar w:fldCharType="begin"/>
        </w:r>
        <w:r w:rsidR="005E0585">
          <w:rPr>
            <w:noProof/>
            <w:webHidden/>
          </w:rPr>
          <w:instrText xml:space="preserve"> PAGEREF _Toc322702774 \h </w:instrText>
        </w:r>
        <w:r w:rsidR="005E0585">
          <w:rPr>
            <w:noProof/>
            <w:webHidden/>
          </w:rPr>
        </w:r>
        <w:r w:rsidR="005E0585">
          <w:rPr>
            <w:noProof/>
            <w:webHidden/>
          </w:rPr>
          <w:fldChar w:fldCharType="separate"/>
        </w:r>
        <w:r w:rsidR="009B4D84">
          <w:rPr>
            <w:noProof/>
            <w:webHidden/>
          </w:rPr>
          <w:t>44</w:t>
        </w:r>
        <w:r w:rsidR="005E0585">
          <w:rPr>
            <w:noProof/>
            <w:webHidden/>
          </w:rPr>
          <w:fldChar w:fldCharType="end"/>
        </w:r>
      </w:hyperlink>
    </w:p>
    <w:p w14:paraId="13B559CA" w14:textId="77777777" w:rsidR="005E0585" w:rsidRDefault="008D7FBB">
      <w:pPr>
        <w:pStyle w:val="TOC1"/>
        <w:tabs>
          <w:tab w:val="right" w:leader="dot" w:pos="9016"/>
        </w:tabs>
        <w:rPr>
          <w:rFonts w:asciiTheme="minorHAnsi" w:eastAsiaTheme="minorEastAsia" w:hAnsiTheme="minorHAnsi"/>
          <w:noProof/>
          <w:lang w:val="en-US"/>
        </w:rPr>
      </w:pPr>
      <w:hyperlink w:anchor="_Toc322702775" w:history="1">
        <w:r w:rsidR="005E0585" w:rsidRPr="00E101C1">
          <w:rPr>
            <w:rStyle w:val="Hyperlink"/>
            <w:noProof/>
          </w:rPr>
          <w:t>5 Provincial Steering Committee Meetings</w:t>
        </w:r>
        <w:r w:rsidR="005E0585">
          <w:rPr>
            <w:noProof/>
            <w:webHidden/>
          </w:rPr>
          <w:tab/>
        </w:r>
        <w:r w:rsidR="005E0585">
          <w:rPr>
            <w:noProof/>
            <w:webHidden/>
          </w:rPr>
          <w:fldChar w:fldCharType="begin"/>
        </w:r>
        <w:r w:rsidR="005E0585">
          <w:rPr>
            <w:noProof/>
            <w:webHidden/>
          </w:rPr>
          <w:instrText xml:space="preserve"> PAGEREF _Toc322702775 \h </w:instrText>
        </w:r>
        <w:r w:rsidR="005E0585">
          <w:rPr>
            <w:noProof/>
            <w:webHidden/>
          </w:rPr>
        </w:r>
        <w:r w:rsidR="005E0585">
          <w:rPr>
            <w:noProof/>
            <w:webHidden/>
          </w:rPr>
          <w:fldChar w:fldCharType="separate"/>
        </w:r>
        <w:r w:rsidR="009B4D84">
          <w:rPr>
            <w:noProof/>
            <w:webHidden/>
          </w:rPr>
          <w:t>45</w:t>
        </w:r>
        <w:r w:rsidR="005E0585">
          <w:rPr>
            <w:noProof/>
            <w:webHidden/>
          </w:rPr>
          <w:fldChar w:fldCharType="end"/>
        </w:r>
      </w:hyperlink>
    </w:p>
    <w:p w14:paraId="13B559CB" w14:textId="77777777" w:rsidR="005E0585" w:rsidRDefault="008D7FBB">
      <w:pPr>
        <w:pStyle w:val="TOC1"/>
        <w:tabs>
          <w:tab w:val="right" w:leader="dot" w:pos="9016"/>
        </w:tabs>
        <w:rPr>
          <w:rFonts w:asciiTheme="minorHAnsi" w:eastAsiaTheme="minorEastAsia" w:hAnsiTheme="minorHAnsi"/>
          <w:noProof/>
          <w:lang w:val="en-US"/>
        </w:rPr>
      </w:pPr>
      <w:hyperlink w:anchor="_Toc322702776" w:history="1">
        <w:r w:rsidR="005E0585" w:rsidRPr="00E101C1">
          <w:rPr>
            <w:rStyle w:val="Hyperlink"/>
            <w:noProof/>
          </w:rPr>
          <w:t>6 Challenges and Measures Taken</w:t>
        </w:r>
        <w:r w:rsidR="005E0585">
          <w:rPr>
            <w:noProof/>
            <w:webHidden/>
          </w:rPr>
          <w:tab/>
        </w:r>
        <w:r w:rsidR="005E0585">
          <w:rPr>
            <w:noProof/>
            <w:webHidden/>
          </w:rPr>
          <w:fldChar w:fldCharType="begin"/>
        </w:r>
        <w:r w:rsidR="005E0585">
          <w:rPr>
            <w:noProof/>
            <w:webHidden/>
          </w:rPr>
          <w:instrText xml:space="preserve"> PAGEREF _Toc322702776 \h </w:instrText>
        </w:r>
        <w:r w:rsidR="005E0585">
          <w:rPr>
            <w:noProof/>
            <w:webHidden/>
          </w:rPr>
        </w:r>
        <w:r w:rsidR="005E0585">
          <w:rPr>
            <w:noProof/>
            <w:webHidden/>
          </w:rPr>
          <w:fldChar w:fldCharType="separate"/>
        </w:r>
        <w:r w:rsidR="009B4D84">
          <w:rPr>
            <w:noProof/>
            <w:webHidden/>
          </w:rPr>
          <w:t>47</w:t>
        </w:r>
        <w:r w:rsidR="005E0585">
          <w:rPr>
            <w:noProof/>
            <w:webHidden/>
          </w:rPr>
          <w:fldChar w:fldCharType="end"/>
        </w:r>
      </w:hyperlink>
    </w:p>
    <w:p w14:paraId="13B559CC" w14:textId="77777777" w:rsidR="005E0585" w:rsidRDefault="008D7FBB">
      <w:pPr>
        <w:pStyle w:val="TOC2"/>
        <w:tabs>
          <w:tab w:val="right" w:leader="dot" w:pos="9016"/>
        </w:tabs>
        <w:rPr>
          <w:rFonts w:asciiTheme="minorHAnsi" w:eastAsiaTheme="minorEastAsia" w:hAnsiTheme="minorHAnsi"/>
          <w:noProof/>
          <w:lang w:val="en-US"/>
        </w:rPr>
      </w:pPr>
      <w:hyperlink w:anchor="_Toc322702777" w:history="1">
        <w:r w:rsidR="005E0585" w:rsidRPr="00E101C1">
          <w:rPr>
            <w:rStyle w:val="Hyperlink"/>
            <w:noProof/>
          </w:rPr>
          <w:t>6.1 AusAID Evaluation Recommendations</w:t>
        </w:r>
        <w:r w:rsidR="005E0585">
          <w:rPr>
            <w:noProof/>
            <w:webHidden/>
          </w:rPr>
          <w:tab/>
        </w:r>
        <w:r w:rsidR="005E0585">
          <w:rPr>
            <w:noProof/>
            <w:webHidden/>
          </w:rPr>
          <w:fldChar w:fldCharType="begin"/>
        </w:r>
        <w:r w:rsidR="005E0585">
          <w:rPr>
            <w:noProof/>
            <w:webHidden/>
          </w:rPr>
          <w:instrText xml:space="preserve"> PAGEREF _Toc322702777 \h </w:instrText>
        </w:r>
        <w:r w:rsidR="005E0585">
          <w:rPr>
            <w:noProof/>
            <w:webHidden/>
          </w:rPr>
        </w:r>
        <w:r w:rsidR="005E0585">
          <w:rPr>
            <w:noProof/>
            <w:webHidden/>
          </w:rPr>
          <w:fldChar w:fldCharType="separate"/>
        </w:r>
        <w:r w:rsidR="009B4D84">
          <w:rPr>
            <w:noProof/>
            <w:webHidden/>
          </w:rPr>
          <w:t>48</w:t>
        </w:r>
        <w:r w:rsidR="005E0585">
          <w:rPr>
            <w:noProof/>
            <w:webHidden/>
          </w:rPr>
          <w:fldChar w:fldCharType="end"/>
        </w:r>
      </w:hyperlink>
    </w:p>
    <w:p w14:paraId="13B559CD" w14:textId="77777777" w:rsidR="005E0585" w:rsidRDefault="008D7FBB">
      <w:pPr>
        <w:pStyle w:val="TOC2"/>
        <w:tabs>
          <w:tab w:val="right" w:leader="dot" w:pos="9016"/>
        </w:tabs>
        <w:rPr>
          <w:rFonts w:asciiTheme="minorHAnsi" w:eastAsiaTheme="minorEastAsia" w:hAnsiTheme="minorHAnsi"/>
          <w:noProof/>
          <w:lang w:val="en-US"/>
        </w:rPr>
      </w:pPr>
      <w:hyperlink w:anchor="_Toc322702778" w:history="1">
        <w:r w:rsidR="005E0585" w:rsidRPr="00E101C1">
          <w:rPr>
            <w:rStyle w:val="Hyperlink"/>
            <w:noProof/>
          </w:rPr>
          <w:t>6.2 Strategies to Strengthen Support for Rural and Remote Schools</w:t>
        </w:r>
        <w:r w:rsidR="005E0585">
          <w:rPr>
            <w:noProof/>
            <w:webHidden/>
          </w:rPr>
          <w:tab/>
        </w:r>
        <w:r w:rsidR="005E0585">
          <w:rPr>
            <w:noProof/>
            <w:webHidden/>
          </w:rPr>
          <w:fldChar w:fldCharType="begin"/>
        </w:r>
        <w:r w:rsidR="005E0585">
          <w:rPr>
            <w:noProof/>
            <w:webHidden/>
          </w:rPr>
          <w:instrText xml:space="preserve"> PAGEREF _Toc322702778 \h </w:instrText>
        </w:r>
        <w:r w:rsidR="005E0585">
          <w:rPr>
            <w:noProof/>
            <w:webHidden/>
          </w:rPr>
        </w:r>
        <w:r w:rsidR="005E0585">
          <w:rPr>
            <w:noProof/>
            <w:webHidden/>
          </w:rPr>
          <w:fldChar w:fldCharType="separate"/>
        </w:r>
        <w:r w:rsidR="009B4D84">
          <w:rPr>
            <w:noProof/>
            <w:webHidden/>
          </w:rPr>
          <w:t>49</w:t>
        </w:r>
        <w:r w:rsidR="005E0585">
          <w:rPr>
            <w:noProof/>
            <w:webHidden/>
          </w:rPr>
          <w:fldChar w:fldCharType="end"/>
        </w:r>
      </w:hyperlink>
    </w:p>
    <w:p w14:paraId="13B559CE" w14:textId="77777777" w:rsidR="005E0585" w:rsidRDefault="008D7FBB">
      <w:pPr>
        <w:pStyle w:val="TOC1"/>
        <w:tabs>
          <w:tab w:val="right" w:leader="dot" w:pos="9016"/>
        </w:tabs>
        <w:rPr>
          <w:rFonts w:asciiTheme="minorHAnsi" w:eastAsiaTheme="minorEastAsia" w:hAnsiTheme="minorHAnsi"/>
          <w:noProof/>
          <w:lang w:val="en-US"/>
        </w:rPr>
      </w:pPr>
      <w:hyperlink w:anchor="_Toc322702779" w:history="1">
        <w:r w:rsidR="005E0585" w:rsidRPr="00E101C1">
          <w:rPr>
            <w:rStyle w:val="Hyperlink"/>
            <w:noProof/>
          </w:rPr>
          <w:t>7 Future Work Plan</w:t>
        </w:r>
        <w:r w:rsidR="005E0585">
          <w:rPr>
            <w:noProof/>
            <w:webHidden/>
          </w:rPr>
          <w:tab/>
        </w:r>
        <w:r w:rsidR="005E0585">
          <w:rPr>
            <w:noProof/>
            <w:webHidden/>
          </w:rPr>
          <w:fldChar w:fldCharType="begin"/>
        </w:r>
        <w:r w:rsidR="005E0585">
          <w:rPr>
            <w:noProof/>
            <w:webHidden/>
          </w:rPr>
          <w:instrText xml:space="preserve"> PAGEREF _Toc322702779 \h </w:instrText>
        </w:r>
        <w:r w:rsidR="005E0585">
          <w:rPr>
            <w:noProof/>
            <w:webHidden/>
          </w:rPr>
        </w:r>
        <w:r w:rsidR="005E0585">
          <w:rPr>
            <w:noProof/>
            <w:webHidden/>
          </w:rPr>
          <w:fldChar w:fldCharType="separate"/>
        </w:r>
        <w:r w:rsidR="009B4D84">
          <w:rPr>
            <w:noProof/>
            <w:webHidden/>
          </w:rPr>
          <w:t>53</w:t>
        </w:r>
        <w:r w:rsidR="005E0585">
          <w:rPr>
            <w:noProof/>
            <w:webHidden/>
          </w:rPr>
          <w:fldChar w:fldCharType="end"/>
        </w:r>
      </w:hyperlink>
    </w:p>
    <w:p w14:paraId="13B559CF" w14:textId="77777777" w:rsidR="005E0585" w:rsidRDefault="008D7FBB">
      <w:pPr>
        <w:pStyle w:val="TOC1"/>
        <w:tabs>
          <w:tab w:val="right" w:leader="dot" w:pos="9016"/>
        </w:tabs>
        <w:rPr>
          <w:rFonts w:asciiTheme="minorHAnsi" w:eastAsiaTheme="minorEastAsia" w:hAnsiTheme="minorHAnsi"/>
          <w:noProof/>
          <w:lang w:val="en-US"/>
        </w:rPr>
      </w:pPr>
      <w:hyperlink w:anchor="_Toc322702780" w:history="1">
        <w:r w:rsidR="005E0585" w:rsidRPr="00E101C1">
          <w:rPr>
            <w:rStyle w:val="Hyperlink"/>
            <w:noProof/>
          </w:rPr>
          <w:t>8 Financial Implementation</w:t>
        </w:r>
        <w:r w:rsidR="005E0585">
          <w:rPr>
            <w:noProof/>
            <w:webHidden/>
          </w:rPr>
          <w:tab/>
        </w:r>
        <w:r w:rsidR="005E0585">
          <w:rPr>
            <w:noProof/>
            <w:webHidden/>
          </w:rPr>
          <w:fldChar w:fldCharType="begin"/>
        </w:r>
        <w:r w:rsidR="005E0585">
          <w:rPr>
            <w:noProof/>
            <w:webHidden/>
          </w:rPr>
          <w:instrText xml:space="preserve"> PAGEREF _Toc322702780 \h </w:instrText>
        </w:r>
        <w:r w:rsidR="005E0585">
          <w:rPr>
            <w:noProof/>
            <w:webHidden/>
          </w:rPr>
        </w:r>
        <w:r w:rsidR="005E0585">
          <w:rPr>
            <w:noProof/>
            <w:webHidden/>
          </w:rPr>
          <w:fldChar w:fldCharType="separate"/>
        </w:r>
        <w:r w:rsidR="009B4D84">
          <w:rPr>
            <w:noProof/>
            <w:webHidden/>
          </w:rPr>
          <w:t>55</w:t>
        </w:r>
        <w:r w:rsidR="005E0585">
          <w:rPr>
            <w:noProof/>
            <w:webHidden/>
          </w:rPr>
          <w:fldChar w:fldCharType="end"/>
        </w:r>
      </w:hyperlink>
    </w:p>
    <w:p w14:paraId="13B559D0" w14:textId="77777777" w:rsidR="005E0585" w:rsidRDefault="008D7FBB">
      <w:pPr>
        <w:pStyle w:val="TOC2"/>
        <w:tabs>
          <w:tab w:val="right" w:leader="dot" w:pos="9016"/>
        </w:tabs>
        <w:rPr>
          <w:rFonts w:asciiTheme="minorHAnsi" w:eastAsiaTheme="minorEastAsia" w:hAnsiTheme="minorHAnsi"/>
          <w:noProof/>
          <w:lang w:val="en-US"/>
        </w:rPr>
      </w:pPr>
      <w:hyperlink w:anchor="_Toc322702781" w:history="1">
        <w:r w:rsidR="005E0585" w:rsidRPr="00E101C1">
          <w:rPr>
            <w:rStyle w:val="Hyperlink"/>
            <w:noProof/>
          </w:rPr>
          <w:t>8.1 USAID Financial Implementation</w:t>
        </w:r>
        <w:r w:rsidR="005E0585">
          <w:rPr>
            <w:noProof/>
            <w:webHidden/>
          </w:rPr>
          <w:tab/>
        </w:r>
        <w:r w:rsidR="005E0585">
          <w:rPr>
            <w:noProof/>
            <w:webHidden/>
          </w:rPr>
          <w:fldChar w:fldCharType="begin"/>
        </w:r>
        <w:r w:rsidR="005E0585">
          <w:rPr>
            <w:noProof/>
            <w:webHidden/>
          </w:rPr>
          <w:instrText xml:space="preserve"> PAGEREF _Toc322702781 \h </w:instrText>
        </w:r>
        <w:r w:rsidR="005E0585">
          <w:rPr>
            <w:noProof/>
            <w:webHidden/>
          </w:rPr>
        </w:r>
        <w:r w:rsidR="005E0585">
          <w:rPr>
            <w:noProof/>
            <w:webHidden/>
          </w:rPr>
          <w:fldChar w:fldCharType="separate"/>
        </w:r>
        <w:r w:rsidR="009B4D84">
          <w:rPr>
            <w:noProof/>
            <w:webHidden/>
          </w:rPr>
          <w:t>55</w:t>
        </w:r>
        <w:r w:rsidR="005E0585">
          <w:rPr>
            <w:noProof/>
            <w:webHidden/>
          </w:rPr>
          <w:fldChar w:fldCharType="end"/>
        </w:r>
      </w:hyperlink>
    </w:p>
    <w:p w14:paraId="13B559D1" w14:textId="77777777" w:rsidR="005E0585" w:rsidRDefault="008D7FBB">
      <w:pPr>
        <w:pStyle w:val="TOC2"/>
        <w:tabs>
          <w:tab w:val="right" w:leader="dot" w:pos="9016"/>
        </w:tabs>
        <w:rPr>
          <w:rFonts w:asciiTheme="minorHAnsi" w:eastAsiaTheme="minorEastAsia" w:hAnsiTheme="minorHAnsi"/>
          <w:noProof/>
          <w:lang w:val="en-US"/>
        </w:rPr>
      </w:pPr>
      <w:hyperlink w:anchor="_Toc322702782" w:history="1">
        <w:r w:rsidR="005E0585" w:rsidRPr="00E101C1">
          <w:rPr>
            <w:rStyle w:val="Hyperlink"/>
            <w:noProof/>
          </w:rPr>
          <w:t>8.2 AUSAID Financial Implementation</w:t>
        </w:r>
        <w:r w:rsidR="005E0585">
          <w:rPr>
            <w:noProof/>
            <w:webHidden/>
          </w:rPr>
          <w:tab/>
        </w:r>
        <w:r w:rsidR="005E0585">
          <w:rPr>
            <w:noProof/>
            <w:webHidden/>
          </w:rPr>
          <w:fldChar w:fldCharType="begin"/>
        </w:r>
        <w:r w:rsidR="005E0585">
          <w:rPr>
            <w:noProof/>
            <w:webHidden/>
          </w:rPr>
          <w:instrText xml:space="preserve"> PAGEREF _Toc322702782 \h </w:instrText>
        </w:r>
        <w:r w:rsidR="005E0585">
          <w:rPr>
            <w:noProof/>
            <w:webHidden/>
          </w:rPr>
        </w:r>
        <w:r w:rsidR="005E0585">
          <w:rPr>
            <w:noProof/>
            <w:webHidden/>
          </w:rPr>
          <w:fldChar w:fldCharType="separate"/>
        </w:r>
        <w:r w:rsidR="009B4D84">
          <w:rPr>
            <w:noProof/>
            <w:webHidden/>
          </w:rPr>
          <w:t>57</w:t>
        </w:r>
        <w:r w:rsidR="005E0585">
          <w:rPr>
            <w:noProof/>
            <w:webHidden/>
          </w:rPr>
          <w:fldChar w:fldCharType="end"/>
        </w:r>
      </w:hyperlink>
    </w:p>
    <w:p w14:paraId="13B559D2" w14:textId="77777777" w:rsidR="005E0585" w:rsidRDefault="008D7FBB">
      <w:pPr>
        <w:pStyle w:val="TOC3"/>
        <w:tabs>
          <w:tab w:val="right" w:leader="dot" w:pos="9016"/>
        </w:tabs>
        <w:rPr>
          <w:rFonts w:asciiTheme="minorHAnsi" w:eastAsiaTheme="minorEastAsia" w:hAnsiTheme="minorHAnsi"/>
          <w:noProof/>
          <w:lang w:val="en-US"/>
        </w:rPr>
      </w:pPr>
      <w:hyperlink w:anchor="_Toc322702783" w:history="1">
        <w:r w:rsidR="005E0585" w:rsidRPr="00E101C1">
          <w:rPr>
            <w:rStyle w:val="Hyperlink"/>
            <w:noProof/>
          </w:rPr>
          <w:t>Australia-UNICEF Education Assistance to Papua and West Papua (01 March 2010 to 27 March 2012)</w:t>
        </w:r>
        <w:r w:rsidR="005E0585">
          <w:rPr>
            <w:noProof/>
            <w:webHidden/>
          </w:rPr>
          <w:tab/>
        </w:r>
        <w:r w:rsidR="005E0585">
          <w:rPr>
            <w:noProof/>
            <w:webHidden/>
          </w:rPr>
          <w:fldChar w:fldCharType="begin"/>
        </w:r>
        <w:r w:rsidR="005E0585">
          <w:rPr>
            <w:noProof/>
            <w:webHidden/>
          </w:rPr>
          <w:instrText xml:space="preserve"> PAGEREF _Toc322702783 \h </w:instrText>
        </w:r>
        <w:r w:rsidR="005E0585">
          <w:rPr>
            <w:noProof/>
            <w:webHidden/>
          </w:rPr>
        </w:r>
        <w:r w:rsidR="005E0585">
          <w:rPr>
            <w:noProof/>
            <w:webHidden/>
          </w:rPr>
          <w:fldChar w:fldCharType="separate"/>
        </w:r>
        <w:r w:rsidR="009B4D84">
          <w:rPr>
            <w:noProof/>
            <w:webHidden/>
          </w:rPr>
          <w:t>57</w:t>
        </w:r>
        <w:r w:rsidR="005E0585">
          <w:rPr>
            <w:noProof/>
            <w:webHidden/>
          </w:rPr>
          <w:fldChar w:fldCharType="end"/>
        </w:r>
      </w:hyperlink>
    </w:p>
    <w:p w14:paraId="13B559D3" w14:textId="77777777" w:rsidR="005E0585" w:rsidRDefault="008D7FBB">
      <w:pPr>
        <w:pStyle w:val="TOC3"/>
        <w:tabs>
          <w:tab w:val="right" w:leader="dot" w:pos="9016"/>
        </w:tabs>
        <w:rPr>
          <w:rFonts w:asciiTheme="minorHAnsi" w:eastAsiaTheme="minorEastAsia" w:hAnsiTheme="minorHAnsi"/>
          <w:noProof/>
          <w:lang w:val="en-US"/>
        </w:rPr>
      </w:pPr>
      <w:hyperlink w:anchor="_Toc322702784" w:history="1">
        <w:r w:rsidR="005E0585" w:rsidRPr="00E101C1">
          <w:rPr>
            <w:rStyle w:val="Hyperlink"/>
            <w:noProof/>
          </w:rPr>
          <w:t>Detailed Utilization of Australia-UNICEF Education Assistance Funds from 01 March 2010 to 27 March 2012</w:t>
        </w:r>
        <w:r w:rsidR="005E0585">
          <w:rPr>
            <w:noProof/>
            <w:webHidden/>
          </w:rPr>
          <w:tab/>
        </w:r>
        <w:r w:rsidR="005E0585">
          <w:rPr>
            <w:noProof/>
            <w:webHidden/>
          </w:rPr>
          <w:fldChar w:fldCharType="begin"/>
        </w:r>
        <w:r w:rsidR="005E0585">
          <w:rPr>
            <w:noProof/>
            <w:webHidden/>
          </w:rPr>
          <w:instrText xml:space="preserve"> PAGEREF _Toc322702784 \h </w:instrText>
        </w:r>
        <w:r w:rsidR="005E0585">
          <w:rPr>
            <w:noProof/>
            <w:webHidden/>
          </w:rPr>
        </w:r>
        <w:r w:rsidR="005E0585">
          <w:rPr>
            <w:noProof/>
            <w:webHidden/>
          </w:rPr>
          <w:fldChar w:fldCharType="separate"/>
        </w:r>
        <w:r w:rsidR="009B4D84">
          <w:rPr>
            <w:noProof/>
            <w:webHidden/>
          </w:rPr>
          <w:t>57</w:t>
        </w:r>
        <w:r w:rsidR="005E0585">
          <w:rPr>
            <w:noProof/>
            <w:webHidden/>
          </w:rPr>
          <w:fldChar w:fldCharType="end"/>
        </w:r>
      </w:hyperlink>
    </w:p>
    <w:p w14:paraId="13B559D4" w14:textId="77777777" w:rsidR="005E0585" w:rsidRDefault="008D7FBB">
      <w:pPr>
        <w:pStyle w:val="TOC1"/>
        <w:tabs>
          <w:tab w:val="right" w:leader="dot" w:pos="9016"/>
        </w:tabs>
        <w:rPr>
          <w:rFonts w:asciiTheme="minorHAnsi" w:eastAsiaTheme="minorEastAsia" w:hAnsiTheme="minorHAnsi"/>
          <w:noProof/>
          <w:lang w:val="en-US"/>
        </w:rPr>
      </w:pPr>
      <w:hyperlink w:anchor="_Toc322702785" w:history="1">
        <w:r w:rsidR="005E0585" w:rsidRPr="00E101C1">
          <w:rPr>
            <w:rStyle w:val="Hyperlink"/>
            <w:noProof/>
          </w:rPr>
          <w:t>9 Expression of Thanks</w:t>
        </w:r>
        <w:r w:rsidR="005E0585">
          <w:rPr>
            <w:noProof/>
            <w:webHidden/>
          </w:rPr>
          <w:tab/>
        </w:r>
        <w:r w:rsidR="005E0585">
          <w:rPr>
            <w:noProof/>
            <w:webHidden/>
          </w:rPr>
          <w:fldChar w:fldCharType="begin"/>
        </w:r>
        <w:r w:rsidR="005E0585">
          <w:rPr>
            <w:noProof/>
            <w:webHidden/>
          </w:rPr>
          <w:instrText xml:space="preserve"> PAGEREF _Toc322702785 \h </w:instrText>
        </w:r>
        <w:r w:rsidR="005E0585">
          <w:rPr>
            <w:noProof/>
            <w:webHidden/>
          </w:rPr>
        </w:r>
        <w:r w:rsidR="005E0585">
          <w:rPr>
            <w:noProof/>
            <w:webHidden/>
          </w:rPr>
          <w:fldChar w:fldCharType="separate"/>
        </w:r>
        <w:r w:rsidR="009B4D84">
          <w:rPr>
            <w:noProof/>
            <w:webHidden/>
          </w:rPr>
          <w:t>61</w:t>
        </w:r>
        <w:r w:rsidR="005E0585">
          <w:rPr>
            <w:noProof/>
            <w:webHidden/>
          </w:rPr>
          <w:fldChar w:fldCharType="end"/>
        </w:r>
      </w:hyperlink>
    </w:p>
    <w:p w14:paraId="13B559D5" w14:textId="77777777" w:rsidR="005E0585" w:rsidRDefault="008D7FBB">
      <w:pPr>
        <w:pStyle w:val="TOC1"/>
        <w:tabs>
          <w:tab w:val="right" w:leader="dot" w:pos="9016"/>
        </w:tabs>
        <w:rPr>
          <w:rFonts w:asciiTheme="minorHAnsi" w:eastAsiaTheme="minorEastAsia" w:hAnsiTheme="minorHAnsi"/>
          <w:noProof/>
          <w:lang w:val="en-US"/>
        </w:rPr>
      </w:pPr>
      <w:hyperlink w:anchor="_Toc322702786" w:history="1">
        <w:r w:rsidR="005E0585" w:rsidRPr="00E101C1">
          <w:rPr>
            <w:rStyle w:val="Hyperlink"/>
            <w:noProof/>
          </w:rPr>
          <w:t>Annex 1: Merged Performance Monitoring Matrix</w:t>
        </w:r>
        <w:r w:rsidR="005E0585">
          <w:rPr>
            <w:noProof/>
            <w:webHidden/>
          </w:rPr>
          <w:tab/>
        </w:r>
        <w:r w:rsidR="005E0585">
          <w:rPr>
            <w:noProof/>
            <w:webHidden/>
          </w:rPr>
          <w:fldChar w:fldCharType="begin"/>
        </w:r>
        <w:r w:rsidR="005E0585">
          <w:rPr>
            <w:noProof/>
            <w:webHidden/>
          </w:rPr>
          <w:instrText xml:space="preserve"> PAGEREF _Toc322702786 \h </w:instrText>
        </w:r>
        <w:r w:rsidR="005E0585">
          <w:rPr>
            <w:noProof/>
            <w:webHidden/>
          </w:rPr>
        </w:r>
        <w:r w:rsidR="005E0585">
          <w:rPr>
            <w:noProof/>
            <w:webHidden/>
          </w:rPr>
          <w:fldChar w:fldCharType="separate"/>
        </w:r>
        <w:r w:rsidR="009B4D84">
          <w:rPr>
            <w:noProof/>
            <w:webHidden/>
          </w:rPr>
          <w:t>62</w:t>
        </w:r>
        <w:r w:rsidR="005E0585">
          <w:rPr>
            <w:noProof/>
            <w:webHidden/>
          </w:rPr>
          <w:fldChar w:fldCharType="end"/>
        </w:r>
      </w:hyperlink>
    </w:p>
    <w:p w14:paraId="13B559D6" w14:textId="77777777" w:rsidR="005E0585" w:rsidRDefault="008D7FBB">
      <w:pPr>
        <w:pStyle w:val="TOC1"/>
        <w:tabs>
          <w:tab w:val="right" w:leader="dot" w:pos="9016"/>
        </w:tabs>
        <w:rPr>
          <w:rFonts w:asciiTheme="minorHAnsi" w:eastAsiaTheme="minorEastAsia" w:hAnsiTheme="minorHAnsi"/>
          <w:noProof/>
          <w:lang w:val="en-US"/>
        </w:rPr>
      </w:pPr>
      <w:hyperlink w:anchor="_Toc322702787" w:history="1">
        <w:r w:rsidR="005E0585" w:rsidRPr="00E101C1">
          <w:rPr>
            <w:rStyle w:val="Hyperlink"/>
            <w:noProof/>
          </w:rPr>
          <w:t>Annex 2: Strategic planning in Papua and West Papua</w:t>
        </w:r>
        <w:r w:rsidR="005E0585">
          <w:rPr>
            <w:noProof/>
            <w:webHidden/>
          </w:rPr>
          <w:tab/>
        </w:r>
        <w:r w:rsidR="005E0585">
          <w:rPr>
            <w:noProof/>
            <w:webHidden/>
          </w:rPr>
          <w:fldChar w:fldCharType="begin"/>
        </w:r>
        <w:r w:rsidR="005E0585">
          <w:rPr>
            <w:noProof/>
            <w:webHidden/>
          </w:rPr>
          <w:instrText xml:space="preserve"> PAGEREF _Toc322702787 \h </w:instrText>
        </w:r>
        <w:r w:rsidR="005E0585">
          <w:rPr>
            <w:noProof/>
            <w:webHidden/>
          </w:rPr>
        </w:r>
        <w:r w:rsidR="005E0585">
          <w:rPr>
            <w:noProof/>
            <w:webHidden/>
          </w:rPr>
          <w:fldChar w:fldCharType="separate"/>
        </w:r>
        <w:r w:rsidR="009B4D84">
          <w:rPr>
            <w:noProof/>
            <w:webHidden/>
          </w:rPr>
          <w:t>79</w:t>
        </w:r>
        <w:r w:rsidR="005E0585">
          <w:rPr>
            <w:noProof/>
            <w:webHidden/>
          </w:rPr>
          <w:fldChar w:fldCharType="end"/>
        </w:r>
      </w:hyperlink>
    </w:p>
    <w:p w14:paraId="13B559D7" w14:textId="77777777" w:rsidR="005E0585" w:rsidRDefault="008D7FBB">
      <w:pPr>
        <w:pStyle w:val="TOC1"/>
        <w:tabs>
          <w:tab w:val="right" w:leader="dot" w:pos="9016"/>
        </w:tabs>
        <w:rPr>
          <w:rFonts w:asciiTheme="minorHAnsi" w:eastAsiaTheme="minorEastAsia" w:hAnsiTheme="minorHAnsi"/>
          <w:noProof/>
          <w:lang w:val="en-US"/>
        </w:rPr>
      </w:pPr>
      <w:hyperlink w:anchor="_Toc322702788" w:history="1">
        <w:r w:rsidR="005E0585" w:rsidRPr="00E101C1">
          <w:rPr>
            <w:rStyle w:val="Hyperlink"/>
            <w:noProof/>
          </w:rPr>
          <w:t>Annex 3: Routine School Monitoring Instrument</w:t>
        </w:r>
        <w:r w:rsidR="005E0585">
          <w:rPr>
            <w:noProof/>
            <w:webHidden/>
          </w:rPr>
          <w:tab/>
        </w:r>
        <w:r w:rsidR="005E0585">
          <w:rPr>
            <w:noProof/>
            <w:webHidden/>
          </w:rPr>
          <w:fldChar w:fldCharType="begin"/>
        </w:r>
        <w:r w:rsidR="005E0585">
          <w:rPr>
            <w:noProof/>
            <w:webHidden/>
          </w:rPr>
          <w:instrText xml:space="preserve"> PAGEREF _Toc322702788 \h </w:instrText>
        </w:r>
        <w:r w:rsidR="005E0585">
          <w:rPr>
            <w:noProof/>
            <w:webHidden/>
          </w:rPr>
        </w:r>
        <w:r w:rsidR="005E0585">
          <w:rPr>
            <w:noProof/>
            <w:webHidden/>
          </w:rPr>
          <w:fldChar w:fldCharType="separate"/>
        </w:r>
        <w:r w:rsidR="009B4D84">
          <w:rPr>
            <w:noProof/>
            <w:webHidden/>
          </w:rPr>
          <w:t>80</w:t>
        </w:r>
        <w:r w:rsidR="005E0585">
          <w:rPr>
            <w:noProof/>
            <w:webHidden/>
          </w:rPr>
          <w:fldChar w:fldCharType="end"/>
        </w:r>
      </w:hyperlink>
    </w:p>
    <w:p w14:paraId="13B559D8" w14:textId="77777777" w:rsidR="005E0585" w:rsidRDefault="008D7FBB">
      <w:pPr>
        <w:pStyle w:val="TOC1"/>
        <w:tabs>
          <w:tab w:val="right" w:leader="dot" w:pos="9016"/>
        </w:tabs>
        <w:rPr>
          <w:rFonts w:asciiTheme="minorHAnsi" w:eastAsiaTheme="minorEastAsia" w:hAnsiTheme="minorHAnsi"/>
          <w:noProof/>
          <w:lang w:val="en-US"/>
        </w:rPr>
      </w:pPr>
      <w:hyperlink w:anchor="_Toc322702789" w:history="1">
        <w:r w:rsidR="005E0585" w:rsidRPr="00E101C1">
          <w:rPr>
            <w:rStyle w:val="Hyperlink"/>
            <w:noProof/>
          </w:rPr>
          <w:t>Donor Report Feedback Form</w:t>
        </w:r>
        <w:r w:rsidR="005E0585">
          <w:rPr>
            <w:noProof/>
            <w:webHidden/>
          </w:rPr>
          <w:tab/>
        </w:r>
        <w:r w:rsidR="005E0585">
          <w:rPr>
            <w:noProof/>
            <w:webHidden/>
          </w:rPr>
          <w:fldChar w:fldCharType="begin"/>
        </w:r>
        <w:r w:rsidR="005E0585">
          <w:rPr>
            <w:noProof/>
            <w:webHidden/>
          </w:rPr>
          <w:instrText xml:space="preserve"> PAGEREF _Toc322702789 \h </w:instrText>
        </w:r>
        <w:r w:rsidR="005E0585">
          <w:rPr>
            <w:noProof/>
            <w:webHidden/>
          </w:rPr>
        </w:r>
        <w:r w:rsidR="005E0585">
          <w:rPr>
            <w:noProof/>
            <w:webHidden/>
          </w:rPr>
          <w:fldChar w:fldCharType="separate"/>
        </w:r>
        <w:r w:rsidR="009B4D84">
          <w:rPr>
            <w:noProof/>
            <w:webHidden/>
          </w:rPr>
          <w:t>82</w:t>
        </w:r>
        <w:r w:rsidR="005E0585">
          <w:rPr>
            <w:noProof/>
            <w:webHidden/>
          </w:rPr>
          <w:fldChar w:fldCharType="end"/>
        </w:r>
      </w:hyperlink>
    </w:p>
    <w:p w14:paraId="13B559D9" w14:textId="77777777" w:rsidR="00D60A17" w:rsidRPr="000A7545" w:rsidRDefault="004652D0" w:rsidP="00D60A17">
      <w:r w:rsidRPr="000A7545">
        <w:fldChar w:fldCharType="end"/>
      </w:r>
    </w:p>
    <w:p w14:paraId="13B559DA" w14:textId="77777777" w:rsidR="00AE46A7" w:rsidRPr="000A7545" w:rsidRDefault="00AE46A7" w:rsidP="00D60A17">
      <w:r w:rsidRPr="000A7545">
        <w:br w:type="page"/>
      </w:r>
    </w:p>
    <w:p w14:paraId="13B559DB" w14:textId="77777777" w:rsidR="00AE46A7" w:rsidRPr="000A7545" w:rsidRDefault="00AE46A7" w:rsidP="00AE46A7">
      <w:pPr>
        <w:pStyle w:val="Heading1"/>
        <w:numPr>
          <w:ilvl w:val="0"/>
          <w:numId w:val="0"/>
        </w:numPr>
        <w:ind w:left="360" w:hanging="360"/>
      </w:pPr>
      <w:bookmarkStart w:id="10" w:name="_Toc322702753"/>
      <w:r w:rsidRPr="000A7545">
        <w:t>List of Figures</w:t>
      </w:r>
      <w:bookmarkEnd w:id="10"/>
    </w:p>
    <w:p w14:paraId="13B559DC" w14:textId="77777777" w:rsidR="002A0B4D" w:rsidRDefault="00AE46A7" w:rsidP="002A0B4D">
      <w:pPr>
        <w:pStyle w:val="TableofFigures"/>
        <w:tabs>
          <w:tab w:val="right" w:leader="dot" w:pos="9016"/>
        </w:tabs>
        <w:spacing w:after="100"/>
        <w:rPr>
          <w:rFonts w:asciiTheme="minorHAnsi" w:eastAsiaTheme="minorEastAsia" w:hAnsiTheme="minorHAnsi"/>
          <w:noProof/>
          <w:lang w:eastAsia="en-GB"/>
        </w:rPr>
      </w:pPr>
      <w:r w:rsidRPr="000A7545">
        <w:fldChar w:fldCharType="begin"/>
      </w:r>
      <w:r w:rsidRPr="000A7545">
        <w:instrText xml:space="preserve"> TOC \h \z \c "Figure" </w:instrText>
      </w:r>
      <w:r w:rsidRPr="000A7545">
        <w:fldChar w:fldCharType="separate"/>
      </w:r>
      <w:hyperlink w:anchor="_Toc322710092" w:history="1">
        <w:r w:rsidR="002A0B4D" w:rsidRPr="00DA5B70">
          <w:rPr>
            <w:rStyle w:val="Hyperlink"/>
            <w:noProof/>
          </w:rPr>
          <w:t>Figure 1: Planned allocation in the 2012 Renja for the education sector in the six target districts in Papua and West Papua</w:t>
        </w:r>
        <w:r w:rsidR="002A0B4D">
          <w:rPr>
            <w:noProof/>
            <w:webHidden/>
          </w:rPr>
          <w:tab/>
        </w:r>
        <w:r w:rsidR="002A0B4D">
          <w:rPr>
            <w:noProof/>
            <w:webHidden/>
          </w:rPr>
          <w:fldChar w:fldCharType="begin"/>
        </w:r>
        <w:r w:rsidR="002A0B4D">
          <w:rPr>
            <w:noProof/>
            <w:webHidden/>
          </w:rPr>
          <w:instrText xml:space="preserve"> PAGEREF _Toc322710092 \h </w:instrText>
        </w:r>
        <w:r w:rsidR="002A0B4D">
          <w:rPr>
            <w:noProof/>
            <w:webHidden/>
          </w:rPr>
        </w:r>
        <w:r w:rsidR="002A0B4D">
          <w:rPr>
            <w:noProof/>
            <w:webHidden/>
          </w:rPr>
          <w:fldChar w:fldCharType="separate"/>
        </w:r>
        <w:r w:rsidR="009B4D84">
          <w:rPr>
            <w:noProof/>
            <w:webHidden/>
          </w:rPr>
          <w:t>8</w:t>
        </w:r>
        <w:r w:rsidR="002A0B4D">
          <w:rPr>
            <w:noProof/>
            <w:webHidden/>
          </w:rPr>
          <w:fldChar w:fldCharType="end"/>
        </w:r>
      </w:hyperlink>
    </w:p>
    <w:p w14:paraId="13B559DD"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093" w:history="1">
        <w:r w:rsidR="002A0B4D" w:rsidRPr="00DA5B70">
          <w:rPr>
            <w:rStyle w:val="Hyperlink"/>
            <w:noProof/>
          </w:rPr>
          <w:t>Figure 2: Renstra M&amp;E Trainings per district</w:t>
        </w:r>
        <w:r w:rsidR="002A0B4D">
          <w:rPr>
            <w:noProof/>
            <w:webHidden/>
          </w:rPr>
          <w:tab/>
        </w:r>
        <w:r w:rsidR="002A0B4D">
          <w:rPr>
            <w:noProof/>
            <w:webHidden/>
          </w:rPr>
          <w:fldChar w:fldCharType="begin"/>
        </w:r>
        <w:r w:rsidR="002A0B4D">
          <w:rPr>
            <w:noProof/>
            <w:webHidden/>
          </w:rPr>
          <w:instrText xml:space="preserve"> PAGEREF _Toc322710093 \h </w:instrText>
        </w:r>
        <w:r w:rsidR="002A0B4D">
          <w:rPr>
            <w:noProof/>
            <w:webHidden/>
          </w:rPr>
        </w:r>
        <w:r w:rsidR="002A0B4D">
          <w:rPr>
            <w:noProof/>
            <w:webHidden/>
          </w:rPr>
          <w:fldChar w:fldCharType="separate"/>
        </w:r>
        <w:r w:rsidR="009B4D84">
          <w:rPr>
            <w:noProof/>
            <w:webHidden/>
          </w:rPr>
          <w:t>10</w:t>
        </w:r>
        <w:r w:rsidR="002A0B4D">
          <w:rPr>
            <w:noProof/>
            <w:webHidden/>
          </w:rPr>
          <w:fldChar w:fldCharType="end"/>
        </w:r>
      </w:hyperlink>
    </w:p>
    <w:p w14:paraId="13B559DE"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094" w:history="1">
        <w:r w:rsidR="002A0B4D" w:rsidRPr="00DA5B70">
          <w:rPr>
            <w:rStyle w:val="Hyperlink"/>
            <w:noProof/>
          </w:rPr>
          <w:t>Figure 3: Participants attending district education finance programme socialization workshop</w:t>
        </w:r>
        <w:r w:rsidR="002A0B4D">
          <w:rPr>
            <w:noProof/>
            <w:webHidden/>
          </w:rPr>
          <w:tab/>
        </w:r>
        <w:r w:rsidR="002A0B4D">
          <w:rPr>
            <w:noProof/>
            <w:webHidden/>
          </w:rPr>
          <w:fldChar w:fldCharType="begin"/>
        </w:r>
        <w:r w:rsidR="002A0B4D">
          <w:rPr>
            <w:noProof/>
            <w:webHidden/>
          </w:rPr>
          <w:instrText xml:space="preserve"> PAGEREF _Toc322710094 \h </w:instrText>
        </w:r>
        <w:r w:rsidR="002A0B4D">
          <w:rPr>
            <w:noProof/>
            <w:webHidden/>
          </w:rPr>
        </w:r>
        <w:r w:rsidR="002A0B4D">
          <w:rPr>
            <w:noProof/>
            <w:webHidden/>
          </w:rPr>
          <w:fldChar w:fldCharType="separate"/>
        </w:r>
        <w:r w:rsidR="009B4D84">
          <w:rPr>
            <w:noProof/>
            <w:webHidden/>
          </w:rPr>
          <w:t>17</w:t>
        </w:r>
        <w:r w:rsidR="002A0B4D">
          <w:rPr>
            <w:noProof/>
            <w:webHidden/>
          </w:rPr>
          <w:fldChar w:fldCharType="end"/>
        </w:r>
      </w:hyperlink>
    </w:p>
    <w:p w14:paraId="13B559DF"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095" w:history="1">
        <w:r w:rsidR="002A0B4D" w:rsidRPr="00DA5B70">
          <w:rPr>
            <w:rStyle w:val="Hyperlink"/>
            <w:noProof/>
          </w:rPr>
          <w:t>Figure 4: Government budget allocations for SBM 2012 (Final District Renja 2012)</w:t>
        </w:r>
        <w:r w:rsidR="002A0B4D">
          <w:rPr>
            <w:noProof/>
            <w:webHidden/>
          </w:rPr>
          <w:tab/>
        </w:r>
        <w:r w:rsidR="002A0B4D">
          <w:rPr>
            <w:noProof/>
            <w:webHidden/>
          </w:rPr>
          <w:fldChar w:fldCharType="begin"/>
        </w:r>
        <w:r w:rsidR="002A0B4D">
          <w:rPr>
            <w:noProof/>
            <w:webHidden/>
          </w:rPr>
          <w:instrText xml:space="preserve"> PAGEREF _Toc322710095 \h </w:instrText>
        </w:r>
        <w:r w:rsidR="002A0B4D">
          <w:rPr>
            <w:noProof/>
            <w:webHidden/>
          </w:rPr>
        </w:r>
        <w:r w:rsidR="002A0B4D">
          <w:rPr>
            <w:noProof/>
            <w:webHidden/>
          </w:rPr>
          <w:fldChar w:fldCharType="separate"/>
        </w:r>
        <w:r w:rsidR="009B4D84">
          <w:rPr>
            <w:noProof/>
            <w:webHidden/>
          </w:rPr>
          <w:t>18</w:t>
        </w:r>
        <w:r w:rsidR="002A0B4D">
          <w:rPr>
            <w:noProof/>
            <w:webHidden/>
          </w:rPr>
          <w:fldChar w:fldCharType="end"/>
        </w:r>
      </w:hyperlink>
    </w:p>
    <w:p w14:paraId="13B559E0"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096" w:history="1">
        <w:r w:rsidR="002A0B4D" w:rsidRPr="00DA5B70">
          <w:rPr>
            <w:rStyle w:val="Hyperlink"/>
            <w:noProof/>
          </w:rPr>
          <w:t>Figure 5: Planned amount for HIV&amp;AIDS within the 2012 Annual Operational Plan of the Education Sector</w:t>
        </w:r>
        <w:r w:rsidR="002A0B4D">
          <w:rPr>
            <w:noProof/>
            <w:webHidden/>
          </w:rPr>
          <w:tab/>
        </w:r>
        <w:r w:rsidR="002A0B4D">
          <w:rPr>
            <w:noProof/>
            <w:webHidden/>
          </w:rPr>
          <w:fldChar w:fldCharType="begin"/>
        </w:r>
        <w:r w:rsidR="002A0B4D">
          <w:rPr>
            <w:noProof/>
            <w:webHidden/>
          </w:rPr>
          <w:instrText xml:space="preserve"> PAGEREF _Toc322710096 \h </w:instrText>
        </w:r>
        <w:r w:rsidR="002A0B4D">
          <w:rPr>
            <w:noProof/>
            <w:webHidden/>
          </w:rPr>
        </w:r>
        <w:r w:rsidR="002A0B4D">
          <w:rPr>
            <w:noProof/>
            <w:webHidden/>
          </w:rPr>
          <w:fldChar w:fldCharType="separate"/>
        </w:r>
        <w:r w:rsidR="009B4D84">
          <w:rPr>
            <w:noProof/>
            <w:webHidden/>
          </w:rPr>
          <w:t>19</w:t>
        </w:r>
        <w:r w:rsidR="002A0B4D">
          <w:rPr>
            <w:noProof/>
            <w:webHidden/>
          </w:rPr>
          <w:fldChar w:fldCharType="end"/>
        </w:r>
      </w:hyperlink>
    </w:p>
    <w:p w14:paraId="13B559E1"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r:id="rId13" w:anchor="_Toc322710097" w:history="1">
        <w:r w:rsidR="002A0B4D" w:rsidRPr="00DA5B70">
          <w:rPr>
            <w:rStyle w:val="Hyperlink"/>
            <w:noProof/>
          </w:rPr>
          <w:t>Figure 6: Comparison of SBM implementation between cluster model and satellite schools (Manokwari)</w:t>
        </w:r>
        <w:r w:rsidR="002A0B4D">
          <w:rPr>
            <w:noProof/>
            <w:webHidden/>
          </w:rPr>
          <w:tab/>
        </w:r>
        <w:r w:rsidR="002A0B4D">
          <w:rPr>
            <w:noProof/>
            <w:webHidden/>
          </w:rPr>
          <w:fldChar w:fldCharType="begin"/>
        </w:r>
        <w:r w:rsidR="002A0B4D">
          <w:rPr>
            <w:noProof/>
            <w:webHidden/>
          </w:rPr>
          <w:instrText xml:space="preserve"> PAGEREF _Toc322710097 \h </w:instrText>
        </w:r>
        <w:r w:rsidR="002A0B4D">
          <w:rPr>
            <w:noProof/>
            <w:webHidden/>
          </w:rPr>
        </w:r>
        <w:r w:rsidR="002A0B4D">
          <w:rPr>
            <w:noProof/>
            <w:webHidden/>
          </w:rPr>
          <w:fldChar w:fldCharType="separate"/>
        </w:r>
        <w:r w:rsidR="009B4D84">
          <w:rPr>
            <w:noProof/>
            <w:webHidden/>
          </w:rPr>
          <w:t>29</w:t>
        </w:r>
        <w:r w:rsidR="002A0B4D">
          <w:rPr>
            <w:noProof/>
            <w:webHidden/>
          </w:rPr>
          <w:fldChar w:fldCharType="end"/>
        </w:r>
      </w:hyperlink>
    </w:p>
    <w:p w14:paraId="13B559E2"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098" w:history="1">
        <w:r w:rsidR="002A0B4D" w:rsidRPr="00DA5B70">
          <w:rPr>
            <w:rStyle w:val="Hyperlink"/>
            <w:noProof/>
          </w:rPr>
          <w:t>Figure 7: SBM – Enhanced skills and confidence, Papua</w:t>
        </w:r>
        <w:r w:rsidR="002A0B4D">
          <w:rPr>
            <w:noProof/>
            <w:webHidden/>
          </w:rPr>
          <w:tab/>
        </w:r>
        <w:r w:rsidR="002A0B4D">
          <w:rPr>
            <w:noProof/>
            <w:webHidden/>
          </w:rPr>
          <w:fldChar w:fldCharType="begin"/>
        </w:r>
        <w:r w:rsidR="002A0B4D">
          <w:rPr>
            <w:noProof/>
            <w:webHidden/>
          </w:rPr>
          <w:instrText xml:space="preserve"> PAGEREF _Toc322710098 \h </w:instrText>
        </w:r>
        <w:r w:rsidR="002A0B4D">
          <w:rPr>
            <w:noProof/>
            <w:webHidden/>
          </w:rPr>
        </w:r>
        <w:r w:rsidR="002A0B4D">
          <w:rPr>
            <w:noProof/>
            <w:webHidden/>
          </w:rPr>
          <w:fldChar w:fldCharType="separate"/>
        </w:r>
        <w:r w:rsidR="009B4D84">
          <w:rPr>
            <w:noProof/>
            <w:webHidden/>
          </w:rPr>
          <w:t>30</w:t>
        </w:r>
        <w:r w:rsidR="002A0B4D">
          <w:rPr>
            <w:noProof/>
            <w:webHidden/>
          </w:rPr>
          <w:fldChar w:fldCharType="end"/>
        </w:r>
      </w:hyperlink>
    </w:p>
    <w:p w14:paraId="13B559E3"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099" w:history="1">
        <w:r w:rsidR="002A0B4D" w:rsidRPr="00DA5B70">
          <w:rPr>
            <w:rStyle w:val="Hyperlink"/>
            <w:noProof/>
          </w:rPr>
          <w:t>Figure 8: Multi-grade Tot – Results with enhanced skills and confidence</w:t>
        </w:r>
        <w:r w:rsidR="002A0B4D">
          <w:rPr>
            <w:noProof/>
            <w:webHidden/>
          </w:rPr>
          <w:tab/>
        </w:r>
        <w:r w:rsidR="002A0B4D">
          <w:rPr>
            <w:noProof/>
            <w:webHidden/>
          </w:rPr>
          <w:fldChar w:fldCharType="begin"/>
        </w:r>
        <w:r w:rsidR="002A0B4D">
          <w:rPr>
            <w:noProof/>
            <w:webHidden/>
          </w:rPr>
          <w:instrText xml:space="preserve"> PAGEREF _Toc322710099 \h </w:instrText>
        </w:r>
        <w:r w:rsidR="002A0B4D">
          <w:rPr>
            <w:noProof/>
            <w:webHidden/>
          </w:rPr>
        </w:r>
        <w:r w:rsidR="002A0B4D">
          <w:rPr>
            <w:noProof/>
            <w:webHidden/>
          </w:rPr>
          <w:fldChar w:fldCharType="separate"/>
        </w:r>
        <w:r w:rsidR="009B4D84">
          <w:rPr>
            <w:noProof/>
            <w:webHidden/>
          </w:rPr>
          <w:t>32</w:t>
        </w:r>
        <w:r w:rsidR="002A0B4D">
          <w:rPr>
            <w:noProof/>
            <w:webHidden/>
          </w:rPr>
          <w:fldChar w:fldCharType="end"/>
        </w:r>
      </w:hyperlink>
    </w:p>
    <w:p w14:paraId="13B559E4"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100" w:history="1">
        <w:r w:rsidR="002A0B4D" w:rsidRPr="00DA5B70">
          <w:rPr>
            <w:rStyle w:val="Hyperlink"/>
            <w:noProof/>
          </w:rPr>
          <w:t>Figure 9: Mainstreaming SBM, EG and MG to University Teacher Programmes</w:t>
        </w:r>
        <w:r w:rsidR="002A0B4D">
          <w:rPr>
            <w:noProof/>
            <w:webHidden/>
          </w:rPr>
          <w:tab/>
        </w:r>
        <w:r w:rsidR="002A0B4D">
          <w:rPr>
            <w:noProof/>
            <w:webHidden/>
          </w:rPr>
          <w:fldChar w:fldCharType="begin"/>
        </w:r>
        <w:r w:rsidR="002A0B4D">
          <w:rPr>
            <w:noProof/>
            <w:webHidden/>
          </w:rPr>
          <w:instrText xml:space="preserve"> PAGEREF _Toc322710100 \h </w:instrText>
        </w:r>
        <w:r w:rsidR="002A0B4D">
          <w:rPr>
            <w:noProof/>
            <w:webHidden/>
          </w:rPr>
        </w:r>
        <w:r w:rsidR="002A0B4D">
          <w:rPr>
            <w:noProof/>
            <w:webHidden/>
          </w:rPr>
          <w:fldChar w:fldCharType="separate"/>
        </w:r>
        <w:r w:rsidR="009B4D84">
          <w:rPr>
            <w:noProof/>
            <w:webHidden/>
          </w:rPr>
          <w:t>33</w:t>
        </w:r>
        <w:r w:rsidR="002A0B4D">
          <w:rPr>
            <w:noProof/>
            <w:webHidden/>
          </w:rPr>
          <w:fldChar w:fldCharType="end"/>
        </w:r>
      </w:hyperlink>
    </w:p>
    <w:p w14:paraId="13B559E5"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101" w:history="1">
        <w:r w:rsidR="002A0B4D" w:rsidRPr="00DA5B70">
          <w:rPr>
            <w:rStyle w:val="Hyperlink"/>
            <w:noProof/>
          </w:rPr>
          <w:t>Figure 10: Module Socialization Workshop Participants</w:t>
        </w:r>
        <w:r w:rsidR="002A0B4D">
          <w:rPr>
            <w:noProof/>
            <w:webHidden/>
          </w:rPr>
          <w:tab/>
        </w:r>
        <w:r w:rsidR="002A0B4D">
          <w:rPr>
            <w:noProof/>
            <w:webHidden/>
          </w:rPr>
          <w:fldChar w:fldCharType="begin"/>
        </w:r>
        <w:r w:rsidR="002A0B4D">
          <w:rPr>
            <w:noProof/>
            <w:webHidden/>
          </w:rPr>
          <w:instrText xml:space="preserve"> PAGEREF _Toc322710101 \h </w:instrText>
        </w:r>
        <w:r w:rsidR="002A0B4D">
          <w:rPr>
            <w:noProof/>
            <w:webHidden/>
          </w:rPr>
        </w:r>
        <w:r w:rsidR="002A0B4D">
          <w:rPr>
            <w:noProof/>
            <w:webHidden/>
          </w:rPr>
          <w:fldChar w:fldCharType="separate"/>
        </w:r>
        <w:r w:rsidR="009B4D84">
          <w:rPr>
            <w:noProof/>
            <w:webHidden/>
          </w:rPr>
          <w:t>39</w:t>
        </w:r>
        <w:r w:rsidR="002A0B4D">
          <w:rPr>
            <w:noProof/>
            <w:webHidden/>
          </w:rPr>
          <w:fldChar w:fldCharType="end"/>
        </w:r>
      </w:hyperlink>
    </w:p>
    <w:p w14:paraId="13B559E6"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102" w:history="1">
        <w:r w:rsidR="002A0B4D" w:rsidRPr="00DA5B70">
          <w:rPr>
            <w:rStyle w:val="Hyperlink"/>
            <w:noProof/>
          </w:rPr>
          <w:t>Figure 11: BOSP training participants</w:t>
        </w:r>
        <w:r w:rsidR="002A0B4D">
          <w:rPr>
            <w:noProof/>
            <w:webHidden/>
          </w:rPr>
          <w:tab/>
        </w:r>
        <w:r w:rsidR="002A0B4D">
          <w:rPr>
            <w:noProof/>
            <w:webHidden/>
          </w:rPr>
          <w:fldChar w:fldCharType="begin"/>
        </w:r>
        <w:r w:rsidR="002A0B4D">
          <w:rPr>
            <w:noProof/>
            <w:webHidden/>
          </w:rPr>
          <w:instrText xml:space="preserve"> PAGEREF _Toc322710102 \h </w:instrText>
        </w:r>
        <w:r w:rsidR="002A0B4D">
          <w:rPr>
            <w:noProof/>
            <w:webHidden/>
          </w:rPr>
        </w:r>
        <w:r w:rsidR="002A0B4D">
          <w:rPr>
            <w:noProof/>
            <w:webHidden/>
          </w:rPr>
          <w:fldChar w:fldCharType="separate"/>
        </w:r>
        <w:r w:rsidR="009B4D84">
          <w:rPr>
            <w:noProof/>
            <w:webHidden/>
          </w:rPr>
          <w:t>40</w:t>
        </w:r>
        <w:r w:rsidR="002A0B4D">
          <w:rPr>
            <w:noProof/>
            <w:webHidden/>
          </w:rPr>
          <w:fldChar w:fldCharType="end"/>
        </w:r>
      </w:hyperlink>
    </w:p>
    <w:p w14:paraId="13B559E7"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103" w:history="1">
        <w:r w:rsidR="002A0B4D" w:rsidRPr="00DA5B70">
          <w:rPr>
            <w:rStyle w:val="Hyperlink"/>
            <w:noProof/>
          </w:rPr>
          <w:t>Figure 12: LKT Training – Schools supported and number of students</w:t>
        </w:r>
        <w:r w:rsidR="002A0B4D">
          <w:rPr>
            <w:noProof/>
            <w:webHidden/>
          </w:rPr>
          <w:tab/>
        </w:r>
        <w:r w:rsidR="002A0B4D">
          <w:rPr>
            <w:noProof/>
            <w:webHidden/>
          </w:rPr>
          <w:fldChar w:fldCharType="begin"/>
        </w:r>
        <w:r w:rsidR="002A0B4D">
          <w:rPr>
            <w:noProof/>
            <w:webHidden/>
          </w:rPr>
          <w:instrText xml:space="preserve"> PAGEREF _Toc322710103 \h </w:instrText>
        </w:r>
        <w:r w:rsidR="002A0B4D">
          <w:rPr>
            <w:noProof/>
            <w:webHidden/>
          </w:rPr>
        </w:r>
        <w:r w:rsidR="002A0B4D">
          <w:rPr>
            <w:noProof/>
            <w:webHidden/>
          </w:rPr>
          <w:fldChar w:fldCharType="separate"/>
        </w:r>
        <w:r w:rsidR="009B4D84">
          <w:rPr>
            <w:noProof/>
            <w:webHidden/>
          </w:rPr>
          <w:t>42</w:t>
        </w:r>
        <w:r w:rsidR="002A0B4D">
          <w:rPr>
            <w:noProof/>
            <w:webHidden/>
          </w:rPr>
          <w:fldChar w:fldCharType="end"/>
        </w:r>
      </w:hyperlink>
    </w:p>
    <w:p w14:paraId="13B559E8"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104" w:history="1">
        <w:r w:rsidR="002A0B4D" w:rsidRPr="00DA5B70">
          <w:rPr>
            <w:rStyle w:val="Hyperlink"/>
            <w:noProof/>
          </w:rPr>
          <w:t>Figure 13: Monitoring and Evaluation Capacity Development Strategy</w:t>
        </w:r>
        <w:r w:rsidR="002A0B4D">
          <w:rPr>
            <w:noProof/>
            <w:webHidden/>
          </w:rPr>
          <w:tab/>
        </w:r>
        <w:r w:rsidR="002A0B4D">
          <w:rPr>
            <w:noProof/>
            <w:webHidden/>
          </w:rPr>
          <w:fldChar w:fldCharType="begin"/>
        </w:r>
        <w:r w:rsidR="002A0B4D">
          <w:rPr>
            <w:noProof/>
            <w:webHidden/>
          </w:rPr>
          <w:instrText xml:space="preserve"> PAGEREF _Toc322710104 \h </w:instrText>
        </w:r>
        <w:r w:rsidR="002A0B4D">
          <w:rPr>
            <w:noProof/>
            <w:webHidden/>
          </w:rPr>
        </w:r>
        <w:r w:rsidR="002A0B4D">
          <w:rPr>
            <w:noProof/>
            <w:webHidden/>
          </w:rPr>
          <w:fldChar w:fldCharType="separate"/>
        </w:r>
        <w:r w:rsidR="009B4D84">
          <w:rPr>
            <w:noProof/>
            <w:webHidden/>
          </w:rPr>
          <w:t>42</w:t>
        </w:r>
        <w:r w:rsidR="002A0B4D">
          <w:rPr>
            <w:noProof/>
            <w:webHidden/>
          </w:rPr>
          <w:fldChar w:fldCharType="end"/>
        </w:r>
      </w:hyperlink>
    </w:p>
    <w:p w14:paraId="13B559E9"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105" w:history="1">
        <w:r w:rsidR="002A0B4D" w:rsidRPr="00DA5B70">
          <w:rPr>
            <w:rStyle w:val="Hyperlink"/>
            <w:noProof/>
          </w:rPr>
          <w:t>Figure 14: Direct STEP Beneficiaries: Education Administrators, School Principals and Treasurers (September 2011)</w:t>
        </w:r>
        <w:r w:rsidR="002A0B4D">
          <w:rPr>
            <w:noProof/>
            <w:webHidden/>
          </w:rPr>
          <w:tab/>
        </w:r>
        <w:r w:rsidR="002A0B4D">
          <w:rPr>
            <w:noProof/>
            <w:webHidden/>
          </w:rPr>
          <w:fldChar w:fldCharType="begin"/>
        </w:r>
        <w:r w:rsidR="002A0B4D">
          <w:rPr>
            <w:noProof/>
            <w:webHidden/>
          </w:rPr>
          <w:instrText xml:space="preserve"> PAGEREF _Toc322710105 \h </w:instrText>
        </w:r>
        <w:r w:rsidR="002A0B4D">
          <w:rPr>
            <w:noProof/>
            <w:webHidden/>
          </w:rPr>
        </w:r>
        <w:r w:rsidR="002A0B4D">
          <w:rPr>
            <w:noProof/>
            <w:webHidden/>
          </w:rPr>
          <w:fldChar w:fldCharType="separate"/>
        </w:r>
        <w:r w:rsidR="009B4D84">
          <w:rPr>
            <w:noProof/>
            <w:webHidden/>
          </w:rPr>
          <w:t>51</w:t>
        </w:r>
        <w:r w:rsidR="002A0B4D">
          <w:rPr>
            <w:noProof/>
            <w:webHidden/>
          </w:rPr>
          <w:fldChar w:fldCharType="end"/>
        </w:r>
      </w:hyperlink>
    </w:p>
    <w:p w14:paraId="13B559EA"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106" w:history="1">
        <w:r w:rsidR="002A0B4D" w:rsidRPr="00DA5B70">
          <w:rPr>
            <w:rStyle w:val="Hyperlink"/>
            <w:noProof/>
          </w:rPr>
          <w:t>Figure 15: STEP Target Schools (September 2011)</w:t>
        </w:r>
        <w:r w:rsidR="002A0B4D">
          <w:rPr>
            <w:noProof/>
            <w:webHidden/>
          </w:rPr>
          <w:tab/>
        </w:r>
        <w:r w:rsidR="002A0B4D">
          <w:rPr>
            <w:noProof/>
            <w:webHidden/>
          </w:rPr>
          <w:fldChar w:fldCharType="begin"/>
        </w:r>
        <w:r w:rsidR="002A0B4D">
          <w:rPr>
            <w:noProof/>
            <w:webHidden/>
          </w:rPr>
          <w:instrText xml:space="preserve"> PAGEREF _Toc322710106 \h </w:instrText>
        </w:r>
        <w:r w:rsidR="002A0B4D">
          <w:rPr>
            <w:noProof/>
            <w:webHidden/>
          </w:rPr>
        </w:r>
        <w:r w:rsidR="002A0B4D">
          <w:rPr>
            <w:noProof/>
            <w:webHidden/>
          </w:rPr>
          <w:fldChar w:fldCharType="separate"/>
        </w:r>
        <w:r w:rsidR="009B4D84">
          <w:rPr>
            <w:noProof/>
            <w:webHidden/>
          </w:rPr>
          <w:t>52</w:t>
        </w:r>
        <w:r w:rsidR="002A0B4D">
          <w:rPr>
            <w:noProof/>
            <w:webHidden/>
          </w:rPr>
          <w:fldChar w:fldCharType="end"/>
        </w:r>
      </w:hyperlink>
    </w:p>
    <w:p w14:paraId="13B559EB"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107" w:history="1">
        <w:r w:rsidR="002A0B4D" w:rsidRPr="00DA5B70">
          <w:rPr>
            <w:rStyle w:val="Hyperlink"/>
            <w:noProof/>
          </w:rPr>
          <w:t>Figure 16: Availability of Renstra and RPJMD in districts in Papua and West Papua</w:t>
        </w:r>
        <w:r w:rsidR="002A0B4D">
          <w:rPr>
            <w:noProof/>
            <w:webHidden/>
          </w:rPr>
          <w:tab/>
        </w:r>
        <w:r w:rsidR="002A0B4D">
          <w:rPr>
            <w:noProof/>
            <w:webHidden/>
          </w:rPr>
          <w:fldChar w:fldCharType="begin"/>
        </w:r>
        <w:r w:rsidR="002A0B4D">
          <w:rPr>
            <w:noProof/>
            <w:webHidden/>
          </w:rPr>
          <w:instrText xml:space="preserve"> PAGEREF _Toc322710107 \h </w:instrText>
        </w:r>
        <w:r w:rsidR="002A0B4D">
          <w:rPr>
            <w:noProof/>
            <w:webHidden/>
          </w:rPr>
        </w:r>
        <w:r w:rsidR="002A0B4D">
          <w:rPr>
            <w:noProof/>
            <w:webHidden/>
          </w:rPr>
          <w:fldChar w:fldCharType="separate"/>
        </w:r>
        <w:r w:rsidR="009B4D84">
          <w:rPr>
            <w:noProof/>
            <w:webHidden/>
          </w:rPr>
          <w:t>79</w:t>
        </w:r>
        <w:r w:rsidR="002A0B4D">
          <w:rPr>
            <w:noProof/>
            <w:webHidden/>
          </w:rPr>
          <w:fldChar w:fldCharType="end"/>
        </w:r>
      </w:hyperlink>
    </w:p>
    <w:p w14:paraId="13B559EC" w14:textId="77777777" w:rsidR="002A0B4D" w:rsidRDefault="008D7FBB" w:rsidP="002A0B4D">
      <w:pPr>
        <w:pStyle w:val="TableofFigures"/>
        <w:tabs>
          <w:tab w:val="right" w:leader="dot" w:pos="9016"/>
        </w:tabs>
        <w:spacing w:after="100"/>
        <w:rPr>
          <w:rFonts w:asciiTheme="minorHAnsi" w:eastAsiaTheme="minorEastAsia" w:hAnsiTheme="minorHAnsi"/>
          <w:noProof/>
          <w:lang w:eastAsia="en-GB"/>
        </w:rPr>
      </w:pPr>
      <w:hyperlink w:anchor="_Toc322710108" w:history="1">
        <w:r w:rsidR="002A0B4D" w:rsidRPr="00DA5B70">
          <w:rPr>
            <w:rStyle w:val="Hyperlink"/>
            <w:noProof/>
          </w:rPr>
          <w:t>Figure 17: Routine School Monitoring Instrument</w:t>
        </w:r>
        <w:r w:rsidR="002A0B4D">
          <w:rPr>
            <w:noProof/>
            <w:webHidden/>
          </w:rPr>
          <w:tab/>
        </w:r>
        <w:r w:rsidR="002A0B4D">
          <w:rPr>
            <w:noProof/>
            <w:webHidden/>
          </w:rPr>
          <w:fldChar w:fldCharType="begin"/>
        </w:r>
        <w:r w:rsidR="002A0B4D">
          <w:rPr>
            <w:noProof/>
            <w:webHidden/>
          </w:rPr>
          <w:instrText xml:space="preserve"> PAGEREF _Toc322710108 \h </w:instrText>
        </w:r>
        <w:r w:rsidR="002A0B4D">
          <w:rPr>
            <w:noProof/>
            <w:webHidden/>
          </w:rPr>
        </w:r>
        <w:r w:rsidR="002A0B4D">
          <w:rPr>
            <w:noProof/>
            <w:webHidden/>
          </w:rPr>
          <w:fldChar w:fldCharType="separate"/>
        </w:r>
        <w:r w:rsidR="009B4D84">
          <w:rPr>
            <w:noProof/>
            <w:webHidden/>
          </w:rPr>
          <w:t>80</w:t>
        </w:r>
        <w:r w:rsidR="002A0B4D">
          <w:rPr>
            <w:noProof/>
            <w:webHidden/>
          </w:rPr>
          <w:fldChar w:fldCharType="end"/>
        </w:r>
      </w:hyperlink>
    </w:p>
    <w:p w14:paraId="13B559ED" w14:textId="77777777" w:rsidR="00AE46A7" w:rsidRPr="000A7545" w:rsidRDefault="00AE46A7" w:rsidP="002A0B4D">
      <w:pPr>
        <w:spacing w:after="100"/>
      </w:pPr>
      <w:r w:rsidRPr="000A7545">
        <w:fldChar w:fldCharType="end"/>
      </w:r>
    </w:p>
    <w:p w14:paraId="13B559EE" w14:textId="77777777" w:rsidR="00AE46A7" w:rsidRPr="000A7545" w:rsidRDefault="00AE46A7" w:rsidP="00AE46A7"/>
    <w:p w14:paraId="13B559EF" w14:textId="77777777" w:rsidR="00D60A17" w:rsidRPr="000A7545" w:rsidRDefault="00D60A17" w:rsidP="00D60A17"/>
    <w:p w14:paraId="13B559F0" w14:textId="77777777" w:rsidR="00D60A17" w:rsidRPr="000A7545" w:rsidRDefault="00D60A17" w:rsidP="00D60A17">
      <w:pPr>
        <w:sectPr w:rsidR="00D60A17" w:rsidRPr="000A7545" w:rsidSect="007C578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pPr>
    </w:p>
    <w:p w14:paraId="13B559F1" w14:textId="77777777" w:rsidR="007C578C" w:rsidRPr="000A7545" w:rsidRDefault="007C578C" w:rsidP="007C578C">
      <w:pPr>
        <w:pStyle w:val="Heading1"/>
      </w:pPr>
      <w:bookmarkStart w:id="11" w:name="_Toc322507186"/>
      <w:bookmarkStart w:id="12" w:name="_Toc322702754"/>
      <w:r w:rsidRPr="000A7545">
        <w:t>Executive Summary</w:t>
      </w:r>
      <w:bookmarkEnd w:id="11"/>
      <w:bookmarkEnd w:id="12"/>
    </w:p>
    <w:p w14:paraId="13B559F2" w14:textId="77777777" w:rsidR="00F1570E" w:rsidRPr="000A7545" w:rsidRDefault="00F1570E" w:rsidP="00F157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0A7545">
        <w:rPr>
          <w:rFonts w:cs="Arial"/>
        </w:rPr>
        <w:t>In support of government efforts to address educational inequities in Papua and West Papua, UNICEF with funding from the Government of Australia and the Government of the United States is implementing a joint programme on education s</w:t>
      </w:r>
      <w:r w:rsidR="00AB06AB" w:rsidRPr="000A7545">
        <w:rPr>
          <w:rFonts w:cs="Arial"/>
        </w:rPr>
        <w:t>upport for Papua and West Papua. The programme aims to strengthen governance systems of the basic education sector and improve learning and teaching processes at school level through service delivery of critical inputs such as capacity development of key education staff, improved planning and community involvement</w:t>
      </w:r>
      <w:r w:rsidRPr="000A7545">
        <w:rPr>
          <w:rFonts w:cs="Arial"/>
        </w:rPr>
        <w:t>. This joint programme encompasses the ‘Australia-UNICEF Education Assistance to Papua and West Papua’ and the ‘Striding towards Equity in Education in Papua and West Papua’ (STEP) Programme.</w:t>
      </w:r>
    </w:p>
    <w:p w14:paraId="13B559F3" w14:textId="77777777" w:rsidR="00AB06AB" w:rsidRPr="000A7545" w:rsidRDefault="00AB06AB" w:rsidP="00AB06AB">
      <w:pPr>
        <w:rPr>
          <w:rFonts w:cs="Arial"/>
        </w:rPr>
      </w:pPr>
      <w:r w:rsidRPr="000A7545">
        <w:rPr>
          <w:rFonts w:cs="Arial"/>
        </w:rPr>
        <w:t>This second progress report presents a description of the development and progress of the programme for the period from 1 March 2011 to 31 March 2012 as well as a brief discussion and analysis of implementation challenges. The report also outlines particular challenges faced in rural and remote areas, suggesting refinements for the school cluster model as applied in remote and rural areas, and the benefits of engaging potential new partners who can help reach children in remote and rural areas.</w:t>
      </w:r>
    </w:p>
    <w:p w14:paraId="13B559F4" w14:textId="77777777" w:rsidR="00AB06AB" w:rsidRPr="000A7545" w:rsidRDefault="00AB06AB" w:rsidP="00AB06AB">
      <w:pPr>
        <w:rPr>
          <w:rFonts w:cs="Arial"/>
          <w:bCs/>
        </w:rPr>
      </w:pPr>
      <w:r w:rsidRPr="000A7545">
        <w:rPr>
          <w:rFonts w:cs="Arial"/>
        </w:rPr>
        <w:t>The report is organized around the agreed outcomes of the AusA</w:t>
      </w:r>
      <w:r w:rsidR="0018048F">
        <w:rPr>
          <w:rFonts w:cs="Arial"/>
        </w:rPr>
        <w:t>ID and USAID funded programmes.</w:t>
      </w:r>
    </w:p>
    <w:p w14:paraId="13B559F5" w14:textId="77777777" w:rsidR="00F1570E" w:rsidRPr="000A7545" w:rsidRDefault="00F1570E" w:rsidP="00F1570E">
      <w:pPr>
        <w:rPr>
          <w:rFonts w:cs="Arial"/>
          <w:bCs/>
        </w:rPr>
      </w:pPr>
      <w:r w:rsidRPr="000A7545">
        <w:rPr>
          <w:rFonts w:cs="Arial"/>
        </w:rPr>
        <w:t>During the reporting peri</w:t>
      </w:r>
      <w:r w:rsidR="00AB06AB" w:rsidRPr="000A7545">
        <w:rPr>
          <w:rFonts w:cs="Arial"/>
        </w:rPr>
        <w:t>od a number of key results were achieved</w:t>
      </w:r>
      <w:r w:rsidRPr="000A7545">
        <w:rPr>
          <w:rFonts w:cs="Arial"/>
        </w:rPr>
        <w:t>:</w:t>
      </w:r>
    </w:p>
    <w:p w14:paraId="13B559F6" w14:textId="77777777" w:rsidR="00F1570E" w:rsidRPr="0018048F" w:rsidRDefault="00F1570E" w:rsidP="00697327">
      <w:pPr>
        <w:pStyle w:val="ListParagraph"/>
        <w:numPr>
          <w:ilvl w:val="0"/>
          <w:numId w:val="3"/>
        </w:numPr>
        <w:rPr>
          <w:rFonts w:cs="Arial"/>
        </w:rPr>
      </w:pPr>
      <w:r w:rsidRPr="0018048F">
        <w:rPr>
          <w:rFonts w:cs="Arial"/>
        </w:rPr>
        <w:t>Renstra (strategic plan) capacity development activities were implemented in all target provinces and districts. Strategic plans were developed and completed using participatory methods in all target provinces and districts. The model and process of Education Renstra development has been acclaimed as a model for other sectors.</w:t>
      </w:r>
    </w:p>
    <w:p w14:paraId="13B559F7" w14:textId="77777777" w:rsidR="000E35C3" w:rsidRDefault="00F1570E" w:rsidP="00697327">
      <w:pPr>
        <w:pStyle w:val="ListParagraph"/>
        <w:numPr>
          <w:ilvl w:val="0"/>
          <w:numId w:val="3"/>
        </w:numPr>
        <w:rPr>
          <w:rFonts w:cs="Arial"/>
        </w:rPr>
      </w:pPr>
      <w:r w:rsidRPr="0018048F">
        <w:rPr>
          <w:rFonts w:cs="Arial"/>
        </w:rPr>
        <w:t>Provincial and district governments allocated financial resources for the replication and provision of training materials for School-Based Management (SB</w:t>
      </w:r>
      <w:r w:rsidR="000E35C3">
        <w:rPr>
          <w:rFonts w:cs="Arial"/>
        </w:rPr>
        <w:t>M) to all non-target districts.</w:t>
      </w:r>
    </w:p>
    <w:p w14:paraId="13B559F8" w14:textId="77777777" w:rsidR="000E35C3" w:rsidRPr="0018048F" w:rsidRDefault="000E35C3" w:rsidP="000E35C3">
      <w:pPr>
        <w:pStyle w:val="ListParagraph"/>
        <w:numPr>
          <w:ilvl w:val="0"/>
          <w:numId w:val="3"/>
        </w:numPr>
        <w:rPr>
          <w:rFonts w:cs="Arial"/>
        </w:rPr>
      </w:pPr>
      <w:r w:rsidRPr="0018048F">
        <w:rPr>
          <w:rFonts w:cs="Arial"/>
        </w:rPr>
        <w:t>School-Based Management ‘revitalization training’ was designed to be more practical with hands-on experiences instead of theories. During the reporting period, SBM revitalization training reached 347 principals, teachers, and school committee members. The training of school supervisors contributed to improved school management and community participation.</w:t>
      </w:r>
    </w:p>
    <w:p w14:paraId="13B559F9" w14:textId="77777777" w:rsidR="00F1570E" w:rsidRPr="0018048F" w:rsidRDefault="00F1570E" w:rsidP="00697327">
      <w:pPr>
        <w:pStyle w:val="ListParagraph"/>
        <w:numPr>
          <w:ilvl w:val="0"/>
          <w:numId w:val="3"/>
        </w:numPr>
        <w:rPr>
          <w:rFonts w:cs="Arial"/>
        </w:rPr>
      </w:pPr>
      <w:r w:rsidRPr="0018048F">
        <w:rPr>
          <w:rFonts w:cs="Arial"/>
        </w:rPr>
        <w:t>Monitoring and Evaluation (M&amp;E) capacity development materials were delivered to all target districts and provincial education offices.</w:t>
      </w:r>
    </w:p>
    <w:p w14:paraId="13B559FA" w14:textId="77777777" w:rsidR="00F1570E" w:rsidRPr="0018048F" w:rsidRDefault="00F1570E" w:rsidP="00697327">
      <w:pPr>
        <w:pStyle w:val="ListParagraph"/>
        <w:numPr>
          <w:ilvl w:val="0"/>
          <w:numId w:val="3"/>
        </w:numPr>
        <w:rPr>
          <w:rFonts w:cs="Arial"/>
        </w:rPr>
      </w:pPr>
      <w:r w:rsidRPr="0018048F">
        <w:rPr>
          <w:rFonts w:cs="Arial"/>
        </w:rPr>
        <w:t>Mainstreaming of HIV and AIDS into the education sector and schools through inclusion in local planning and budgeting processes was supported by the Renstra and Renja.</w:t>
      </w:r>
    </w:p>
    <w:p w14:paraId="13B559FB" w14:textId="77777777" w:rsidR="00F1570E" w:rsidRPr="0018048F" w:rsidRDefault="00F1570E" w:rsidP="00697327">
      <w:pPr>
        <w:pStyle w:val="ListParagraph"/>
        <w:numPr>
          <w:ilvl w:val="0"/>
          <w:numId w:val="3"/>
        </w:numPr>
        <w:rPr>
          <w:rFonts w:cs="Arial"/>
        </w:rPr>
      </w:pPr>
      <w:r w:rsidRPr="0018048F">
        <w:rPr>
          <w:rFonts w:cs="Arial"/>
        </w:rPr>
        <w:t>Thirty two Early-Grade Master Trainers (13 men, 19 women) participated in a Training of Trainers intended to improve their capacity to teach others (teachers) the skills of teaching reading, writing, and basic numeracy in early-grade classes.</w:t>
      </w:r>
    </w:p>
    <w:p w14:paraId="13B559FC" w14:textId="77777777" w:rsidR="00F1570E" w:rsidRPr="0018048F" w:rsidRDefault="00F1570E" w:rsidP="00697327">
      <w:pPr>
        <w:pStyle w:val="ListParagraph"/>
        <w:numPr>
          <w:ilvl w:val="0"/>
          <w:numId w:val="3"/>
        </w:numPr>
        <w:rPr>
          <w:rFonts w:cs="Arial"/>
        </w:rPr>
      </w:pPr>
      <w:r w:rsidRPr="0018048F">
        <w:rPr>
          <w:rFonts w:cs="Arial"/>
        </w:rPr>
        <w:t>Training materials tailored for early-grade and multi-grade teaching within a Papuan context including a semester syllabus, sample lesson plans, and 18 fiction story books as well as tool kits for teaching literacy and numeracy were developed and distributed to schools.</w:t>
      </w:r>
    </w:p>
    <w:p w14:paraId="13B559FD" w14:textId="77777777" w:rsidR="00F1570E" w:rsidRPr="0018048F" w:rsidRDefault="00F1570E" w:rsidP="00697327">
      <w:pPr>
        <w:pStyle w:val="ListParagraph"/>
        <w:numPr>
          <w:ilvl w:val="0"/>
          <w:numId w:val="3"/>
        </w:numPr>
        <w:rPr>
          <w:rFonts w:cs="Arial"/>
        </w:rPr>
      </w:pPr>
      <w:r w:rsidRPr="0018048F">
        <w:rPr>
          <w:rFonts w:cs="Arial"/>
        </w:rPr>
        <w:t xml:space="preserve">The quality of education provided in satellite schools varies across districts with </w:t>
      </w:r>
      <w:r w:rsidR="0019597A" w:rsidRPr="0018048F">
        <w:rPr>
          <w:rFonts w:cs="Arial"/>
        </w:rPr>
        <w:t>less</w:t>
      </w:r>
      <w:r w:rsidRPr="0018048F">
        <w:rPr>
          <w:rFonts w:cs="Arial"/>
        </w:rPr>
        <w:t xml:space="preserve"> reach </w:t>
      </w:r>
      <w:r w:rsidR="0019597A" w:rsidRPr="0018048F">
        <w:rPr>
          <w:rFonts w:cs="Arial"/>
        </w:rPr>
        <w:t xml:space="preserve">into </w:t>
      </w:r>
      <w:r w:rsidRPr="0018048F">
        <w:rPr>
          <w:rFonts w:cs="Arial"/>
        </w:rPr>
        <w:t>rural remote areas. Realignment and re-programming for the remainder of the programmes’ implementation period will prioritize satellite schools, their principals, teachers and students in an effort to ensure that the capacity development methods and materials reach this marginalized group.</w:t>
      </w:r>
    </w:p>
    <w:p w14:paraId="13B559FE" w14:textId="77777777" w:rsidR="00B17345" w:rsidRDefault="00B17345" w:rsidP="007C578C"/>
    <w:p w14:paraId="13B559FF" w14:textId="77777777" w:rsidR="00B17345" w:rsidRDefault="00B17345" w:rsidP="007C578C"/>
    <w:p w14:paraId="13B55A00" w14:textId="77777777" w:rsidR="00B17345" w:rsidRDefault="00B17345" w:rsidP="007C578C"/>
    <w:p w14:paraId="13B55A01" w14:textId="77777777" w:rsidR="009508F8" w:rsidRPr="000A7545" w:rsidRDefault="009508F8" w:rsidP="007C578C">
      <w:r w:rsidRPr="000A7545">
        <w:br w:type="page"/>
      </w:r>
    </w:p>
    <w:p w14:paraId="13B55A02" w14:textId="77777777" w:rsidR="007C578C" w:rsidRPr="000A7545" w:rsidRDefault="007C578C" w:rsidP="00E00A80">
      <w:pPr>
        <w:pStyle w:val="Heading1"/>
      </w:pPr>
      <w:bookmarkStart w:id="13" w:name="_Toc301438801"/>
      <w:bookmarkStart w:id="14" w:name="_Toc303330150"/>
      <w:bookmarkStart w:id="15" w:name="_Toc322507187"/>
      <w:bookmarkStart w:id="16" w:name="_Toc322702755"/>
      <w:r w:rsidRPr="000A7545">
        <w:t>Purpose</w:t>
      </w:r>
      <w:bookmarkEnd w:id="13"/>
      <w:bookmarkEnd w:id="14"/>
      <w:bookmarkEnd w:id="15"/>
      <w:bookmarkEnd w:id="16"/>
    </w:p>
    <w:p w14:paraId="13B55A03" w14:textId="77777777" w:rsidR="00F1570E" w:rsidRPr="000A7545" w:rsidRDefault="00E903CC" w:rsidP="009508F8">
      <w:pPr>
        <w:rPr>
          <w:iCs/>
        </w:rPr>
      </w:pPr>
      <w:r w:rsidRPr="000A7545">
        <w:t>The G</w:t>
      </w:r>
      <w:r w:rsidR="00F1570E" w:rsidRPr="000A7545">
        <w:t xml:space="preserve">overnment of Indonesia has a strong commitment to education and has undertaken a number of important measures to achieve MDG 2 by 2015. In 1994 the </w:t>
      </w:r>
      <w:r w:rsidR="0049157F" w:rsidRPr="000A7545">
        <w:t>G</w:t>
      </w:r>
      <w:r w:rsidR="00F1570E" w:rsidRPr="000A7545">
        <w:t xml:space="preserve">overnment expanded Compulsory Basic Education </w:t>
      </w:r>
      <w:r w:rsidR="0049157F" w:rsidRPr="000A7545">
        <w:t xml:space="preserve">up to grade 9 </w:t>
      </w:r>
      <w:r w:rsidR="00F1570E" w:rsidRPr="000A7545">
        <w:t>for all children aged 7–15 years</w:t>
      </w:r>
      <w:r w:rsidRPr="000A7545">
        <w:t xml:space="preserve">. </w:t>
      </w:r>
      <w:r w:rsidR="00F1570E" w:rsidRPr="000A7545">
        <w:rPr>
          <w:rFonts w:eastAsia="Arial Unicode MS"/>
        </w:rPr>
        <w:t xml:space="preserve">While the </w:t>
      </w:r>
      <w:r w:rsidR="0049157F" w:rsidRPr="000A7545">
        <w:rPr>
          <w:rFonts w:eastAsia="Arial Unicode MS"/>
        </w:rPr>
        <w:t>n</w:t>
      </w:r>
      <w:r w:rsidR="00F1570E" w:rsidRPr="000A7545">
        <w:rPr>
          <w:iCs/>
        </w:rPr>
        <w:t xml:space="preserve">et </w:t>
      </w:r>
      <w:r w:rsidR="0049157F" w:rsidRPr="000A7545">
        <w:rPr>
          <w:iCs/>
        </w:rPr>
        <w:t>enrolment r</w:t>
      </w:r>
      <w:r w:rsidR="00F1570E" w:rsidRPr="000A7545">
        <w:rPr>
          <w:iCs/>
        </w:rPr>
        <w:t xml:space="preserve">ate (NER) has increased nationally, Papua and West Papua (commonly referred to as Tanah Papua) have significantly lower enrolment and retention rates and are at risk </w:t>
      </w:r>
      <w:r w:rsidR="009508F8" w:rsidRPr="000A7545">
        <w:rPr>
          <w:iCs/>
        </w:rPr>
        <w:t>of not achieving MDG 2 by 2015.</w:t>
      </w:r>
    </w:p>
    <w:p w14:paraId="13B55A04" w14:textId="77777777" w:rsidR="00F1570E" w:rsidRPr="000A7545" w:rsidRDefault="00F1570E" w:rsidP="009508F8">
      <w:pPr>
        <w:rPr>
          <w:rFonts w:eastAsia="Arial Unicode MS"/>
        </w:rPr>
      </w:pPr>
      <w:r w:rsidRPr="000A7545">
        <w:rPr>
          <w:rFonts w:eastAsia="Arial Unicode MS"/>
        </w:rPr>
        <w:t xml:space="preserve">Children and youth in Papua and West Papua face </w:t>
      </w:r>
      <w:r w:rsidR="00003C07">
        <w:rPr>
          <w:rFonts w:eastAsia="Arial Unicode MS"/>
        </w:rPr>
        <w:t xml:space="preserve">challenges </w:t>
      </w:r>
      <w:r w:rsidRPr="000A7545">
        <w:rPr>
          <w:rFonts w:eastAsia="Arial Unicode MS"/>
        </w:rPr>
        <w:t>to accessing quality education services with particular segments of society ex</w:t>
      </w:r>
      <w:r w:rsidR="009508F8" w:rsidRPr="000A7545">
        <w:rPr>
          <w:rFonts w:eastAsia="Arial Unicode MS"/>
        </w:rPr>
        <w:t xml:space="preserve">periencing massive inequities. </w:t>
      </w:r>
      <w:r w:rsidRPr="000A7545">
        <w:rPr>
          <w:rFonts w:eastAsia="Arial Unicode MS"/>
        </w:rPr>
        <w:t xml:space="preserve">Enrolment rates are lower than national averages for both </w:t>
      </w:r>
      <w:r w:rsidR="0049157F" w:rsidRPr="000A7545">
        <w:rPr>
          <w:rFonts w:eastAsia="Arial Unicode MS"/>
        </w:rPr>
        <w:t>p</w:t>
      </w:r>
      <w:r w:rsidRPr="000A7545">
        <w:rPr>
          <w:rFonts w:eastAsia="Arial Unicode MS"/>
        </w:rPr>
        <w:t xml:space="preserve">rimary and </w:t>
      </w:r>
      <w:r w:rsidR="0049157F" w:rsidRPr="000A7545">
        <w:rPr>
          <w:rFonts w:eastAsia="Arial Unicode MS"/>
        </w:rPr>
        <w:t>j</w:t>
      </w:r>
      <w:r w:rsidRPr="000A7545">
        <w:rPr>
          <w:rFonts w:eastAsia="Arial Unicode MS"/>
        </w:rPr>
        <w:t xml:space="preserve">unior </w:t>
      </w:r>
      <w:r w:rsidR="0049157F" w:rsidRPr="000A7545">
        <w:rPr>
          <w:rFonts w:eastAsia="Arial Unicode MS"/>
        </w:rPr>
        <w:t>s</w:t>
      </w:r>
      <w:r w:rsidRPr="000A7545">
        <w:rPr>
          <w:rFonts w:eastAsia="Arial Unicode MS"/>
        </w:rPr>
        <w:t>econdary schools (91.5 per cent for primary and 63 per cent for junior secondary levels in Papua, compared with national averages of 95 per cent for primary and 74 per cent for junior secondary</w:t>
      </w:r>
      <w:r w:rsidR="00A47718" w:rsidRPr="000A7545">
        <w:rPr>
          <w:rStyle w:val="FootnoteReference"/>
          <w:rFonts w:eastAsia="Arial Unicode MS"/>
        </w:rPr>
        <w:footnoteReference w:id="1"/>
      </w:r>
      <w:r w:rsidRPr="000A7545">
        <w:rPr>
          <w:rFonts w:eastAsia="Arial Unicode MS"/>
        </w:rPr>
        <w:t xml:space="preserve">; </w:t>
      </w:r>
      <w:r w:rsidR="00C6302B" w:rsidRPr="000A7545">
        <w:rPr>
          <w:rFonts w:eastAsia="Arial Unicode MS"/>
        </w:rPr>
        <w:t xml:space="preserve">Enrolment rates in </w:t>
      </w:r>
      <w:r w:rsidRPr="000A7545">
        <w:rPr>
          <w:rFonts w:eastAsia="Arial Unicode MS"/>
        </w:rPr>
        <w:t xml:space="preserve">West Papua </w:t>
      </w:r>
      <w:r w:rsidR="00C6302B" w:rsidRPr="000A7545">
        <w:rPr>
          <w:rFonts w:eastAsia="Arial Unicode MS"/>
        </w:rPr>
        <w:t>are</w:t>
      </w:r>
      <w:r w:rsidRPr="000A7545">
        <w:rPr>
          <w:rFonts w:eastAsia="Arial Unicode MS"/>
        </w:rPr>
        <w:t xml:space="preserve"> even lower </w:t>
      </w:r>
      <w:r w:rsidR="00C6302B" w:rsidRPr="000A7545">
        <w:rPr>
          <w:rFonts w:eastAsia="Arial Unicode MS"/>
        </w:rPr>
        <w:t>with</w:t>
      </w:r>
      <w:r w:rsidRPr="000A7545">
        <w:rPr>
          <w:rFonts w:eastAsia="Arial Unicode MS"/>
        </w:rPr>
        <w:t xml:space="preserve"> 87 per cent for primary and 61.5 per cent for junior secondary levels); drop-out</w:t>
      </w:r>
      <w:r w:rsidR="00C6302B" w:rsidRPr="000A7545">
        <w:rPr>
          <w:rFonts w:eastAsia="Arial Unicode MS"/>
        </w:rPr>
        <w:t xml:space="preserve"> and repetition rates are high</w:t>
      </w:r>
      <w:r w:rsidRPr="000A7545">
        <w:rPr>
          <w:rFonts w:eastAsia="Arial Unicode MS"/>
        </w:rPr>
        <w:t xml:space="preserve"> (estimated repetition rate is as high as 11 per cent in grade 1); more than 15 per cent of primary school age children are not in school (more than seven times higher than the national average); at least 38 per cent of classrooms in primary school</w:t>
      </w:r>
      <w:r w:rsidR="0049157F" w:rsidRPr="000A7545">
        <w:rPr>
          <w:rFonts w:eastAsia="Arial Unicode MS"/>
        </w:rPr>
        <w:t>s</w:t>
      </w:r>
      <w:r w:rsidRPr="000A7545">
        <w:rPr>
          <w:rFonts w:eastAsia="Arial Unicode MS"/>
        </w:rPr>
        <w:t xml:space="preserve"> are in bad condition; and only 4 per cent of primary school teachers possess the minimum qualification compared with 18 p</w:t>
      </w:r>
      <w:r w:rsidR="009508F8" w:rsidRPr="000A7545">
        <w:rPr>
          <w:rFonts w:eastAsia="Arial Unicode MS"/>
        </w:rPr>
        <w:t>er cent at the national level.</w:t>
      </w:r>
    </w:p>
    <w:p w14:paraId="13B55A05" w14:textId="77777777" w:rsidR="00F1570E" w:rsidRPr="000A7545" w:rsidRDefault="00F1570E" w:rsidP="009508F8">
      <w:r w:rsidRPr="000A7545">
        <w:rPr>
          <w:rFonts w:eastAsia="Arial Unicode MS"/>
        </w:rPr>
        <w:t>In general, f</w:t>
      </w:r>
      <w:r w:rsidRPr="000A7545">
        <w:t>actors contributing towards such disparities in</w:t>
      </w:r>
      <w:r w:rsidR="009508F8" w:rsidRPr="000A7545">
        <w:t xml:space="preserve"> Papua and West Papua include: </w:t>
      </w:r>
      <w:r w:rsidR="00003C07">
        <w:t>Limited capacities</w:t>
      </w:r>
      <w:r w:rsidR="0073105D">
        <w:t xml:space="preserve"> on</w:t>
      </w:r>
      <w:r w:rsidR="00003C07">
        <w:t xml:space="preserve"> </w:t>
      </w:r>
      <w:r w:rsidRPr="000A7545">
        <w:t>governance of the basic education sector, structural poverty; geographic isolation, ethnic or linguistic inequities; cultural and social norms, including gender discrimination; and HIV and AIDS</w:t>
      </w:r>
      <w:r w:rsidR="00032D28" w:rsidRPr="000A7545">
        <w:rPr>
          <w:rStyle w:val="FootnoteReference"/>
        </w:rPr>
        <w:footnoteReference w:id="2"/>
      </w:r>
      <w:r w:rsidRPr="000A7545">
        <w:t xml:space="preserve">. Findings from the baseline survey funded by AusAID reveal capacity gaps in education sector planning and management. Quality of public service delivery at district and school levels also remains </w:t>
      </w:r>
      <w:r w:rsidR="00003C07">
        <w:t xml:space="preserve">a challenge </w:t>
      </w:r>
      <w:r w:rsidRPr="000A7545">
        <w:t>as do targeting of services to the poor, creating greater disparities.</w:t>
      </w:r>
    </w:p>
    <w:p w14:paraId="13B55A06" w14:textId="77777777" w:rsidR="00F1570E" w:rsidRPr="000A7545" w:rsidRDefault="00F1570E" w:rsidP="009508F8">
      <w:r w:rsidRPr="000A7545">
        <w:t>Paradoxically, Papua and West Papua have high</w:t>
      </w:r>
      <w:r w:rsidR="00032D28" w:rsidRPr="000A7545">
        <w:t>er</w:t>
      </w:r>
      <w:r w:rsidRPr="000A7545">
        <w:t xml:space="preserve"> per capita spending on education than most other provinces in Indonesia. In fact, Papua is reported to have the second highest education spending in the country after East Kalimantan (World Bank, 2005). However, these figures </w:t>
      </w:r>
      <w:r w:rsidR="00003C07">
        <w:t xml:space="preserve">may need to be updated </w:t>
      </w:r>
      <w:r w:rsidRPr="000A7545">
        <w:t>given recent analysis of actual education budget</w:t>
      </w:r>
      <w:r w:rsidR="00032D28" w:rsidRPr="000A7545">
        <w:t xml:space="preserve"> allocation in Tanah Papua which found that </w:t>
      </w:r>
      <w:r w:rsidRPr="000A7545">
        <w:t>contributions are often well below stipulated levels. Funding is also often directed to areas not proven to improve access and equity in the basic education sector (e.g. high funding levels for university scholarship schemes for Papuans to other pa</w:t>
      </w:r>
      <w:r w:rsidR="0049157F" w:rsidRPr="000A7545">
        <w:t xml:space="preserve">rts of Indonesia or overseas). </w:t>
      </w:r>
      <w:r w:rsidRPr="000A7545">
        <w:t xml:space="preserve">A study also found that high proportions of budget allocations are directed toward education infrastructure including school buildings and education offices (World Bank, 2009) and routine government expenditures that have resulted in the creation </w:t>
      </w:r>
      <w:r w:rsidR="009508F8" w:rsidRPr="000A7545">
        <w:t xml:space="preserve">of new districts. </w:t>
      </w:r>
      <w:r w:rsidRPr="000A7545">
        <w:t>For example, the number of districts in Papua has grown from 13 in the early 19</w:t>
      </w:r>
      <w:r w:rsidR="009508F8" w:rsidRPr="000A7545">
        <w:t xml:space="preserve">90s to 40 in 2011 with several </w:t>
      </w:r>
      <w:r w:rsidRPr="000A7545">
        <w:t>new</w:t>
      </w:r>
      <w:r w:rsidR="009508F8" w:rsidRPr="000A7545">
        <w:t xml:space="preserve"> districts pl</w:t>
      </w:r>
      <w:r w:rsidR="00032D28" w:rsidRPr="000A7545">
        <w:t xml:space="preserve">anned for </w:t>
      </w:r>
      <w:r w:rsidR="009508F8" w:rsidRPr="000A7545">
        <w:t>2012.</w:t>
      </w:r>
    </w:p>
    <w:p w14:paraId="13B55A07" w14:textId="77777777" w:rsidR="00F1570E" w:rsidRPr="000A7545" w:rsidRDefault="00F1570E" w:rsidP="009508F8">
      <w:r w:rsidRPr="000A7545">
        <w:t xml:space="preserve">Although Tanah Papua has significantly increased access to educational opportunities for school-aged children, the quality, equity and relevance of education continue to remain uneven despite significant efforts in recent years. School numbers have expanded rapidly, especially in urban areas where basic education has increasingly become available through secondary school. Despite this progress, key educational disparities in basic education remain: (i) high illiteracy rate, (ii) high number of drop-outs and out-of-school children, (iii) gender imbalance, (iv) poor learning environment, (v) low demand, (vi) </w:t>
      </w:r>
      <w:r w:rsidRPr="000A7545">
        <w:rPr>
          <w:rFonts w:eastAsia="MS Mincho"/>
          <w:lang w:eastAsia="ja-JP"/>
        </w:rPr>
        <w:t>inefficient teacher deployment</w:t>
      </w:r>
      <w:r w:rsidRPr="000A7545">
        <w:t xml:space="preserve">, (vii) shortage of qualified teachers and poor teacher education programmes, (viii) inadequate learning materials, (ix) lack of instructional leadership, (x) </w:t>
      </w:r>
      <w:r w:rsidR="00003C07">
        <w:t>limited capacities in</w:t>
      </w:r>
      <w:r w:rsidR="00003C07" w:rsidRPr="000A7545">
        <w:t xml:space="preserve"> </w:t>
      </w:r>
      <w:r w:rsidRPr="000A7545">
        <w:t xml:space="preserve">school management, (xi) low performing clusters, and (xii) </w:t>
      </w:r>
      <w:r w:rsidR="00003C07">
        <w:t>the absence of an up to date</w:t>
      </w:r>
      <w:r w:rsidRPr="000A7545">
        <w:t xml:space="preserve"> educational management information system.</w:t>
      </w:r>
    </w:p>
    <w:p w14:paraId="13B55A08" w14:textId="77777777" w:rsidR="00F1570E" w:rsidRPr="000A7545" w:rsidRDefault="00F1570E" w:rsidP="009508F8">
      <w:r w:rsidRPr="000A7545">
        <w:t xml:space="preserve">Within this context, the overall goal and objective of the AusAID and USAID Education programmes supported </w:t>
      </w:r>
      <w:r w:rsidR="00784607" w:rsidRPr="000A7545">
        <w:t>by</w:t>
      </w:r>
      <w:r w:rsidRPr="000A7545">
        <w:t xml:space="preserve"> UNICEF is to advance and improve capacity at provincial, district and school level </w:t>
      </w:r>
      <w:r w:rsidR="00784607" w:rsidRPr="000A7545">
        <w:t xml:space="preserve">across Tanah Papua </w:t>
      </w:r>
      <w:r w:rsidRPr="000A7545">
        <w:t>to conduct strategic planning, and improve teaching practices in primary schools in six districts. The success of the programmes is to be demonstrated through:</w:t>
      </w:r>
    </w:p>
    <w:p w14:paraId="13B55A09" w14:textId="77777777" w:rsidR="00F1570E" w:rsidRPr="000A7545" w:rsidRDefault="00F1570E" w:rsidP="00697327">
      <w:pPr>
        <w:pStyle w:val="ListParagraph"/>
        <w:numPr>
          <w:ilvl w:val="0"/>
          <w:numId w:val="4"/>
        </w:numPr>
        <w:rPr>
          <w:rFonts w:cs="Arial"/>
          <w:b/>
        </w:rPr>
      </w:pPr>
      <w:r w:rsidRPr="000A7545">
        <w:rPr>
          <w:rFonts w:cs="Arial"/>
        </w:rPr>
        <w:t>Improved Education Sector Strategic Plans</w:t>
      </w:r>
      <w:r w:rsidR="00312C60" w:rsidRPr="000A7545">
        <w:rPr>
          <w:rFonts w:cs="Arial"/>
        </w:rPr>
        <w:t xml:space="preserve"> </w:t>
      </w:r>
      <w:r w:rsidRPr="000A7545">
        <w:rPr>
          <w:rFonts w:cs="Arial"/>
        </w:rPr>
        <w:t>and Annual Work Plans in tw</w:t>
      </w:r>
      <w:r w:rsidR="009508F8" w:rsidRPr="000A7545">
        <w:rPr>
          <w:rFonts w:cs="Arial"/>
        </w:rPr>
        <w:t>o provinces and six districts.</w:t>
      </w:r>
    </w:p>
    <w:p w14:paraId="13B55A0A" w14:textId="77777777" w:rsidR="00F1570E" w:rsidRPr="000A7545" w:rsidRDefault="00F1570E" w:rsidP="00697327">
      <w:pPr>
        <w:pStyle w:val="ListParagraph"/>
        <w:numPr>
          <w:ilvl w:val="0"/>
          <w:numId w:val="4"/>
        </w:numPr>
        <w:rPr>
          <w:rFonts w:cs="Arial"/>
          <w:b/>
        </w:rPr>
      </w:pPr>
      <w:r w:rsidRPr="000A7545">
        <w:rPr>
          <w:rFonts w:cs="Arial"/>
        </w:rPr>
        <w:t>Clear linkages between District Medium Term Development Plans and those of province and national levels for 2010-14, and equally clear linkages between annual operational plans for the education sector and sector budgets at provincial and district level.</w:t>
      </w:r>
    </w:p>
    <w:p w14:paraId="13B55A0B" w14:textId="77777777" w:rsidR="00F1570E" w:rsidRPr="000A7545" w:rsidRDefault="00F1570E" w:rsidP="00697327">
      <w:pPr>
        <w:pStyle w:val="ListParagraph"/>
        <w:numPr>
          <w:ilvl w:val="0"/>
          <w:numId w:val="4"/>
        </w:numPr>
        <w:rPr>
          <w:rFonts w:cs="Arial"/>
          <w:b/>
        </w:rPr>
      </w:pPr>
      <w:r w:rsidRPr="000A7545">
        <w:rPr>
          <w:rFonts w:cs="Arial"/>
        </w:rPr>
        <w:t>Increased participation of key stakeholders including civil society and communities in education sector planning and budgeting, and in monitoring and evaluation strategies.</w:t>
      </w:r>
    </w:p>
    <w:p w14:paraId="13B55A0C" w14:textId="77777777" w:rsidR="00F1570E" w:rsidRPr="000A7545" w:rsidRDefault="00F1570E" w:rsidP="00697327">
      <w:pPr>
        <w:pStyle w:val="ListParagraph"/>
        <w:numPr>
          <w:ilvl w:val="0"/>
          <w:numId w:val="4"/>
        </w:numPr>
        <w:rPr>
          <w:rFonts w:cs="Arial"/>
          <w:b/>
        </w:rPr>
      </w:pPr>
      <w:r w:rsidRPr="000A7545">
        <w:rPr>
          <w:rFonts w:cs="Arial"/>
        </w:rPr>
        <w:t>Improved teaching practices and increased participation of staff, school committee members and parents in the management of urban and peri-urban primary schools</w:t>
      </w:r>
      <w:r w:rsidR="009508F8" w:rsidRPr="000A7545">
        <w:rPr>
          <w:rFonts w:cs="Arial"/>
        </w:rPr>
        <w:t>.</w:t>
      </w:r>
    </w:p>
    <w:p w14:paraId="13B55A0D" w14:textId="77777777" w:rsidR="00F1570E" w:rsidRPr="000A7545" w:rsidRDefault="00F1570E" w:rsidP="00697327">
      <w:pPr>
        <w:pStyle w:val="ListParagraph"/>
        <w:numPr>
          <w:ilvl w:val="0"/>
          <w:numId w:val="4"/>
        </w:numPr>
        <w:rPr>
          <w:rFonts w:cs="Arial"/>
          <w:b/>
        </w:rPr>
      </w:pPr>
      <w:r w:rsidRPr="000A7545">
        <w:rPr>
          <w:rFonts w:cs="Arial"/>
        </w:rPr>
        <w:t>Improved teaching practices in rural and remote schools through implementation of multi</w:t>
      </w:r>
      <w:r w:rsidR="00312C60" w:rsidRPr="000A7545">
        <w:rPr>
          <w:rFonts w:cs="Arial"/>
        </w:rPr>
        <w:t>-</w:t>
      </w:r>
      <w:r w:rsidRPr="000A7545">
        <w:rPr>
          <w:rFonts w:cs="Arial"/>
        </w:rPr>
        <w:t>grade teaching and l</w:t>
      </w:r>
      <w:r w:rsidR="009508F8" w:rsidRPr="000A7545">
        <w:rPr>
          <w:rFonts w:cs="Arial"/>
        </w:rPr>
        <w:t>earning materials (grades 1-6).</w:t>
      </w:r>
    </w:p>
    <w:p w14:paraId="13B55A0E" w14:textId="77777777" w:rsidR="00F1570E" w:rsidRPr="000A7545" w:rsidRDefault="00F1570E" w:rsidP="00697327">
      <w:pPr>
        <w:pStyle w:val="ListParagraph"/>
        <w:numPr>
          <w:ilvl w:val="0"/>
          <w:numId w:val="4"/>
        </w:numPr>
        <w:rPr>
          <w:rFonts w:cs="Arial"/>
          <w:b/>
        </w:rPr>
      </w:pPr>
      <w:r w:rsidRPr="000A7545">
        <w:rPr>
          <w:rFonts w:cs="Arial"/>
        </w:rPr>
        <w:t xml:space="preserve">Improved literacy and numeracy teaching in small schools through intensive training on </w:t>
      </w:r>
      <w:r w:rsidR="00E377B2">
        <w:rPr>
          <w:rFonts w:cs="Arial"/>
        </w:rPr>
        <w:t>early-grade</w:t>
      </w:r>
      <w:r w:rsidRPr="000A7545">
        <w:rPr>
          <w:rFonts w:cs="Arial"/>
        </w:rPr>
        <w:t xml:space="preserve"> teaching and provision of</w:t>
      </w:r>
      <w:r w:rsidR="009508F8" w:rsidRPr="000A7545">
        <w:rPr>
          <w:rFonts w:cs="Arial"/>
        </w:rPr>
        <w:t xml:space="preserve"> resource package (grades 1-3).</w:t>
      </w:r>
    </w:p>
    <w:p w14:paraId="13B55A0F" w14:textId="77777777" w:rsidR="00F1570E" w:rsidRPr="000A7545" w:rsidRDefault="00F1570E" w:rsidP="009508F8">
      <w:r w:rsidRPr="000A7545">
        <w:t xml:space="preserve">The USAID-funded STEP programme was jointly designed with the Government to advance equity of education efforts in selected districts and more broadly through increasing the capacity of local education offices (from provincial to school levels) to better manage the education system, removing barriers to education for children in rural and remote areas, improving financial planning in the education sector, and promoting civil society participation and partnerships for increased </w:t>
      </w:r>
      <w:r w:rsidR="00A47718" w:rsidRPr="000A7545">
        <w:t>empowerment of communities</w:t>
      </w:r>
      <w:r w:rsidRPr="000A7545">
        <w:t xml:space="preserve"> and indigenous Papuan</w:t>
      </w:r>
      <w:r w:rsidR="00A47718" w:rsidRPr="000A7545">
        <w:t>s.</w:t>
      </w:r>
      <w:r w:rsidRPr="000A7545">
        <w:t xml:space="preserve"> Improved partnerships and participation of civil society organizations (CSO) in policy making, participatory planning and education service delivery at community, district and provincial levels is thus seen as an integral and critical ingredient of the effort on strategic and annual planning at provincial and district levels, and school management at community level.</w:t>
      </w:r>
    </w:p>
    <w:p w14:paraId="13B55A10" w14:textId="77777777" w:rsidR="00F1570E" w:rsidRPr="000A7545" w:rsidRDefault="00F1570E" w:rsidP="009508F8">
      <w:r w:rsidRPr="000A7545">
        <w:t>The expected combined programme outcomes</w:t>
      </w:r>
      <w:r w:rsidR="009508F8" w:rsidRPr="000A7545">
        <w:t xml:space="preserve"> include:</w:t>
      </w:r>
    </w:p>
    <w:p w14:paraId="13B55A11" w14:textId="77777777" w:rsidR="00F1570E" w:rsidRPr="000A7545" w:rsidRDefault="00F1570E" w:rsidP="009508F8">
      <w:pPr>
        <w:ind w:left="1440" w:hanging="1440"/>
      </w:pPr>
      <w:r w:rsidRPr="000A7545">
        <w:rPr>
          <w:noProof/>
        </w:rPr>
        <w:t>Outcome 1.1</w:t>
      </w:r>
      <w:r w:rsidR="009508F8" w:rsidRPr="000A7545">
        <w:rPr>
          <w:noProof/>
        </w:rPr>
        <w:t>:</w:t>
      </w:r>
      <w:r w:rsidR="009508F8" w:rsidRPr="000A7545">
        <w:rPr>
          <w:noProof/>
        </w:rPr>
        <w:tab/>
      </w:r>
      <w:r w:rsidRPr="000A7545">
        <w:rPr>
          <w:noProof/>
        </w:rPr>
        <w:t xml:space="preserve">Provincial and selected District </w:t>
      </w:r>
      <w:r w:rsidRPr="000A7545">
        <w:t>Education Offices use Plans (R</w:t>
      </w:r>
      <w:r w:rsidR="00312C60" w:rsidRPr="000A7545">
        <w:t xml:space="preserve">enstra </w:t>
      </w:r>
      <w:r w:rsidRPr="000A7545">
        <w:t>and R</w:t>
      </w:r>
      <w:r w:rsidR="00312C60" w:rsidRPr="000A7545">
        <w:t>enja</w:t>
      </w:r>
      <w:r w:rsidRPr="000A7545">
        <w:t>), including improved budgeting and financial management system. (This outcome is supp</w:t>
      </w:r>
      <w:r w:rsidR="009508F8" w:rsidRPr="000A7545">
        <w:t>orted by both AusAID and USAID</w:t>
      </w:r>
      <w:r w:rsidR="000C5021" w:rsidRPr="000A7545">
        <w:t>.</w:t>
      </w:r>
      <w:r w:rsidR="009508F8" w:rsidRPr="000A7545">
        <w:t>)</w:t>
      </w:r>
    </w:p>
    <w:p w14:paraId="13B55A12" w14:textId="77777777" w:rsidR="000C5021" w:rsidRPr="000A7545" w:rsidRDefault="009508F8" w:rsidP="000C5021">
      <w:pPr>
        <w:spacing w:after="0"/>
        <w:ind w:left="1440" w:hanging="1440"/>
        <w:rPr>
          <w:noProof/>
        </w:rPr>
      </w:pPr>
      <w:r w:rsidRPr="000A7545">
        <w:rPr>
          <w:noProof/>
        </w:rPr>
        <w:t>Outcome 1.2:</w:t>
      </w:r>
      <w:r w:rsidRPr="000A7545">
        <w:rPr>
          <w:noProof/>
        </w:rPr>
        <w:tab/>
      </w:r>
      <w:r w:rsidR="00F1570E" w:rsidRPr="000A7545">
        <w:rPr>
          <w:noProof/>
        </w:rPr>
        <w:t xml:space="preserve">Primary school children in selected schools in target districts are benefiting </w:t>
      </w:r>
      <w:r w:rsidR="000C5021" w:rsidRPr="000A7545">
        <w:rPr>
          <w:noProof/>
        </w:rPr>
        <w:t>from improved teaching.</w:t>
      </w:r>
    </w:p>
    <w:p w14:paraId="13B55A13" w14:textId="77777777" w:rsidR="00F1570E" w:rsidRPr="000A7545" w:rsidRDefault="00F1570E" w:rsidP="000C5021">
      <w:pPr>
        <w:ind w:left="1440"/>
        <w:rPr>
          <w:noProof/>
        </w:rPr>
      </w:pPr>
      <w:r w:rsidRPr="000A7545">
        <w:rPr>
          <w:noProof/>
        </w:rPr>
        <w:t>(AusAID supports this component through building teacher capacity for active learning in urban and peri-urban schools, multig</w:t>
      </w:r>
      <w:r w:rsidR="000C5021" w:rsidRPr="000A7545">
        <w:rPr>
          <w:noProof/>
        </w:rPr>
        <w:t>-</w:t>
      </w:r>
      <w:r w:rsidRPr="000A7545">
        <w:rPr>
          <w:noProof/>
        </w:rPr>
        <w:t>rade in rur</w:t>
      </w:r>
      <w:r w:rsidR="000C5021" w:rsidRPr="000A7545">
        <w:rPr>
          <w:noProof/>
        </w:rPr>
        <w:t>al and remote schools and early-</w:t>
      </w:r>
      <w:r w:rsidRPr="000A7545">
        <w:rPr>
          <w:noProof/>
        </w:rPr>
        <w:t>grade te</w:t>
      </w:r>
      <w:r w:rsidR="009508F8" w:rsidRPr="000A7545">
        <w:rPr>
          <w:noProof/>
        </w:rPr>
        <w:t>aching in small rural schools.)</w:t>
      </w:r>
    </w:p>
    <w:p w14:paraId="13B55A14" w14:textId="77777777" w:rsidR="000C5021" w:rsidRPr="000A7545" w:rsidRDefault="009508F8" w:rsidP="000C5021">
      <w:pPr>
        <w:spacing w:after="0"/>
        <w:ind w:left="1440" w:hanging="1440"/>
        <w:rPr>
          <w:noProof/>
        </w:rPr>
      </w:pPr>
      <w:r w:rsidRPr="000A7545">
        <w:rPr>
          <w:noProof/>
        </w:rPr>
        <w:t>Outcome 1.3:</w:t>
      </w:r>
      <w:r w:rsidRPr="000A7545">
        <w:rPr>
          <w:noProof/>
        </w:rPr>
        <w:tab/>
      </w:r>
      <w:r w:rsidR="00F1570E" w:rsidRPr="000A7545">
        <w:rPr>
          <w:noProof/>
        </w:rPr>
        <w:t>Principals, supervisors and school committees have stronger leadership and manageme</w:t>
      </w:r>
      <w:r w:rsidR="000C5021" w:rsidRPr="000A7545">
        <w:rPr>
          <w:noProof/>
        </w:rPr>
        <w:t>nt skills.</w:t>
      </w:r>
    </w:p>
    <w:p w14:paraId="13B55A15" w14:textId="77777777" w:rsidR="00F1570E" w:rsidRPr="000A7545" w:rsidRDefault="009508F8" w:rsidP="000C5021">
      <w:pPr>
        <w:ind w:left="1440"/>
        <w:rPr>
          <w:noProof/>
        </w:rPr>
      </w:pPr>
      <w:r w:rsidRPr="000A7545">
        <w:rPr>
          <w:noProof/>
        </w:rPr>
        <w:t>(</w:t>
      </w:r>
      <w:r w:rsidR="000C5021" w:rsidRPr="000A7545">
        <w:rPr>
          <w:noProof/>
        </w:rPr>
        <w:t>S</w:t>
      </w:r>
      <w:r w:rsidRPr="000A7545">
        <w:rPr>
          <w:noProof/>
        </w:rPr>
        <w:t>upported by USAID</w:t>
      </w:r>
      <w:r w:rsidR="000C5021" w:rsidRPr="000A7545">
        <w:rPr>
          <w:noProof/>
        </w:rPr>
        <w:t>.</w:t>
      </w:r>
      <w:r w:rsidRPr="000A7545">
        <w:rPr>
          <w:noProof/>
        </w:rPr>
        <w:t>)</w:t>
      </w:r>
    </w:p>
    <w:p w14:paraId="13B55A16" w14:textId="77777777" w:rsidR="00F1570E" w:rsidRPr="000A7545" w:rsidRDefault="00F1570E" w:rsidP="009508F8">
      <w:pPr>
        <w:rPr>
          <w:noProof/>
        </w:rPr>
      </w:pPr>
    </w:p>
    <w:p w14:paraId="13B55A17" w14:textId="77777777" w:rsidR="00F1570E" w:rsidRPr="000A7545" w:rsidRDefault="00F1570E" w:rsidP="009508F8">
      <w:bookmarkStart w:id="17" w:name="_Toc217154735"/>
      <w:bookmarkStart w:id="18" w:name="_Toc217157679"/>
      <w:bookmarkStart w:id="19" w:name="_Toc217158119"/>
      <w:bookmarkStart w:id="20" w:name="_Toc218594136"/>
      <w:bookmarkStart w:id="21" w:name="_Toc233855809"/>
      <w:r w:rsidRPr="000A7545">
        <w:t xml:space="preserve">Due to the integrated nature of the programme this report combines the progress made under both the </w:t>
      </w:r>
      <w:r w:rsidR="00903E02" w:rsidRPr="000A7545">
        <w:rPr>
          <w:rFonts w:cs="Arial"/>
        </w:rPr>
        <w:t>‘Australia-UNICEF Education Assistance to Papua and West Papua’ and the USAID-funded ‘Striding towards Equity in Education in Papua and West Papua’ (STEP) Programmes.</w:t>
      </w:r>
      <w:r w:rsidRPr="000A7545">
        <w:t xml:space="preserve"> To the extent possible clear attribution </w:t>
      </w:r>
      <w:r w:rsidR="000C5021" w:rsidRPr="000A7545">
        <w:t xml:space="preserve">by donor </w:t>
      </w:r>
      <w:r w:rsidRPr="000A7545">
        <w:t>is provided in the text, although this is not always possible due to the convergent nature of the effort. The fund utilization table however, clearly delineates the source of funding for various activities and thus makes it possible for each donor to clearly see where their cont</w:t>
      </w:r>
      <w:r w:rsidR="000C5021" w:rsidRPr="000A7545">
        <w:t>ribution</w:t>
      </w:r>
      <w:r w:rsidRPr="000A7545">
        <w:t xml:space="preserve"> has been used for the program</w:t>
      </w:r>
      <w:bookmarkEnd w:id="17"/>
      <w:bookmarkEnd w:id="18"/>
      <w:bookmarkEnd w:id="19"/>
      <w:bookmarkEnd w:id="20"/>
      <w:bookmarkEnd w:id="21"/>
      <w:r w:rsidR="009508F8" w:rsidRPr="000A7545">
        <w:t>me.</w:t>
      </w:r>
    </w:p>
    <w:p w14:paraId="13B55A18" w14:textId="77777777" w:rsidR="007C578C" w:rsidRPr="000A7545" w:rsidRDefault="007C578C" w:rsidP="009508F8"/>
    <w:p w14:paraId="13B55A19" w14:textId="77777777" w:rsidR="009508F8" w:rsidRPr="000A7545" w:rsidRDefault="009508F8" w:rsidP="007C578C">
      <w:r w:rsidRPr="000A7545">
        <w:br w:type="page"/>
      </w:r>
    </w:p>
    <w:p w14:paraId="13B55A1A" w14:textId="77777777" w:rsidR="007C578C" w:rsidRPr="000A7545" w:rsidRDefault="007C578C" w:rsidP="007C578C">
      <w:pPr>
        <w:pStyle w:val="Heading1"/>
      </w:pPr>
      <w:bookmarkStart w:id="22" w:name="_Toc301438805"/>
      <w:bookmarkStart w:id="23" w:name="_Toc303330152"/>
      <w:bookmarkStart w:id="24" w:name="_Toc322507188"/>
      <w:bookmarkStart w:id="25" w:name="_Toc322702756"/>
      <w:r w:rsidRPr="000A7545">
        <w:t>Results</w:t>
      </w:r>
      <w:bookmarkEnd w:id="22"/>
      <w:bookmarkEnd w:id="23"/>
      <w:bookmarkEnd w:id="24"/>
      <w:bookmarkEnd w:id="25"/>
    </w:p>
    <w:p w14:paraId="13B55A1B" w14:textId="77777777" w:rsidR="006800CF" w:rsidRPr="000A7545" w:rsidRDefault="006800CF" w:rsidP="006800CF">
      <w:r w:rsidRPr="000A7545">
        <w:t xml:space="preserve">According to the </w:t>
      </w:r>
      <w:r w:rsidR="00C10D04" w:rsidRPr="000A7545">
        <w:t>recent independent assessment of the</w:t>
      </w:r>
      <w:r w:rsidRPr="000A7545">
        <w:t xml:space="preserve"> </w:t>
      </w:r>
      <w:r w:rsidR="00C10D04" w:rsidRPr="000A7545">
        <w:t>‘</w:t>
      </w:r>
      <w:r w:rsidR="00C10D04" w:rsidRPr="000A7545">
        <w:rPr>
          <w:rFonts w:cs="Arial"/>
        </w:rPr>
        <w:t>Australia-UNICEF Education Assistance to Papua and West Papua’</w:t>
      </w:r>
      <w:r w:rsidRPr="000A7545">
        <w:t xml:space="preserve"> programme</w:t>
      </w:r>
      <w:r w:rsidR="00C10D04" w:rsidRPr="000A7545">
        <w:t>,</w:t>
      </w:r>
      <w:r w:rsidRPr="000A7545">
        <w:t xml:space="preserve"> “</w:t>
      </w:r>
      <w:r w:rsidRPr="000A7545">
        <w:rPr>
          <w:i/>
        </w:rPr>
        <w:t>Measurable progress is being made and the delivery of outputs by late 2012 is likely to be consistent with the design”.</w:t>
      </w:r>
      <w:r w:rsidRPr="000A7545">
        <w:rPr>
          <w:rStyle w:val="FootnoteReference"/>
          <w:rFonts w:asciiTheme="majorHAnsi" w:hAnsiTheme="majorHAnsi" w:cstheme="majorHAnsi"/>
          <w:i/>
        </w:rPr>
        <w:footnoteReference w:id="3"/>
      </w:r>
      <w:r w:rsidRPr="000A7545">
        <w:rPr>
          <w:i/>
        </w:rPr>
        <w:t xml:space="preserve"> </w:t>
      </w:r>
      <w:r w:rsidRPr="000A7545">
        <w:t>However reaching children in remote and rural areas has remained a persistent challenge with access and quality issues that are intractable, such as distances to school, availability of teachers in the classroom, poor community perceptions regarding the value of education, and poor infrastructure.</w:t>
      </w:r>
    </w:p>
    <w:p w14:paraId="13B55A1C" w14:textId="77777777" w:rsidR="006800CF" w:rsidRPr="000A7545" w:rsidRDefault="006800CF" w:rsidP="006800CF">
      <w:r w:rsidRPr="000A7545">
        <w:t xml:space="preserve">With less than a year of implementation time remaining, and with significant achievements and results in urban and peri-urban areas ready for replication, careful consideration is now </w:t>
      </w:r>
      <w:r w:rsidR="00AB06AB" w:rsidRPr="000A7545">
        <w:t xml:space="preserve">being </w:t>
      </w:r>
      <w:r w:rsidRPr="000A7545">
        <w:t>given to refinements and adjustments necessary for much-needed progress in rural and remote areas. Strategies for strengthening access to remote and rural schools are presented</w:t>
      </w:r>
      <w:r w:rsidR="00AB06AB" w:rsidRPr="000A7545">
        <w:t xml:space="preserve"> in section 6.2</w:t>
      </w:r>
      <w:r w:rsidRPr="000A7545">
        <w:t>.</w:t>
      </w:r>
    </w:p>
    <w:p w14:paraId="13B55A1D" w14:textId="77777777" w:rsidR="00662795" w:rsidRPr="000A7545" w:rsidRDefault="006800CF" w:rsidP="00662795">
      <w:r w:rsidRPr="000A7545">
        <w:t xml:space="preserve">The present chapter </w:t>
      </w:r>
      <w:r w:rsidR="00662795" w:rsidRPr="000A7545">
        <w:t>outlines the progress toward results across the three core outcomes listed above.</w:t>
      </w:r>
    </w:p>
    <w:p w14:paraId="13B55A1E" w14:textId="77777777" w:rsidR="006800CF" w:rsidRDefault="006800CF" w:rsidP="006800CF"/>
    <w:p w14:paraId="13B55A1F" w14:textId="77777777" w:rsidR="007C4313" w:rsidRPr="000A7545" w:rsidRDefault="007C4313" w:rsidP="006800CF"/>
    <w:p w14:paraId="13B55A20" w14:textId="77777777" w:rsidR="0091213F" w:rsidRPr="000A7545" w:rsidRDefault="0091213F" w:rsidP="0091213F">
      <w:pPr>
        <w:pStyle w:val="Heading2"/>
        <w:rPr>
          <w:lang w:val="en-GB"/>
        </w:rPr>
      </w:pPr>
      <w:bookmarkStart w:id="26" w:name="_Toc321303360"/>
      <w:bookmarkStart w:id="27" w:name="_Toc321304864"/>
      <w:bookmarkStart w:id="28" w:name="_Toc322702757"/>
      <w:r w:rsidRPr="000A7545">
        <w:rPr>
          <w:lang w:val="en-GB"/>
        </w:rPr>
        <w:t>Outcome 1.1: provincial and selected district education Offices use plans (renstra and renja) including improved budgeting and financial management system</w:t>
      </w:r>
      <w:bookmarkEnd w:id="26"/>
      <w:bookmarkEnd w:id="27"/>
      <w:r w:rsidR="00F404EF">
        <w:rPr>
          <w:lang w:val="en-GB"/>
        </w:rPr>
        <w:t xml:space="preserve"> (AusAID and USAID)</w:t>
      </w:r>
      <w:bookmarkEnd w:id="28"/>
    </w:p>
    <w:p w14:paraId="13B55A21" w14:textId="77777777" w:rsidR="00FC3552" w:rsidRPr="000A7545" w:rsidRDefault="00FC3552" w:rsidP="00FC3552">
      <w:r w:rsidRPr="000A7545">
        <w:t>The achievement of this result was undertaken through capacity development of partners in strategic planning (Renstra) and annual work plan (Renja) with specific reference to:</w:t>
      </w:r>
    </w:p>
    <w:p w14:paraId="13B55A22" w14:textId="77777777" w:rsidR="0091213F" w:rsidRPr="000A7545" w:rsidRDefault="0091213F" w:rsidP="00697327">
      <w:pPr>
        <w:pStyle w:val="ListParagraph"/>
        <w:numPr>
          <w:ilvl w:val="0"/>
          <w:numId w:val="5"/>
        </w:numPr>
      </w:pPr>
      <w:r w:rsidRPr="000A7545">
        <w:t>Renstra and Renja capacity development workshops for government and development partners from all target districts (AusAID);</w:t>
      </w:r>
    </w:p>
    <w:p w14:paraId="13B55A23" w14:textId="77777777" w:rsidR="0091213F" w:rsidRPr="000A7545" w:rsidRDefault="0091213F" w:rsidP="00697327">
      <w:pPr>
        <w:pStyle w:val="ListParagraph"/>
        <w:numPr>
          <w:ilvl w:val="0"/>
          <w:numId w:val="5"/>
        </w:numPr>
      </w:pPr>
      <w:r w:rsidRPr="000A7545">
        <w:t>Capacity development of provincial and district staff in budgeting and financial planning (USAID);</w:t>
      </w:r>
    </w:p>
    <w:p w14:paraId="13B55A24" w14:textId="77777777" w:rsidR="0091213F" w:rsidRPr="000A7545" w:rsidRDefault="0091213F" w:rsidP="00697327">
      <w:pPr>
        <w:pStyle w:val="ListParagraph"/>
        <w:numPr>
          <w:ilvl w:val="0"/>
          <w:numId w:val="5"/>
        </w:numPr>
      </w:pPr>
      <w:r w:rsidRPr="000A7545">
        <w:t>Training on improvements in provincial and district accountability systems (USAID);</w:t>
      </w:r>
    </w:p>
    <w:p w14:paraId="13B55A25" w14:textId="77777777" w:rsidR="0091213F" w:rsidRPr="000A7545" w:rsidRDefault="0091213F" w:rsidP="00697327">
      <w:pPr>
        <w:pStyle w:val="ListParagraph"/>
        <w:numPr>
          <w:ilvl w:val="0"/>
          <w:numId w:val="5"/>
        </w:numPr>
      </w:pPr>
      <w:r w:rsidRPr="000A7545">
        <w:t>Training in the use of reliable data in the planning process (AusAID and USAID);</w:t>
      </w:r>
    </w:p>
    <w:p w14:paraId="13B55A26" w14:textId="77777777" w:rsidR="0091213F" w:rsidRPr="000A7545" w:rsidRDefault="0091213F" w:rsidP="00697327">
      <w:pPr>
        <w:pStyle w:val="ListParagraph"/>
        <w:numPr>
          <w:ilvl w:val="0"/>
          <w:numId w:val="5"/>
        </w:numPr>
      </w:pPr>
      <w:r w:rsidRPr="000A7545">
        <w:t>Policy studies to inform planning including the Teacher Absenteeism Study (USAID);</w:t>
      </w:r>
    </w:p>
    <w:p w14:paraId="13B55A27" w14:textId="77777777" w:rsidR="0091213F" w:rsidRPr="000A7545" w:rsidRDefault="0091213F" w:rsidP="00697327">
      <w:pPr>
        <w:pStyle w:val="ListParagraph"/>
        <w:numPr>
          <w:ilvl w:val="0"/>
          <w:numId w:val="5"/>
        </w:numPr>
      </w:pPr>
      <w:r w:rsidRPr="000A7545">
        <w:t>Training on the use of effective Monitoring and Evaluation Frameworks for Renstra and Renja.</w:t>
      </w:r>
    </w:p>
    <w:p w14:paraId="13B55A28" w14:textId="77777777" w:rsidR="00FC3552" w:rsidRPr="000A7545" w:rsidRDefault="00FC3552" w:rsidP="00FC3552">
      <w:r w:rsidRPr="000A7545">
        <w:t xml:space="preserve">Progress on outcome level indicators is described below and further data can be found in the Integrated Monitoring and Evaluation </w:t>
      </w:r>
      <w:r w:rsidRPr="0018048F">
        <w:t>Framework (Annex 1).</w:t>
      </w:r>
    </w:p>
    <w:p w14:paraId="13B55A29" w14:textId="77777777" w:rsidR="00FC3552" w:rsidRDefault="00FC3552" w:rsidP="00FC3552"/>
    <w:p w14:paraId="13B55A2A" w14:textId="77777777" w:rsidR="007C4313" w:rsidRPr="000A7545" w:rsidRDefault="007C4313" w:rsidP="00FC3552"/>
    <w:p w14:paraId="13B55A2B" w14:textId="77777777" w:rsidR="00FC3552" w:rsidRPr="000A7545" w:rsidRDefault="00A34E1A" w:rsidP="00C0376C">
      <w:pPr>
        <w:pStyle w:val="IntenseQuote"/>
        <w:rPr>
          <w:rStyle w:val="Emphasis"/>
          <w:bCs w:val="0"/>
          <w:i w:val="0"/>
          <w:u w:val="none"/>
        </w:rPr>
      </w:pPr>
      <w:r w:rsidRPr="000A7545">
        <w:rPr>
          <w:rStyle w:val="Emphasis"/>
          <w:bCs w:val="0"/>
          <w:i w:val="0"/>
          <w:u w:val="none"/>
        </w:rPr>
        <w:t>1.1</w:t>
      </w:r>
      <w:r w:rsidR="004652D0" w:rsidRPr="000A7545">
        <w:rPr>
          <w:rStyle w:val="Emphasis"/>
          <w:bCs w:val="0"/>
          <w:i w:val="0"/>
          <w:u w:val="none"/>
        </w:rPr>
        <w:t xml:space="preserve">a. </w:t>
      </w:r>
      <w:r w:rsidR="00AB06AB" w:rsidRPr="000A7545">
        <w:rPr>
          <w:rStyle w:val="Emphasis"/>
          <w:bCs w:val="0"/>
          <w:i w:val="0"/>
          <w:u w:val="none"/>
        </w:rPr>
        <w:t>E</w:t>
      </w:r>
      <w:r w:rsidR="00FC3552" w:rsidRPr="000A7545">
        <w:rPr>
          <w:rStyle w:val="Emphasis"/>
          <w:bCs w:val="0"/>
          <w:i w:val="0"/>
          <w:u w:val="none"/>
        </w:rPr>
        <w:t>ducation offices in targe</w:t>
      </w:r>
      <w:r w:rsidRPr="000A7545">
        <w:rPr>
          <w:rStyle w:val="Emphasis"/>
          <w:bCs w:val="0"/>
          <w:i w:val="0"/>
          <w:u w:val="none"/>
        </w:rPr>
        <w:t>t districts and provinces us</w:t>
      </w:r>
      <w:r w:rsidR="00AB06AB" w:rsidRPr="000A7545">
        <w:rPr>
          <w:rStyle w:val="Emphasis"/>
          <w:bCs w:val="0"/>
          <w:i w:val="0"/>
          <w:u w:val="none"/>
        </w:rPr>
        <w:t>e</w:t>
      </w:r>
      <w:r w:rsidRPr="000A7545">
        <w:rPr>
          <w:rStyle w:val="Emphasis"/>
          <w:bCs w:val="0"/>
          <w:i w:val="0"/>
          <w:u w:val="none"/>
        </w:rPr>
        <w:t xml:space="preserve"> </w:t>
      </w:r>
      <w:r w:rsidR="00FC3552" w:rsidRPr="000A7545">
        <w:rPr>
          <w:rStyle w:val="Emphasis"/>
          <w:bCs w:val="0"/>
          <w:i w:val="0"/>
          <w:u w:val="none"/>
        </w:rPr>
        <w:t>improved quality education strategic plans (Renstra)</w:t>
      </w:r>
    </w:p>
    <w:p w14:paraId="13B55A2C" w14:textId="77777777" w:rsidR="00662795" w:rsidRPr="000A7545" w:rsidRDefault="00662795" w:rsidP="00662795">
      <w:r w:rsidRPr="000A7545">
        <w:t>Analysis of programme documentation and presentations at the Education sector review meeting in Jayapura November 2011 provides evidence that 100% of province and districts (2/2 and 6/6) supported by th</w:t>
      </w:r>
      <w:r w:rsidR="00BB6297" w:rsidRPr="000A7545">
        <w:t>e</w:t>
      </w:r>
      <w:r w:rsidRPr="000A7545">
        <w:t xml:space="preserve"> programme have Education Sector Strategic Plan (Renstra) for 2012 that ha</w:t>
      </w:r>
      <w:r w:rsidR="00BB6297" w:rsidRPr="000A7545">
        <w:t>ve</w:t>
      </w:r>
      <w:r w:rsidRPr="000A7545">
        <w:t xml:space="preserve"> been developed using a participatory and consultative approach and follows the guidelines developed by the government unlike in the past where the office lacked either or both strategic and annual work plans.</w:t>
      </w:r>
    </w:p>
    <w:p w14:paraId="13B55A2D" w14:textId="77777777" w:rsidR="00AB06AB" w:rsidRPr="000A7545" w:rsidRDefault="00662795" w:rsidP="00AB06AB">
      <w:r w:rsidRPr="000A7545">
        <w:t>During 2011 a team of UNICEF recruited consultants deployed to government finalized a capacity development training module for Renja development that was subsequently used by all education offices in the planning process</w:t>
      </w:r>
      <w:r w:rsidR="00AB06AB" w:rsidRPr="000A7545">
        <w:t>. Aside from the current result, the Renstra capacity development modules developed as part of this process are resources for future use by local and provincial governments in future strategic planning and annual work plan development, as well as for implementation of these plans.</w:t>
      </w:r>
    </w:p>
    <w:p w14:paraId="13B55A2E" w14:textId="77777777" w:rsidR="00662795" w:rsidRPr="000A7545" w:rsidRDefault="00662795" w:rsidP="00662795">
      <w:r w:rsidRPr="000A7545">
        <w:t xml:space="preserve">The quality and relevance of the technical assistance </w:t>
      </w:r>
      <w:r w:rsidR="00AB06AB" w:rsidRPr="000A7545">
        <w:t xml:space="preserve">provided </w:t>
      </w:r>
      <w:r w:rsidRPr="000A7545">
        <w:t xml:space="preserve">by UNICEF to the partners </w:t>
      </w:r>
      <w:r w:rsidR="00AB06AB" w:rsidRPr="000A7545">
        <w:t>is</w:t>
      </w:r>
      <w:r w:rsidRPr="000A7545">
        <w:t xml:space="preserve"> already being atte</w:t>
      </w:r>
      <w:r w:rsidR="00AB06AB" w:rsidRPr="000A7545">
        <w:t>sted to:</w:t>
      </w:r>
      <w:r w:rsidRPr="000A7545">
        <w:t xml:space="preserve"> At the Education Policy Dialogue Meeting, December 2011, district education officials reported to the meeting that their revised Strategic Plans were of better quality than earlier plans because they were more aligned to provincial and national development priorities, mainstreamed HIV and inclusive of an equity perspective.</w:t>
      </w:r>
    </w:p>
    <w:p w14:paraId="13B55A2F" w14:textId="77777777" w:rsidR="00C10D04" w:rsidRPr="000A7545" w:rsidRDefault="00C10D04" w:rsidP="00FC3552"/>
    <w:p w14:paraId="13B55A30" w14:textId="77777777" w:rsidR="00FC3552" w:rsidRPr="000A7545" w:rsidRDefault="00C0376C" w:rsidP="00C0376C">
      <w:pPr>
        <w:pStyle w:val="IntenseQuote"/>
        <w:rPr>
          <w:rStyle w:val="Emphasis"/>
          <w:bCs w:val="0"/>
          <w:i w:val="0"/>
          <w:u w:val="none"/>
        </w:rPr>
      </w:pPr>
      <w:r w:rsidRPr="000A7545">
        <w:rPr>
          <w:rStyle w:val="Emphasis"/>
          <w:bCs w:val="0"/>
          <w:i w:val="0"/>
          <w:u w:val="none"/>
        </w:rPr>
        <w:t>1.1</w:t>
      </w:r>
      <w:r w:rsidR="004652D0" w:rsidRPr="000A7545">
        <w:rPr>
          <w:rStyle w:val="Emphasis"/>
          <w:bCs w:val="0"/>
          <w:i w:val="0"/>
          <w:u w:val="none"/>
        </w:rPr>
        <w:t xml:space="preserve">b. </w:t>
      </w:r>
      <w:r w:rsidR="00B35516">
        <w:rPr>
          <w:rStyle w:val="Emphasis"/>
          <w:bCs w:val="0"/>
          <w:i w:val="0"/>
          <w:u w:val="none"/>
        </w:rPr>
        <w:t>E</w:t>
      </w:r>
      <w:r w:rsidR="00FC3552" w:rsidRPr="000A7545">
        <w:rPr>
          <w:rStyle w:val="Emphasis"/>
          <w:bCs w:val="0"/>
          <w:i w:val="0"/>
          <w:u w:val="none"/>
        </w:rPr>
        <w:t>ducation offices in target districts and provinces using improved quality annual work plans that include child focused budgeting and participatory approaches</w:t>
      </w:r>
    </w:p>
    <w:p w14:paraId="13B55A31" w14:textId="77777777" w:rsidR="00AB06AB" w:rsidRPr="000A7545" w:rsidRDefault="00AB06AB" w:rsidP="00AB06AB">
      <w:r w:rsidRPr="000A7545">
        <w:t xml:space="preserve">Emerging from the strategic planning process, sustained technical support from UNICEF was provided to government education offices to help translate their strategic plans into annual work plans with 100% (i.e. 2/2 provinces and 6/6 district education offices) currently having education sector annual work plans for the year 2012. These work plans were developed using a structured and sequential process, similar to the process followed for </w:t>
      </w:r>
      <w:r w:rsidR="0018048F">
        <w:t>Renstra development.</w:t>
      </w:r>
    </w:p>
    <w:p w14:paraId="13B55A32" w14:textId="77777777" w:rsidR="00E00A80" w:rsidRPr="000A7545" w:rsidRDefault="00AB06AB" w:rsidP="00AB06AB">
      <w:r w:rsidRPr="000A7545">
        <w:t>The table below presents the planned allocation in the 2012 R</w:t>
      </w:r>
      <w:r w:rsidR="00E00A80" w:rsidRPr="000A7545">
        <w:t>enja</w:t>
      </w:r>
      <w:r w:rsidRPr="000A7545">
        <w:t xml:space="preserve"> for the education sector in the two provinces and the 6 districts. It is evident that the planning process in programme districts has been improved with improved participation and clear budgeting for key areas of education quality.</w:t>
      </w:r>
      <w:r w:rsidR="00E00A80" w:rsidRPr="000A7545">
        <w:br w:type="page"/>
      </w:r>
    </w:p>
    <w:p w14:paraId="13B55A33" w14:textId="77777777" w:rsidR="00E00A80" w:rsidRPr="000A7545" w:rsidRDefault="00E00A80" w:rsidP="00E00A80">
      <w:pPr>
        <w:pStyle w:val="Caption"/>
        <w:keepNext/>
        <w:spacing w:after="200"/>
      </w:pPr>
      <w:bookmarkStart w:id="29" w:name="_Toc322710092"/>
      <w:r w:rsidRPr="000A7545">
        <w:t xml:space="preserve">Figure </w:t>
      </w:r>
      <w:fldSimple w:instr=" SEQ Figure \* ARABIC ">
        <w:r w:rsidR="009B4D84">
          <w:rPr>
            <w:noProof/>
          </w:rPr>
          <w:t>1</w:t>
        </w:r>
      </w:fldSimple>
      <w:r w:rsidRPr="000A7545">
        <w:t>: Planned allocation in the 2012 Renja for the education sector in the six target districts in Papua and West Papua</w:t>
      </w:r>
      <w:bookmarkEnd w:id="29"/>
    </w:p>
    <w:tbl>
      <w:tblPr>
        <w:tblW w:w="11160" w:type="dxa"/>
        <w:tblInd w:w="-612" w:type="dxa"/>
        <w:tblLayout w:type="fixed"/>
        <w:tblLook w:val="04A0" w:firstRow="1" w:lastRow="0" w:firstColumn="1" w:lastColumn="0" w:noHBand="0" w:noVBand="1"/>
      </w:tblPr>
      <w:tblGrid>
        <w:gridCol w:w="995"/>
        <w:gridCol w:w="1080"/>
        <w:gridCol w:w="990"/>
        <w:gridCol w:w="1080"/>
        <w:gridCol w:w="990"/>
        <w:gridCol w:w="990"/>
        <w:gridCol w:w="1080"/>
        <w:gridCol w:w="990"/>
        <w:gridCol w:w="985"/>
        <w:gridCol w:w="1080"/>
        <w:gridCol w:w="900"/>
      </w:tblGrid>
      <w:tr w:rsidR="00FC3552" w:rsidRPr="000A7545" w14:paraId="13B55A37" w14:textId="77777777" w:rsidTr="00FC3552">
        <w:trPr>
          <w:trHeight w:val="330"/>
        </w:trPr>
        <w:tc>
          <w:tcPr>
            <w:tcW w:w="995" w:type="dxa"/>
            <w:vMerge w:val="restart"/>
            <w:tcBorders>
              <w:top w:val="single" w:sz="4" w:space="0" w:color="auto"/>
              <w:left w:val="single" w:sz="4" w:space="0" w:color="auto"/>
              <w:right w:val="single" w:sz="4" w:space="0" w:color="auto"/>
            </w:tcBorders>
            <w:shd w:val="clear" w:color="auto" w:fill="auto"/>
            <w:noWrap/>
            <w:vAlign w:val="center"/>
            <w:hideMark/>
          </w:tcPr>
          <w:p w14:paraId="13B55A34" w14:textId="77777777" w:rsidR="00FC3552" w:rsidRPr="000A7545" w:rsidRDefault="00FC3552" w:rsidP="00E00A80">
            <w:pPr>
              <w:spacing w:before="60" w:after="60" w:line="240" w:lineRule="auto"/>
              <w:jc w:val="center"/>
              <w:rPr>
                <w:rFonts w:ascii="Arial Narrow" w:hAnsi="Arial Narrow"/>
                <w:color w:val="000000"/>
                <w:sz w:val="16"/>
                <w:szCs w:val="16"/>
              </w:rPr>
            </w:pPr>
            <w:r w:rsidRPr="000A7545">
              <w:rPr>
                <w:rFonts w:ascii="Arial Narrow" w:hAnsi="Arial Narrow"/>
                <w:b/>
                <w:color w:val="000000"/>
                <w:sz w:val="16"/>
                <w:szCs w:val="16"/>
              </w:rPr>
              <w:t>Education Office</w:t>
            </w:r>
          </w:p>
        </w:tc>
        <w:tc>
          <w:tcPr>
            <w:tcW w:w="8185" w:type="dxa"/>
            <w:gridSpan w:val="8"/>
            <w:tcBorders>
              <w:top w:val="single" w:sz="4" w:space="0" w:color="auto"/>
              <w:left w:val="nil"/>
              <w:bottom w:val="single" w:sz="4" w:space="0" w:color="auto"/>
              <w:right w:val="single" w:sz="4" w:space="0" w:color="auto"/>
            </w:tcBorders>
            <w:shd w:val="clear" w:color="auto" w:fill="auto"/>
            <w:noWrap/>
            <w:vAlign w:val="center"/>
            <w:hideMark/>
          </w:tcPr>
          <w:p w14:paraId="13B55A35"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Allocation by Area of Allocation</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55A36"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Total Per Education Office</w:t>
            </w:r>
          </w:p>
        </w:tc>
      </w:tr>
      <w:tr w:rsidR="00FC3552" w:rsidRPr="000A7545" w14:paraId="13B55A43" w14:textId="77777777" w:rsidTr="00FC3552">
        <w:trPr>
          <w:trHeight w:val="990"/>
        </w:trPr>
        <w:tc>
          <w:tcPr>
            <w:tcW w:w="995" w:type="dxa"/>
            <w:vMerge/>
            <w:tcBorders>
              <w:left w:val="single" w:sz="4" w:space="0" w:color="auto"/>
              <w:bottom w:val="single" w:sz="4" w:space="0" w:color="auto"/>
              <w:right w:val="single" w:sz="4" w:space="0" w:color="auto"/>
            </w:tcBorders>
            <w:shd w:val="clear" w:color="auto" w:fill="auto"/>
            <w:noWrap/>
            <w:vAlign w:val="center"/>
            <w:hideMark/>
          </w:tcPr>
          <w:p w14:paraId="13B55A38" w14:textId="77777777" w:rsidR="00FC3552" w:rsidRPr="000A7545" w:rsidRDefault="00FC3552" w:rsidP="00E00A80">
            <w:pPr>
              <w:spacing w:before="60" w:after="60" w:line="240" w:lineRule="auto"/>
              <w:jc w:val="center"/>
              <w:rPr>
                <w:rFonts w:ascii="Arial Narrow" w:hAnsi="Arial Narrow"/>
                <w:b/>
                <w:bCs/>
                <w:color w:val="000000"/>
                <w:sz w:val="16"/>
                <w:szCs w:val="16"/>
              </w:rPr>
            </w:pPr>
          </w:p>
        </w:tc>
        <w:tc>
          <w:tcPr>
            <w:tcW w:w="1080" w:type="dxa"/>
            <w:tcBorders>
              <w:top w:val="nil"/>
              <w:left w:val="nil"/>
              <w:bottom w:val="single" w:sz="4" w:space="0" w:color="auto"/>
              <w:right w:val="single" w:sz="4" w:space="0" w:color="auto"/>
            </w:tcBorders>
            <w:shd w:val="clear" w:color="auto" w:fill="auto"/>
            <w:vAlign w:val="center"/>
            <w:hideMark/>
          </w:tcPr>
          <w:p w14:paraId="13B55A39"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Planning</w:t>
            </w:r>
          </w:p>
        </w:tc>
        <w:tc>
          <w:tcPr>
            <w:tcW w:w="990" w:type="dxa"/>
            <w:tcBorders>
              <w:top w:val="nil"/>
              <w:left w:val="nil"/>
              <w:bottom w:val="single" w:sz="4" w:space="0" w:color="auto"/>
              <w:right w:val="single" w:sz="4" w:space="0" w:color="auto"/>
            </w:tcBorders>
            <w:shd w:val="clear" w:color="auto" w:fill="auto"/>
            <w:vAlign w:val="center"/>
            <w:hideMark/>
          </w:tcPr>
          <w:p w14:paraId="13B55A3A"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M &amp; E</w:t>
            </w:r>
          </w:p>
        </w:tc>
        <w:tc>
          <w:tcPr>
            <w:tcW w:w="1080" w:type="dxa"/>
            <w:tcBorders>
              <w:top w:val="nil"/>
              <w:left w:val="nil"/>
              <w:bottom w:val="single" w:sz="4" w:space="0" w:color="auto"/>
              <w:right w:val="single" w:sz="4" w:space="0" w:color="auto"/>
            </w:tcBorders>
            <w:shd w:val="clear" w:color="auto" w:fill="auto"/>
            <w:vAlign w:val="center"/>
            <w:hideMark/>
          </w:tcPr>
          <w:p w14:paraId="13B55A3B"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SBM</w:t>
            </w:r>
          </w:p>
        </w:tc>
        <w:tc>
          <w:tcPr>
            <w:tcW w:w="990" w:type="dxa"/>
            <w:tcBorders>
              <w:top w:val="nil"/>
              <w:left w:val="nil"/>
              <w:bottom w:val="single" w:sz="4" w:space="0" w:color="auto"/>
              <w:right w:val="single" w:sz="4" w:space="0" w:color="auto"/>
            </w:tcBorders>
            <w:shd w:val="clear" w:color="auto" w:fill="auto"/>
            <w:vAlign w:val="center"/>
            <w:hideMark/>
          </w:tcPr>
          <w:p w14:paraId="13B55A3C" w14:textId="77777777" w:rsidR="00FC3552" w:rsidRPr="000A7545" w:rsidRDefault="00E377B2" w:rsidP="00E00A80">
            <w:pPr>
              <w:spacing w:before="60" w:after="60" w:line="240" w:lineRule="auto"/>
              <w:jc w:val="center"/>
              <w:rPr>
                <w:rFonts w:ascii="Arial Narrow" w:hAnsi="Arial Narrow"/>
                <w:b/>
                <w:bCs/>
                <w:color w:val="000000"/>
                <w:sz w:val="16"/>
                <w:szCs w:val="16"/>
              </w:rPr>
            </w:pPr>
            <w:r>
              <w:rPr>
                <w:rFonts w:ascii="Arial Narrow" w:hAnsi="Arial Narrow"/>
                <w:b/>
                <w:color w:val="000000"/>
                <w:sz w:val="16"/>
                <w:szCs w:val="16"/>
              </w:rPr>
              <w:t>Early-/Multi-</w:t>
            </w:r>
            <w:r w:rsidR="00FC3552" w:rsidRPr="000A7545">
              <w:rPr>
                <w:rFonts w:ascii="Arial Narrow" w:hAnsi="Arial Narrow"/>
                <w:b/>
                <w:color w:val="000000"/>
                <w:sz w:val="16"/>
                <w:szCs w:val="16"/>
              </w:rPr>
              <w:t>Grade</w:t>
            </w:r>
          </w:p>
        </w:tc>
        <w:tc>
          <w:tcPr>
            <w:tcW w:w="990" w:type="dxa"/>
            <w:tcBorders>
              <w:top w:val="nil"/>
              <w:left w:val="nil"/>
              <w:bottom w:val="single" w:sz="4" w:space="0" w:color="auto"/>
              <w:right w:val="single" w:sz="4" w:space="0" w:color="auto"/>
            </w:tcBorders>
            <w:shd w:val="clear" w:color="auto" w:fill="auto"/>
            <w:vAlign w:val="center"/>
            <w:hideMark/>
          </w:tcPr>
          <w:p w14:paraId="13B55A3D"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Education Council</w:t>
            </w:r>
          </w:p>
        </w:tc>
        <w:tc>
          <w:tcPr>
            <w:tcW w:w="1080" w:type="dxa"/>
            <w:tcBorders>
              <w:top w:val="nil"/>
              <w:left w:val="nil"/>
              <w:bottom w:val="single" w:sz="4" w:space="0" w:color="auto"/>
              <w:right w:val="single" w:sz="4" w:space="0" w:color="auto"/>
            </w:tcBorders>
            <w:shd w:val="clear" w:color="auto" w:fill="auto"/>
            <w:vAlign w:val="center"/>
            <w:hideMark/>
          </w:tcPr>
          <w:p w14:paraId="13B55A3E"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Teacher/School Principal Working Group</w:t>
            </w:r>
          </w:p>
        </w:tc>
        <w:tc>
          <w:tcPr>
            <w:tcW w:w="990" w:type="dxa"/>
            <w:tcBorders>
              <w:top w:val="nil"/>
              <w:left w:val="nil"/>
              <w:bottom w:val="single" w:sz="4" w:space="0" w:color="auto"/>
              <w:right w:val="single" w:sz="4" w:space="0" w:color="auto"/>
            </w:tcBorders>
            <w:shd w:val="clear" w:color="auto" w:fill="auto"/>
            <w:vAlign w:val="center"/>
            <w:hideMark/>
          </w:tcPr>
          <w:p w14:paraId="13B55A3F"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School Supervisors</w:t>
            </w:r>
          </w:p>
        </w:tc>
        <w:tc>
          <w:tcPr>
            <w:tcW w:w="985" w:type="dxa"/>
            <w:tcBorders>
              <w:top w:val="nil"/>
              <w:left w:val="nil"/>
              <w:bottom w:val="single" w:sz="4" w:space="0" w:color="auto"/>
              <w:right w:val="single" w:sz="4" w:space="0" w:color="auto"/>
            </w:tcBorders>
            <w:shd w:val="clear" w:color="auto" w:fill="auto"/>
            <w:vAlign w:val="center"/>
            <w:hideMark/>
          </w:tcPr>
          <w:p w14:paraId="13B55A40"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School Committee</w:t>
            </w:r>
          </w:p>
        </w:tc>
        <w:tc>
          <w:tcPr>
            <w:tcW w:w="1080" w:type="dxa"/>
            <w:tcBorders>
              <w:top w:val="nil"/>
              <w:left w:val="nil"/>
              <w:bottom w:val="single" w:sz="4" w:space="0" w:color="auto"/>
              <w:right w:val="single" w:sz="4" w:space="0" w:color="auto"/>
            </w:tcBorders>
            <w:shd w:val="clear" w:color="000000" w:fill="EEECE1"/>
            <w:noWrap/>
            <w:vAlign w:val="center"/>
            <w:hideMark/>
          </w:tcPr>
          <w:p w14:paraId="13B55A41"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IDR</w:t>
            </w:r>
          </w:p>
        </w:tc>
        <w:tc>
          <w:tcPr>
            <w:tcW w:w="900" w:type="dxa"/>
            <w:tcBorders>
              <w:top w:val="nil"/>
              <w:left w:val="nil"/>
              <w:bottom w:val="single" w:sz="4" w:space="0" w:color="auto"/>
              <w:right w:val="single" w:sz="4" w:space="0" w:color="auto"/>
            </w:tcBorders>
            <w:shd w:val="clear" w:color="000000" w:fill="EEECE1"/>
            <w:noWrap/>
            <w:vAlign w:val="center"/>
            <w:hideMark/>
          </w:tcPr>
          <w:p w14:paraId="13B55A42" w14:textId="77777777" w:rsidR="00FC3552" w:rsidRPr="000A7545" w:rsidRDefault="00FC3552" w:rsidP="00E00A80">
            <w:pPr>
              <w:spacing w:before="60" w:after="60" w:line="240" w:lineRule="auto"/>
              <w:jc w:val="center"/>
              <w:rPr>
                <w:rFonts w:ascii="Arial Narrow" w:hAnsi="Arial Narrow"/>
                <w:b/>
                <w:bCs/>
                <w:color w:val="000000"/>
                <w:sz w:val="16"/>
                <w:szCs w:val="16"/>
              </w:rPr>
            </w:pPr>
            <w:r w:rsidRPr="000A7545">
              <w:rPr>
                <w:rFonts w:ascii="Arial Narrow" w:hAnsi="Arial Narrow"/>
                <w:b/>
                <w:color w:val="000000"/>
                <w:sz w:val="16"/>
                <w:szCs w:val="16"/>
              </w:rPr>
              <w:t>USD</w:t>
            </w:r>
          </w:p>
        </w:tc>
      </w:tr>
      <w:tr w:rsidR="00FC3552" w:rsidRPr="000A7545" w14:paraId="13B55A4F" w14:textId="77777777" w:rsidTr="00E00A80">
        <w:trPr>
          <w:trHeight w:val="33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B55A44" w14:textId="77777777" w:rsidR="00FC3552" w:rsidRPr="000A7545" w:rsidRDefault="00FC3552" w:rsidP="00E00A80">
            <w:pPr>
              <w:spacing w:before="60" w:after="60" w:line="240" w:lineRule="auto"/>
              <w:rPr>
                <w:rFonts w:ascii="Arial Narrow" w:hAnsi="Arial Narrow"/>
                <w:color w:val="000000"/>
                <w:sz w:val="16"/>
                <w:szCs w:val="16"/>
              </w:rPr>
            </w:pPr>
            <w:r w:rsidRPr="000A7545">
              <w:rPr>
                <w:rFonts w:ascii="Arial Narrow" w:hAnsi="Arial Narrow"/>
                <w:color w:val="000000"/>
                <w:sz w:val="16"/>
                <w:szCs w:val="16"/>
              </w:rPr>
              <w:t>Papua Province</w:t>
            </w:r>
          </w:p>
        </w:tc>
        <w:tc>
          <w:tcPr>
            <w:tcW w:w="1080" w:type="dxa"/>
            <w:tcBorders>
              <w:top w:val="nil"/>
              <w:left w:val="nil"/>
              <w:bottom w:val="single" w:sz="4" w:space="0" w:color="auto"/>
              <w:right w:val="single" w:sz="4" w:space="0" w:color="auto"/>
            </w:tcBorders>
            <w:shd w:val="clear" w:color="auto" w:fill="auto"/>
            <w:vAlign w:val="center"/>
            <w:hideMark/>
          </w:tcPr>
          <w:p w14:paraId="13B55A45"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14:paraId="13B55A46"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auto" w:fill="auto"/>
            <w:vAlign w:val="center"/>
            <w:hideMark/>
          </w:tcPr>
          <w:p w14:paraId="13B55A47"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7,000,000,000</w:t>
            </w:r>
          </w:p>
        </w:tc>
        <w:tc>
          <w:tcPr>
            <w:tcW w:w="990" w:type="dxa"/>
            <w:tcBorders>
              <w:top w:val="nil"/>
              <w:left w:val="nil"/>
              <w:bottom w:val="single" w:sz="4" w:space="0" w:color="auto"/>
              <w:right w:val="single" w:sz="4" w:space="0" w:color="auto"/>
            </w:tcBorders>
            <w:shd w:val="clear" w:color="auto" w:fill="auto"/>
            <w:vAlign w:val="center"/>
            <w:hideMark/>
          </w:tcPr>
          <w:p w14:paraId="13B55A48"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14:paraId="13B55A49"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auto" w:fill="auto"/>
            <w:vAlign w:val="center"/>
            <w:hideMark/>
          </w:tcPr>
          <w:p w14:paraId="13B55A4A"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14:paraId="13B55A4B"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85" w:type="dxa"/>
            <w:tcBorders>
              <w:top w:val="nil"/>
              <w:left w:val="nil"/>
              <w:bottom w:val="single" w:sz="4" w:space="0" w:color="auto"/>
              <w:right w:val="single" w:sz="4" w:space="0" w:color="auto"/>
            </w:tcBorders>
            <w:shd w:val="clear" w:color="auto" w:fill="auto"/>
            <w:vAlign w:val="center"/>
            <w:hideMark/>
          </w:tcPr>
          <w:p w14:paraId="13B55A4C"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000000" w:fill="EEECE1"/>
            <w:noWrap/>
            <w:vAlign w:val="center"/>
            <w:hideMark/>
          </w:tcPr>
          <w:p w14:paraId="13B55A4D"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7,000,000,000</w:t>
            </w:r>
          </w:p>
        </w:tc>
        <w:tc>
          <w:tcPr>
            <w:tcW w:w="900" w:type="dxa"/>
            <w:tcBorders>
              <w:top w:val="nil"/>
              <w:left w:val="nil"/>
              <w:bottom w:val="single" w:sz="4" w:space="0" w:color="auto"/>
              <w:right w:val="single" w:sz="4" w:space="0" w:color="auto"/>
            </w:tcBorders>
            <w:shd w:val="clear" w:color="000000" w:fill="EEECE1"/>
            <w:noWrap/>
            <w:vAlign w:val="center"/>
            <w:hideMark/>
          </w:tcPr>
          <w:p w14:paraId="13B55A4E"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762,527.23</w:t>
            </w:r>
          </w:p>
        </w:tc>
      </w:tr>
      <w:tr w:rsidR="00FC3552" w:rsidRPr="000A7545" w14:paraId="13B55A5B" w14:textId="77777777" w:rsidTr="00E00A80">
        <w:trPr>
          <w:trHeight w:val="33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B55A50" w14:textId="77777777" w:rsidR="00FC3552" w:rsidRPr="000A7545" w:rsidRDefault="00FC3552" w:rsidP="00E00A80">
            <w:pPr>
              <w:spacing w:before="60" w:after="60" w:line="240" w:lineRule="auto"/>
              <w:rPr>
                <w:rFonts w:ascii="Arial Narrow" w:hAnsi="Arial Narrow"/>
                <w:color w:val="000000"/>
                <w:sz w:val="16"/>
                <w:szCs w:val="16"/>
              </w:rPr>
            </w:pPr>
            <w:r w:rsidRPr="000A7545">
              <w:rPr>
                <w:rFonts w:ascii="Arial Narrow" w:hAnsi="Arial Narrow"/>
                <w:color w:val="000000"/>
                <w:sz w:val="16"/>
                <w:szCs w:val="16"/>
              </w:rPr>
              <w:t>West Papua Province</w:t>
            </w:r>
          </w:p>
        </w:tc>
        <w:tc>
          <w:tcPr>
            <w:tcW w:w="1080" w:type="dxa"/>
            <w:tcBorders>
              <w:top w:val="nil"/>
              <w:left w:val="nil"/>
              <w:bottom w:val="single" w:sz="4" w:space="0" w:color="auto"/>
              <w:right w:val="single" w:sz="4" w:space="0" w:color="auto"/>
            </w:tcBorders>
            <w:shd w:val="clear" w:color="auto" w:fill="auto"/>
            <w:vAlign w:val="center"/>
            <w:hideMark/>
          </w:tcPr>
          <w:p w14:paraId="13B55A51"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3,450,000,000</w:t>
            </w:r>
          </w:p>
        </w:tc>
        <w:tc>
          <w:tcPr>
            <w:tcW w:w="990" w:type="dxa"/>
            <w:tcBorders>
              <w:top w:val="nil"/>
              <w:left w:val="nil"/>
              <w:bottom w:val="single" w:sz="4" w:space="0" w:color="auto"/>
              <w:right w:val="single" w:sz="4" w:space="0" w:color="auto"/>
            </w:tcBorders>
            <w:shd w:val="clear" w:color="auto" w:fill="auto"/>
            <w:vAlign w:val="center"/>
            <w:hideMark/>
          </w:tcPr>
          <w:p w14:paraId="13B55A52"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auto" w:fill="auto"/>
            <w:vAlign w:val="center"/>
            <w:hideMark/>
          </w:tcPr>
          <w:p w14:paraId="13B55A53"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14:paraId="13B55A54"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14:paraId="13B55A55"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auto" w:fill="auto"/>
            <w:vAlign w:val="center"/>
            <w:hideMark/>
          </w:tcPr>
          <w:p w14:paraId="13B55A56"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14:paraId="13B55A57"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85" w:type="dxa"/>
            <w:tcBorders>
              <w:top w:val="nil"/>
              <w:left w:val="nil"/>
              <w:bottom w:val="single" w:sz="4" w:space="0" w:color="auto"/>
              <w:right w:val="single" w:sz="4" w:space="0" w:color="auto"/>
            </w:tcBorders>
            <w:shd w:val="clear" w:color="auto" w:fill="auto"/>
            <w:vAlign w:val="center"/>
            <w:hideMark/>
          </w:tcPr>
          <w:p w14:paraId="13B55A58"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000000" w:fill="EEECE1"/>
            <w:noWrap/>
            <w:vAlign w:val="center"/>
            <w:hideMark/>
          </w:tcPr>
          <w:p w14:paraId="13B55A59"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3,450,000,000</w:t>
            </w:r>
          </w:p>
        </w:tc>
        <w:tc>
          <w:tcPr>
            <w:tcW w:w="900" w:type="dxa"/>
            <w:tcBorders>
              <w:top w:val="nil"/>
              <w:left w:val="nil"/>
              <w:bottom w:val="single" w:sz="4" w:space="0" w:color="auto"/>
              <w:right w:val="single" w:sz="4" w:space="0" w:color="auto"/>
            </w:tcBorders>
            <w:shd w:val="clear" w:color="000000" w:fill="EEECE1"/>
            <w:noWrap/>
            <w:vAlign w:val="center"/>
            <w:hideMark/>
          </w:tcPr>
          <w:p w14:paraId="13B55A5A"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375,816.99</w:t>
            </w:r>
          </w:p>
        </w:tc>
      </w:tr>
      <w:tr w:rsidR="00FC3552" w:rsidRPr="000A7545" w14:paraId="13B55A67" w14:textId="77777777" w:rsidTr="00E00A80">
        <w:trPr>
          <w:trHeight w:val="33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B55A5C" w14:textId="77777777" w:rsidR="00FC3552" w:rsidRPr="000A7545" w:rsidRDefault="00FC3552" w:rsidP="00E00A80">
            <w:pPr>
              <w:spacing w:before="60" w:after="60" w:line="240" w:lineRule="auto"/>
              <w:rPr>
                <w:rFonts w:ascii="Arial Narrow" w:hAnsi="Arial Narrow"/>
                <w:color w:val="000000"/>
                <w:sz w:val="16"/>
                <w:szCs w:val="16"/>
              </w:rPr>
            </w:pPr>
            <w:r w:rsidRPr="000A7545">
              <w:rPr>
                <w:rFonts w:ascii="Arial Narrow" w:hAnsi="Arial Narrow"/>
                <w:color w:val="000000"/>
                <w:sz w:val="16"/>
                <w:szCs w:val="16"/>
              </w:rPr>
              <w:t>Biak Numfor</w:t>
            </w:r>
          </w:p>
        </w:tc>
        <w:tc>
          <w:tcPr>
            <w:tcW w:w="1080" w:type="dxa"/>
            <w:tcBorders>
              <w:top w:val="nil"/>
              <w:left w:val="nil"/>
              <w:bottom w:val="single" w:sz="4" w:space="0" w:color="auto"/>
              <w:right w:val="single" w:sz="4" w:space="0" w:color="auto"/>
            </w:tcBorders>
            <w:shd w:val="clear" w:color="auto" w:fill="auto"/>
            <w:noWrap/>
            <w:vAlign w:val="center"/>
            <w:hideMark/>
          </w:tcPr>
          <w:p w14:paraId="13B55A5D"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150,000,000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5E"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30,000,000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5F"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85,000,000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60"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hideMark/>
          </w:tcPr>
          <w:p w14:paraId="13B55A61"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25,000,000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62"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200,000,000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63"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420,000,000</w:t>
            </w:r>
          </w:p>
        </w:tc>
        <w:tc>
          <w:tcPr>
            <w:tcW w:w="985" w:type="dxa"/>
            <w:tcBorders>
              <w:top w:val="nil"/>
              <w:left w:val="nil"/>
              <w:bottom w:val="single" w:sz="4" w:space="0" w:color="auto"/>
              <w:right w:val="single" w:sz="4" w:space="0" w:color="auto"/>
            </w:tcBorders>
            <w:shd w:val="clear" w:color="auto" w:fill="auto"/>
            <w:noWrap/>
            <w:vAlign w:val="center"/>
            <w:hideMark/>
          </w:tcPr>
          <w:p w14:paraId="13B55A64"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150,000,000</w:t>
            </w:r>
          </w:p>
        </w:tc>
        <w:tc>
          <w:tcPr>
            <w:tcW w:w="1080" w:type="dxa"/>
            <w:tcBorders>
              <w:top w:val="nil"/>
              <w:left w:val="nil"/>
              <w:bottom w:val="single" w:sz="4" w:space="0" w:color="auto"/>
              <w:right w:val="single" w:sz="4" w:space="0" w:color="auto"/>
            </w:tcBorders>
            <w:shd w:val="clear" w:color="000000" w:fill="EEECE1"/>
            <w:noWrap/>
            <w:vAlign w:val="center"/>
            <w:hideMark/>
          </w:tcPr>
          <w:p w14:paraId="13B55A65"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1,060,000,000</w:t>
            </w:r>
          </w:p>
        </w:tc>
        <w:tc>
          <w:tcPr>
            <w:tcW w:w="900" w:type="dxa"/>
            <w:tcBorders>
              <w:top w:val="nil"/>
              <w:left w:val="nil"/>
              <w:bottom w:val="single" w:sz="4" w:space="0" w:color="auto"/>
              <w:right w:val="single" w:sz="4" w:space="0" w:color="auto"/>
            </w:tcBorders>
            <w:shd w:val="clear" w:color="000000" w:fill="EEECE1"/>
            <w:noWrap/>
            <w:vAlign w:val="center"/>
            <w:hideMark/>
          </w:tcPr>
          <w:p w14:paraId="13B55A66"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115,468.41</w:t>
            </w:r>
          </w:p>
        </w:tc>
      </w:tr>
      <w:tr w:rsidR="00FC3552" w:rsidRPr="000A7545" w14:paraId="13B55A73" w14:textId="77777777" w:rsidTr="00E00A80">
        <w:trPr>
          <w:trHeight w:val="33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B55A68" w14:textId="77777777" w:rsidR="00FC3552" w:rsidRPr="000A7545" w:rsidRDefault="00FC3552" w:rsidP="00E00A80">
            <w:pPr>
              <w:spacing w:before="60" w:after="60" w:line="240" w:lineRule="auto"/>
              <w:rPr>
                <w:rFonts w:ascii="Arial Narrow" w:hAnsi="Arial Narrow"/>
                <w:color w:val="000000"/>
                <w:sz w:val="16"/>
                <w:szCs w:val="16"/>
              </w:rPr>
            </w:pPr>
            <w:r w:rsidRPr="000A7545">
              <w:rPr>
                <w:rFonts w:ascii="Arial Narrow" w:hAnsi="Arial Narrow"/>
                <w:color w:val="000000"/>
                <w:sz w:val="16"/>
                <w:szCs w:val="16"/>
              </w:rPr>
              <w:t>Jayapura</w:t>
            </w:r>
          </w:p>
        </w:tc>
        <w:tc>
          <w:tcPr>
            <w:tcW w:w="1080" w:type="dxa"/>
            <w:tcBorders>
              <w:top w:val="nil"/>
              <w:left w:val="nil"/>
              <w:bottom w:val="single" w:sz="4" w:space="0" w:color="auto"/>
              <w:right w:val="single" w:sz="4" w:space="0" w:color="auto"/>
            </w:tcBorders>
            <w:shd w:val="clear" w:color="auto" w:fill="auto"/>
            <w:noWrap/>
            <w:vAlign w:val="center"/>
            <w:hideMark/>
          </w:tcPr>
          <w:p w14:paraId="13B55A69"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150,000,000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6A"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13B55A6B"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hideMark/>
          </w:tcPr>
          <w:p w14:paraId="13B55A6C"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250,000,000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6D"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13B55A6E"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hideMark/>
          </w:tcPr>
          <w:p w14:paraId="13B55A6F"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150,000,000</w:t>
            </w:r>
          </w:p>
        </w:tc>
        <w:tc>
          <w:tcPr>
            <w:tcW w:w="985" w:type="dxa"/>
            <w:tcBorders>
              <w:top w:val="nil"/>
              <w:left w:val="nil"/>
              <w:bottom w:val="single" w:sz="4" w:space="0" w:color="auto"/>
              <w:right w:val="single" w:sz="4" w:space="0" w:color="auto"/>
            </w:tcBorders>
            <w:shd w:val="clear" w:color="auto" w:fill="auto"/>
            <w:noWrap/>
            <w:vAlign w:val="center"/>
            <w:hideMark/>
          </w:tcPr>
          <w:p w14:paraId="13B55A70"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000000" w:fill="EEECE1"/>
            <w:noWrap/>
            <w:vAlign w:val="center"/>
            <w:hideMark/>
          </w:tcPr>
          <w:p w14:paraId="13B55A71"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550,000,000</w:t>
            </w:r>
          </w:p>
        </w:tc>
        <w:tc>
          <w:tcPr>
            <w:tcW w:w="900" w:type="dxa"/>
            <w:tcBorders>
              <w:top w:val="nil"/>
              <w:left w:val="nil"/>
              <w:bottom w:val="single" w:sz="4" w:space="0" w:color="auto"/>
              <w:right w:val="single" w:sz="4" w:space="0" w:color="auto"/>
            </w:tcBorders>
            <w:shd w:val="clear" w:color="000000" w:fill="EEECE1"/>
            <w:noWrap/>
            <w:vAlign w:val="center"/>
            <w:hideMark/>
          </w:tcPr>
          <w:p w14:paraId="13B55A72"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59,912.85</w:t>
            </w:r>
          </w:p>
        </w:tc>
      </w:tr>
      <w:tr w:rsidR="00FC3552" w:rsidRPr="000A7545" w14:paraId="13B55A7F" w14:textId="77777777" w:rsidTr="00E00A80">
        <w:trPr>
          <w:trHeight w:val="33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B55A74" w14:textId="77777777" w:rsidR="00FC3552" w:rsidRPr="000A7545" w:rsidRDefault="00FC3552" w:rsidP="00E00A80">
            <w:pPr>
              <w:spacing w:before="60" w:after="60" w:line="240" w:lineRule="auto"/>
              <w:rPr>
                <w:rFonts w:ascii="Arial Narrow" w:hAnsi="Arial Narrow"/>
                <w:color w:val="000000"/>
                <w:sz w:val="16"/>
                <w:szCs w:val="16"/>
              </w:rPr>
            </w:pPr>
            <w:r w:rsidRPr="000A7545">
              <w:rPr>
                <w:rFonts w:ascii="Arial Narrow" w:hAnsi="Arial Narrow"/>
                <w:color w:val="000000"/>
                <w:sz w:val="16"/>
                <w:szCs w:val="16"/>
              </w:rPr>
              <w:t>Jayawijaya</w:t>
            </w:r>
          </w:p>
        </w:tc>
        <w:tc>
          <w:tcPr>
            <w:tcW w:w="1080" w:type="dxa"/>
            <w:tcBorders>
              <w:top w:val="nil"/>
              <w:left w:val="nil"/>
              <w:bottom w:val="single" w:sz="4" w:space="0" w:color="auto"/>
              <w:right w:val="single" w:sz="4" w:space="0" w:color="auto"/>
            </w:tcBorders>
            <w:shd w:val="clear" w:color="auto" w:fill="auto"/>
            <w:noWrap/>
            <w:vAlign w:val="center"/>
            <w:hideMark/>
          </w:tcPr>
          <w:p w14:paraId="13B55A75"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250,000,000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76"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240,000,000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77"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900,000,000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78"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70,000,000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79"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100,000,000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7A"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300,000,000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7B"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85" w:type="dxa"/>
            <w:tcBorders>
              <w:top w:val="nil"/>
              <w:left w:val="nil"/>
              <w:bottom w:val="single" w:sz="4" w:space="0" w:color="auto"/>
              <w:right w:val="single" w:sz="4" w:space="0" w:color="auto"/>
            </w:tcBorders>
            <w:shd w:val="clear" w:color="auto" w:fill="auto"/>
            <w:noWrap/>
            <w:vAlign w:val="center"/>
            <w:hideMark/>
          </w:tcPr>
          <w:p w14:paraId="13B55A7C"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50,000,000</w:t>
            </w:r>
          </w:p>
        </w:tc>
        <w:tc>
          <w:tcPr>
            <w:tcW w:w="1080" w:type="dxa"/>
            <w:tcBorders>
              <w:top w:val="nil"/>
              <w:left w:val="nil"/>
              <w:bottom w:val="single" w:sz="4" w:space="0" w:color="auto"/>
              <w:right w:val="single" w:sz="4" w:space="0" w:color="auto"/>
            </w:tcBorders>
            <w:shd w:val="clear" w:color="000000" w:fill="EEECE1"/>
            <w:noWrap/>
            <w:vAlign w:val="center"/>
            <w:hideMark/>
          </w:tcPr>
          <w:p w14:paraId="13B55A7D"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1,910,000,000</w:t>
            </w:r>
          </w:p>
        </w:tc>
        <w:tc>
          <w:tcPr>
            <w:tcW w:w="900" w:type="dxa"/>
            <w:tcBorders>
              <w:top w:val="nil"/>
              <w:left w:val="nil"/>
              <w:bottom w:val="single" w:sz="4" w:space="0" w:color="auto"/>
              <w:right w:val="single" w:sz="4" w:space="0" w:color="auto"/>
            </w:tcBorders>
            <w:shd w:val="clear" w:color="000000" w:fill="EEECE1"/>
            <w:noWrap/>
            <w:vAlign w:val="center"/>
            <w:hideMark/>
          </w:tcPr>
          <w:p w14:paraId="13B55A7E"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208,061.00</w:t>
            </w:r>
          </w:p>
        </w:tc>
      </w:tr>
      <w:tr w:rsidR="00FC3552" w:rsidRPr="000A7545" w14:paraId="13B55A8B" w14:textId="77777777" w:rsidTr="00E00A80">
        <w:trPr>
          <w:trHeight w:val="33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B55A80" w14:textId="77777777" w:rsidR="00FC3552" w:rsidRPr="000A7545" w:rsidRDefault="00FC3552" w:rsidP="00E00A80">
            <w:pPr>
              <w:spacing w:before="60" w:after="60" w:line="240" w:lineRule="auto"/>
              <w:rPr>
                <w:rFonts w:ascii="Arial Narrow" w:hAnsi="Arial Narrow"/>
                <w:color w:val="000000"/>
                <w:sz w:val="16"/>
                <w:szCs w:val="16"/>
              </w:rPr>
            </w:pPr>
            <w:r w:rsidRPr="000A7545">
              <w:rPr>
                <w:rFonts w:ascii="Arial Narrow" w:hAnsi="Arial Narrow"/>
                <w:color w:val="000000"/>
                <w:sz w:val="16"/>
                <w:szCs w:val="16"/>
              </w:rPr>
              <w:t>Mimika</w:t>
            </w:r>
          </w:p>
        </w:tc>
        <w:tc>
          <w:tcPr>
            <w:tcW w:w="1080" w:type="dxa"/>
            <w:tcBorders>
              <w:top w:val="nil"/>
              <w:left w:val="nil"/>
              <w:bottom w:val="single" w:sz="4" w:space="0" w:color="auto"/>
              <w:right w:val="single" w:sz="4" w:space="0" w:color="auto"/>
            </w:tcBorders>
            <w:shd w:val="clear" w:color="auto" w:fill="auto"/>
            <w:noWrap/>
            <w:vAlign w:val="center"/>
            <w:hideMark/>
          </w:tcPr>
          <w:p w14:paraId="13B55A81"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100,000,000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82"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13B55A83"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300,000,000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84"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hideMark/>
          </w:tcPr>
          <w:p w14:paraId="13B55A85"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14:paraId="13B55A86"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200,000,000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87"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85" w:type="dxa"/>
            <w:tcBorders>
              <w:top w:val="nil"/>
              <w:left w:val="nil"/>
              <w:bottom w:val="single" w:sz="4" w:space="0" w:color="auto"/>
              <w:right w:val="single" w:sz="4" w:space="0" w:color="auto"/>
            </w:tcBorders>
            <w:shd w:val="clear" w:color="auto" w:fill="auto"/>
            <w:noWrap/>
            <w:vAlign w:val="center"/>
            <w:hideMark/>
          </w:tcPr>
          <w:p w14:paraId="13B55A88"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1080" w:type="dxa"/>
            <w:tcBorders>
              <w:top w:val="nil"/>
              <w:left w:val="nil"/>
              <w:bottom w:val="single" w:sz="4" w:space="0" w:color="auto"/>
              <w:right w:val="single" w:sz="4" w:space="0" w:color="auto"/>
            </w:tcBorders>
            <w:shd w:val="clear" w:color="000000" w:fill="EEECE1"/>
            <w:noWrap/>
            <w:vAlign w:val="center"/>
            <w:hideMark/>
          </w:tcPr>
          <w:p w14:paraId="13B55A89"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600,000,000</w:t>
            </w:r>
          </w:p>
        </w:tc>
        <w:tc>
          <w:tcPr>
            <w:tcW w:w="900" w:type="dxa"/>
            <w:tcBorders>
              <w:top w:val="nil"/>
              <w:left w:val="nil"/>
              <w:bottom w:val="single" w:sz="4" w:space="0" w:color="auto"/>
              <w:right w:val="single" w:sz="4" w:space="0" w:color="auto"/>
            </w:tcBorders>
            <w:shd w:val="clear" w:color="000000" w:fill="EEECE1"/>
            <w:noWrap/>
            <w:vAlign w:val="center"/>
            <w:hideMark/>
          </w:tcPr>
          <w:p w14:paraId="13B55A8A"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65,359.48</w:t>
            </w:r>
          </w:p>
        </w:tc>
      </w:tr>
      <w:tr w:rsidR="00FC3552" w:rsidRPr="000A7545" w14:paraId="13B55A97" w14:textId="77777777" w:rsidTr="00E00A80">
        <w:trPr>
          <w:trHeight w:val="33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B55A8C" w14:textId="77777777" w:rsidR="00FC3552" w:rsidRPr="000A7545" w:rsidRDefault="00FC3552" w:rsidP="00E00A80">
            <w:pPr>
              <w:spacing w:before="60" w:after="60" w:line="240" w:lineRule="auto"/>
              <w:rPr>
                <w:rFonts w:ascii="Arial Narrow" w:hAnsi="Arial Narrow"/>
                <w:color w:val="000000"/>
                <w:sz w:val="16"/>
                <w:szCs w:val="16"/>
              </w:rPr>
            </w:pPr>
            <w:r w:rsidRPr="000A7545">
              <w:rPr>
                <w:rFonts w:ascii="Arial Narrow" w:hAnsi="Arial Narrow"/>
                <w:color w:val="000000"/>
                <w:sz w:val="16"/>
                <w:szCs w:val="16"/>
              </w:rPr>
              <w:t>Manokwari</w:t>
            </w:r>
          </w:p>
        </w:tc>
        <w:tc>
          <w:tcPr>
            <w:tcW w:w="1080" w:type="dxa"/>
            <w:tcBorders>
              <w:top w:val="nil"/>
              <w:left w:val="nil"/>
              <w:bottom w:val="single" w:sz="4" w:space="0" w:color="auto"/>
              <w:right w:val="single" w:sz="4" w:space="0" w:color="auto"/>
            </w:tcBorders>
            <w:shd w:val="clear" w:color="auto" w:fill="auto"/>
            <w:noWrap/>
            <w:vAlign w:val="center"/>
            <w:hideMark/>
          </w:tcPr>
          <w:p w14:paraId="13B55A8D"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hideMark/>
          </w:tcPr>
          <w:p w14:paraId="13B55A8E"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150,000,000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8F"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315,000,000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90"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500,000,000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91"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48,000,000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92"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330,000,000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93" w14:textId="77777777" w:rsidR="00FC3552" w:rsidRPr="000A7545" w:rsidRDefault="00FC3552" w:rsidP="00E00A80">
            <w:pPr>
              <w:spacing w:before="60" w:after="60" w:line="240" w:lineRule="auto"/>
              <w:jc w:val="right"/>
              <w:rPr>
                <w:rFonts w:ascii="Arial Narrow" w:hAnsi="Arial Narrow"/>
                <w:color w:val="000000"/>
                <w:sz w:val="16"/>
                <w:szCs w:val="16"/>
              </w:rPr>
            </w:pPr>
          </w:p>
        </w:tc>
        <w:tc>
          <w:tcPr>
            <w:tcW w:w="985" w:type="dxa"/>
            <w:tcBorders>
              <w:top w:val="nil"/>
              <w:left w:val="nil"/>
              <w:bottom w:val="single" w:sz="4" w:space="0" w:color="auto"/>
              <w:right w:val="single" w:sz="4" w:space="0" w:color="auto"/>
            </w:tcBorders>
            <w:shd w:val="clear" w:color="auto" w:fill="auto"/>
            <w:noWrap/>
            <w:vAlign w:val="center"/>
            <w:hideMark/>
          </w:tcPr>
          <w:p w14:paraId="13B55A94"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75,000,000</w:t>
            </w:r>
          </w:p>
        </w:tc>
        <w:tc>
          <w:tcPr>
            <w:tcW w:w="1080" w:type="dxa"/>
            <w:tcBorders>
              <w:top w:val="nil"/>
              <w:left w:val="nil"/>
              <w:bottom w:val="single" w:sz="4" w:space="0" w:color="auto"/>
              <w:right w:val="single" w:sz="4" w:space="0" w:color="auto"/>
            </w:tcBorders>
            <w:shd w:val="clear" w:color="000000" w:fill="EEECE1"/>
            <w:noWrap/>
            <w:vAlign w:val="center"/>
            <w:hideMark/>
          </w:tcPr>
          <w:p w14:paraId="13B55A95"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1,418,000,000</w:t>
            </w:r>
          </w:p>
        </w:tc>
        <w:tc>
          <w:tcPr>
            <w:tcW w:w="900" w:type="dxa"/>
            <w:tcBorders>
              <w:top w:val="nil"/>
              <w:left w:val="nil"/>
              <w:bottom w:val="single" w:sz="4" w:space="0" w:color="auto"/>
              <w:right w:val="single" w:sz="4" w:space="0" w:color="auto"/>
            </w:tcBorders>
            <w:shd w:val="clear" w:color="000000" w:fill="EEECE1"/>
            <w:noWrap/>
            <w:vAlign w:val="center"/>
            <w:hideMark/>
          </w:tcPr>
          <w:p w14:paraId="13B55A96"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154,466.23</w:t>
            </w:r>
          </w:p>
        </w:tc>
      </w:tr>
      <w:tr w:rsidR="00FC3552" w:rsidRPr="000A7545" w14:paraId="13B55AA3" w14:textId="77777777" w:rsidTr="00E00A80">
        <w:trPr>
          <w:trHeight w:val="33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B55A98" w14:textId="77777777" w:rsidR="00FC3552" w:rsidRPr="000A7545" w:rsidRDefault="00FC3552" w:rsidP="00E00A80">
            <w:pPr>
              <w:spacing w:before="60" w:after="60" w:line="240" w:lineRule="auto"/>
              <w:rPr>
                <w:rFonts w:ascii="Arial Narrow" w:hAnsi="Arial Narrow"/>
                <w:color w:val="000000"/>
                <w:sz w:val="16"/>
                <w:szCs w:val="16"/>
              </w:rPr>
            </w:pPr>
            <w:r w:rsidRPr="000A7545">
              <w:rPr>
                <w:rFonts w:ascii="Arial Narrow" w:hAnsi="Arial Narrow"/>
                <w:color w:val="000000"/>
                <w:sz w:val="16"/>
                <w:szCs w:val="16"/>
              </w:rPr>
              <w:t>Sorong</w:t>
            </w:r>
          </w:p>
        </w:tc>
        <w:tc>
          <w:tcPr>
            <w:tcW w:w="1080" w:type="dxa"/>
            <w:tcBorders>
              <w:top w:val="nil"/>
              <w:left w:val="nil"/>
              <w:bottom w:val="single" w:sz="4" w:space="0" w:color="auto"/>
              <w:right w:val="single" w:sz="4" w:space="0" w:color="auto"/>
            </w:tcBorders>
            <w:shd w:val="clear" w:color="auto" w:fill="auto"/>
            <w:noWrap/>
            <w:vAlign w:val="center"/>
            <w:hideMark/>
          </w:tcPr>
          <w:p w14:paraId="13B55A99"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20,000,000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9A"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40,000,000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9B"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36,000,000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9C"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20,000,000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9D"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40,000,000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9E"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420,000,000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9F"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280,000,000</w:t>
            </w:r>
          </w:p>
        </w:tc>
        <w:tc>
          <w:tcPr>
            <w:tcW w:w="985" w:type="dxa"/>
            <w:tcBorders>
              <w:top w:val="nil"/>
              <w:left w:val="nil"/>
              <w:bottom w:val="single" w:sz="4" w:space="0" w:color="auto"/>
              <w:right w:val="single" w:sz="4" w:space="0" w:color="auto"/>
            </w:tcBorders>
            <w:shd w:val="clear" w:color="auto" w:fill="auto"/>
            <w:noWrap/>
            <w:vAlign w:val="center"/>
            <w:hideMark/>
          </w:tcPr>
          <w:p w14:paraId="13B55AA0" w14:textId="77777777" w:rsidR="00FC3552" w:rsidRPr="000A7545" w:rsidRDefault="00FC3552" w:rsidP="00E00A80">
            <w:pPr>
              <w:spacing w:before="60" w:after="60" w:line="240" w:lineRule="auto"/>
              <w:jc w:val="right"/>
              <w:rPr>
                <w:rFonts w:ascii="Arial Narrow" w:hAnsi="Arial Narrow"/>
                <w:color w:val="000000"/>
                <w:sz w:val="16"/>
                <w:szCs w:val="16"/>
              </w:rPr>
            </w:pPr>
            <w:r w:rsidRPr="000A7545">
              <w:rPr>
                <w:rFonts w:ascii="Arial Narrow" w:hAnsi="Arial Narrow"/>
                <w:color w:val="000000"/>
                <w:sz w:val="16"/>
                <w:szCs w:val="16"/>
              </w:rPr>
              <w:t>40,000,000</w:t>
            </w:r>
          </w:p>
        </w:tc>
        <w:tc>
          <w:tcPr>
            <w:tcW w:w="1080" w:type="dxa"/>
            <w:tcBorders>
              <w:top w:val="nil"/>
              <w:left w:val="nil"/>
              <w:bottom w:val="single" w:sz="4" w:space="0" w:color="auto"/>
              <w:right w:val="single" w:sz="4" w:space="0" w:color="auto"/>
            </w:tcBorders>
            <w:shd w:val="clear" w:color="000000" w:fill="EEECE1"/>
            <w:noWrap/>
            <w:vAlign w:val="center"/>
            <w:hideMark/>
          </w:tcPr>
          <w:p w14:paraId="13B55AA1"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896,000,000</w:t>
            </w:r>
          </w:p>
        </w:tc>
        <w:tc>
          <w:tcPr>
            <w:tcW w:w="900" w:type="dxa"/>
            <w:tcBorders>
              <w:top w:val="nil"/>
              <w:left w:val="nil"/>
              <w:bottom w:val="single" w:sz="4" w:space="0" w:color="auto"/>
              <w:right w:val="single" w:sz="4" w:space="0" w:color="auto"/>
            </w:tcBorders>
            <w:shd w:val="clear" w:color="000000" w:fill="EEECE1"/>
            <w:noWrap/>
            <w:vAlign w:val="center"/>
            <w:hideMark/>
          </w:tcPr>
          <w:p w14:paraId="13B55AA2"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97,603.49</w:t>
            </w:r>
          </w:p>
        </w:tc>
      </w:tr>
      <w:tr w:rsidR="00FC3552" w:rsidRPr="000A7545" w14:paraId="13B55AAF" w14:textId="77777777" w:rsidTr="00E00A80">
        <w:trPr>
          <w:trHeight w:val="33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B55AA4" w14:textId="77777777" w:rsidR="00FC3552" w:rsidRPr="000A7545" w:rsidRDefault="00FC3552" w:rsidP="00E00A80">
            <w:pPr>
              <w:spacing w:before="60" w:after="60" w:line="240" w:lineRule="auto"/>
              <w:rPr>
                <w:rFonts w:ascii="Arial Narrow" w:hAnsi="Arial Narrow"/>
                <w:b/>
                <w:bCs/>
                <w:color w:val="000000"/>
                <w:sz w:val="16"/>
                <w:szCs w:val="16"/>
              </w:rPr>
            </w:pPr>
            <w:r w:rsidRPr="000A7545">
              <w:rPr>
                <w:rFonts w:ascii="Arial Narrow" w:hAnsi="Arial Narrow"/>
                <w:b/>
                <w:color w:val="000000"/>
                <w:sz w:val="16"/>
                <w:szCs w:val="16"/>
              </w:rPr>
              <w:t>Total (IDR)</w:t>
            </w:r>
          </w:p>
        </w:tc>
        <w:tc>
          <w:tcPr>
            <w:tcW w:w="1080" w:type="dxa"/>
            <w:tcBorders>
              <w:top w:val="nil"/>
              <w:left w:val="nil"/>
              <w:bottom w:val="single" w:sz="4" w:space="0" w:color="auto"/>
              <w:right w:val="single" w:sz="4" w:space="0" w:color="auto"/>
            </w:tcBorders>
            <w:shd w:val="clear" w:color="auto" w:fill="auto"/>
            <w:noWrap/>
            <w:vAlign w:val="center"/>
            <w:hideMark/>
          </w:tcPr>
          <w:p w14:paraId="13B55AA5"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4,120,000,000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A6"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460,000,000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A7"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8,636,000,000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A8"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840,000,000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A9"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213,000,000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AA"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1,450,000,000</w:t>
            </w:r>
          </w:p>
        </w:tc>
        <w:tc>
          <w:tcPr>
            <w:tcW w:w="990" w:type="dxa"/>
            <w:tcBorders>
              <w:top w:val="nil"/>
              <w:left w:val="nil"/>
              <w:bottom w:val="single" w:sz="4" w:space="0" w:color="auto"/>
              <w:right w:val="single" w:sz="4" w:space="0" w:color="auto"/>
            </w:tcBorders>
            <w:shd w:val="clear" w:color="auto" w:fill="auto"/>
            <w:noWrap/>
            <w:vAlign w:val="center"/>
            <w:hideMark/>
          </w:tcPr>
          <w:p w14:paraId="13B55AAB"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850,000,000</w:t>
            </w:r>
          </w:p>
        </w:tc>
        <w:tc>
          <w:tcPr>
            <w:tcW w:w="985" w:type="dxa"/>
            <w:tcBorders>
              <w:top w:val="nil"/>
              <w:left w:val="nil"/>
              <w:bottom w:val="single" w:sz="4" w:space="0" w:color="auto"/>
              <w:right w:val="single" w:sz="4" w:space="0" w:color="auto"/>
            </w:tcBorders>
            <w:shd w:val="clear" w:color="auto" w:fill="auto"/>
            <w:noWrap/>
            <w:vAlign w:val="center"/>
            <w:hideMark/>
          </w:tcPr>
          <w:p w14:paraId="13B55AAC"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315,000,000</w:t>
            </w:r>
          </w:p>
        </w:tc>
        <w:tc>
          <w:tcPr>
            <w:tcW w:w="1080" w:type="dxa"/>
            <w:tcBorders>
              <w:top w:val="nil"/>
              <w:left w:val="nil"/>
              <w:bottom w:val="single" w:sz="4" w:space="0" w:color="auto"/>
              <w:right w:val="single" w:sz="4" w:space="0" w:color="auto"/>
            </w:tcBorders>
            <w:shd w:val="clear" w:color="auto" w:fill="auto"/>
            <w:noWrap/>
            <w:vAlign w:val="center"/>
            <w:hideMark/>
          </w:tcPr>
          <w:p w14:paraId="13B55AAD" w14:textId="77777777" w:rsidR="00FC3552" w:rsidRPr="000A7545" w:rsidRDefault="00FC3552" w:rsidP="00E00A80">
            <w:pPr>
              <w:spacing w:before="60" w:after="60" w:line="240" w:lineRule="auto"/>
              <w:jc w:val="right"/>
              <w:rPr>
                <w:rFonts w:ascii="Arial Narrow" w:hAnsi="Arial Narrow"/>
                <w:b/>
                <w:bCs/>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13B55AAE" w14:textId="77777777" w:rsidR="00FC3552" w:rsidRPr="000A7545" w:rsidRDefault="00FC3552" w:rsidP="00E00A80">
            <w:pPr>
              <w:spacing w:before="60" w:after="60" w:line="240" w:lineRule="auto"/>
              <w:jc w:val="right"/>
              <w:rPr>
                <w:rFonts w:ascii="Arial Narrow" w:hAnsi="Arial Narrow"/>
                <w:b/>
                <w:bCs/>
                <w:color w:val="000000"/>
                <w:sz w:val="16"/>
                <w:szCs w:val="16"/>
              </w:rPr>
            </w:pPr>
          </w:p>
        </w:tc>
      </w:tr>
      <w:tr w:rsidR="00FC3552" w:rsidRPr="000A7545" w14:paraId="13B55ABB" w14:textId="77777777" w:rsidTr="00E00A80">
        <w:trPr>
          <w:trHeight w:val="33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55AB0" w14:textId="77777777" w:rsidR="00FC3552" w:rsidRPr="000A7545" w:rsidRDefault="00FC3552" w:rsidP="00E00A80">
            <w:pPr>
              <w:spacing w:before="60" w:after="60" w:line="240" w:lineRule="auto"/>
              <w:rPr>
                <w:rFonts w:ascii="Arial Narrow" w:hAnsi="Arial Narrow"/>
                <w:b/>
                <w:bCs/>
                <w:color w:val="000000"/>
                <w:sz w:val="16"/>
                <w:szCs w:val="16"/>
              </w:rPr>
            </w:pPr>
            <w:r w:rsidRPr="000A7545">
              <w:rPr>
                <w:rFonts w:ascii="Arial Narrow" w:hAnsi="Arial Narrow"/>
                <w:b/>
                <w:color w:val="000000"/>
                <w:sz w:val="16"/>
                <w:szCs w:val="16"/>
              </w:rPr>
              <w:t>Total (USD)</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B55AB1"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448,801.74</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3B55AB2"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50,108.93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B55AB3"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940,740.74</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3B55AB4"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91,503.27</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3B55AB5"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23,202.61</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B55AB6"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157,965.07</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3B55AB7"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92,592.59</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13B55AB8" w14:textId="77777777" w:rsidR="00FC3552" w:rsidRPr="000A7545" w:rsidRDefault="00FC3552" w:rsidP="00E00A80">
            <w:pPr>
              <w:spacing w:before="60" w:after="60" w:line="240" w:lineRule="auto"/>
              <w:jc w:val="right"/>
              <w:rPr>
                <w:rFonts w:ascii="Arial Narrow" w:hAnsi="Arial Narrow"/>
                <w:b/>
                <w:bCs/>
                <w:color w:val="000000"/>
                <w:sz w:val="16"/>
                <w:szCs w:val="16"/>
              </w:rPr>
            </w:pPr>
            <w:r w:rsidRPr="000A7545">
              <w:rPr>
                <w:rFonts w:ascii="Arial Narrow" w:hAnsi="Arial Narrow"/>
                <w:b/>
                <w:color w:val="000000"/>
                <w:sz w:val="16"/>
                <w:szCs w:val="16"/>
              </w:rPr>
              <w:t>34,313.70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B55AB9" w14:textId="77777777" w:rsidR="00FC3552" w:rsidRPr="000A7545" w:rsidRDefault="00FC3552" w:rsidP="00E00A80">
            <w:pPr>
              <w:spacing w:before="60" w:after="60" w:line="240" w:lineRule="auto"/>
              <w:jc w:val="right"/>
              <w:rPr>
                <w:rFonts w:ascii="Arial Narrow" w:hAnsi="Arial Narrow"/>
                <w:b/>
                <w:bCs/>
                <w:color w:val="000000"/>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3B55ABA" w14:textId="77777777" w:rsidR="00FC3552" w:rsidRPr="000A7545" w:rsidRDefault="00FC3552" w:rsidP="00E00A80">
            <w:pPr>
              <w:spacing w:before="60" w:after="60" w:line="240" w:lineRule="auto"/>
              <w:jc w:val="right"/>
              <w:rPr>
                <w:rFonts w:ascii="Arial Narrow" w:hAnsi="Arial Narrow"/>
                <w:b/>
                <w:bCs/>
                <w:color w:val="000000"/>
                <w:sz w:val="16"/>
                <w:szCs w:val="16"/>
              </w:rPr>
            </w:pPr>
          </w:p>
        </w:tc>
      </w:tr>
    </w:tbl>
    <w:p w14:paraId="13B55ABC" w14:textId="77777777" w:rsidR="00FC3552" w:rsidRPr="000A7545" w:rsidRDefault="00FC3552" w:rsidP="00A0244D">
      <w:pPr>
        <w:spacing w:before="120" w:after="240"/>
        <w:rPr>
          <w:i/>
          <w:sz w:val="18"/>
        </w:rPr>
      </w:pPr>
      <w:r w:rsidRPr="000A7545">
        <w:rPr>
          <w:b/>
          <w:i/>
          <w:sz w:val="18"/>
        </w:rPr>
        <w:t>NB</w:t>
      </w:r>
      <w:r w:rsidRPr="000A7545">
        <w:rPr>
          <w:i/>
          <w:sz w:val="18"/>
        </w:rPr>
        <w:t>: Allocation for HIV&amp;AIDS was mainstreamed across all</w:t>
      </w:r>
      <w:r w:rsidR="00594D91" w:rsidRPr="000A7545">
        <w:rPr>
          <w:i/>
          <w:sz w:val="18"/>
        </w:rPr>
        <w:t xml:space="preserve"> the areas. (1 USD = IDR 9,180).</w:t>
      </w:r>
    </w:p>
    <w:p w14:paraId="13B55ABD" w14:textId="77777777" w:rsidR="00AB06AB" w:rsidRPr="000A7545" w:rsidRDefault="00AB06AB" w:rsidP="00AB06AB">
      <w:r w:rsidRPr="000A7545">
        <w:t>Besides the participatory approach that led to the development of the R</w:t>
      </w:r>
      <w:r w:rsidR="007C4313">
        <w:t>enja</w:t>
      </w:r>
      <w:r w:rsidRPr="000A7545">
        <w:t xml:space="preserve">, further analysis of the planned allocation amounts shown above highlight the commitment of the government to address equity concerns and the needs of marginalized children. For example, IDR 840 Million (US$ </w:t>
      </w:r>
      <w:r w:rsidR="00E377B2">
        <w:t>92,000) was allocated for Early-</w:t>
      </w:r>
      <w:r w:rsidRPr="000A7545">
        <w:t>Grade and Multi-grade Education for children in rural and remote areas; and another IDR 8 Trillion (US$ 941,000) was allocated for school based management to promote community participation in schools.</w:t>
      </w:r>
    </w:p>
    <w:p w14:paraId="13B55ABE" w14:textId="77777777" w:rsidR="00AB06AB" w:rsidRPr="000A7545" w:rsidRDefault="00AB06AB" w:rsidP="00AB06AB">
      <w:r w:rsidRPr="000A7545">
        <w:t>These advancements are already leading to further results beyond the education sector, thus paving the way for evidence-informed, participatory planning processes at district level that can lead to child focused budgeting. In Jayawijaya district for example, this programme has documented evidence that Bappeda in Jayawijaya District has begun to replicate the capacity development approach for Renstra development to other departments in the district such as health and women’s empowerment. Similar results have been reported from the districts of Biak, Sorong and Manokwari, where the local Bappeda have also committed to adopting and applying the education RENJA process to the other sectors and departments.</w:t>
      </w:r>
    </w:p>
    <w:p w14:paraId="13B55ABF" w14:textId="77777777" w:rsidR="00C10D04" w:rsidRPr="000A7545" w:rsidRDefault="00C10D04" w:rsidP="006800CF">
      <w:pPr>
        <w:rPr>
          <w:rFonts w:asciiTheme="majorHAnsi" w:hAnsiTheme="majorHAnsi" w:cstheme="majorHAnsi"/>
        </w:rPr>
      </w:pPr>
    </w:p>
    <w:p w14:paraId="13B55AC0" w14:textId="77777777" w:rsidR="00E05E9A" w:rsidRPr="000A7545" w:rsidRDefault="00A34E1A" w:rsidP="00C0376C">
      <w:pPr>
        <w:pStyle w:val="IntenseQuote"/>
        <w:rPr>
          <w:rStyle w:val="Emphasis"/>
          <w:bCs w:val="0"/>
          <w:i w:val="0"/>
          <w:u w:val="none"/>
        </w:rPr>
      </w:pPr>
      <w:r w:rsidRPr="000A7545">
        <w:rPr>
          <w:rStyle w:val="Emphasis"/>
          <w:bCs w:val="0"/>
          <w:i w:val="0"/>
          <w:u w:val="none"/>
        </w:rPr>
        <w:t>1.</w:t>
      </w:r>
      <w:r w:rsidR="00C0376C" w:rsidRPr="000A7545">
        <w:rPr>
          <w:rStyle w:val="Emphasis"/>
          <w:bCs w:val="0"/>
          <w:i w:val="0"/>
          <w:u w:val="none"/>
        </w:rPr>
        <w:t>1</w:t>
      </w:r>
      <w:r w:rsidR="00125D0A" w:rsidRPr="000A7545">
        <w:rPr>
          <w:rStyle w:val="Emphasis"/>
          <w:bCs w:val="0"/>
          <w:i w:val="0"/>
          <w:u w:val="none"/>
        </w:rPr>
        <w:t xml:space="preserve">c. </w:t>
      </w:r>
      <w:r w:rsidR="00C0376C" w:rsidRPr="000A7545">
        <w:rPr>
          <w:rStyle w:val="Emphasis"/>
          <w:bCs w:val="0"/>
          <w:i w:val="0"/>
          <w:u w:val="none"/>
        </w:rPr>
        <w:t>T</w:t>
      </w:r>
      <w:r w:rsidR="00E05E9A" w:rsidRPr="000A7545">
        <w:rPr>
          <w:rStyle w:val="Emphasis"/>
          <w:bCs w:val="0"/>
          <w:i w:val="0"/>
          <w:u w:val="none"/>
        </w:rPr>
        <w:t>arget districts allocating budgets to address identified inequities in Renstra</w:t>
      </w:r>
    </w:p>
    <w:p w14:paraId="13B55AC1" w14:textId="77777777" w:rsidR="00AB06AB" w:rsidRPr="000A7545" w:rsidRDefault="00AB06AB" w:rsidP="00AB06AB">
      <w:pPr>
        <w:rPr>
          <w:i/>
        </w:rPr>
      </w:pPr>
      <w:r w:rsidRPr="000A7545">
        <w:t>In addition to ensuring child-friendly budget planning in the education sector, additional measures were taken during the reporting period to address issues of equity in access and quality of education. In Sorong district for example, the Bupati officially endorsed the new Renstra developed by the education office and allocated a budget (in-</w:t>
      </w:r>
      <w:r w:rsidR="00C0376C" w:rsidRPr="000A7545">
        <w:t>line with the Renja) to support</w:t>
      </w:r>
      <w:r w:rsidRPr="000A7545">
        <w:t xml:space="preserve"> children from poorer families to go to school. The Sorong District Education Office was also granted an award from the Central Government Financial Auditing Board noting that the alignment of the education </w:t>
      </w:r>
      <w:r w:rsidR="008951AA">
        <w:t>RENSTRA</w:t>
      </w:r>
      <w:r w:rsidRPr="000A7545">
        <w:t xml:space="preserve"> with the district medium term strategic plan offered an example of good practice for other departments to follow.  As such, the Bappeda in Sorong District has allocated funds to replicate planning training to other departments.</w:t>
      </w:r>
    </w:p>
    <w:p w14:paraId="13B55AC2" w14:textId="77777777" w:rsidR="00AB06AB" w:rsidRPr="000A7545" w:rsidRDefault="00AB06AB" w:rsidP="00AB06AB">
      <w:r w:rsidRPr="000A7545">
        <w:t xml:space="preserve">At the provincial level, in a public release following the Papua Education Office Rakernis meeting for 2012, Dikpora issued </w:t>
      </w:r>
      <w:r w:rsidR="00C0376C" w:rsidRPr="000A7545">
        <w:t>an official statement outlining</w:t>
      </w:r>
      <w:r w:rsidRPr="000A7545">
        <w:t xml:space="preserve"> key education priorities for improving quality and access to education including: strengthening early- and multi-grade teaching and learning materials, improve children’s access through specialised incentive programmes for poor children and further </w:t>
      </w:r>
      <w:r w:rsidR="0018048F" w:rsidRPr="000A7545">
        <w:t>commitment</w:t>
      </w:r>
      <w:r w:rsidRPr="000A7545">
        <w:t xml:space="preserve"> to supporting the implementation of School Based Management.</w:t>
      </w:r>
    </w:p>
    <w:p w14:paraId="13B55AC3" w14:textId="77777777" w:rsidR="004652D0" w:rsidRPr="000A7545" w:rsidRDefault="004652D0" w:rsidP="00E05E9A"/>
    <w:p w14:paraId="13B55AC4" w14:textId="77777777" w:rsidR="00E05E9A" w:rsidRPr="000A7545" w:rsidRDefault="00C0376C" w:rsidP="00C0376C">
      <w:pPr>
        <w:pStyle w:val="IntenseQuote"/>
        <w:rPr>
          <w:rStyle w:val="Emphasis"/>
          <w:bCs w:val="0"/>
          <w:i w:val="0"/>
          <w:u w:val="none"/>
        </w:rPr>
      </w:pPr>
      <w:r w:rsidRPr="000A7545">
        <w:rPr>
          <w:rStyle w:val="Emphasis"/>
          <w:bCs w:val="0"/>
          <w:i w:val="0"/>
          <w:u w:val="none"/>
        </w:rPr>
        <w:t>1.1d. R</w:t>
      </w:r>
      <w:r w:rsidR="00E05E9A" w:rsidRPr="000A7545">
        <w:rPr>
          <w:rStyle w:val="Emphasis"/>
          <w:bCs w:val="0"/>
          <w:i w:val="0"/>
          <w:u w:val="none"/>
        </w:rPr>
        <w:t>egulations passed to support replication in non</w:t>
      </w:r>
      <w:r w:rsidR="004652D0" w:rsidRPr="000A7545">
        <w:rPr>
          <w:rStyle w:val="Emphasis"/>
          <w:bCs w:val="0"/>
          <w:i w:val="0"/>
          <w:u w:val="none"/>
        </w:rPr>
        <w:t>-</w:t>
      </w:r>
      <w:r w:rsidR="00E05E9A" w:rsidRPr="000A7545">
        <w:rPr>
          <w:rStyle w:val="Emphasis"/>
          <w:bCs w:val="0"/>
          <w:i w:val="0"/>
          <w:u w:val="none"/>
        </w:rPr>
        <w:t>target districts</w:t>
      </w:r>
    </w:p>
    <w:p w14:paraId="13B55AC5" w14:textId="77777777" w:rsidR="00662795" w:rsidRPr="000A7545" w:rsidRDefault="00662795" w:rsidP="00662795">
      <w:r w:rsidRPr="000A7545">
        <w:t>The provincial governments of Papua and West Papua took preliminary steps in November 2011 to begin replicating Renstra and Renja processes to all education offices in non-targ</w:t>
      </w:r>
      <w:r w:rsidR="00936494">
        <w:t>et districts in both provinces.</w:t>
      </w:r>
    </w:p>
    <w:p w14:paraId="13B55AC6" w14:textId="77777777" w:rsidR="00662795" w:rsidRPr="000A7545" w:rsidRDefault="00662795" w:rsidP="00662795">
      <w:r w:rsidRPr="000A7545">
        <w:t>Provincial Renstra and Renja were socialized and discussed with all non-target districts in November and December 2011 to ensure programmatic alignment so that new Renstra plans developed across the district education offices will be harmonized with the provincial plan and address issues of children’s access to quality education services. UNICEF provided technical support for preliminary replication training of education office officials from 15 non-target districts in Papua province in November 2011 as part of this important process.</w:t>
      </w:r>
    </w:p>
    <w:p w14:paraId="13B55AC7" w14:textId="77777777" w:rsidR="00662795" w:rsidRPr="000A7545" w:rsidRDefault="00662795" w:rsidP="00662795">
      <w:r w:rsidRPr="000A7545">
        <w:t>Replication training is a significant development for the provincial education office as it signals a willingness and capacity to provide mentoring and quality oversight to district</w:t>
      </w:r>
      <w:r w:rsidR="00E00A80" w:rsidRPr="000A7545">
        <w:t xml:space="preserve"> education offices.</w:t>
      </w:r>
      <w:r w:rsidRPr="000A7545">
        <w:t xml:space="preserve"> The initial training for non-target districts raised awareness that Renstra documents are not only administrative documents but rather are important for ensuring that government programming is effectively targeted toward children’s needs. As at the</w:t>
      </w:r>
      <w:r w:rsidR="00936494">
        <w:t xml:space="preserve"> time of compiling this report, </w:t>
      </w:r>
      <w:r w:rsidR="00C0376C" w:rsidRPr="000A7545">
        <w:t xml:space="preserve">7 out of 25 </w:t>
      </w:r>
      <w:r w:rsidR="00E00A80" w:rsidRPr="000A7545">
        <w:t xml:space="preserve">non-target districts </w:t>
      </w:r>
      <w:r w:rsidRPr="000A7545">
        <w:t>in Papua province have initiated actions towards the development of education Renstra. The replication training in Papua province was jointly funded by the provincial government using its own APBD funds of</w:t>
      </w:r>
      <w:r w:rsidR="00E377B2">
        <w:t xml:space="preserve"> IDR 340 million. </w:t>
      </w:r>
      <w:r w:rsidRPr="000A7545">
        <w:t>A total of twenty staff from district education offices were trained by a provincial Renstra team with technical support of UNICEF consultants. Replication has not yet occurred in any districts in West Papua due to election delays.</w:t>
      </w:r>
    </w:p>
    <w:p w14:paraId="13B55AC8" w14:textId="77777777" w:rsidR="00063F4C" w:rsidRPr="000A7545" w:rsidRDefault="00063F4C" w:rsidP="00063F4C">
      <w:r w:rsidRPr="000A7545">
        <w:t>UNICEF and programme advocacy efforts at the district level have resulted in the issuance of administrative instructions by the Bupati to ensure that the education RENJA is used for mobilizing budget.</w:t>
      </w:r>
    </w:p>
    <w:p w14:paraId="13B55AC9" w14:textId="77777777" w:rsidR="00662795" w:rsidRPr="000A7545" w:rsidRDefault="00662795" w:rsidP="00662795">
      <w:r w:rsidRPr="000A7545">
        <w:t>All Renja were approved by the provincial/district Bappeda for funding approval for 2012.</w:t>
      </w:r>
    </w:p>
    <w:p w14:paraId="13B55ACA" w14:textId="77777777" w:rsidR="00E05E9A" w:rsidRPr="000A7545" w:rsidRDefault="00E05E9A" w:rsidP="00662795"/>
    <w:p w14:paraId="13B55ACB" w14:textId="77777777" w:rsidR="00E05E9A" w:rsidRPr="000A7545" w:rsidRDefault="00C0376C" w:rsidP="00C0376C">
      <w:pPr>
        <w:pStyle w:val="IntenseQuote"/>
        <w:rPr>
          <w:rStyle w:val="Emphasis"/>
          <w:bCs w:val="0"/>
          <w:i w:val="0"/>
          <w:u w:val="none"/>
        </w:rPr>
      </w:pPr>
      <w:r w:rsidRPr="000A7545">
        <w:rPr>
          <w:rStyle w:val="Emphasis"/>
          <w:bCs w:val="0"/>
          <w:i w:val="0"/>
          <w:u w:val="none"/>
        </w:rPr>
        <w:t>1.1</w:t>
      </w:r>
      <w:r w:rsidR="00E05E9A" w:rsidRPr="000A7545">
        <w:rPr>
          <w:rStyle w:val="Emphasis"/>
          <w:bCs w:val="0"/>
          <w:i w:val="0"/>
          <w:u w:val="none"/>
        </w:rPr>
        <w:t xml:space="preserve">e. </w:t>
      </w:r>
      <w:r w:rsidRPr="000A7545">
        <w:rPr>
          <w:rStyle w:val="Emphasis"/>
          <w:bCs w:val="0"/>
          <w:i w:val="0"/>
          <w:u w:val="none"/>
        </w:rPr>
        <w:t>District</w:t>
      </w:r>
      <w:r w:rsidR="00E05E9A" w:rsidRPr="000A7545">
        <w:rPr>
          <w:rStyle w:val="Emphasis"/>
          <w:bCs w:val="0"/>
          <w:i w:val="0"/>
          <w:u w:val="none"/>
        </w:rPr>
        <w:t xml:space="preserve"> M</w:t>
      </w:r>
      <w:r w:rsidR="004652D0" w:rsidRPr="000A7545">
        <w:rPr>
          <w:rStyle w:val="Emphasis"/>
          <w:bCs w:val="0"/>
          <w:i w:val="0"/>
          <w:u w:val="none"/>
        </w:rPr>
        <w:t>&amp;</w:t>
      </w:r>
      <w:r w:rsidR="00E05E9A" w:rsidRPr="000A7545">
        <w:rPr>
          <w:rStyle w:val="Emphasis"/>
          <w:bCs w:val="0"/>
          <w:i w:val="0"/>
          <w:u w:val="none"/>
        </w:rPr>
        <w:t>E frameworks for monitoring the Renstra</w:t>
      </w:r>
    </w:p>
    <w:p w14:paraId="13B55ACC" w14:textId="77777777" w:rsidR="00C0376C" w:rsidRPr="000A7545" w:rsidRDefault="00C0376C" w:rsidP="001A5080">
      <w:r w:rsidRPr="000A7545">
        <w:t xml:space="preserve">Chapter Seven in all Education Renstra deals with monitoring and evaluation. However under the USAID project support was provided to develop </w:t>
      </w:r>
      <w:r w:rsidR="002E3B6E" w:rsidRPr="000A7545">
        <w:t xml:space="preserve">a </w:t>
      </w:r>
      <w:r w:rsidRPr="000A7545">
        <w:t>more detailed framework including a log frame for evaluating the Renstra. Technical assistance was also included for capacity development for monitoring and evaluation in the education sector.</w:t>
      </w:r>
    </w:p>
    <w:p w14:paraId="13B55ACD" w14:textId="77777777" w:rsidR="00C0376C" w:rsidRPr="000A7545" w:rsidRDefault="00C0376C" w:rsidP="001A5080">
      <w:r w:rsidRPr="000A7545">
        <w:t>A Renstra Monitoring and Evaluation ToT was conducted in August 2011 in Jayapura to generate a pool of skilled personnel to support district level monitoring and evaluation capacity training. The 18 members (14 male and 4 female) of Renstra M&amp;E teams across the provincial and district education offices who were trained as trainers on M&amp;E also developed indicators for monitoring the Renstra outcomes and outputs. The training was facilitated with an M&amp;E Training manual, developed by expert consultants in data management with inputs from planning (Renstra) consultants.</w:t>
      </w:r>
    </w:p>
    <w:p w14:paraId="13B55ACE" w14:textId="77777777" w:rsidR="00C0376C" w:rsidRPr="000A7545" w:rsidRDefault="00C0376C" w:rsidP="001A5080">
      <w:r w:rsidRPr="000A7545">
        <w:t>In October 2011, the data management team reviewed and revised the ME training materials based on lessons learned from the ToT and the needs of district Renstra team. The review and revision process involved teams of consultants funded under STEP) and several faculty members from UNIPA in West Papua. Under the consultant’s assistance, the team (four persons from UNIPA) developed a standardized draft M&amp;E framework and guideline/module for Renstra monitoring and evaluation. Content of the m</w:t>
      </w:r>
      <w:r w:rsidR="002E3B6E" w:rsidRPr="000A7545">
        <w:t>odules</w:t>
      </w:r>
      <w:r w:rsidRPr="000A7545">
        <w:t xml:space="preserve"> include: 1) Logical framework of Renstra, 2) Monitoring procedures, 3) Evaluation procedures, 4) Reporting of education progress and 5) formulation of results-based indicators to measure progress towards achieving strategic results.</w:t>
      </w:r>
    </w:p>
    <w:p w14:paraId="13B55ACF" w14:textId="77777777" w:rsidR="00C0376C" w:rsidRPr="000A7545" w:rsidRDefault="00C0376C" w:rsidP="001A5080">
      <w:r w:rsidRPr="000A7545">
        <w:t>The revised materials are less theoretical, and focus more on practical steps in developing a monitoring and evaluation logframe and monitoring tools.</w:t>
      </w:r>
    </w:p>
    <w:p w14:paraId="13B55AD0" w14:textId="77777777" w:rsidR="00C0376C" w:rsidRPr="000A7545" w:rsidRDefault="00C0376C" w:rsidP="001A5080">
      <w:r w:rsidRPr="000A7545">
        <w:t>The revised materials were used in training at provincial and district levels across October and November 2011, including Mimika (a non-target district for STEP) upon the request of the government. The combination of the technical support to partners and emerging capacity in the education office has resulted in the availability of Renstra M&amp;E logical frameworks becoming available in each of the partner provinces and district education offices.</w:t>
      </w:r>
    </w:p>
    <w:p w14:paraId="13B55AD1" w14:textId="77777777" w:rsidR="00C0376C" w:rsidRPr="000A7545" w:rsidRDefault="00C0376C" w:rsidP="00C0376C">
      <w:r w:rsidRPr="000A7545">
        <w:t>The M&amp;E guidelines will be finalized during 2012 and incorporated into the monito</w:t>
      </w:r>
      <w:r w:rsidR="002E3B6E" w:rsidRPr="000A7545">
        <w:t xml:space="preserve">ring systems of each district. </w:t>
      </w:r>
      <w:r w:rsidRPr="000A7545">
        <w:t>Provincial governments are also moving to adopt the systems and procedures being developed for replication to non-target districts.</w:t>
      </w:r>
    </w:p>
    <w:p w14:paraId="13B55AD2" w14:textId="77777777" w:rsidR="00E00A80" w:rsidRPr="000A7545" w:rsidRDefault="00E00A80" w:rsidP="00E00A80">
      <w:pPr>
        <w:pStyle w:val="Caption"/>
        <w:keepNext/>
        <w:spacing w:after="200"/>
      </w:pPr>
      <w:bookmarkStart w:id="30" w:name="_Toc322710093"/>
      <w:r w:rsidRPr="000A7545">
        <w:t xml:space="preserve">Figure </w:t>
      </w:r>
      <w:fldSimple w:instr=" SEQ Figure \* ARABIC ">
        <w:r w:rsidR="009B4D84">
          <w:rPr>
            <w:noProof/>
          </w:rPr>
          <w:t>2</w:t>
        </w:r>
      </w:fldSimple>
      <w:r w:rsidRPr="000A7545">
        <w:t>: Renstra M&amp;E Trainings per district</w:t>
      </w:r>
      <w:bookmarkEnd w:id="30"/>
    </w:p>
    <w:tbl>
      <w:tblPr>
        <w:tblW w:w="4857" w:type="dxa"/>
        <w:jc w:val="center"/>
        <w:tblInd w:w="93" w:type="dxa"/>
        <w:tblLook w:val="04A0" w:firstRow="1" w:lastRow="0" w:firstColumn="1" w:lastColumn="0" w:noHBand="0" w:noVBand="1"/>
      </w:tblPr>
      <w:tblGrid>
        <w:gridCol w:w="2036"/>
        <w:gridCol w:w="937"/>
        <w:gridCol w:w="938"/>
        <w:gridCol w:w="946"/>
      </w:tblGrid>
      <w:tr w:rsidR="00662795" w:rsidRPr="000A7545" w14:paraId="13B55AD5" w14:textId="77777777" w:rsidTr="002D05F6">
        <w:trPr>
          <w:trHeight w:val="270"/>
          <w:jc w:val="center"/>
        </w:trPr>
        <w:tc>
          <w:tcPr>
            <w:tcW w:w="2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B55AD3"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Name of district</w:t>
            </w:r>
          </w:p>
        </w:tc>
        <w:tc>
          <w:tcPr>
            <w:tcW w:w="2821" w:type="dxa"/>
            <w:gridSpan w:val="3"/>
            <w:tcBorders>
              <w:top w:val="single" w:sz="8" w:space="0" w:color="auto"/>
              <w:left w:val="nil"/>
              <w:bottom w:val="single" w:sz="8" w:space="0" w:color="auto"/>
              <w:right w:val="single" w:sz="8" w:space="0" w:color="000000"/>
            </w:tcBorders>
            <w:shd w:val="clear" w:color="000000" w:fill="E1E1E1"/>
            <w:vAlign w:val="center"/>
            <w:hideMark/>
          </w:tcPr>
          <w:p w14:paraId="13B55AD4"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Renstra M&amp;E Training</w:t>
            </w:r>
          </w:p>
        </w:tc>
      </w:tr>
      <w:tr w:rsidR="00662795" w:rsidRPr="000A7545" w14:paraId="13B55ADA" w14:textId="77777777" w:rsidTr="002D05F6">
        <w:trPr>
          <w:trHeight w:val="270"/>
          <w:jc w:val="center"/>
        </w:trPr>
        <w:tc>
          <w:tcPr>
            <w:tcW w:w="2036" w:type="dxa"/>
            <w:vMerge/>
            <w:tcBorders>
              <w:top w:val="single" w:sz="8" w:space="0" w:color="auto"/>
              <w:left w:val="single" w:sz="8" w:space="0" w:color="auto"/>
              <w:bottom w:val="single" w:sz="8" w:space="0" w:color="000000"/>
              <w:right w:val="single" w:sz="8" w:space="0" w:color="auto"/>
            </w:tcBorders>
            <w:vAlign w:val="center"/>
            <w:hideMark/>
          </w:tcPr>
          <w:p w14:paraId="13B55AD6" w14:textId="77777777" w:rsidR="00662795" w:rsidRPr="000A7545" w:rsidRDefault="00662795" w:rsidP="00E00A80">
            <w:pPr>
              <w:spacing w:before="60" w:after="60" w:line="240" w:lineRule="auto"/>
              <w:rPr>
                <w:rFonts w:cs="Arial"/>
                <w:b/>
                <w:bCs/>
                <w:color w:val="000000"/>
                <w:sz w:val="20"/>
                <w:szCs w:val="20"/>
                <w:lang w:eastAsia="en-GB"/>
              </w:rPr>
            </w:pPr>
          </w:p>
        </w:tc>
        <w:tc>
          <w:tcPr>
            <w:tcW w:w="937" w:type="dxa"/>
            <w:tcBorders>
              <w:top w:val="nil"/>
              <w:left w:val="nil"/>
              <w:bottom w:val="single" w:sz="8" w:space="0" w:color="auto"/>
              <w:right w:val="single" w:sz="8" w:space="0" w:color="auto"/>
            </w:tcBorders>
            <w:shd w:val="clear" w:color="000000" w:fill="E1E1E1"/>
            <w:vAlign w:val="center"/>
            <w:hideMark/>
          </w:tcPr>
          <w:p w14:paraId="13B55AD7"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M</w:t>
            </w:r>
          </w:p>
        </w:tc>
        <w:tc>
          <w:tcPr>
            <w:tcW w:w="938" w:type="dxa"/>
            <w:tcBorders>
              <w:top w:val="nil"/>
              <w:left w:val="nil"/>
              <w:bottom w:val="single" w:sz="8" w:space="0" w:color="auto"/>
              <w:right w:val="single" w:sz="8" w:space="0" w:color="auto"/>
            </w:tcBorders>
            <w:shd w:val="clear" w:color="000000" w:fill="E1E1E1"/>
            <w:vAlign w:val="center"/>
            <w:hideMark/>
          </w:tcPr>
          <w:p w14:paraId="13B55AD8"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F</w:t>
            </w:r>
          </w:p>
        </w:tc>
        <w:tc>
          <w:tcPr>
            <w:tcW w:w="946" w:type="dxa"/>
            <w:tcBorders>
              <w:top w:val="nil"/>
              <w:left w:val="nil"/>
              <w:bottom w:val="single" w:sz="8" w:space="0" w:color="auto"/>
              <w:right w:val="single" w:sz="8" w:space="0" w:color="auto"/>
            </w:tcBorders>
            <w:shd w:val="clear" w:color="000000" w:fill="E1E1E1"/>
            <w:vAlign w:val="center"/>
            <w:hideMark/>
          </w:tcPr>
          <w:p w14:paraId="13B55AD9"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Total</w:t>
            </w:r>
          </w:p>
        </w:tc>
      </w:tr>
      <w:tr w:rsidR="00662795" w:rsidRPr="000A7545" w14:paraId="13B55ADF" w14:textId="77777777" w:rsidTr="002D05F6">
        <w:trPr>
          <w:trHeight w:val="313"/>
          <w:jc w:val="center"/>
        </w:trPr>
        <w:tc>
          <w:tcPr>
            <w:tcW w:w="2036" w:type="dxa"/>
            <w:tcBorders>
              <w:top w:val="nil"/>
              <w:left w:val="single" w:sz="8" w:space="0" w:color="auto"/>
              <w:bottom w:val="single" w:sz="8" w:space="0" w:color="auto"/>
              <w:right w:val="single" w:sz="8" w:space="0" w:color="auto"/>
            </w:tcBorders>
            <w:shd w:val="clear" w:color="auto" w:fill="auto"/>
            <w:vAlign w:val="center"/>
            <w:hideMark/>
          </w:tcPr>
          <w:p w14:paraId="13B55ADB" w14:textId="77777777" w:rsidR="00662795" w:rsidRPr="000A7545" w:rsidRDefault="00662795" w:rsidP="00E00A80">
            <w:pPr>
              <w:spacing w:before="60" w:after="60" w:line="240" w:lineRule="auto"/>
              <w:rPr>
                <w:rFonts w:cs="Arial"/>
                <w:color w:val="000000"/>
                <w:sz w:val="20"/>
                <w:szCs w:val="20"/>
                <w:lang w:eastAsia="en-GB"/>
              </w:rPr>
            </w:pPr>
            <w:r w:rsidRPr="000A7545">
              <w:rPr>
                <w:rFonts w:cs="Arial"/>
                <w:color w:val="000000"/>
                <w:sz w:val="20"/>
                <w:szCs w:val="20"/>
                <w:lang w:eastAsia="en-GB"/>
              </w:rPr>
              <w:t>Papua Province</w:t>
            </w:r>
          </w:p>
        </w:tc>
        <w:tc>
          <w:tcPr>
            <w:tcW w:w="937" w:type="dxa"/>
            <w:tcBorders>
              <w:top w:val="nil"/>
              <w:left w:val="nil"/>
              <w:bottom w:val="single" w:sz="8" w:space="0" w:color="auto"/>
              <w:right w:val="single" w:sz="8" w:space="0" w:color="auto"/>
            </w:tcBorders>
            <w:shd w:val="clear" w:color="000000" w:fill="E1E1E1"/>
            <w:vAlign w:val="center"/>
            <w:hideMark/>
          </w:tcPr>
          <w:p w14:paraId="13B55ADC"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Rollout 2012 </w:t>
            </w:r>
          </w:p>
        </w:tc>
        <w:tc>
          <w:tcPr>
            <w:tcW w:w="938" w:type="dxa"/>
            <w:tcBorders>
              <w:top w:val="nil"/>
              <w:left w:val="nil"/>
              <w:bottom w:val="single" w:sz="8" w:space="0" w:color="auto"/>
              <w:right w:val="single" w:sz="8" w:space="0" w:color="auto"/>
            </w:tcBorders>
            <w:shd w:val="clear" w:color="000000" w:fill="E1E1E1"/>
            <w:vAlign w:val="center"/>
            <w:hideMark/>
          </w:tcPr>
          <w:p w14:paraId="13B55ADD"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Rollout 2012 </w:t>
            </w:r>
          </w:p>
        </w:tc>
        <w:tc>
          <w:tcPr>
            <w:tcW w:w="946" w:type="dxa"/>
            <w:tcBorders>
              <w:top w:val="nil"/>
              <w:left w:val="nil"/>
              <w:bottom w:val="single" w:sz="8" w:space="0" w:color="auto"/>
              <w:right w:val="single" w:sz="8" w:space="0" w:color="auto"/>
            </w:tcBorders>
            <w:shd w:val="clear" w:color="000000" w:fill="E1E1E1"/>
            <w:vAlign w:val="center"/>
            <w:hideMark/>
          </w:tcPr>
          <w:p w14:paraId="13B55ADE"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Rollout 2012 </w:t>
            </w:r>
          </w:p>
        </w:tc>
      </w:tr>
      <w:tr w:rsidR="00662795" w:rsidRPr="000A7545" w14:paraId="13B55AE4" w14:textId="77777777" w:rsidTr="002D05F6">
        <w:trPr>
          <w:trHeight w:val="270"/>
          <w:jc w:val="center"/>
        </w:trPr>
        <w:tc>
          <w:tcPr>
            <w:tcW w:w="2036" w:type="dxa"/>
            <w:tcBorders>
              <w:top w:val="nil"/>
              <w:left w:val="single" w:sz="8" w:space="0" w:color="auto"/>
              <w:bottom w:val="single" w:sz="8" w:space="0" w:color="auto"/>
              <w:right w:val="single" w:sz="8" w:space="0" w:color="auto"/>
            </w:tcBorders>
            <w:shd w:val="clear" w:color="auto" w:fill="auto"/>
            <w:vAlign w:val="center"/>
            <w:hideMark/>
          </w:tcPr>
          <w:p w14:paraId="13B55AE0" w14:textId="77777777" w:rsidR="00662795" w:rsidRPr="000A7545" w:rsidRDefault="00662795" w:rsidP="00E00A80">
            <w:pPr>
              <w:spacing w:before="60" w:after="60" w:line="240" w:lineRule="auto"/>
              <w:rPr>
                <w:rFonts w:cs="Arial"/>
                <w:color w:val="000000"/>
                <w:sz w:val="20"/>
                <w:szCs w:val="20"/>
                <w:lang w:eastAsia="en-GB"/>
              </w:rPr>
            </w:pPr>
            <w:r w:rsidRPr="000A7545">
              <w:rPr>
                <w:rFonts w:cs="Arial"/>
                <w:color w:val="000000"/>
                <w:sz w:val="20"/>
                <w:szCs w:val="20"/>
                <w:lang w:eastAsia="en-GB"/>
              </w:rPr>
              <w:t>Biak</w:t>
            </w:r>
          </w:p>
        </w:tc>
        <w:tc>
          <w:tcPr>
            <w:tcW w:w="937" w:type="dxa"/>
            <w:tcBorders>
              <w:top w:val="nil"/>
              <w:left w:val="nil"/>
              <w:bottom w:val="single" w:sz="8" w:space="0" w:color="auto"/>
              <w:right w:val="single" w:sz="8" w:space="0" w:color="auto"/>
            </w:tcBorders>
            <w:shd w:val="clear" w:color="000000" w:fill="E1E1E1"/>
            <w:vAlign w:val="center"/>
            <w:hideMark/>
          </w:tcPr>
          <w:p w14:paraId="13B55AE1"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12</w:t>
            </w:r>
          </w:p>
        </w:tc>
        <w:tc>
          <w:tcPr>
            <w:tcW w:w="938" w:type="dxa"/>
            <w:tcBorders>
              <w:top w:val="nil"/>
              <w:left w:val="nil"/>
              <w:bottom w:val="single" w:sz="8" w:space="0" w:color="auto"/>
              <w:right w:val="single" w:sz="8" w:space="0" w:color="auto"/>
            </w:tcBorders>
            <w:shd w:val="clear" w:color="000000" w:fill="E1E1E1"/>
            <w:vAlign w:val="center"/>
            <w:hideMark/>
          </w:tcPr>
          <w:p w14:paraId="13B55AE2"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7</w:t>
            </w:r>
          </w:p>
        </w:tc>
        <w:tc>
          <w:tcPr>
            <w:tcW w:w="946" w:type="dxa"/>
            <w:tcBorders>
              <w:top w:val="nil"/>
              <w:left w:val="nil"/>
              <w:bottom w:val="single" w:sz="8" w:space="0" w:color="auto"/>
              <w:right w:val="single" w:sz="8" w:space="0" w:color="auto"/>
            </w:tcBorders>
            <w:shd w:val="clear" w:color="000000" w:fill="E1E1E1"/>
            <w:vAlign w:val="center"/>
            <w:hideMark/>
          </w:tcPr>
          <w:p w14:paraId="13B55AE3"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19</w:t>
            </w:r>
          </w:p>
        </w:tc>
      </w:tr>
      <w:tr w:rsidR="00662795" w:rsidRPr="000A7545" w14:paraId="13B55AE9" w14:textId="77777777" w:rsidTr="002D05F6">
        <w:trPr>
          <w:trHeight w:val="270"/>
          <w:jc w:val="center"/>
        </w:trPr>
        <w:tc>
          <w:tcPr>
            <w:tcW w:w="2036" w:type="dxa"/>
            <w:tcBorders>
              <w:top w:val="nil"/>
              <w:left w:val="single" w:sz="8" w:space="0" w:color="auto"/>
              <w:bottom w:val="single" w:sz="8" w:space="0" w:color="auto"/>
              <w:right w:val="single" w:sz="8" w:space="0" w:color="auto"/>
            </w:tcBorders>
            <w:shd w:val="clear" w:color="auto" w:fill="auto"/>
            <w:vAlign w:val="center"/>
            <w:hideMark/>
          </w:tcPr>
          <w:p w14:paraId="13B55AE5" w14:textId="77777777" w:rsidR="00662795" w:rsidRPr="000A7545" w:rsidRDefault="00662795" w:rsidP="00E00A80">
            <w:pPr>
              <w:spacing w:before="60" w:after="60" w:line="240" w:lineRule="auto"/>
              <w:rPr>
                <w:rFonts w:cs="Arial"/>
                <w:color w:val="000000"/>
                <w:sz w:val="20"/>
                <w:szCs w:val="20"/>
                <w:lang w:eastAsia="en-GB"/>
              </w:rPr>
            </w:pPr>
            <w:r w:rsidRPr="000A7545">
              <w:rPr>
                <w:rFonts w:cs="Arial"/>
                <w:color w:val="000000"/>
                <w:sz w:val="20"/>
                <w:szCs w:val="20"/>
                <w:lang w:eastAsia="en-GB"/>
              </w:rPr>
              <w:t>Jayapura</w:t>
            </w:r>
          </w:p>
        </w:tc>
        <w:tc>
          <w:tcPr>
            <w:tcW w:w="937" w:type="dxa"/>
            <w:tcBorders>
              <w:top w:val="nil"/>
              <w:left w:val="nil"/>
              <w:bottom w:val="single" w:sz="8" w:space="0" w:color="auto"/>
              <w:right w:val="single" w:sz="8" w:space="0" w:color="auto"/>
            </w:tcBorders>
            <w:shd w:val="clear" w:color="000000" w:fill="E1E1E1"/>
            <w:vAlign w:val="center"/>
            <w:hideMark/>
          </w:tcPr>
          <w:p w14:paraId="13B55AE6"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6</w:t>
            </w:r>
          </w:p>
        </w:tc>
        <w:tc>
          <w:tcPr>
            <w:tcW w:w="938" w:type="dxa"/>
            <w:tcBorders>
              <w:top w:val="nil"/>
              <w:left w:val="nil"/>
              <w:bottom w:val="single" w:sz="8" w:space="0" w:color="auto"/>
              <w:right w:val="single" w:sz="8" w:space="0" w:color="auto"/>
            </w:tcBorders>
            <w:shd w:val="clear" w:color="000000" w:fill="E1E1E1"/>
            <w:vAlign w:val="center"/>
            <w:hideMark/>
          </w:tcPr>
          <w:p w14:paraId="13B55AE7"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2</w:t>
            </w:r>
          </w:p>
        </w:tc>
        <w:tc>
          <w:tcPr>
            <w:tcW w:w="946" w:type="dxa"/>
            <w:tcBorders>
              <w:top w:val="nil"/>
              <w:left w:val="nil"/>
              <w:bottom w:val="single" w:sz="8" w:space="0" w:color="auto"/>
              <w:right w:val="single" w:sz="8" w:space="0" w:color="auto"/>
            </w:tcBorders>
            <w:shd w:val="clear" w:color="000000" w:fill="E1E1E1"/>
            <w:vAlign w:val="center"/>
            <w:hideMark/>
          </w:tcPr>
          <w:p w14:paraId="13B55AE8"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8</w:t>
            </w:r>
          </w:p>
        </w:tc>
      </w:tr>
      <w:tr w:rsidR="00662795" w:rsidRPr="000A7545" w14:paraId="13B55AEE" w14:textId="77777777" w:rsidTr="002D05F6">
        <w:trPr>
          <w:trHeight w:val="270"/>
          <w:jc w:val="center"/>
        </w:trPr>
        <w:tc>
          <w:tcPr>
            <w:tcW w:w="2036" w:type="dxa"/>
            <w:tcBorders>
              <w:top w:val="nil"/>
              <w:left w:val="single" w:sz="8" w:space="0" w:color="auto"/>
              <w:bottom w:val="single" w:sz="8" w:space="0" w:color="auto"/>
              <w:right w:val="single" w:sz="8" w:space="0" w:color="auto"/>
            </w:tcBorders>
            <w:shd w:val="clear" w:color="auto" w:fill="auto"/>
            <w:vAlign w:val="center"/>
            <w:hideMark/>
          </w:tcPr>
          <w:p w14:paraId="13B55AEA" w14:textId="77777777" w:rsidR="00662795" w:rsidRPr="000A7545" w:rsidRDefault="00662795" w:rsidP="00E00A80">
            <w:pPr>
              <w:spacing w:before="60" w:after="60" w:line="240" w:lineRule="auto"/>
              <w:rPr>
                <w:rFonts w:cs="Arial"/>
                <w:color w:val="000000"/>
                <w:sz w:val="20"/>
                <w:szCs w:val="20"/>
                <w:lang w:eastAsia="en-GB"/>
              </w:rPr>
            </w:pPr>
            <w:r w:rsidRPr="000A7545">
              <w:rPr>
                <w:rFonts w:cs="Arial"/>
                <w:color w:val="000000"/>
                <w:sz w:val="20"/>
                <w:szCs w:val="20"/>
                <w:lang w:eastAsia="en-GB"/>
              </w:rPr>
              <w:t>Jayawijaya</w:t>
            </w:r>
          </w:p>
        </w:tc>
        <w:tc>
          <w:tcPr>
            <w:tcW w:w="937" w:type="dxa"/>
            <w:tcBorders>
              <w:top w:val="nil"/>
              <w:left w:val="nil"/>
              <w:bottom w:val="single" w:sz="8" w:space="0" w:color="auto"/>
              <w:right w:val="single" w:sz="8" w:space="0" w:color="auto"/>
            </w:tcBorders>
            <w:shd w:val="clear" w:color="000000" w:fill="E1E1E1"/>
            <w:vAlign w:val="center"/>
            <w:hideMark/>
          </w:tcPr>
          <w:p w14:paraId="13B55AEB"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9</w:t>
            </w:r>
          </w:p>
        </w:tc>
        <w:tc>
          <w:tcPr>
            <w:tcW w:w="938" w:type="dxa"/>
            <w:tcBorders>
              <w:top w:val="nil"/>
              <w:left w:val="nil"/>
              <w:bottom w:val="single" w:sz="8" w:space="0" w:color="auto"/>
              <w:right w:val="single" w:sz="8" w:space="0" w:color="auto"/>
            </w:tcBorders>
            <w:shd w:val="clear" w:color="000000" w:fill="E1E1E1"/>
            <w:vAlign w:val="center"/>
            <w:hideMark/>
          </w:tcPr>
          <w:p w14:paraId="13B55AEC"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6</w:t>
            </w:r>
          </w:p>
        </w:tc>
        <w:tc>
          <w:tcPr>
            <w:tcW w:w="946" w:type="dxa"/>
            <w:tcBorders>
              <w:top w:val="nil"/>
              <w:left w:val="nil"/>
              <w:bottom w:val="single" w:sz="8" w:space="0" w:color="auto"/>
              <w:right w:val="single" w:sz="8" w:space="0" w:color="auto"/>
            </w:tcBorders>
            <w:shd w:val="clear" w:color="000000" w:fill="E1E1E1"/>
            <w:vAlign w:val="center"/>
            <w:hideMark/>
          </w:tcPr>
          <w:p w14:paraId="13B55AED"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15</w:t>
            </w:r>
          </w:p>
        </w:tc>
      </w:tr>
      <w:tr w:rsidR="00662795" w:rsidRPr="000A7545" w14:paraId="13B55AF3" w14:textId="77777777" w:rsidTr="002D05F6">
        <w:trPr>
          <w:trHeight w:val="270"/>
          <w:jc w:val="center"/>
        </w:trPr>
        <w:tc>
          <w:tcPr>
            <w:tcW w:w="2036" w:type="dxa"/>
            <w:tcBorders>
              <w:top w:val="nil"/>
              <w:left w:val="single" w:sz="8" w:space="0" w:color="auto"/>
              <w:bottom w:val="single" w:sz="8" w:space="0" w:color="auto"/>
              <w:right w:val="single" w:sz="8" w:space="0" w:color="auto"/>
            </w:tcBorders>
            <w:shd w:val="clear" w:color="000000" w:fill="FFFF00"/>
            <w:vAlign w:val="center"/>
            <w:hideMark/>
          </w:tcPr>
          <w:p w14:paraId="13B55AEF" w14:textId="77777777" w:rsidR="00662795" w:rsidRPr="000A7545" w:rsidRDefault="00662795" w:rsidP="00E00A80">
            <w:pPr>
              <w:spacing w:before="60" w:after="60" w:line="240" w:lineRule="auto"/>
              <w:rPr>
                <w:rFonts w:cs="Arial"/>
                <w:color w:val="000000"/>
                <w:sz w:val="20"/>
                <w:szCs w:val="20"/>
                <w:lang w:eastAsia="en-GB"/>
              </w:rPr>
            </w:pPr>
            <w:r w:rsidRPr="000A7545">
              <w:rPr>
                <w:rFonts w:cs="Arial"/>
                <w:color w:val="000000"/>
                <w:sz w:val="20"/>
                <w:szCs w:val="20"/>
                <w:lang w:eastAsia="en-GB"/>
              </w:rPr>
              <w:t>Mimika</w:t>
            </w:r>
          </w:p>
        </w:tc>
        <w:tc>
          <w:tcPr>
            <w:tcW w:w="937" w:type="dxa"/>
            <w:tcBorders>
              <w:top w:val="nil"/>
              <w:left w:val="nil"/>
              <w:bottom w:val="single" w:sz="8" w:space="0" w:color="auto"/>
              <w:right w:val="single" w:sz="8" w:space="0" w:color="auto"/>
            </w:tcBorders>
            <w:shd w:val="clear" w:color="000000" w:fill="FFFF00"/>
            <w:vAlign w:val="center"/>
            <w:hideMark/>
          </w:tcPr>
          <w:p w14:paraId="13B55AF0"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11</w:t>
            </w:r>
          </w:p>
        </w:tc>
        <w:tc>
          <w:tcPr>
            <w:tcW w:w="938" w:type="dxa"/>
            <w:tcBorders>
              <w:top w:val="nil"/>
              <w:left w:val="nil"/>
              <w:bottom w:val="single" w:sz="8" w:space="0" w:color="auto"/>
              <w:right w:val="single" w:sz="8" w:space="0" w:color="auto"/>
            </w:tcBorders>
            <w:shd w:val="clear" w:color="000000" w:fill="FFFF00"/>
            <w:vAlign w:val="center"/>
            <w:hideMark/>
          </w:tcPr>
          <w:p w14:paraId="13B55AF1"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6</w:t>
            </w:r>
          </w:p>
        </w:tc>
        <w:tc>
          <w:tcPr>
            <w:tcW w:w="946" w:type="dxa"/>
            <w:tcBorders>
              <w:top w:val="nil"/>
              <w:left w:val="nil"/>
              <w:bottom w:val="single" w:sz="8" w:space="0" w:color="auto"/>
              <w:right w:val="single" w:sz="8" w:space="0" w:color="auto"/>
            </w:tcBorders>
            <w:shd w:val="clear" w:color="000000" w:fill="FFFF00"/>
            <w:vAlign w:val="center"/>
            <w:hideMark/>
          </w:tcPr>
          <w:p w14:paraId="13B55AF2"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17</w:t>
            </w:r>
          </w:p>
        </w:tc>
      </w:tr>
      <w:tr w:rsidR="00662795" w:rsidRPr="000A7545" w14:paraId="13B55AF8" w14:textId="77777777" w:rsidTr="002D05F6">
        <w:trPr>
          <w:trHeight w:val="358"/>
          <w:jc w:val="center"/>
        </w:trPr>
        <w:tc>
          <w:tcPr>
            <w:tcW w:w="2036" w:type="dxa"/>
            <w:tcBorders>
              <w:top w:val="nil"/>
              <w:left w:val="single" w:sz="8" w:space="0" w:color="auto"/>
              <w:bottom w:val="single" w:sz="8" w:space="0" w:color="auto"/>
              <w:right w:val="single" w:sz="8" w:space="0" w:color="auto"/>
            </w:tcBorders>
            <w:shd w:val="clear" w:color="auto" w:fill="auto"/>
            <w:vAlign w:val="center"/>
            <w:hideMark/>
          </w:tcPr>
          <w:p w14:paraId="13B55AF4" w14:textId="77777777" w:rsidR="00662795" w:rsidRPr="000A7545" w:rsidRDefault="00662795" w:rsidP="00E00A80">
            <w:pPr>
              <w:spacing w:before="60" w:after="60" w:line="240" w:lineRule="auto"/>
              <w:rPr>
                <w:rFonts w:cs="Arial"/>
                <w:color w:val="000000"/>
                <w:sz w:val="20"/>
                <w:szCs w:val="20"/>
                <w:lang w:eastAsia="en-GB"/>
              </w:rPr>
            </w:pPr>
            <w:r w:rsidRPr="000A7545">
              <w:rPr>
                <w:rFonts w:cs="Arial"/>
                <w:color w:val="000000"/>
                <w:sz w:val="20"/>
                <w:szCs w:val="20"/>
                <w:lang w:eastAsia="en-GB"/>
              </w:rPr>
              <w:t>West Papua Province</w:t>
            </w:r>
          </w:p>
        </w:tc>
        <w:tc>
          <w:tcPr>
            <w:tcW w:w="937" w:type="dxa"/>
            <w:tcBorders>
              <w:top w:val="nil"/>
              <w:left w:val="nil"/>
              <w:bottom w:val="single" w:sz="8" w:space="0" w:color="auto"/>
              <w:right w:val="single" w:sz="8" w:space="0" w:color="auto"/>
            </w:tcBorders>
            <w:shd w:val="clear" w:color="000000" w:fill="E1E1E1"/>
            <w:vAlign w:val="center"/>
            <w:hideMark/>
          </w:tcPr>
          <w:p w14:paraId="13B55AF5"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4</w:t>
            </w:r>
          </w:p>
        </w:tc>
        <w:tc>
          <w:tcPr>
            <w:tcW w:w="938" w:type="dxa"/>
            <w:tcBorders>
              <w:top w:val="nil"/>
              <w:left w:val="nil"/>
              <w:bottom w:val="single" w:sz="8" w:space="0" w:color="auto"/>
              <w:right w:val="single" w:sz="8" w:space="0" w:color="auto"/>
            </w:tcBorders>
            <w:shd w:val="clear" w:color="000000" w:fill="E1E1E1"/>
            <w:vAlign w:val="center"/>
            <w:hideMark/>
          </w:tcPr>
          <w:p w14:paraId="13B55AF6"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3</w:t>
            </w:r>
          </w:p>
        </w:tc>
        <w:tc>
          <w:tcPr>
            <w:tcW w:w="946" w:type="dxa"/>
            <w:tcBorders>
              <w:top w:val="nil"/>
              <w:left w:val="nil"/>
              <w:bottom w:val="single" w:sz="8" w:space="0" w:color="auto"/>
              <w:right w:val="single" w:sz="8" w:space="0" w:color="auto"/>
            </w:tcBorders>
            <w:shd w:val="clear" w:color="000000" w:fill="E1E1E1"/>
            <w:vAlign w:val="center"/>
            <w:hideMark/>
          </w:tcPr>
          <w:p w14:paraId="13B55AF7"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7</w:t>
            </w:r>
          </w:p>
        </w:tc>
      </w:tr>
      <w:tr w:rsidR="00662795" w:rsidRPr="000A7545" w14:paraId="13B55AFD" w14:textId="77777777" w:rsidTr="002D05F6">
        <w:trPr>
          <w:trHeight w:val="270"/>
          <w:jc w:val="center"/>
        </w:trPr>
        <w:tc>
          <w:tcPr>
            <w:tcW w:w="2036" w:type="dxa"/>
            <w:tcBorders>
              <w:top w:val="nil"/>
              <w:left w:val="single" w:sz="8" w:space="0" w:color="auto"/>
              <w:bottom w:val="single" w:sz="8" w:space="0" w:color="auto"/>
              <w:right w:val="single" w:sz="8" w:space="0" w:color="auto"/>
            </w:tcBorders>
            <w:shd w:val="clear" w:color="auto" w:fill="auto"/>
            <w:vAlign w:val="center"/>
            <w:hideMark/>
          </w:tcPr>
          <w:p w14:paraId="13B55AF9" w14:textId="77777777" w:rsidR="00662795" w:rsidRPr="000A7545" w:rsidRDefault="00662795" w:rsidP="00E00A80">
            <w:pPr>
              <w:spacing w:before="60" w:after="60" w:line="240" w:lineRule="auto"/>
              <w:rPr>
                <w:rFonts w:cs="Arial"/>
                <w:color w:val="000000"/>
                <w:sz w:val="20"/>
                <w:szCs w:val="20"/>
                <w:lang w:eastAsia="en-GB"/>
              </w:rPr>
            </w:pPr>
            <w:r w:rsidRPr="000A7545">
              <w:rPr>
                <w:rFonts w:cs="Arial"/>
                <w:color w:val="000000"/>
                <w:sz w:val="20"/>
                <w:szCs w:val="20"/>
                <w:lang w:eastAsia="en-GB"/>
              </w:rPr>
              <w:t>Sorong</w:t>
            </w:r>
          </w:p>
        </w:tc>
        <w:tc>
          <w:tcPr>
            <w:tcW w:w="937" w:type="dxa"/>
            <w:tcBorders>
              <w:top w:val="nil"/>
              <w:left w:val="nil"/>
              <w:bottom w:val="single" w:sz="8" w:space="0" w:color="auto"/>
              <w:right w:val="single" w:sz="8" w:space="0" w:color="auto"/>
            </w:tcBorders>
            <w:shd w:val="clear" w:color="000000" w:fill="E1E1E1"/>
            <w:vAlign w:val="center"/>
            <w:hideMark/>
          </w:tcPr>
          <w:p w14:paraId="13B55AFA"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17</w:t>
            </w:r>
          </w:p>
        </w:tc>
        <w:tc>
          <w:tcPr>
            <w:tcW w:w="938" w:type="dxa"/>
            <w:tcBorders>
              <w:top w:val="nil"/>
              <w:left w:val="nil"/>
              <w:bottom w:val="single" w:sz="8" w:space="0" w:color="auto"/>
              <w:right w:val="single" w:sz="8" w:space="0" w:color="auto"/>
            </w:tcBorders>
            <w:shd w:val="clear" w:color="000000" w:fill="E1E1E1"/>
            <w:vAlign w:val="center"/>
            <w:hideMark/>
          </w:tcPr>
          <w:p w14:paraId="13B55AFB" w14:textId="77777777" w:rsidR="00662795" w:rsidRPr="000A7545" w:rsidRDefault="00662795" w:rsidP="00E00A80">
            <w:pPr>
              <w:spacing w:before="60" w:after="60" w:line="240" w:lineRule="auto"/>
              <w:jc w:val="center"/>
              <w:rPr>
                <w:rFonts w:cs="Arial"/>
                <w:color w:val="000000"/>
                <w:sz w:val="20"/>
                <w:szCs w:val="20"/>
                <w:lang w:eastAsia="en-GB"/>
              </w:rPr>
            </w:pPr>
            <w:r w:rsidRPr="000A7545">
              <w:rPr>
                <w:rFonts w:cs="Arial"/>
                <w:color w:val="000000"/>
                <w:sz w:val="20"/>
                <w:szCs w:val="20"/>
                <w:lang w:eastAsia="en-GB"/>
              </w:rPr>
              <w:t>3</w:t>
            </w:r>
          </w:p>
        </w:tc>
        <w:tc>
          <w:tcPr>
            <w:tcW w:w="946" w:type="dxa"/>
            <w:tcBorders>
              <w:top w:val="nil"/>
              <w:left w:val="nil"/>
              <w:bottom w:val="single" w:sz="8" w:space="0" w:color="auto"/>
              <w:right w:val="single" w:sz="8" w:space="0" w:color="auto"/>
            </w:tcBorders>
            <w:shd w:val="clear" w:color="000000" w:fill="E1E1E1"/>
            <w:vAlign w:val="center"/>
            <w:hideMark/>
          </w:tcPr>
          <w:p w14:paraId="13B55AFC"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20</w:t>
            </w:r>
          </w:p>
        </w:tc>
      </w:tr>
      <w:tr w:rsidR="00662795" w:rsidRPr="000A7545" w14:paraId="13B55B02" w14:textId="77777777" w:rsidTr="002D05F6">
        <w:trPr>
          <w:trHeight w:val="270"/>
          <w:jc w:val="center"/>
        </w:trPr>
        <w:tc>
          <w:tcPr>
            <w:tcW w:w="2036" w:type="dxa"/>
            <w:tcBorders>
              <w:top w:val="nil"/>
              <w:left w:val="single" w:sz="8" w:space="0" w:color="auto"/>
              <w:bottom w:val="single" w:sz="8" w:space="0" w:color="auto"/>
              <w:right w:val="single" w:sz="8" w:space="0" w:color="auto"/>
            </w:tcBorders>
            <w:shd w:val="clear" w:color="000000" w:fill="F1F1B4"/>
            <w:vAlign w:val="center"/>
            <w:hideMark/>
          </w:tcPr>
          <w:p w14:paraId="13B55AFE" w14:textId="77777777" w:rsidR="00662795" w:rsidRPr="000A7545" w:rsidRDefault="00662795" w:rsidP="00E00A80">
            <w:pPr>
              <w:spacing w:before="60" w:after="60" w:line="240" w:lineRule="auto"/>
              <w:rPr>
                <w:rFonts w:cs="Arial"/>
                <w:b/>
                <w:bCs/>
                <w:color w:val="000000"/>
                <w:sz w:val="20"/>
                <w:szCs w:val="20"/>
                <w:lang w:eastAsia="en-GB"/>
              </w:rPr>
            </w:pPr>
            <w:r w:rsidRPr="000A7545">
              <w:rPr>
                <w:rFonts w:cs="Arial"/>
                <w:b/>
                <w:color w:val="000000"/>
                <w:sz w:val="20"/>
                <w:szCs w:val="20"/>
                <w:lang w:eastAsia="en-GB"/>
              </w:rPr>
              <w:t>Total</w:t>
            </w:r>
          </w:p>
        </w:tc>
        <w:tc>
          <w:tcPr>
            <w:tcW w:w="937" w:type="dxa"/>
            <w:tcBorders>
              <w:top w:val="nil"/>
              <w:left w:val="nil"/>
              <w:bottom w:val="single" w:sz="8" w:space="0" w:color="auto"/>
              <w:right w:val="single" w:sz="8" w:space="0" w:color="auto"/>
            </w:tcBorders>
            <w:shd w:val="clear" w:color="000000" w:fill="F1F1B4"/>
            <w:vAlign w:val="center"/>
            <w:hideMark/>
          </w:tcPr>
          <w:p w14:paraId="13B55AFF"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59</w:t>
            </w:r>
          </w:p>
        </w:tc>
        <w:tc>
          <w:tcPr>
            <w:tcW w:w="938" w:type="dxa"/>
            <w:tcBorders>
              <w:top w:val="nil"/>
              <w:left w:val="nil"/>
              <w:bottom w:val="single" w:sz="8" w:space="0" w:color="auto"/>
              <w:right w:val="single" w:sz="8" w:space="0" w:color="auto"/>
            </w:tcBorders>
            <w:shd w:val="clear" w:color="000000" w:fill="F1F1B4"/>
            <w:vAlign w:val="center"/>
            <w:hideMark/>
          </w:tcPr>
          <w:p w14:paraId="13B55B00"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27</w:t>
            </w:r>
          </w:p>
        </w:tc>
        <w:tc>
          <w:tcPr>
            <w:tcW w:w="946" w:type="dxa"/>
            <w:tcBorders>
              <w:top w:val="nil"/>
              <w:left w:val="nil"/>
              <w:bottom w:val="single" w:sz="8" w:space="0" w:color="auto"/>
              <w:right w:val="single" w:sz="8" w:space="0" w:color="auto"/>
            </w:tcBorders>
            <w:shd w:val="clear" w:color="000000" w:fill="F1F1B4"/>
            <w:vAlign w:val="center"/>
            <w:hideMark/>
          </w:tcPr>
          <w:p w14:paraId="13B55B01" w14:textId="77777777" w:rsidR="00662795" w:rsidRPr="000A7545" w:rsidRDefault="00662795" w:rsidP="00E00A80">
            <w:pPr>
              <w:spacing w:before="60" w:after="60" w:line="240" w:lineRule="auto"/>
              <w:jc w:val="center"/>
              <w:rPr>
                <w:rFonts w:cs="Arial"/>
                <w:b/>
                <w:bCs/>
                <w:color w:val="000000"/>
                <w:sz w:val="20"/>
                <w:szCs w:val="20"/>
                <w:lang w:eastAsia="en-GB"/>
              </w:rPr>
            </w:pPr>
            <w:r w:rsidRPr="000A7545">
              <w:rPr>
                <w:rFonts w:cs="Arial"/>
                <w:b/>
                <w:color w:val="000000"/>
                <w:sz w:val="20"/>
                <w:szCs w:val="20"/>
                <w:lang w:eastAsia="en-GB"/>
              </w:rPr>
              <w:t>86</w:t>
            </w:r>
          </w:p>
        </w:tc>
      </w:tr>
    </w:tbl>
    <w:p w14:paraId="13B55B03" w14:textId="77777777" w:rsidR="00E05E9A" w:rsidRPr="000A7545" w:rsidRDefault="00E05E9A" w:rsidP="00E05E9A"/>
    <w:p w14:paraId="13B55B04" w14:textId="77777777" w:rsidR="00662795" w:rsidRPr="000A7545" w:rsidRDefault="00662795" w:rsidP="00185221">
      <w:pPr>
        <w:pStyle w:val="Heading3"/>
        <w:rPr>
          <w:lang w:val="en-GB"/>
        </w:rPr>
      </w:pPr>
      <w:bookmarkStart w:id="31" w:name="_Toc322702758"/>
      <w:r w:rsidRPr="000A7545">
        <w:rPr>
          <w:lang w:val="en-GB"/>
        </w:rPr>
        <w:t>Output 1.1.1: Government development partners participate in planning processes at provincial and district level</w:t>
      </w:r>
      <w:r w:rsidR="00F404EF">
        <w:rPr>
          <w:lang w:val="en-GB"/>
        </w:rPr>
        <w:t xml:space="preserve"> (AusAID)</w:t>
      </w:r>
      <w:bookmarkEnd w:id="31"/>
    </w:p>
    <w:p w14:paraId="13B55B05" w14:textId="77777777" w:rsidR="00662795" w:rsidRPr="000A7545" w:rsidRDefault="00662795" w:rsidP="00662795">
      <w:r w:rsidRPr="000A7545">
        <w:t>R</w:t>
      </w:r>
      <w:r w:rsidR="00BB6297" w:rsidRPr="000A7545">
        <w:t xml:space="preserve">enstra development team </w:t>
      </w:r>
      <w:r w:rsidRPr="000A7545">
        <w:t xml:space="preserve">members from all target districts and provinces reported engagement of local parliament members in the Renstra planning process. Support from a local Member of Parliament for the district </w:t>
      </w:r>
      <w:r w:rsidR="0018048F" w:rsidRPr="000A7545">
        <w:t>Renstra</w:t>
      </w:r>
      <w:r w:rsidRPr="000A7545">
        <w:t xml:space="preserve"> development, and subsequent Renja development was reported to assist the passage of the education sector budget requested and approved by the Bappeda.</w:t>
      </w:r>
    </w:p>
    <w:p w14:paraId="13B55B06" w14:textId="77777777" w:rsidR="00BB6297" w:rsidRPr="000A7545" w:rsidRDefault="00BB6297" w:rsidP="00BB6297">
      <w:pPr>
        <w:rPr>
          <w:bCs/>
          <w:i/>
          <w:color w:val="000000"/>
        </w:rPr>
      </w:pPr>
      <w:r w:rsidRPr="000A7545">
        <w:rPr>
          <w:i/>
          <w:color w:val="000000"/>
        </w:rPr>
        <w:t>"Bappeda in Biak noted that only the Education Office has developed an effective Renstra with participatory processes. Bappeda noted that it is very pleased with the results and has planned to replicate this approach to other departments at district level."</w:t>
      </w:r>
    </w:p>
    <w:p w14:paraId="13B55B07" w14:textId="77777777" w:rsidR="00662795" w:rsidRPr="000A7545" w:rsidRDefault="00662795" w:rsidP="00662795">
      <w:pPr>
        <w:rPr>
          <w:rFonts w:asciiTheme="majorHAnsi" w:hAnsiTheme="majorHAnsi" w:cstheme="majorHAnsi"/>
          <w:color w:val="000000" w:themeColor="text1"/>
        </w:rPr>
      </w:pPr>
    </w:p>
    <w:p w14:paraId="13B55B08" w14:textId="77777777" w:rsidR="00662795" w:rsidRPr="000A7545" w:rsidRDefault="00662795" w:rsidP="00607424">
      <w:pPr>
        <w:pStyle w:val="IntenseQuote"/>
        <w:rPr>
          <w:rStyle w:val="Emphasis"/>
          <w:b/>
          <w:i w:val="0"/>
          <w:u w:val="none"/>
        </w:rPr>
      </w:pPr>
      <w:r w:rsidRPr="000A7545">
        <w:rPr>
          <w:rStyle w:val="Emphasis"/>
          <w:bCs w:val="0"/>
          <w:i w:val="0"/>
          <w:u w:val="none"/>
        </w:rPr>
        <w:t>1.1.1 a</w:t>
      </w:r>
      <w:r w:rsidR="005A04CA" w:rsidRPr="000A7545">
        <w:rPr>
          <w:rStyle w:val="Emphasis"/>
          <w:bCs w:val="0"/>
          <w:i w:val="0"/>
          <w:u w:val="none"/>
        </w:rPr>
        <w:t>.</w:t>
      </w:r>
      <w:r w:rsidRPr="000A7545">
        <w:rPr>
          <w:rStyle w:val="Emphasis"/>
          <w:bCs w:val="0"/>
          <w:i w:val="0"/>
          <w:u w:val="none"/>
        </w:rPr>
        <w:t xml:space="preserve"> Capacity review of government development partners (AusAID)</w:t>
      </w:r>
    </w:p>
    <w:p w14:paraId="13B55B09" w14:textId="77777777" w:rsidR="00662795" w:rsidRPr="000A7545" w:rsidRDefault="00662795" w:rsidP="00662795">
      <w:r w:rsidRPr="000A7545">
        <w:t>A partnership mapping study was completed between July 2011 and March 2012. The report is currently being translated to English but is now available in Bahasa Indonesia. The mapping focused on Civil Society Organisations’ (CSOs) capacity for governance, management, finance, participation in policy-making, networking and communication with policy-makers and beneficiaries, as well as their monitoring capacity. The coverage of actual and potential service delivery for Papuan children was also assessed. Beneficiary perspectives were also obtained on the quality of the school services and community participation in government planning and policy-making processes.</w:t>
      </w:r>
    </w:p>
    <w:p w14:paraId="13B55B0A" w14:textId="77777777" w:rsidR="00662795" w:rsidRPr="000A7545" w:rsidRDefault="00662795" w:rsidP="00662795">
      <w:r w:rsidRPr="000A7545">
        <w:t>Preliminary findings were reviewed with government and civil society partners during a large provincial policy dialogue workshop conducted during December 2011. The dialogue solicited inputs from partners on developing policy recommendations for strengthening civil society-government partners in education service delivery. The partnership mapping report outlines recommendations for strengthening</w:t>
      </w:r>
      <w:r w:rsidR="00BB6297" w:rsidRPr="000A7545">
        <w:t>:</w:t>
      </w:r>
      <w:r w:rsidRPr="000A7545">
        <w:t xml:space="preserve"> the capacity of selected civil society organisations (specifically education Yayasan)</w:t>
      </w:r>
      <w:r w:rsidR="00BB6297" w:rsidRPr="000A7545">
        <w:t>;</w:t>
      </w:r>
      <w:r w:rsidRPr="000A7545">
        <w:t xml:space="preserve"> </w:t>
      </w:r>
      <w:r w:rsidR="0076386D" w:rsidRPr="000A7545">
        <w:t xml:space="preserve">for </w:t>
      </w:r>
      <w:r w:rsidR="00AD68DC" w:rsidRPr="000A7545">
        <w:t xml:space="preserve">further </w:t>
      </w:r>
      <w:r w:rsidR="0076386D" w:rsidRPr="000A7545">
        <w:t>engaging parent groups</w:t>
      </w:r>
      <w:r w:rsidR="00AD68DC" w:rsidRPr="000A7545">
        <w:t>;</w:t>
      </w:r>
      <w:r w:rsidR="0076386D" w:rsidRPr="000A7545">
        <w:t xml:space="preserve"> </w:t>
      </w:r>
      <w:r w:rsidRPr="000A7545">
        <w:t xml:space="preserve">for improving </w:t>
      </w:r>
      <w:r w:rsidR="00AD68DC" w:rsidRPr="000A7545">
        <w:t xml:space="preserve">advocacy efforts with </w:t>
      </w:r>
      <w:r w:rsidR="0018048F" w:rsidRPr="000A7545">
        <w:t>community;</w:t>
      </w:r>
      <w:r w:rsidR="0076386D" w:rsidRPr="000A7545">
        <w:t xml:space="preserve"> </w:t>
      </w:r>
      <w:r w:rsidRPr="000A7545">
        <w:t xml:space="preserve">and </w:t>
      </w:r>
      <w:r w:rsidR="00AD68DC" w:rsidRPr="000A7545">
        <w:t xml:space="preserve">for better using </w:t>
      </w:r>
      <w:r w:rsidRPr="000A7545">
        <w:t xml:space="preserve">evidence based inputs </w:t>
      </w:r>
      <w:r w:rsidR="00AD68DC" w:rsidRPr="000A7545">
        <w:t>from civil society engagement for</w:t>
      </w:r>
      <w:r w:rsidRPr="000A7545">
        <w:t xml:space="preserve"> government policy and programme development. </w:t>
      </w:r>
      <w:r w:rsidR="0076386D" w:rsidRPr="000A7545">
        <w:t xml:space="preserve">More recent reviews and responses to the need </w:t>
      </w:r>
      <w:r w:rsidR="00AD68DC" w:rsidRPr="000A7545">
        <w:t xml:space="preserve">for improving </w:t>
      </w:r>
      <w:r w:rsidR="0076386D" w:rsidRPr="000A7545">
        <w:t xml:space="preserve"> access </w:t>
      </w:r>
      <w:r w:rsidR="00AD68DC" w:rsidRPr="000A7545">
        <w:t xml:space="preserve">and quality of basic education in </w:t>
      </w:r>
      <w:r w:rsidR="0076386D" w:rsidRPr="000A7545">
        <w:t>remote and rural communities has resulted in more local and detailed mapping of CSO</w:t>
      </w:r>
      <w:r w:rsidR="00AD68DC" w:rsidRPr="000A7545">
        <w:t>,</w:t>
      </w:r>
      <w:r w:rsidR="0076386D" w:rsidRPr="000A7545">
        <w:t xml:space="preserve"> who are nearest to remote programme sites</w:t>
      </w:r>
      <w:r w:rsidR="00AD68DC" w:rsidRPr="000A7545">
        <w:t>,</w:t>
      </w:r>
      <w:r w:rsidR="0076386D" w:rsidRPr="000A7545">
        <w:t xml:space="preserve"> for </w:t>
      </w:r>
      <w:r w:rsidR="00AD68DC" w:rsidRPr="000A7545">
        <w:t xml:space="preserve">enhancing their role in </w:t>
      </w:r>
      <w:r w:rsidR="0076386D" w:rsidRPr="000A7545">
        <w:t>closer engagement during the next phase of the programme.</w:t>
      </w:r>
    </w:p>
    <w:p w14:paraId="13B55B0B" w14:textId="77777777" w:rsidR="00662795" w:rsidRPr="000A7545" w:rsidRDefault="00662795" w:rsidP="00662795">
      <w:pPr>
        <w:rPr>
          <w:rStyle w:val="Emphasis"/>
          <w:rFonts w:ascii="Arial" w:hAnsi="Arial"/>
          <w:b w:val="0"/>
          <w:iCs w:val="0"/>
          <w:color w:val="auto"/>
          <w:u w:val="none"/>
        </w:rPr>
      </w:pPr>
    </w:p>
    <w:p w14:paraId="13B55B0C" w14:textId="77777777" w:rsidR="00662795" w:rsidRPr="000A7545" w:rsidRDefault="00607424" w:rsidP="00607424">
      <w:pPr>
        <w:pStyle w:val="IntenseQuote"/>
        <w:rPr>
          <w:rStyle w:val="Emphasis"/>
          <w:bCs w:val="0"/>
          <w:i w:val="0"/>
          <w:u w:val="none"/>
        </w:rPr>
      </w:pPr>
      <w:r w:rsidRPr="000A7545">
        <w:rPr>
          <w:rStyle w:val="Emphasis"/>
          <w:bCs w:val="0"/>
          <w:i w:val="0"/>
          <w:u w:val="none"/>
        </w:rPr>
        <w:t>1.1.1</w:t>
      </w:r>
      <w:r w:rsidR="005A04CA" w:rsidRPr="000A7545">
        <w:rPr>
          <w:rStyle w:val="Emphasis"/>
          <w:bCs w:val="0"/>
          <w:i w:val="0"/>
          <w:u w:val="none"/>
        </w:rPr>
        <w:t>b.</w:t>
      </w:r>
      <w:r w:rsidR="00662795" w:rsidRPr="000A7545">
        <w:rPr>
          <w:rStyle w:val="Emphasis"/>
          <w:bCs w:val="0"/>
          <w:i w:val="0"/>
          <w:u w:val="none"/>
        </w:rPr>
        <w:t xml:space="preserve"> </w:t>
      </w:r>
      <w:r w:rsidR="00E1091C" w:rsidRPr="000A7545">
        <w:rPr>
          <w:rStyle w:val="Emphasis"/>
          <w:bCs w:val="0"/>
          <w:i w:val="0"/>
          <w:u w:val="none"/>
        </w:rPr>
        <w:t>W</w:t>
      </w:r>
      <w:r w:rsidR="00662795" w:rsidRPr="000A7545">
        <w:rPr>
          <w:rStyle w:val="Emphasis"/>
          <w:bCs w:val="0"/>
          <w:i w:val="0"/>
          <w:u w:val="none"/>
        </w:rPr>
        <w:t>omen participants in planning stakeholder meetings</w:t>
      </w:r>
    </w:p>
    <w:p w14:paraId="13B55B0D" w14:textId="77777777" w:rsidR="00662795" w:rsidRDefault="00AD68DC" w:rsidP="00662795">
      <w:pPr>
        <w:rPr>
          <w:iCs/>
        </w:rPr>
      </w:pPr>
      <w:r w:rsidRPr="000A7545">
        <w:rPr>
          <w:iCs/>
        </w:rPr>
        <w:t xml:space="preserve">Workshop attendance records show that the participation of women is greater than the target of 30%. Details are </w:t>
      </w:r>
      <w:r w:rsidR="0018048F">
        <w:rPr>
          <w:iCs/>
        </w:rPr>
        <w:t>provided in the results matrix.</w:t>
      </w:r>
    </w:p>
    <w:p w14:paraId="13B55B0E" w14:textId="77777777" w:rsidR="0018048F" w:rsidRDefault="0018048F" w:rsidP="00662795">
      <w:pPr>
        <w:rPr>
          <w:iCs/>
        </w:rPr>
      </w:pPr>
    </w:p>
    <w:p w14:paraId="13B55B0F" w14:textId="77777777" w:rsidR="00936494" w:rsidRDefault="00936494" w:rsidP="00662795">
      <w:pPr>
        <w:rPr>
          <w:iCs/>
        </w:rPr>
      </w:pPr>
    </w:p>
    <w:p w14:paraId="13B55B10" w14:textId="77777777" w:rsidR="00936494" w:rsidRPr="000A7545" w:rsidRDefault="00936494" w:rsidP="00662795">
      <w:pPr>
        <w:rPr>
          <w:iCs/>
        </w:rPr>
      </w:pPr>
    </w:p>
    <w:p w14:paraId="13B55B11" w14:textId="77777777" w:rsidR="00662795" w:rsidRPr="000A7545" w:rsidRDefault="00662795" w:rsidP="00607424">
      <w:pPr>
        <w:pStyle w:val="IntenseQuote"/>
        <w:rPr>
          <w:rStyle w:val="Emphasis"/>
          <w:bCs w:val="0"/>
          <w:i w:val="0"/>
          <w:u w:val="none"/>
        </w:rPr>
      </w:pPr>
      <w:r w:rsidRPr="000A7545">
        <w:rPr>
          <w:rStyle w:val="Emphasis"/>
          <w:bCs w:val="0"/>
          <w:i w:val="0"/>
          <w:u w:val="none"/>
        </w:rPr>
        <w:t>1.1.1c</w:t>
      </w:r>
      <w:r w:rsidR="005A04CA" w:rsidRPr="000A7545">
        <w:rPr>
          <w:rStyle w:val="Emphasis"/>
          <w:bCs w:val="0"/>
          <w:i w:val="0"/>
          <w:u w:val="none"/>
        </w:rPr>
        <w:t>.</w:t>
      </w:r>
      <w:r w:rsidRPr="000A7545">
        <w:rPr>
          <w:rStyle w:val="Emphasis"/>
          <w:bCs w:val="0"/>
          <w:i w:val="0"/>
          <w:u w:val="none"/>
        </w:rPr>
        <w:t xml:space="preserve"> </w:t>
      </w:r>
      <w:r w:rsidR="00E1091C" w:rsidRPr="000A7545">
        <w:rPr>
          <w:rStyle w:val="Emphasis"/>
          <w:bCs w:val="0"/>
          <w:i w:val="0"/>
          <w:u w:val="none"/>
        </w:rPr>
        <w:t>M</w:t>
      </w:r>
      <w:r w:rsidRPr="000A7545">
        <w:rPr>
          <w:rStyle w:val="Emphasis"/>
          <w:bCs w:val="0"/>
          <w:i w:val="0"/>
          <w:u w:val="none"/>
        </w:rPr>
        <w:t>eetings held with stakeholders from provinces and districts</w:t>
      </w:r>
    </w:p>
    <w:p w14:paraId="13B55B12" w14:textId="77777777" w:rsidR="00662795" w:rsidRDefault="00E1091C" w:rsidP="00662795">
      <w:pPr>
        <w:rPr>
          <w:rStyle w:val="Emphasis"/>
          <w:rFonts w:ascii="Arial" w:hAnsi="Arial"/>
          <w:b w:val="0"/>
          <w:color w:val="auto"/>
          <w:u w:val="none"/>
        </w:rPr>
      </w:pPr>
      <w:r w:rsidRPr="000A7545">
        <w:rPr>
          <w:rStyle w:val="Emphasis"/>
          <w:rFonts w:ascii="Arial" w:hAnsi="Arial"/>
          <w:b w:val="0"/>
          <w:color w:val="auto"/>
          <w:u w:val="none"/>
        </w:rPr>
        <w:t>The target for the programme is to hold at least two meetings per province and district per year. As mentioned in the results matrix, the programme has so far held in excess of this target, with 3 technical workshops and 1 public consultation per province and district for both Renstra and Renja development. This has resulted in a high level of participation and ownership in the Renstra and Renja.</w:t>
      </w:r>
    </w:p>
    <w:p w14:paraId="13B55B13" w14:textId="77777777" w:rsidR="00936494" w:rsidRPr="000A7545" w:rsidRDefault="00936494" w:rsidP="00662795">
      <w:pPr>
        <w:rPr>
          <w:rStyle w:val="Emphasis"/>
          <w:rFonts w:ascii="Arial" w:hAnsi="Arial"/>
          <w:b w:val="0"/>
          <w:color w:val="auto"/>
          <w:u w:val="none"/>
        </w:rPr>
      </w:pPr>
    </w:p>
    <w:p w14:paraId="13B55B14" w14:textId="77777777" w:rsidR="00662795" w:rsidRPr="000A7545" w:rsidRDefault="00607424" w:rsidP="00607424">
      <w:pPr>
        <w:pStyle w:val="IntenseQuote"/>
        <w:rPr>
          <w:rStyle w:val="Emphasis"/>
          <w:bCs w:val="0"/>
          <w:i w:val="0"/>
          <w:u w:val="none"/>
        </w:rPr>
      </w:pPr>
      <w:r w:rsidRPr="000A7545">
        <w:rPr>
          <w:rStyle w:val="Emphasis"/>
          <w:bCs w:val="0"/>
          <w:i w:val="0"/>
          <w:u w:val="none"/>
        </w:rPr>
        <w:t>1.1.1</w:t>
      </w:r>
      <w:r w:rsidR="005A04CA" w:rsidRPr="000A7545">
        <w:rPr>
          <w:rStyle w:val="Emphasis"/>
          <w:bCs w:val="0"/>
          <w:i w:val="0"/>
          <w:u w:val="none"/>
        </w:rPr>
        <w:t>d.</w:t>
      </w:r>
      <w:r w:rsidR="00662795" w:rsidRPr="000A7545">
        <w:rPr>
          <w:rStyle w:val="Emphasis"/>
          <w:bCs w:val="0"/>
          <w:i w:val="0"/>
          <w:u w:val="none"/>
        </w:rPr>
        <w:t xml:space="preserve"> </w:t>
      </w:r>
      <w:r w:rsidR="00F40E79" w:rsidRPr="000A7545">
        <w:rPr>
          <w:rStyle w:val="Emphasis"/>
          <w:bCs w:val="0"/>
          <w:i w:val="0"/>
          <w:u w:val="none"/>
        </w:rPr>
        <w:t>G</w:t>
      </w:r>
      <w:r w:rsidR="00662795" w:rsidRPr="000A7545">
        <w:rPr>
          <w:rStyle w:val="Emphasis"/>
          <w:bCs w:val="0"/>
          <w:i w:val="0"/>
          <w:u w:val="none"/>
        </w:rPr>
        <w:t>overnment development partners from target districts trained in strategic planning and annual work plan preparation</w:t>
      </w:r>
    </w:p>
    <w:p w14:paraId="13B55B15" w14:textId="77777777" w:rsidR="00E1091C" w:rsidRPr="000A7545" w:rsidRDefault="00E1091C" w:rsidP="00E1091C">
      <w:pPr>
        <w:rPr>
          <w:rFonts w:cs="Arial"/>
        </w:rPr>
      </w:pPr>
      <w:r w:rsidRPr="000A7545">
        <w:rPr>
          <w:rFonts w:cs="Arial"/>
        </w:rPr>
        <w:t>For the Renstra Training workshops, out of a total of 202 participants, 153 were male and 49 female. Similarly, for the Renstra Public Consultations, out of a total of 504 participants, 370 were male and 129 female.</w:t>
      </w:r>
    </w:p>
    <w:p w14:paraId="13B55B16" w14:textId="77777777" w:rsidR="00E1091C" w:rsidRPr="000A7545" w:rsidRDefault="00E1091C" w:rsidP="00E1091C">
      <w:pPr>
        <w:rPr>
          <w:rFonts w:cs="Arial"/>
        </w:rPr>
      </w:pPr>
      <w:r w:rsidRPr="000A7545">
        <w:rPr>
          <w:rFonts w:cs="Arial"/>
        </w:rPr>
        <w:t>For Renja Development training workshops, out of a total f 205 participants, 149 were male and 56 female.</w:t>
      </w:r>
    </w:p>
    <w:p w14:paraId="13B55B17" w14:textId="77777777" w:rsidR="00662795" w:rsidRPr="000A7545" w:rsidRDefault="00E1091C" w:rsidP="00E1091C">
      <w:pPr>
        <w:rPr>
          <w:rFonts w:cs="Arial"/>
        </w:rPr>
      </w:pPr>
      <w:r w:rsidRPr="000A7545">
        <w:rPr>
          <w:rFonts w:cs="Arial"/>
        </w:rPr>
        <w:t>80% of the estimated and mapped development partners have so far been involved in strategic planning and annual work planning consultations, including CSOs, Yayasan, FBOs, schools, SKPD, children, and media</w:t>
      </w:r>
      <w:r w:rsidR="0018048F">
        <w:rPr>
          <w:rFonts w:cs="Arial"/>
        </w:rPr>
        <w:t>.</w:t>
      </w:r>
    </w:p>
    <w:p w14:paraId="13B55B18" w14:textId="77777777" w:rsidR="00E1091C" w:rsidRPr="000A7545" w:rsidRDefault="00E1091C" w:rsidP="00E1091C">
      <w:pPr>
        <w:rPr>
          <w:sz w:val="24"/>
          <w:szCs w:val="24"/>
        </w:rPr>
      </w:pPr>
    </w:p>
    <w:p w14:paraId="13B55B19" w14:textId="77777777" w:rsidR="005A04CA" w:rsidRPr="000A7545" w:rsidRDefault="005A04CA" w:rsidP="00185221">
      <w:pPr>
        <w:pStyle w:val="Heading3"/>
        <w:numPr>
          <w:ilvl w:val="0"/>
          <w:numId w:val="0"/>
        </w:numPr>
        <w:ind w:left="360" w:hanging="360"/>
        <w:rPr>
          <w:lang w:val="en-GB"/>
        </w:rPr>
      </w:pPr>
      <w:bookmarkStart w:id="32" w:name="_Toc322702759"/>
      <w:r w:rsidRPr="000A7545">
        <w:rPr>
          <w:lang w:val="en-GB"/>
        </w:rPr>
        <w:t>Output 1.1.2 Education Offices in province</w:t>
      </w:r>
      <w:r w:rsidR="00B35516">
        <w:rPr>
          <w:lang w:val="en-GB"/>
        </w:rPr>
        <w:t>s</w:t>
      </w:r>
      <w:r w:rsidRPr="000A7545">
        <w:rPr>
          <w:lang w:val="en-GB"/>
        </w:rPr>
        <w:t xml:space="preserve"> and districts improve capacity for strategic planning and annual work</w:t>
      </w:r>
      <w:r w:rsidR="00F404EF">
        <w:rPr>
          <w:lang w:val="en-GB"/>
        </w:rPr>
        <w:t xml:space="preserve"> (AusAID)</w:t>
      </w:r>
      <w:bookmarkEnd w:id="32"/>
    </w:p>
    <w:p w14:paraId="13B55B1A" w14:textId="77777777" w:rsidR="005A04CA" w:rsidRPr="000A7545" w:rsidRDefault="005A04CA" w:rsidP="005A04CA">
      <w:r w:rsidRPr="000A7545">
        <w:t>Renstra development teams (RDT) were formed in all provinces and districts as a coordination structure for sectoral planning. The core members of these teams were staff from the Education Offices who took the lead responsibility for the development and writing of the Renstra and Renja documents.</w:t>
      </w:r>
    </w:p>
    <w:p w14:paraId="13B55B1B" w14:textId="77777777" w:rsidR="005A04CA" w:rsidRPr="000A7545" w:rsidRDefault="005A04CA" w:rsidP="005A04CA">
      <w:r w:rsidRPr="000A7545">
        <w:t>The capacity of Education offices was significantly enhanced through the various trainings opportunities and specific technical support and personal mentoring by the RDT from the team of consultants strategically deployed by UNICEF to support the planning process. Some of key activities undertaken to improve the planning capacity of partners are detailed below.</w:t>
      </w:r>
    </w:p>
    <w:p w14:paraId="13B55B1C" w14:textId="77777777" w:rsidR="005A04CA" w:rsidRPr="000A7545" w:rsidRDefault="005A04CA" w:rsidP="005A04CA">
      <w:r w:rsidRPr="000A7545">
        <w:t>Series of training aligned to the three major steps of the Renja development processes were undertaken as knowledge building blocks for the members of the RDT and other stakeholders.</w:t>
      </w:r>
    </w:p>
    <w:p w14:paraId="13B55B1D" w14:textId="77777777" w:rsidR="005A04CA" w:rsidRPr="000A7545" w:rsidRDefault="005A04CA" w:rsidP="005A04CA">
      <w:r w:rsidRPr="000A7545">
        <w:t>The three major steps include: 1) socialization of materials to education office partners, 2) mentoring workshops to support local and provincial governments in developing their Renja based on a performance work plan format, and 3) a public consultation/dissemination. The training sessions were design to allow Education office staff to acquire practical planning skills through on-going mentoring and exposure.</w:t>
      </w:r>
    </w:p>
    <w:p w14:paraId="13B55B1E" w14:textId="77777777" w:rsidR="005A04CA" w:rsidRPr="000A7545" w:rsidRDefault="005A04CA" w:rsidP="005A04CA">
      <w:r w:rsidRPr="000A7545">
        <w:t>While the technical assistance has resulted in the production of key planning and budgeting documents for the education sector, another major benefit of the assistance include the knowledge and skills acquired by government, CSO partners, NGO and other local partners in planning. The application of the acquired skills are also becoming evident as local Renstra and Renja teams took the lead in preparing and presenting materials (with technical backstopping provided by UNICEF recruited consultants) in several planning sessions.</w:t>
      </w:r>
    </w:p>
    <w:p w14:paraId="13B55B1F" w14:textId="77777777" w:rsidR="005A04CA" w:rsidRPr="000A7545" w:rsidRDefault="005A04CA" w:rsidP="005A04CA"/>
    <w:p w14:paraId="13B55B20" w14:textId="77777777" w:rsidR="005A04CA" w:rsidRPr="000A7545" w:rsidRDefault="005A04CA" w:rsidP="00607424">
      <w:pPr>
        <w:pStyle w:val="IntenseQuote"/>
        <w:rPr>
          <w:rStyle w:val="Emphasis"/>
          <w:bCs w:val="0"/>
          <w:i w:val="0"/>
          <w:u w:val="none"/>
        </w:rPr>
      </w:pPr>
      <w:r w:rsidRPr="000A7545">
        <w:rPr>
          <w:rStyle w:val="Emphasis"/>
          <w:bCs w:val="0"/>
          <w:i w:val="0"/>
          <w:u w:val="none"/>
        </w:rPr>
        <w:t>1.1.2a. Renstra and Renja capacity development workshops for government development partners from target districts</w:t>
      </w:r>
    </w:p>
    <w:p w14:paraId="13B55B21" w14:textId="77777777" w:rsidR="005A04CA" w:rsidRPr="000A7545" w:rsidRDefault="005A04CA" w:rsidP="005A04CA">
      <w:r w:rsidRPr="000A7545">
        <w:t xml:space="preserve">Aligned to local needs, </w:t>
      </w:r>
      <w:r w:rsidR="00E00A80" w:rsidRPr="000A7545">
        <w:t>f</w:t>
      </w:r>
      <w:r w:rsidRPr="000A7545">
        <w:t xml:space="preserve">our or five capacity development workshops were implemented for the Renstra and another 4 or 5 for the Renja making a total of 8-10 workshops in every province and district as part of the </w:t>
      </w:r>
      <w:r w:rsidR="000D003F" w:rsidRPr="000A7545">
        <w:t xml:space="preserve">combined </w:t>
      </w:r>
      <w:r w:rsidRPr="000A7545">
        <w:t>development process for the Renstra</w:t>
      </w:r>
      <w:r w:rsidR="000D003F" w:rsidRPr="000A7545">
        <w:t xml:space="preserve"> and Renja</w:t>
      </w:r>
      <w:r w:rsidR="0018048F">
        <w:t xml:space="preserve">. </w:t>
      </w:r>
      <w:r w:rsidRPr="000A7545">
        <w:t>The combined workshops recorded 202 participants (Papua: M=121; F=37; West Papua M=32; F=12) involved in the workshops at several stages of the Renstra development i.e. Renstra orientation, development of education profile and data analysis, strategic issue development and development of plans. The workshops used participatory methods and included policy makers, education planners / managers, Education Department staff, Bappeda, academics, KPA and CSOs.</w:t>
      </w:r>
    </w:p>
    <w:p w14:paraId="13B55B22" w14:textId="77777777" w:rsidR="005A04CA" w:rsidRPr="000A7545" w:rsidRDefault="005A04CA" w:rsidP="005A04CA">
      <w:r w:rsidRPr="000A7545">
        <w:t>Participant feedback from workshops for Annual Work Plan development reported a high level of satisfaction with how the workshops were conducted with 78% of workshop participants reporting that the workshop was highly active and participatory.  The training method considered most effective was ‘simulation’ activities used to strengthen capacities for participatory planning and budgeting while the least effective method was interactive dialogue. When asked whether or not the workshop increased the confidence of participants to conduct effective planning some 56% reported that their confidence was ‘very much increased’ and 44% reported that their confidence was ‘increased’.</w:t>
      </w:r>
    </w:p>
    <w:p w14:paraId="13B55B23" w14:textId="77777777" w:rsidR="005A04CA" w:rsidRPr="00E377B2" w:rsidRDefault="005A04CA" w:rsidP="005A04CA">
      <w:r w:rsidRPr="000A7545">
        <w:t xml:space="preserve">As part of the validation of the planning document, public consultations were held with </w:t>
      </w:r>
      <w:r w:rsidR="00F40E79" w:rsidRPr="000A7545">
        <w:t xml:space="preserve">a </w:t>
      </w:r>
      <w:r w:rsidRPr="000A7545">
        <w:t xml:space="preserve">larger group of stakeholders and </w:t>
      </w:r>
      <w:r w:rsidR="00F40E79" w:rsidRPr="000A7545">
        <w:t xml:space="preserve">the Renstra was socialized in public </w:t>
      </w:r>
      <w:r w:rsidRPr="000A7545">
        <w:t xml:space="preserve">after the signing of the </w:t>
      </w:r>
      <w:r w:rsidR="00F40E79" w:rsidRPr="000A7545">
        <w:t xml:space="preserve">documents. </w:t>
      </w:r>
      <w:r w:rsidRPr="000A7545">
        <w:t xml:space="preserve">The public consultations aimed at promoting transparency, accountability and </w:t>
      </w:r>
      <w:r w:rsidR="00F40E79" w:rsidRPr="000A7545">
        <w:t xml:space="preserve">to </w:t>
      </w:r>
      <w:r w:rsidRPr="000A7545">
        <w:t>ensure the relevance of plans, and strengthen partnerships with civil society and other groups. They were facilitated in 2 provinces and 6 districts with over 500 participants from faith-based organisations, local Education Foundations, teacher and principal representatives, media, local parliamentarians, universities, other government development agencies such as Bappeda, school students, and development partners.</w:t>
      </w:r>
    </w:p>
    <w:p w14:paraId="13B55B24" w14:textId="77777777" w:rsidR="005A04CA" w:rsidRPr="000A7545" w:rsidRDefault="005A04CA" w:rsidP="005A04CA">
      <w:r w:rsidRPr="000A7545">
        <w:t>The public consultation f</w:t>
      </w:r>
      <w:r w:rsidR="00E00A80" w:rsidRPr="000A7545">
        <w:t xml:space="preserve">or West Papua Province Renstra </w:t>
      </w:r>
      <w:r w:rsidRPr="000A7545">
        <w:t xml:space="preserve">was attended by most heads of the Education Department from 11 districts and the activity was jointly funded by the Education Department with a contribution of </w:t>
      </w:r>
      <w:r w:rsidR="00E377B2">
        <w:t>IDR</w:t>
      </w:r>
      <w:r w:rsidRPr="000A7545">
        <w:t xml:space="preserve"> 700</w:t>
      </w:r>
      <w:r w:rsidR="00E377B2">
        <w:t xml:space="preserve"> million</w:t>
      </w:r>
      <w:r w:rsidRPr="000A7545">
        <w:t>. Meanwhile, in Papua Province representatives from seven non-target districts representing different geographic regions of Papua Province attended the provincial public consultation to review and refine the provincial strategic plan.</w:t>
      </w:r>
    </w:p>
    <w:p w14:paraId="13B55B25" w14:textId="77777777" w:rsidR="005A04CA" w:rsidRPr="000A7545" w:rsidRDefault="005A04CA" w:rsidP="005A04CA">
      <w:r w:rsidRPr="000A7545">
        <w:t xml:space="preserve">The Papua Province Renstra document was printed and is available to education officials as guidance for their 5 years strategic development plan. In West Papua province, the Renstra document remains a draft and will be adjusted after the newly elected Governor and the new RPJMD 2012 – 2016 has been established.  Education Department of West Papua province contributed </w:t>
      </w:r>
      <w:r w:rsidR="00E377B2">
        <w:t>IDR 123 million</w:t>
      </w:r>
      <w:r w:rsidRPr="000A7545">
        <w:t xml:space="preserve"> for data collection and analysis to support the writing of the Renstra.</w:t>
      </w:r>
    </w:p>
    <w:p w14:paraId="13B55B26" w14:textId="77777777" w:rsidR="005A04CA" w:rsidRPr="000A7545" w:rsidRDefault="005A04CA" w:rsidP="00607424">
      <w:pPr>
        <w:pStyle w:val="IntenseQuote"/>
        <w:rPr>
          <w:rStyle w:val="Emphasis"/>
          <w:bCs w:val="0"/>
          <w:i w:val="0"/>
          <w:u w:val="none"/>
        </w:rPr>
      </w:pPr>
      <w:r w:rsidRPr="000A7545">
        <w:rPr>
          <w:rStyle w:val="Emphasis"/>
          <w:bCs w:val="0"/>
          <w:i w:val="0"/>
          <w:u w:val="none"/>
        </w:rPr>
        <w:t xml:space="preserve">1.1.2b. Mentoring support for provincial and district </w:t>
      </w:r>
      <w:r w:rsidR="00F40E79" w:rsidRPr="000A7545">
        <w:rPr>
          <w:rStyle w:val="Emphasis"/>
          <w:bCs w:val="0"/>
          <w:i w:val="0"/>
          <w:u w:val="none"/>
        </w:rPr>
        <w:t>R</w:t>
      </w:r>
      <w:r w:rsidRPr="000A7545">
        <w:rPr>
          <w:rStyle w:val="Emphasis"/>
          <w:bCs w:val="0"/>
          <w:i w:val="0"/>
          <w:u w:val="none"/>
        </w:rPr>
        <w:t>enstra writing team</w:t>
      </w:r>
      <w:r w:rsidR="00F40E79" w:rsidRPr="000A7545">
        <w:rPr>
          <w:rStyle w:val="Emphasis"/>
          <w:bCs w:val="0"/>
          <w:i w:val="0"/>
          <w:u w:val="none"/>
        </w:rPr>
        <w:t>s</w:t>
      </w:r>
    </w:p>
    <w:p w14:paraId="13B55B27" w14:textId="77777777" w:rsidR="005A04CA" w:rsidRPr="000A7545" w:rsidRDefault="005A04CA" w:rsidP="005A04CA">
      <w:r w:rsidRPr="000A7545">
        <w:t>The programme provided mentoring support to provincial and district Renstra writing teams focused on improving writer’s understanding of the different dimensions of inequity for children i.e. underlying reasons for poor access to schools, poor quality of teaching and learning and the high dropout and high teacher absenteeism.</w:t>
      </w:r>
    </w:p>
    <w:p w14:paraId="13B55B28" w14:textId="77777777" w:rsidR="005A04CA" w:rsidRPr="000A7545" w:rsidRDefault="005A04CA" w:rsidP="005A04CA">
      <w:r w:rsidRPr="000A7545">
        <w:t>A series of capacity development trainings were implemented to translate the vision and strategic objectives of Renstra into cle</w:t>
      </w:r>
      <w:r w:rsidR="00E00A80" w:rsidRPr="000A7545">
        <w:t xml:space="preserve">ar annual budgeted activities. </w:t>
      </w:r>
      <w:r w:rsidRPr="000A7545">
        <w:t>Expert consultants were assigned to ea</w:t>
      </w:r>
      <w:r w:rsidR="00E00A80" w:rsidRPr="000A7545">
        <w:t>ch province and district and</w:t>
      </w:r>
      <w:r w:rsidRPr="000A7545">
        <w:t xml:space="preserve"> provided dedicated and intensive support to the teams.</w:t>
      </w:r>
    </w:p>
    <w:p w14:paraId="13B55B29" w14:textId="77777777" w:rsidR="005A04CA" w:rsidRPr="000A7545" w:rsidRDefault="005A04CA" w:rsidP="005A04CA">
      <w:r w:rsidRPr="000A7545">
        <w:t>Various Renstra modules, materials and tools were also available to support the provincial and district Renstra writing teams some of which the teams helped develop during the process as ear</w:t>
      </w:r>
      <w:r w:rsidR="00936494">
        <w:t>lier reported</w:t>
      </w:r>
      <w:r w:rsidRPr="000A7545">
        <w:t>. Among the planning materials used to support the partne</w:t>
      </w:r>
      <w:r w:rsidR="00E00A80" w:rsidRPr="000A7545">
        <w:t>r</w:t>
      </w:r>
      <w:r w:rsidRPr="000A7545">
        <w:t xml:space="preserve">s were two modules i.e. </w:t>
      </w:r>
      <w:r w:rsidRPr="000A7545">
        <w:rPr>
          <w:b/>
          <w:i/>
        </w:rPr>
        <w:t>Module 1</w:t>
      </w:r>
      <w:r w:rsidRPr="000A7545">
        <w:rPr>
          <w:i/>
        </w:rPr>
        <w:t xml:space="preserve"> </w:t>
      </w:r>
      <w:r w:rsidRPr="000A7545">
        <w:t>Eight Steps in Strategic Planning Development: Manual for Developing “Renstra”)</w:t>
      </w:r>
      <w:r w:rsidRPr="000A7545">
        <w:rPr>
          <w:rStyle w:val="FootnoteReference"/>
          <w:rFonts w:asciiTheme="majorHAnsi" w:hAnsiTheme="majorHAnsi" w:cstheme="majorHAnsi"/>
        </w:rPr>
        <w:footnoteReference w:id="4"/>
      </w:r>
      <w:r w:rsidRPr="000A7545">
        <w:t xml:space="preserve"> and </w:t>
      </w:r>
      <w:r w:rsidRPr="000A7545">
        <w:rPr>
          <w:b/>
          <w:i/>
        </w:rPr>
        <w:t>Module 2</w:t>
      </w:r>
      <w:r w:rsidRPr="000A7545">
        <w:rPr>
          <w:i/>
        </w:rPr>
        <w:t xml:space="preserve"> </w:t>
      </w:r>
      <w:r w:rsidRPr="000A7545">
        <w:t>Facilitator Guidelines for Renstra Multi-Stakeholder Workshop.  These documents have been developed, piloted and printed.</w:t>
      </w:r>
    </w:p>
    <w:p w14:paraId="13B55B2A" w14:textId="77777777" w:rsidR="005A04CA" w:rsidRPr="000A7545" w:rsidRDefault="005A04CA" w:rsidP="005A04CA"/>
    <w:p w14:paraId="13B55B2B" w14:textId="77777777" w:rsidR="005A04CA" w:rsidRPr="000A7545" w:rsidRDefault="005A04CA" w:rsidP="00607424">
      <w:pPr>
        <w:pStyle w:val="IntenseQuote"/>
        <w:rPr>
          <w:rStyle w:val="Emphasis"/>
          <w:bCs w:val="0"/>
          <w:i w:val="0"/>
          <w:u w:val="none"/>
        </w:rPr>
      </w:pPr>
      <w:r w:rsidRPr="000A7545">
        <w:rPr>
          <w:rStyle w:val="Emphasis"/>
          <w:bCs w:val="0"/>
          <w:i w:val="0"/>
          <w:u w:val="none"/>
        </w:rPr>
        <w:t xml:space="preserve">1.1.2c. Renja development teams </w:t>
      </w:r>
      <w:r w:rsidR="00F40E79" w:rsidRPr="000A7545">
        <w:rPr>
          <w:rStyle w:val="Emphasis"/>
          <w:bCs w:val="0"/>
          <w:i w:val="0"/>
          <w:u w:val="none"/>
        </w:rPr>
        <w:t>in the two provinces and six target districts</w:t>
      </w:r>
    </w:p>
    <w:p w14:paraId="13B55B2C" w14:textId="77777777" w:rsidR="005A04CA" w:rsidRPr="000A7545" w:rsidRDefault="005A04CA" w:rsidP="005A04CA">
      <w:r w:rsidRPr="000A7545">
        <w:t>In each district the Restra teams consisted of a core team of 6-8 people with a broader panel team of an additional 10-12 people but usually not exceeding 20. Core team composition included Education office staff (majority) including st</w:t>
      </w:r>
      <w:r w:rsidR="0018048F">
        <w:t xml:space="preserve">aff from Planning and finance. </w:t>
      </w:r>
      <w:r w:rsidRPr="000A7545">
        <w:t xml:space="preserve">Core teams for the Renstra and </w:t>
      </w:r>
      <w:r w:rsidR="00E00A80" w:rsidRPr="000A7545">
        <w:t>R</w:t>
      </w:r>
      <w:r w:rsidRPr="000A7545">
        <w:t>enja included a representative from Bappeda and a number of core teams included invited experts and occasionally NGO folk. Biak invited a person from a strong NGO- Runsran to be part of the team. The broader panel team included people in strategic positions Head of Education, Secretary of section in education and dinas, university, education council, Head of teachers association and local religious foundations.</w:t>
      </w:r>
    </w:p>
    <w:p w14:paraId="13B55B2D" w14:textId="77777777" w:rsidR="005A04CA" w:rsidRDefault="005A04CA" w:rsidP="005A04CA">
      <w:r w:rsidRPr="000A7545">
        <w:t>The composition of the Renja teams was similar to the Ren</w:t>
      </w:r>
      <w:r w:rsidR="00E00A80" w:rsidRPr="000A7545">
        <w:t>s</w:t>
      </w:r>
      <w:r w:rsidRPr="000A7545">
        <w:t>tra</w:t>
      </w:r>
      <w:r w:rsidR="00F40E79" w:rsidRPr="000A7545">
        <w:t>;</w:t>
      </w:r>
      <w:r w:rsidRPr="000A7545">
        <w:t xml:space="preserve"> however being a work plan the Renja teams were very education </w:t>
      </w:r>
      <w:r w:rsidR="00E00A80" w:rsidRPr="000A7545">
        <w:t>specific. In each district the R</w:t>
      </w:r>
      <w:r w:rsidRPr="000A7545">
        <w:t xml:space="preserve">enja team had about 10 members although consultant’s recommendations suggested </w:t>
      </w:r>
      <w:r w:rsidR="00F40E79" w:rsidRPr="000A7545">
        <w:t xml:space="preserve">including </w:t>
      </w:r>
      <w:r w:rsidRPr="000A7545">
        <w:t>at least seven</w:t>
      </w:r>
      <w:r w:rsidR="00F40E79" w:rsidRPr="000A7545">
        <w:t xml:space="preserve"> participants</w:t>
      </w:r>
      <w:r w:rsidRPr="000A7545">
        <w:t>.</w:t>
      </w:r>
    </w:p>
    <w:p w14:paraId="13B55B2E" w14:textId="77777777" w:rsidR="00936494" w:rsidRPr="000A7545" w:rsidRDefault="00936494" w:rsidP="005A04CA"/>
    <w:p w14:paraId="13B55B2F" w14:textId="77777777" w:rsidR="005A04CA" w:rsidRPr="00936494" w:rsidRDefault="00F30A11" w:rsidP="00936494">
      <w:pPr>
        <w:pStyle w:val="IntenseQuote"/>
        <w:rPr>
          <w:rStyle w:val="Emphasis"/>
          <w:bCs w:val="0"/>
          <w:i w:val="0"/>
          <w:u w:val="none"/>
        </w:rPr>
      </w:pPr>
      <w:r w:rsidRPr="00936494">
        <w:rPr>
          <w:rStyle w:val="Emphasis"/>
          <w:bCs w:val="0"/>
          <w:i w:val="0"/>
          <w:u w:val="none"/>
        </w:rPr>
        <w:t>1.1.2d. Completion of provincial and district Renstra and Renja documents</w:t>
      </w:r>
    </w:p>
    <w:p w14:paraId="13B55B30" w14:textId="77777777" w:rsidR="00F30A11" w:rsidRDefault="00F30A11" w:rsidP="005A04CA">
      <w:r>
        <w:t>All Renstra and Renja documents have been completed for 2012 in both provinces and all six districts.</w:t>
      </w:r>
    </w:p>
    <w:p w14:paraId="13B55B31" w14:textId="77777777" w:rsidR="00F30A11" w:rsidRPr="000A7545" w:rsidRDefault="00F30A11" w:rsidP="005A04CA"/>
    <w:p w14:paraId="13B55B32" w14:textId="77777777" w:rsidR="002D05F6" w:rsidRPr="000A7545" w:rsidRDefault="002D05F6" w:rsidP="00185221">
      <w:pPr>
        <w:pStyle w:val="Heading3"/>
        <w:numPr>
          <w:ilvl w:val="0"/>
          <w:numId w:val="0"/>
        </w:numPr>
        <w:ind w:left="360" w:hanging="360"/>
        <w:rPr>
          <w:lang w:val="en-GB"/>
        </w:rPr>
      </w:pPr>
      <w:bookmarkStart w:id="33" w:name="_Toc322702760"/>
      <w:r w:rsidRPr="000A7545">
        <w:rPr>
          <w:lang w:val="en-GB"/>
        </w:rPr>
        <w:t>Output 1.1.3: CSO</w:t>
      </w:r>
      <w:r w:rsidR="00F40E79" w:rsidRPr="000A7545">
        <w:rPr>
          <w:lang w:val="en-GB"/>
        </w:rPr>
        <w:t>s</w:t>
      </w:r>
      <w:r w:rsidRPr="000A7545">
        <w:rPr>
          <w:lang w:val="en-GB"/>
        </w:rPr>
        <w:t xml:space="preserve"> improve</w:t>
      </w:r>
      <w:r w:rsidR="00F40E79" w:rsidRPr="000A7545">
        <w:rPr>
          <w:lang w:val="en-GB"/>
        </w:rPr>
        <w:t xml:space="preserve"> their</w:t>
      </w:r>
      <w:r w:rsidRPr="000A7545">
        <w:rPr>
          <w:lang w:val="en-GB"/>
        </w:rPr>
        <w:t xml:space="preserve"> capacity for policy development; communication for development; and financial management</w:t>
      </w:r>
      <w:r w:rsidR="00F404EF">
        <w:rPr>
          <w:lang w:val="en-GB"/>
        </w:rPr>
        <w:t xml:space="preserve"> (USAID)</w:t>
      </w:r>
      <w:bookmarkEnd w:id="33"/>
    </w:p>
    <w:p w14:paraId="13B55B33" w14:textId="77777777" w:rsidR="002D05F6" w:rsidRPr="000A7545" w:rsidRDefault="002D05F6" w:rsidP="002D05F6">
      <w:r w:rsidRPr="000A7545">
        <w:t>CSO members were systematically invited and involved in various capacity development activity related to the Re</w:t>
      </w:r>
      <w:r w:rsidR="00E00A80" w:rsidRPr="000A7545">
        <w:t>ns</w:t>
      </w:r>
      <w:r w:rsidRPr="000A7545">
        <w:t>tra and Renja and in a few cases CSO staff had opportunities for capacity development as a Renstra team member. The opportunities for CSO’s to attend the various consultations and  workshops (Including monitoring of Renstra workshops, identification of issues, through public consultations LAKIP workshop and BOS training) provides access to senior policy makers which can provide an avenue for on-going partnerships and to advocate for greater involvement of CSO.</w:t>
      </w:r>
    </w:p>
    <w:p w14:paraId="13B55B34" w14:textId="77777777" w:rsidR="002D05F6" w:rsidRPr="000A7545" w:rsidRDefault="002D05F6" w:rsidP="002D05F6">
      <w:r w:rsidRPr="000A7545">
        <w:t>Many government and civil society duty-bearers noted that the Renstra experience was the first time that they had ever participated in planning processes and it has been very beneficial to improving transparency, accountability and local ownership</w:t>
      </w:r>
      <w:r w:rsidRPr="000A7545">
        <w:rPr>
          <w:vertAlign w:val="superscript"/>
        </w:rPr>
        <w:footnoteReference w:id="5"/>
      </w:r>
      <w:r w:rsidRPr="000A7545">
        <w:t>.</w:t>
      </w:r>
    </w:p>
    <w:p w14:paraId="13B55B35" w14:textId="77777777" w:rsidR="002D05F6" w:rsidRPr="000A7545" w:rsidRDefault="002D05F6" w:rsidP="002D05F6">
      <w:pPr>
        <w:rPr>
          <w:i/>
        </w:rPr>
      </w:pPr>
    </w:p>
    <w:p w14:paraId="13B55B36" w14:textId="77777777" w:rsidR="002D05F6" w:rsidRPr="000A7545" w:rsidRDefault="002D05F6" w:rsidP="00607424">
      <w:pPr>
        <w:pStyle w:val="IntenseQuote"/>
        <w:rPr>
          <w:rStyle w:val="Emphasis"/>
          <w:bCs w:val="0"/>
          <w:i w:val="0"/>
          <w:u w:val="none"/>
        </w:rPr>
      </w:pPr>
      <w:r w:rsidRPr="000A7545">
        <w:rPr>
          <w:rStyle w:val="Emphasis"/>
          <w:bCs w:val="0"/>
          <w:i w:val="0"/>
          <w:u w:val="none"/>
        </w:rPr>
        <w:t>1.1.3a. Mapping of CSO roles conducted</w:t>
      </w:r>
    </w:p>
    <w:p w14:paraId="13B55B37" w14:textId="77777777" w:rsidR="00F40E79" w:rsidRPr="000A7545" w:rsidRDefault="002D05F6" w:rsidP="002D05F6">
      <w:r w:rsidRPr="000A7545">
        <w:t>A Partnership Mapping was undertaken by independent consultants between September and November 2011 focus</w:t>
      </w:r>
      <w:r w:rsidR="00F40E79" w:rsidRPr="000A7545">
        <w:t>ing</w:t>
      </w:r>
      <w:r w:rsidRPr="000A7545">
        <w:t xml:space="preserve"> on CSO capacities</w:t>
      </w:r>
      <w:r w:rsidRPr="000A7545" w:rsidDel="00784CA4">
        <w:t xml:space="preserve"> </w:t>
      </w:r>
      <w:r w:rsidRPr="000A7545">
        <w:t xml:space="preserve">for management and communication for development. The mapping also included </w:t>
      </w:r>
      <w:r w:rsidR="00F40E79" w:rsidRPr="000A7545">
        <w:rPr>
          <w:i/>
        </w:rPr>
        <w:t>Y</w:t>
      </w:r>
      <w:r w:rsidRPr="000A7545">
        <w:rPr>
          <w:i/>
        </w:rPr>
        <w:t xml:space="preserve">ayasan </w:t>
      </w:r>
      <w:r w:rsidR="00F40E79" w:rsidRPr="000A7545">
        <w:rPr>
          <w:i/>
        </w:rPr>
        <w:t>P</w:t>
      </w:r>
      <w:r w:rsidRPr="000A7545">
        <w:rPr>
          <w:i/>
        </w:rPr>
        <w:t>endidikan</w:t>
      </w:r>
      <w:r w:rsidRPr="000A7545">
        <w:t xml:space="preserve"> in target districts.  </w:t>
      </w:r>
    </w:p>
    <w:p w14:paraId="13B55B38" w14:textId="77777777" w:rsidR="002D05F6" w:rsidRPr="000A7545" w:rsidRDefault="00F40E79" w:rsidP="002D05F6">
      <w:r w:rsidRPr="000A7545">
        <w:t>The aim of the mapping was</w:t>
      </w:r>
      <w:r w:rsidR="002D05F6" w:rsidRPr="000A7545">
        <w:t xml:space="preserve"> to identify potential and existi</w:t>
      </w:r>
      <w:r w:rsidR="00591633">
        <w:t>ng partners at district and sub-</w:t>
      </w:r>
      <w:r w:rsidR="002D05F6" w:rsidRPr="000A7545">
        <w:t>district level</w:t>
      </w:r>
      <w:r w:rsidRPr="000A7545">
        <w:t>s</w:t>
      </w:r>
      <w:r w:rsidR="002D05F6" w:rsidRPr="000A7545">
        <w:t xml:space="preserve"> with a view to</w:t>
      </w:r>
      <w:r w:rsidRPr="000A7545">
        <w:t>wards</w:t>
      </w:r>
      <w:r w:rsidR="002D05F6" w:rsidRPr="000A7545">
        <w:t xml:space="preserve"> expanding outreach to teachers and communit</w:t>
      </w:r>
      <w:r w:rsidR="0018048F">
        <w:t xml:space="preserve">ies in rural and remote areas. </w:t>
      </w:r>
      <w:r w:rsidRPr="000A7545">
        <w:t>Information was collected through i</w:t>
      </w:r>
      <w:r w:rsidR="002D05F6" w:rsidRPr="000A7545">
        <w:t xml:space="preserve">nterviews, focus groups, </w:t>
      </w:r>
      <w:r w:rsidRPr="000A7545">
        <w:t xml:space="preserve">and </w:t>
      </w:r>
      <w:r w:rsidR="002D05F6" w:rsidRPr="000A7545">
        <w:t>surveys</w:t>
      </w:r>
      <w:r w:rsidRPr="000A7545">
        <w:t xml:space="preserve">, while </w:t>
      </w:r>
      <w:r w:rsidR="002D05F6" w:rsidRPr="000A7545">
        <w:t xml:space="preserve">local education staff were mobilized as research partners to build capacity and ensure inclusion of local knowledge about who can reach </w:t>
      </w:r>
      <w:r w:rsidR="00153606" w:rsidRPr="000A7545">
        <w:t>the most hard to reach communit</w:t>
      </w:r>
      <w:r w:rsidR="002D05F6" w:rsidRPr="000A7545">
        <w:t>ies.</w:t>
      </w:r>
    </w:p>
    <w:p w14:paraId="13B55B39" w14:textId="77777777" w:rsidR="000B3188" w:rsidRPr="000A7545" w:rsidRDefault="002D05F6" w:rsidP="002D05F6">
      <w:r w:rsidRPr="000A7545">
        <w:t xml:space="preserve">Analysis of the assessment shows that only a small number of CSOs and yayasans are working in the education sector in target districts – suggesting that local organizations focus </w:t>
      </w:r>
      <w:r w:rsidR="0018048F">
        <w:t>more</w:t>
      </w:r>
      <w:r w:rsidRPr="000A7545">
        <w:t xml:space="preserve"> on other development areas or that few CSO</w:t>
      </w:r>
      <w:r w:rsidR="00F40E79" w:rsidRPr="000A7545">
        <w:t>s</w:t>
      </w:r>
      <w:r w:rsidRPr="000A7545">
        <w:t xml:space="preserve"> exist in more remote and rural areas.</w:t>
      </w:r>
    </w:p>
    <w:p w14:paraId="13B55B3A" w14:textId="77777777" w:rsidR="002D05F6" w:rsidRPr="000A7545" w:rsidRDefault="000B3188" w:rsidP="002D05F6">
      <w:r w:rsidRPr="000A7545">
        <w:t>It is hoped that further a</w:t>
      </w:r>
      <w:r w:rsidR="002D05F6" w:rsidRPr="000A7545">
        <w:t xml:space="preserve">nalysis of the findings </w:t>
      </w:r>
      <w:r w:rsidRPr="000A7545">
        <w:t xml:space="preserve">will </w:t>
      </w:r>
      <w:r w:rsidR="002D05F6" w:rsidRPr="000A7545">
        <w:t xml:space="preserve"> inform refinements in the Aus</w:t>
      </w:r>
      <w:r w:rsidR="00E00A80" w:rsidRPr="000A7545">
        <w:t>AID</w:t>
      </w:r>
      <w:r w:rsidRPr="000A7545">
        <w:t>-USAID</w:t>
      </w:r>
      <w:r w:rsidR="002D05F6" w:rsidRPr="000A7545">
        <w:t xml:space="preserve"> programme </w:t>
      </w:r>
      <w:r w:rsidRPr="000A7545">
        <w:t>for</w:t>
      </w:r>
      <w:r w:rsidR="002D05F6" w:rsidRPr="000A7545">
        <w:t xml:space="preserve"> remote and rural areas.</w:t>
      </w:r>
    </w:p>
    <w:p w14:paraId="13B55B3B" w14:textId="77777777" w:rsidR="002D05F6" w:rsidRPr="000A7545" w:rsidRDefault="002D05F6" w:rsidP="002D05F6">
      <w:pPr>
        <w:rPr>
          <w:i/>
          <w:color w:val="000000" w:themeColor="text1"/>
        </w:rPr>
      </w:pPr>
    </w:p>
    <w:p w14:paraId="13B55B3C" w14:textId="77777777" w:rsidR="002D05F6" w:rsidRPr="000A7545" w:rsidRDefault="002D05F6" w:rsidP="00607424">
      <w:pPr>
        <w:pStyle w:val="IntenseQuote"/>
        <w:rPr>
          <w:rStyle w:val="Emphasis"/>
          <w:bCs w:val="0"/>
          <w:i w:val="0"/>
          <w:u w:val="none"/>
        </w:rPr>
      </w:pPr>
      <w:r w:rsidRPr="000A7545">
        <w:rPr>
          <w:rStyle w:val="Emphasis"/>
          <w:bCs w:val="0"/>
          <w:i w:val="0"/>
          <w:u w:val="none"/>
        </w:rPr>
        <w:t>1.1.3b</w:t>
      </w:r>
      <w:r w:rsidR="00153606" w:rsidRPr="000A7545">
        <w:rPr>
          <w:rStyle w:val="Emphasis"/>
          <w:bCs w:val="0"/>
          <w:i w:val="0"/>
          <w:u w:val="none"/>
        </w:rPr>
        <w:t>.</w:t>
      </w:r>
      <w:r w:rsidR="008951AA">
        <w:rPr>
          <w:rStyle w:val="Emphasis"/>
          <w:bCs w:val="0"/>
          <w:i w:val="0"/>
          <w:u w:val="none"/>
        </w:rPr>
        <w:t xml:space="preserve"> Training of CSOs</w:t>
      </w:r>
      <w:r w:rsidRPr="000A7545">
        <w:rPr>
          <w:rStyle w:val="Emphasis"/>
          <w:bCs w:val="0"/>
          <w:i w:val="0"/>
          <w:u w:val="none"/>
        </w:rPr>
        <w:t xml:space="preserve"> in policy development, communication for development and financial management (USAID)</w:t>
      </w:r>
    </w:p>
    <w:p w14:paraId="13B55B3D" w14:textId="77777777" w:rsidR="00153606" w:rsidRDefault="000B3188" w:rsidP="00153606">
      <w:pPr>
        <w:rPr>
          <w:rFonts w:eastAsia="Times New Roman" w:cs="Arial"/>
          <w:color w:val="000000"/>
        </w:rPr>
      </w:pPr>
      <w:r w:rsidRPr="000A7545">
        <w:rPr>
          <w:rFonts w:eastAsia="Times New Roman" w:cs="Arial"/>
          <w:color w:val="000000"/>
        </w:rPr>
        <w:t>Many CSOs report that they have not received training/support in management and service delivery in rural and remote areas. It is the aim of this programme to provide training for a minimum of 2 civil society organizations per target district by end of programme. Based on the findings of the mapping survey, this activity will be rolled out in the next two quarters of the programme.</w:t>
      </w:r>
    </w:p>
    <w:p w14:paraId="13B55B3E" w14:textId="77777777" w:rsidR="0018048F" w:rsidRDefault="0018048F" w:rsidP="00153606">
      <w:pPr>
        <w:rPr>
          <w:rStyle w:val="Emphasis"/>
          <w:rFonts w:ascii="Arial" w:hAnsi="Arial" w:cs="Arial"/>
          <w:b w:val="0"/>
          <w:iCs w:val="0"/>
          <w:color w:val="auto"/>
          <w:u w:val="none"/>
        </w:rPr>
      </w:pPr>
    </w:p>
    <w:p w14:paraId="13B55B3F" w14:textId="77777777" w:rsidR="00936494" w:rsidRPr="000A7545" w:rsidRDefault="00936494" w:rsidP="00153606">
      <w:pPr>
        <w:rPr>
          <w:rStyle w:val="Emphasis"/>
          <w:rFonts w:ascii="Arial" w:hAnsi="Arial" w:cs="Arial"/>
          <w:b w:val="0"/>
          <w:iCs w:val="0"/>
          <w:color w:val="auto"/>
          <w:u w:val="none"/>
        </w:rPr>
      </w:pPr>
    </w:p>
    <w:p w14:paraId="13B55B40" w14:textId="77777777" w:rsidR="002D05F6" w:rsidRPr="000A7545" w:rsidRDefault="002D05F6" w:rsidP="00607424">
      <w:pPr>
        <w:pStyle w:val="IntenseQuote"/>
        <w:rPr>
          <w:rStyle w:val="Emphasis"/>
          <w:bCs w:val="0"/>
          <w:i w:val="0"/>
          <w:u w:val="none"/>
        </w:rPr>
      </w:pPr>
      <w:r w:rsidRPr="000A7545">
        <w:rPr>
          <w:rStyle w:val="Emphasis"/>
          <w:bCs w:val="0"/>
          <w:i w:val="0"/>
          <w:u w:val="none"/>
        </w:rPr>
        <w:t>1.1.3c. CSO participation in policy making processes (e.g. Renstra) with government (USAID)</w:t>
      </w:r>
    </w:p>
    <w:p w14:paraId="13B55B41" w14:textId="77777777" w:rsidR="002D05F6" w:rsidRDefault="000B3188" w:rsidP="00153606">
      <w:pPr>
        <w:rPr>
          <w:rFonts w:cs="Arial"/>
        </w:rPr>
      </w:pPr>
      <w:r w:rsidRPr="000A7545">
        <w:rPr>
          <w:rFonts w:cs="Arial"/>
        </w:rPr>
        <w:t xml:space="preserve">To date, during the implementation of the programme, 85% of estimated and mapped education CSOs/Yayasan have been involved in policy dialogue forums such as public consultations, and M &amp; E training on </w:t>
      </w:r>
      <w:r w:rsidRPr="000A7545">
        <w:rPr>
          <w:rFonts w:cs="Arial"/>
          <w:i/>
        </w:rPr>
        <w:t>Renstra</w:t>
      </w:r>
      <w:r w:rsidRPr="000A7545">
        <w:rPr>
          <w:rFonts w:cs="Arial"/>
        </w:rPr>
        <w:t xml:space="preserve"> and </w:t>
      </w:r>
      <w:r w:rsidRPr="000A7545">
        <w:rPr>
          <w:rFonts w:cs="Arial"/>
          <w:i/>
        </w:rPr>
        <w:t>Renja</w:t>
      </w:r>
      <w:r w:rsidRPr="000A7545">
        <w:rPr>
          <w:rFonts w:cs="Arial"/>
        </w:rPr>
        <w:t xml:space="preserve"> development.</w:t>
      </w:r>
    </w:p>
    <w:p w14:paraId="13B55B42" w14:textId="77777777" w:rsidR="0018048F" w:rsidRDefault="00B05D52" w:rsidP="00153606">
      <w:pPr>
        <w:rPr>
          <w:rFonts w:cs="Arial"/>
        </w:rPr>
      </w:pPr>
      <w:r w:rsidRPr="001B3B1C">
        <w:rPr>
          <w:rFonts w:cs="Arial"/>
        </w:rPr>
        <w:t>1.1.3 d</w:t>
      </w:r>
      <w:r w:rsidR="00F30A11" w:rsidRPr="001B3B1C">
        <w:rPr>
          <w:rFonts w:cs="Arial"/>
        </w:rPr>
        <w:t xml:space="preserve"> and 1.1.3</w:t>
      </w:r>
      <w:r w:rsidRPr="001B3B1C">
        <w:rPr>
          <w:rFonts w:cs="Arial"/>
        </w:rPr>
        <w:t>e</w:t>
      </w:r>
      <w:r w:rsidR="00F30A11" w:rsidRPr="001B3B1C">
        <w:rPr>
          <w:rFonts w:cs="Arial"/>
        </w:rPr>
        <w:t xml:space="preserve"> are</w:t>
      </w:r>
      <w:r w:rsidR="00F30A11">
        <w:rPr>
          <w:rFonts w:cs="Arial"/>
        </w:rPr>
        <w:t xml:space="preserve"> indicators of CSO capacity improvements with respect to funding support as well as their ability to address equity issues. As the partnership mapping is only recently completed, activities related to CSO capacity development will only take place in subsequent months.</w:t>
      </w:r>
    </w:p>
    <w:p w14:paraId="13B55B43" w14:textId="77777777" w:rsidR="00F30A11" w:rsidRPr="000A7545" w:rsidRDefault="00F30A11" w:rsidP="00153606">
      <w:pPr>
        <w:rPr>
          <w:rFonts w:cs="Arial"/>
        </w:rPr>
      </w:pPr>
    </w:p>
    <w:p w14:paraId="13B55B44" w14:textId="77777777" w:rsidR="002D05F6" w:rsidRPr="000A7545" w:rsidRDefault="002D05F6" w:rsidP="00607424">
      <w:pPr>
        <w:pStyle w:val="IntenseQuote"/>
        <w:rPr>
          <w:rStyle w:val="Emphasis"/>
          <w:bCs w:val="0"/>
          <w:i w:val="0"/>
          <w:u w:val="none"/>
        </w:rPr>
      </w:pPr>
      <w:r w:rsidRPr="000A7545">
        <w:rPr>
          <w:rStyle w:val="Emphasis"/>
          <w:bCs w:val="0"/>
          <w:i w:val="0"/>
          <w:u w:val="none"/>
        </w:rPr>
        <w:t>1.1.3f</w:t>
      </w:r>
      <w:r w:rsidR="00153606" w:rsidRPr="000A7545">
        <w:rPr>
          <w:rStyle w:val="Emphasis"/>
          <w:bCs w:val="0"/>
          <w:i w:val="0"/>
          <w:u w:val="none"/>
        </w:rPr>
        <w:t>.</w:t>
      </w:r>
      <w:r w:rsidRPr="000A7545">
        <w:rPr>
          <w:rStyle w:val="Emphasis"/>
          <w:bCs w:val="0"/>
          <w:i w:val="0"/>
          <w:u w:val="none"/>
        </w:rPr>
        <w:t xml:space="preserve"> </w:t>
      </w:r>
      <w:r w:rsidR="000B3188" w:rsidRPr="000A7545">
        <w:rPr>
          <w:rStyle w:val="Emphasis"/>
          <w:bCs w:val="0"/>
          <w:i w:val="0"/>
          <w:u w:val="none"/>
        </w:rPr>
        <w:t>S</w:t>
      </w:r>
      <w:r w:rsidRPr="000A7545">
        <w:rPr>
          <w:rStyle w:val="Emphasis"/>
          <w:bCs w:val="0"/>
          <w:i w:val="0"/>
          <w:u w:val="none"/>
        </w:rPr>
        <w:t xml:space="preserve">tudy visits by government </w:t>
      </w:r>
      <w:r w:rsidR="00063F4C" w:rsidRPr="000A7545">
        <w:rPr>
          <w:rStyle w:val="Emphasis"/>
          <w:bCs w:val="0"/>
          <w:i w:val="0"/>
          <w:u w:val="none"/>
        </w:rPr>
        <w:t>officials</w:t>
      </w:r>
      <w:r w:rsidRPr="000A7545">
        <w:rPr>
          <w:rStyle w:val="Emphasis"/>
          <w:bCs w:val="0"/>
          <w:i w:val="0"/>
          <w:u w:val="none"/>
        </w:rPr>
        <w:t xml:space="preserve"> and CSOs</w:t>
      </w:r>
    </w:p>
    <w:p w14:paraId="13B55B45" w14:textId="77777777" w:rsidR="002D05F6" w:rsidRPr="000A7545" w:rsidRDefault="002D05F6" w:rsidP="00153606">
      <w:r w:rsidRPr="000A7545">
        <w:t xml:space="preserve">Study visits are one of the capacity development strategies adopted by this programme to provide on-site exposure for partners. During the reporting period, forty four education personnel from Papua and West Papua participated in two major study visits in 2011. The two visits were conducted to </w:t>
      </w:r>
      <w:r w:rsidRPr="000A7545">
        <w:rPr>
          <w:i/>
        </w:rPr>
        <w:t>good practice</w:t>
      </w:r>
      <w:r w:rsidRPr="000A7545">
        <w:t xml:space="preserve"> districts</w:t>
      </w:r>
      <w:r w:rsidRPr="000A7545">
        <w:rPr>
          <w:rStyle w:val="FootnoteReference"/>
          <w:rFonts w:asciiTheme="majorHAnsi" w:hAnsiTheme="majorHAnsi" w:cstheme="majorHAnsi"/>
          <w:color w:val="333333"/>
        </w:rPr>
        <w:footnoteReference w:id="6"/>
      </w:r>
      <w:r w:rsidRPr="000A7545">
        <w:t xml:space="preserve"> to strengthen learning in the areas of financial management, data management and School-Based Management </w:t>
      </w:r>
      <w:r w:rsidR="008951AA">
        <w:t xml:space="preserve">(SBM) </w:t>
      </w:r>
      <w:r w:rsidR="00E377B2">
        <w:t>programme</w:t>
      </w:r>
      <w:r w:rsidRPr="000A7545">
        <w:t>, as well as to strengthen government partnerships with other parts of Indonesia. A total of 29 education officials from Papua Province and 15 persons from West Papua Province (drawn from provincial and district levels and including representatives of Parliament, District Planning and Development Agency [Bappeda], Department of Education, Finance and asset management Board etc.) participated in the visits. The focus was on transfer of knowledge for improved implementation and considering what refinements would be needed for the context of Papua and West Papua. Provinces and districts visited included: the Office of Education and Culture for East Java Province; Tuban and Mojokerto Districts in Jawa Timur, Kota Makasar and Ba</w:t>
      </w:r>
      <w:r w:rsidR="00153606" w:rsidRPr="000A7545">
        <w:t>ru districts in South Sulawesi.</w:t>
      </w:r>
    </w:p>
    <w:p w14:paraId="13B55B46" w14:textId="77777777" w:rsidR="002D05F6" w:rsidRPr="000A7545" w:rsidRDefault="002D05F6" w:rsidP="00153606">
      <w:r w:rsidRPr="000A7545">
        <w:t>The study exchange team also visited two schools for each district. Officials were provided with report templates to assist them in recording key good practices, lessons learned, and suggestions for incorporating good practices into management proc</w:t>
      </w:r>
      <w:r w:rsidR="00153606" w:rsidRPr="000A7545">
        <w:t xml:space="preserve">esses in Papua and West Papua. </w:t>
      </w:r>
      <w:r w:rsidRPr="000A7545">
        <w:t xml:space="preserve">These reports were subsequently presented during a provincial policy dialogue </w:t>
      </w:r>
      <w:r w:rsidR="00153606" w:rsidRPr="000A7545">
        <w:t>conducted during December 2011.</w:t>
      </w:r>
    </w:p>
    <w:p w14:paraId="13B55B47" w14:textId="77777777" w:rsidR="00936494" w:rsidRDefault="00936494" w:rsidP="005A04CA">
      <w:r>
        <w:br w:type="page"/>
      </w:r>
    </w:p>
    <w:p w14:paraId="13B55B48" w14:textId="77777777" w:rsidR="00153606" w:rsidRPr="000A7545" w:rsidRDefault="00153606" w:rsidP="00153606">
      <w:pPr>
        <w:pStyle w:val="Heading3"/>
        <w:rPr>
          <w:lang w:val="en-GB"/>
        </w:rPr>
      </w:pPr>
      <w:bookmarkStart w:id="34" w:name="_Toc322702761"/>
      <w:r w:rsidRPr="000A7545">
        <w:rPr>
          <w:lang w:val="en-GB"/>
        </w:rPr>
        <w:t>Output 1.1.4: Provincial and district education staff have improved capacity for budgeting and financial planning</w:t>
      </w:r>
      <w:r w:rsidR="00F404EF">
        <w:rPr>
          <w:lang w:val="en-GB"/>
        </w:rPr>
        <w:t xml:space="preserve"> (AusAID and USAID)</w:t>
      </w:r>
      <w:bookmarkEnd w:id="34"/>
    </w:p>
    <w:p w14:paraId="13B55B49" w14:textId="77777777" w:rsidR="00153606" w:rsidRPr="000A7545" w:rsidRDefault="00153606" w:rsidP="00607424">
      <w:pPr>
        <w:pStyle w:val="IntenseQuote"/>
        <w:rPr>
          <w:rStyle w:val="Emphasis"/>
          <w:bCs w:val="0"/>
          <w:i w:val="0"/>
          <w:u w:val="none"/>
        </w:rPr>
      </w:pPr>
      <w:r w:rsidRPr="000A7545">
        <w:rPr>
          <w:rStyle w:val="Emphasis"/>
          <w:bCs w:val="0"/>
          <w:i w:val="0"/>
          <w:u w:val="none"/>
        </w:rPr>
        <w:t xml:space="preserve">1.1.4a. </w:t>
      </w:r>
      <w:r w:rsidR="00F30A11">
        <w:rPr>
          <w:rStyle w:val="Emphasis"/>
          <w:bCs w:val="0"/>
          <w:i w:val="0"/>
          <w:u w:val="none"/>
        </w:rPr>
        <w:t>P</w:t>
      </w:r>
      <w:r w:rsidRPr="000A7545">
        <w:rPr>
          <w:rStyle w:val="Emphasis"/>
          <w:bCs w:val="0"/>
          <w:i w:val="0"/>
          <w:u w:val="none"/>
        </w:rPr>
        <w:t>rovincial and district education staff mentored in financial planning (by gender)</w:t>
      </w:r>
      <w:r w:rsidR="00F404EF">
        <w:rPr>
          <w:rStyle w:val="Emphasis"/>
          <w:bCs w:val="0"/>
          <w:i w:val="0"/>
          <w:u w:val="none"/>
        </w:rPr>
        <w:t xml:space="preserve"> (USAID)</w:t>
      </w:r>
    </w:p>
    <w:p w14:paraId="13B55B4A" w14:textId="77777777" w:rsidR="00E577B4" w:rsidRDefault="00004E63" w:rsidP="0018048F">
      <w:pPr>
        <w:rPr>
          <w:rStyle w:val="Emphasis"/>
          <w:rFonts w:ascii="Arial" w:hAnsi="Arial" w:cs="Arial"/>
          <w:b w:val="0"/>
          <w:bCs/>
          <w:color w:val="auto"/>
          <w:u w:val="none"/>
        </w:rPr>
      </w:pPr>
      <w:r w:rsidRPr="0018048F">
        <w:rPr>
          <w:rStyle w:val="Emphasis"/>
          <w:rFonts w:ascii="Arial" w:hAnsi="Arial" w:cs="Arial"/>
          <w:b w:val="0"/>
          <w:bCs/>
          <w:color w:val="auto"/>
          <w:u w:val="none"/>
        </w:rPr>
        <w:t xml:space="preserve">With the baseline result that </w:t>
      </w:r>
      <w:r w:rsidRPr="0018048F">
        <w:rPr>
          <w:rFonts w:eastAsia="Times New Roman"/>
        </w:rPr>
        <w:t xml:space="preserve">no mentoring has taken place for financial planning, </w:t>
      </w:r>
      <w:r w:rsidR="00E577B4" w:rsidRPr="0018048F">
        <w:rPr>
          <w:rStyle w:val="Emphasis"/>
          <w:rFonts w:ascii="Arial" w:hAnsi="Arial" w:cs="Arial"/>
          <w:b w:val="0"/>
          <w:bCs/>
          <w:color w:val="auto"/>
          <w:u w:val="none"/>
        </w:rPr>
        <w:t>the programme has a target of reaching at least 25% of provincial and education staff with me</w:t>
      </w:r>
      <w:r w:rsidRPr="0018048F">
        <w:rPr>
          <w:rStyle w:val="Emphasis"/>
          <w:rFonts w:ascii="Arial" w:hAnsi="Arial" w:cs="Arial"/>
          <w:b w:val="0"/>
          <w:bCs/>
          <w:color w:val="auto"/>
          <w:u w:val="none"/>
        </w:rPr>
        <w:t>ntoring support for finan</w:t>
      </w:r>
      <w:r w:rsidR="00E577B4" w:rsidRPr="0018048F">
        <w:rPr>
          <w:rStyle w:val="Emphasis"/>
          <w:rFonts w:ascii="Arial" w:hAnsi="Arial" w:cs="Arial"/>
          <w:b w:val="0"/>
          <w:bCs/>
          <w:color w:val="auto"/>
          <w:u w:val="none"/>
        </w:rPr>
        <w:t>cial pl</w:t>
      </w:r>
      <w:r w:rsidRPr="0018048F">
        <w:rPr>
          <w:rStyle w:val="Emphasis"/>
          <w:rFonts w:ascii="Arial" w:hAnsi="Arial" w:cs="Arial"/>
          <w:b w:val="0"/>
          <w:bCs/>
          <w:color w:val="auto"/>
          <w:u w:val="none"/>
        </w:rPr>
        <w:t>anning. This will be carried out in the remaining quarters of the programme.</w:t>
      </w:r>
    </w:p>
    <w:p w14:paraId="13B55B4B" w14:textId="77777777" w:rsidR="000537E2" w:rsidRPr="0018048F" w:rsidRDefault="000537E2" w:rsidP="0018048F">
      <w:pPr>
        <w:rPr>
          <w:rStyle w:val="Emphasis"/>
          <w:rFonts w:ascii="Arial" w:hAnsi="Arial" w:cs="Arial"/>
          <w:b w:val="0"/>
          <w:bCs/>
          <w:color w:val="auto"/>
          <w:u w:val="none"/>
        </w:rPr>
      </w:pPr>
    </w:p>
    <w:p w14:paraId="13B55B4C" w14:textId="77777777" w:rsidR="00153606" w:rsidRPr="000A7545" w:rsidRDefault="00153606" w:rsidP="00607424">
      <w:pPr>
        <w:pStyle w:val="IntenseQuote"/>
        <w:rPr>
          <w:rStyle w:val="Emphasis"/>
          <w:bCs w:val="0"/>
          <w:i w:val="0"/>
          <w:u w:val="none"/>
        </w:rPr>
      </w:pPr>
      <w:r w:rsidRPr="000A7545">
        <w:rPr>
          <w:rStyle w:val="Emphasis"/>
          <w:bCs w:val="0"/>
          <w:i w:val="0"/>
          <w:u w:val="none"/>
        </w:rPr>
        <w:t xml:space="preserve">1.1.4b. </w:t>
      </w:r>
      <w:r w:rsidR="00004E63" w:rsidRPr="000A7545">
        <w:rPr>
          <w:rStyle w:val="Emphasis"/>
          <w:bCs w:val="0"/>
          <w:i w:val="0"/>
          <w:u w:val="none"/>
        </w:rPr>
        <w:t>E</w:t>
      </w:r>
      <w:r w:rsidRPr="000A7545">
        <w:rPr>
          <w:rStyle w:val="Emphasis"/>
          <w:bCs w:val="0"/>
          <w:i w:val="0"/>
          <w:u w:val="none"/>
        </w:rPr>
        <w:t>ducation staff per district trained in improved financial management reporting (by gender)</w:t>
      </w:r>
      <w:r w:rsidR="00F404EF">
        <w:rPr>
          <w:rStyle w:val="Emphasis"/>
          <w:bCs w:val="0"/>
          <w:i w:val="0"/>
          <w:u w:val="none"/>
        </w:rPr>
        <w:t xml:space="preserve"> (USAID)</w:t>
      </w:r>
    </w:p>
    <w:p w14:paraId="13B55B4D" w14:textId="77777777" w:rsidR="00153606" w:rsidRPr="000A7545" w:rsidRDefault="00153606" w:rsidP="00153606">
      <w:r w:rsidRPr="000A7545">
        <w:t>After the recruitment of Education Finance and Data Management team in August 2011, a team of twenty partners from Papua province developed training modules to strengthen the capacity</w:t>
      </w:r>
      <w:r w:rsidR="008951AA">
        <w:t xml:space="preserve"> </w:t>
      </w:r>
      <w:r w:rsidRPr="000A7545">
        <w:t xml:space="preserve">of local service providers and government for </w:t>
      </w:r>
      <w:r w:rsidRPr="000A7545">
        <w:rPr>
          <w:color w:val="000000" w:themeColor="text1"/>
        </w:rPr>
        <w:t>budgeting and financial planning.</w:t>
      </w:r>
    </w:p>
    <w:p w14:paraId="13B55B4E" w14:textId="77777777" w:rsidR="00153606" w:rsidRPr="000A7545" w:rsidRDefault="00153606" w:rsidP="00153606">
      <w:r w:rsidRPr="000A7545">
        <w:t>This process included adapting existing education finance modules known as Education Finance of District Government (AKPK), School Unit Cost Analysis or known as (BOSP), development of government budgeting performance report or known as LAKIP, and integra</w:t>
      </w:r>
      <w:r w:rsidR="00185221" w:rsidRPr="000A7545">
        <w:t xml:space="preserve">ted financial reporting (LKT). </w:t>
      </w:r>
      <w:r w:rsidRPr="000A7545">
        <w:t>Reviews focussed on identifying good practices from stakeholders and facilitators to be adapted to the Papuan and West Papua context and finalizing pilot modules. Key outputs included the completion of modules for use in training activities and strengthening the sense of government ownership over modules to be used.</w:t>
      </w:r>
    </w:p>
    <w:p w14:paraId="13B55B4F" w14:textId="77777777" w:rsidR="00153606" w:rsidRPr="000A7545" w:rsidRDefault="00153606" w:rsidP="00153606"/>
    <w:p w14:paraId="13B55B50" w14:textId="77777777" w:rsidR="00E00A80" w:rsidRPr="000A7545" w:rsidRDefault="00E00A80" w:rsidP="00E00A80">
      <w:pPr>
        <w:pStyle w:val="Caption"/>
        <w:keepNext/>
        <w:spacing w:after="200"/>
      </w:pPr>
      <w:bookmarkStart w:id="35" w:name="_Toc322710094"/>
      <w:r w:rsidRPr="000A7545">
        <w:t xml:space="preserve">Figure </w:t>
      </w:r>
      <w:fldSimple w:instr=" SEQ Figure \* ARABIC ">
        <w:r w:rsidR="009B4D84">
          <w:rPr>
            <w:noProof/>
          </w:rPr>
          <w:t>3</w:t>
        </w:r>
      </w:fldSimple>
      <w:r w:rsidRPr="000A7545">
        <w:t>: Participants attending district education finance programme socialization workshop</w:t>
      </w:r>
      <w:bookmarkEnd w:id="35"/>
    </w:p>
    <w:tbl>
      <w:tblPr>
        <w:tblW w:w="4869" w:type="pct"/>
        <w:tblInd w:w="108" w:type="dxa"/>
        <w:tblLook w:val="04A0" w:firstRow="1" w:lastRow="0" w:firstColumn="1" w:lastColumn="0" w:noHBand="0" w:noVBand="1"/>
      </w:tblPr>
      <w:tblGrid>
        <w:gridCol w:w="1740"/>
        <w:gridCol w:w="1852"/>
        <w:gridCol w:w="1849"/>
        <w:gridCol w:w="1849"/>
        <w:gridCol w:w="1710"/>
      </w:tblGrid>
      <w:tr w:rsidR="00153606" w:rsidRPr="000A7545" w14:paraId="13B55B56" w14:textId="77777777" w:rsidTr="008951AA">
        <w:trPr>
          <w:trHeight w:val="315"/>
        </w:trPr>
        <w:tc>
          <w:tcPr>
            <w:tcW w:w="967"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3B55B51" w14:textId="77777777" w:rsidR="00153606" w:rsidRPr="008951AA" w:rsidRDefault="00153606" w:rsidP="00E00A80">
            <w:pPr>
              <w:spacing w:before="60" w:after="60" w:line="240" w:lineRule="auto"/>
              <w:jc w:val="center"/>
              <w:rPr>
                <w:rFonts w:cs="Arial"/>
                <w:b/>
                <w:color w:val="000000"/>
                <w:sz w:val="20"/>
              </w:rPr>
            </w:pPr>
            <w:r w:rsidRPr="008951AA">
              <w:rPr>
                <w:rFonts w:cs="Arial"/>
                <w:b/>
                <w:color w:val="000000"/>
                <w:sz w:val="20"/>
              </w:rPr>
              <w:t>Date</w:t>
            </w:r>
          </w:p>
        </w:tc>
        <w:tc>
          <w:tcPr>
            <w:tcW w:w="1028" w:type="pct"/>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3B55B52" w14:textId="77777777" w:rsidR="00153606" w:rsidRPr="008951AA" w:rsidRDefault="00153606" w:rsidP="00E00A80">
            <w:pPr>
              <w:spacing w:before="60" w:after="60" w:line="240" w:lineRule="auto"/>
              <w:jc w:val="center"/>
              <w:rPr>
                <w:rFonts w:cs="Arial"/>
                <w:b/>
                <w:color w:val="000000"/>
                <w:sz w:val="20"/>
              </w:rPr>
            </w:pPr>
            <w:r w:rsidRPr="008951AA">
              <w:rPr>
                <w:rFonts w:cs="Arial"/>
                <w:b/>
                <w:color w:val="000000"/>
                <w:sz w:val="20"/>
              </w:rPr>
              <w:t>Name of district</w:t>
            </w:r>
          </w:p>
        </w:tc>
        <w:tc>
          <w:tcPr>
            <w:tcW w:w="1027" w:type="pct"/>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3B55B53" w14:textId="77777777" w:rsidR="00153606" w:rsidRPr="008951AA" w:rsidRDefault="00153606" w:rsidP="00E00A80">
            <w:pPr>
              <w:spacing w:before="60" w:after="60" w:line="240" w:lineRule="auto"/>
              <w:jc w:val="center"/>
              <w:rPr>
                <w:rFonts w:cs="Arial"/>
                <w:b/>
                <w:color w:val="000000"/>
                <w:sz w:val="20"/>
              </w:rPr>
            </w:pPr>
            <w:r w:rsidRPr="008951AA">
              <w:rPr>
                <w:rFonts w:cs="Arial"/>
                <w:b/>
                <w:color w:val="000000"/>
                <w:sz w:val="20"/>
              </w:rPr>
              <w:t xml:space="preserve">Male </w:t>
            </w:r>
          </w:p>
        </w:tc>
        <w:tc>
          <w:tcPr>
            <w:tcW w:w="1027" w:type="pct"/>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3B55B54" w14:textId="77777777" w:rsidR="00153606" w:rsidRPr="008951AA" w:rsidRDefault="00153606" w:rsidP="00E00A80">
            <w:pPr>
              <w:spacing w:before="60" w:after="60" w:line="240" w:lineRule="auto"/>
              <w:jc w:val="center"/>
              <w:rPr>
                <w:rFonts w:cs="Arial"/>
                <w:b/>
                <w:color w:val="000000"/>
                <w:sz w:val="20"/>
              </w:rPr>
            </w:pPr>
            <w:r w:rsidRPr="008951AA">
              <w:rPr>
                <w:rFonts w:cs="Arial"/>
                <w:b/>
                <w:color w:val="000000"/>
                <w:sz w:val="20"/>
              </w:rPr>
              <w:t xml:space="preserve">Female </w:t>
            </w:r>
          </w:p>
        </w:tc>
        <w:tc>
          <w:tcPr>
            <w:tcW w:w="950" w:type="pct"/>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3B55B55" w14:textId="77777777" w:rsidR="00153606" w:rsidRPr="008951AA" w:rsidRDefault="00153606" w:rsidP="00E00A80">
            <w:pPr>
              <w:spacing w:before="60" w:after="60" w:line="240" w:lineRule="auto"/>
              <w:jc w:val="center"/>
              <w:rPr>
                <w:rFonts w:cs="Arial"/>
                <w:b/>
                <w:color w:val="000000"/>
                <w:sz w:val="20"/>
              </w:rPr>
            </w:pPr>
            <w:r w:rsidRPr="008951AA">
              <w:rPr>
                <w:rFonts w:cs="Arial"/>
                <w:b/>
                <w:color w:val="000000"/>
                <w:sz w:val="20"/>
              </w:rPr>
              <w:t>Total</w:t>
            </w:r>
          </w:p>
        </w:tc>
      </w:tr>
      <w:tr w:rsidR="00153606" w:rsidRPr="000A7545" w14:paraId="13B55B5C" w14:textId="77777777" w:rsidTr="008951AA">
        <w:trPr>
          <w:trHeight w:val="315"/>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13B55B57" w14:textId="77777777" w:rsidR="00153606" w:rsidRPr="008951AA" w:rsidRDefault="00153606" w:rsidP="00E00A80">
            <w:pPr>
              <w:spacing w:before="60" w:after="60" w:line="240" w:lineRule="auto"/>
              <w:rPr>
                <w:rFonts w:cs="Arial"/>
                <w:bCs/>
                <w:color w:val="000000"/>
                <w:sz w:val="20"/>
              </w:rPr>
            </w:pPr>
            <w:r w:rsidRPr="008951AA">
              <w:rPr>
                <w:rFonts w:cs="Arial"/>
                <w:bCs/>
                <w:color w:val="000000"/>
                <w:sz w:val="20"/>
              </w:rPr>
              <w:t>24-A</w:t>
            </w:r>
            <w:r w:rsidR="00FE4FD9" w:rsidRPr="008951AA">
              <w:rPr>
                <w:rFonts w:cs="Arial"/>
                <w:bCs/>
                <w:color w:val="000000"/>
                <w:sz w:val="20"/>
              </w:rPr>
              <w:t>u</w:t>
            </w:r>
            <w:r w:rsidRPr="008951AA">
              <w:rPr>
                <w:rFonts w:cs="Arial"/>
                <w:bCs/>
                <w:color w:val="000000"/>
                <w:sz w:val="20"/>
              </w:rPr>
              <w:t>gust-11</w:t>
            </w:r>
          </w:p>
        </w:tc>
        <w:tc>
          <w:tcPr>
            <w:tcW w:w="1028" w:type="pct"/>
            <w:tcBorders>
              <w:top w:val="nil"/>
              <w:left w:val="nil"/>
              <w:bottom w:val="single" w:sz="8" w:space="0" w:color="auto"/>
              <w:right w:val="single" w:sz="8" w:space="0" w:color="auto"/>
            </w:tcBorders>
            <w:shd w:val="clear" w:color="auto" w:fill="auto"/>
            <w:vAlign w:val="center"/>
            <w:hideMark/>
          </w:tcPr>
          <w:p w14:paraId="13B55B58" w14:textId="77777777" w:rsidR="00153606" w:rsidRPr="008951AA" w:rsidRDefault="00153606" w:rsidP="00E00A80">
            <w:pPr>
              <w:spacing w:before="60" w:after="60" w:line="240" w:lineRule="auto"/>
              <w:rPr>
                <w:rFonts w:cs="Arial"/>
                <w:bCs/>
                <w:color w:val="000000"/>
                <w:sz w:val="20"/>
              </w:rPr>
            </w:pPr>
            <w:r w:rsidRPr="008951AA">
              <w:rPr>
                <w:rFonts w:cs="Arial"/>
                <w:bCs/>
                <w:color w:val="000000"/>
                <w:sz w:val="20"/>
              </w:rPr>
              <w:t>Biak</w:t>
            </w:r>
          </w:p>
        </w:tc>
        <w:tc>
          <w:tcPr>
            <w:tcW w:w="1027" w:type="pct"/>
            <w:tcBorders>
              <w:top w:val="nil"/>
              <w:left w:val="nil"/>
              <w:bottom w:val="single" w:sz="8" w:space="0" w:color="auto"/>
              <w:right w:val="single" w:sz="8" w:space="0" w:color="auto"/>
            </w:tcBorders>
            <w:shd w:val="clear" w:color="auto" w:fill="auto"/>
            <w:vAlign w:val="center"/>
            <w:hideMark/>
          </w:tcPr>
          <w:p w14:paraId="13B55B59" w14:textId="77777777" w:rsidR="00153606" w:rsidRPr="008951AA" w:rsidRDefault="00153606" w:rsidP="00E00A80">
            <w:pPr>
              <w:spacing w:before="60" w:after="60" w:line="240" w:lineRule="auto"/>
              <w:jc w:val="center"/>
              <w:rPr>
                <w:rFonts w:cs="Arial"/>
                <w:bCs/>
                <w:color w:val="000000"/>
                <w:sz w:val="20"/>
              </w:rPr>
            </w:pPr>
            <w:r w:rsidRPr="008951AA">
              <w:rPr>
                <w:rFonts w:cs="Arial"/>
                <w:bCs/>
                <w:color w:val="000000"/>
                <w:sz w:val="20"/>
              </w:rPr>
              <w:t>19</w:t>
            </w:r>
          </w:p>
        </w:tc>
        <w:tc>
          <w:tcPr>
            <w:tcW w:w="1027" w:type="pct"/>
            <w:tcBorders>
              <w:top w:val="nil"/>
              <w:left w:val="nil"/>
              <w:bottom w:val="single" w:sz="8" w:space="0" w:color="auto"/>
              <w:right w:val="single" w:sz="8" w:space="0" w:color="auto"/>
            </w:tcBorders>
            <w:shd w:val="clear" w:color="auto" w:fill="auto"/>
            <w:vAlign w:val="center"/>
            <w:hideMark/>
          </w:tcPr>
          <w:p w14:paraId="13B55B5A" w14:textId="77777777" w:rsidR="00153606" w:rsidRPr="008951AA" w:rsidRDefault="00153606" w:rsidP="00E00A80">
            <w:pPr>
              <w:spacing w:before="60" w:after="60" w:line="240" w:lineRule="auto"/>
              <w:jc w:val="center"/>
              <w:rPr>
                <w:rFonts w:cs="Arial"/>
                <w:bCs/>
                <w:color w:val="000000"/>
                <w:sz w:val="20"/>
              </w:rPr>
            </w:pPr>
            <w:r w:rsidRPr="008951AA">
              <w:rPr>
                <w:rFonts w:cs="Arial"/>
                <w:bCs/>
                <w:color w:val="000000"/>
                <w:sz w:val="20"/>
              </w:rPr>
              <w:t>6</w:t>
            </w:r>
          </w:p>
        </w:tc>
        <w:tc>
          <w:tcPr>
            <w:tcW w:w="950" w:type="pct"/>
            <w:tcBorders>
              <w:top w:val="nil"/>
              <w:left w:val="nil"/>
              <w:bottom w:val="single" w:sz="8" w:space="0" w:color="auto"/>
              <w:right w:val="single" w:sz="8" w:space="0" w:color="auto"/>
            </w:tcBorders>
            <w:shd w:val="clear" w:color="auto" w:fill="auto"/>
            <w:vAlign w:val="center"/>
            <w:hideMark/>
          </w:tcPr>
          <w:p w14:paraId="13B55B5B" w14:textId="77777777" w:rsidR="00153606" w:rsidRPr="008951AA" w:rsidRDefault="00153606" w:rsidP="00E00A80">
            <w:pPr>
              <w:spacing w:before="60" w:after="60" w:line="240" w:lineRule="auto"/>
              <w:jc w:val="center"/>
              <w:rPr>
                <w:rFonts w:cs="Arial"/>
                <w:color w:val="000000"/>
                <w:sz w:val="20"/>
              </w:rPr>
            </w:pPr>
            <w:r w:rsidRPr="008951AA">
              <w:rPr>
                <w:rFonts w:cs="Arial"/>
                <w:color w:val="000000"/>
                <w:sz w:val="20"/>
              </w:rPr>
              <w:t>25</w:t>
            </w:r>
          </w:p>
        </w:tc>
      </w:tr>
      <w:tr w:rsidR="00153606" w:rsidRPr="000A7545" w14:paraId="13B55B62" w14:textId="77777777" w:rsidTr="008951AA">
        <w:trPr>
          <w:trHeight w:val="315"/>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13B55B5D" w14:textId="77777777" w:rsidR="00153606" w:rsidRPr="008951AA" w:rsidRDefault="00153606" w:rsidP="00E00A80">
            <w:pPr>
              <w:spacing w:before="60" w:after="60" w:line="240" w:lineRule="auto"/>
              <w:rPr>
                <w:rFonts w:cs="Arial"/>
                <w:bCs/>
                <w:color w:val="000000"/>
                <w:sz w:val="20"/>
              </w:rPr>
            </w:pPr>
            <w:r w:rsidRPr="008951AA">
              <w:rPr>
                <w:rFonts w:cs="Arial"/>
                <w:bCs/>
                <w:color w:val="000000"/>
                <w:sz w:val="20"/>
              </w:rPr>
              <w:t>07-Sep-11</w:t>
            </w:r>
          </w:p>
        </w:tc>
        <w:tc>
          <w:tcPr>
            <w:tcW w:w="1028" w:type="pct"/>
            <w:tcBorders>
              <w:top w:val="nil"/>
              <w:left w:val="nil"/>
              <w:bottom w:val="single" w:sz="8" w:space="0" w:color="auto"/>
              <w:right w:val="single" w:sz="8" w:space="0" w:color="auto"/>
            </w:tcBorders>
            <w:shd w:val="clear" w:color="auto" w:fill="auto"/>
            <w:vAlign w:val="center"/>
            <w:hideMark/>
          </w:tcPr>
          <w:p w14:paraId="13B55B5E" w14:textId="77777777" w:rsidR="00153606" w:rsidRPr="008951AA" w:rsidRDefault="00153606" w:rsidP="00E00A80">
            <w:pPr>
              <w:spacing w:before="60" w:after="60" w:line="240" w:lineRule="auto"/>
              <w:rPr>
                <w:rFonts w:cs="Arial"/>
                <w:bCs/>
                <w:color w:val="000000"/>
                <w:sz w:val="20"/>
              </w:rPr>
            </w:pPr>
            <w:r w:rsidRPr="008951AA">
              <w:rPr>
                <w:rFonts w:cs="Arial"/>
                <w:bCs/>
                <w:color w:val="000000"/>
                <w:sz w:val="20"/>
              </w:rPr>
              <w:t>Jayapura</w:t>
            </w:r>
          </w:p>
        </w:tc>
        <w:tc>
          <w:tcPr>
            <w:tcW w:w="1027" w:type="pct"/>
            <w:tcBorders>
              <w:top w:val="nil"/>
              <w:left w:val="nil"/>
              <w:bottom w:val="single" w:sz="8" w:space="0" w:color="auto"/>
              <w:right w:val="single" w:sz="8" w:space="0" w:color="auto"/>
            </w:tcBorders>
            <w:shd w:val="clear" w:color="auto" w:fill="auto"/>
            <w:vAlign w:val="center"/>
            <w:hideMark/>
          </w:tcPr>
          <w:p w14:paraId="13B55B5F" w14:textId="77777777" w:rsidR="00153606" w:rsidRPr="008951AA" w:rsidRDefault="00153606" w:rsidP="00E00A80">
            <w:pPr>
              <w:spacing w:before="60" w:after="60" w:line="240" w:lineRule="auto"/>
              <w:jc w:val="center"/>
              <w:rPr>
                <w:rFonts w:cs="Arial"/>
                <w:bCs/>
                <w:color w:val="000000"/>
                <w:sz w:val="20"/>
              </w:rPr>
            </w:pPr>
            <w:r w:rsidRPr="008951AA">
              <w:rPr>
                <w:rFonts w:cs="Arial"/>
                <w:bCs/>
                <w:color w:val="000000"/>
                <w:sz w:val="20"/>
              </w:rPr>
              <w:t>11</w:t>
            </w:r>
          </w:p>
        </w:tc>
        <w:tc>
          <w:tcPr>
            <w:tcW w:w="1027" w:type="pct"/>
            <w:tcBorders>
              <w:top w:val="nil"/>
              <w:left w:val="nil"/>
              <w:bottom w:val="single" w:sz="8" w:space="0" w:color="auto"/>
              <w:right w:val="single" w:sz="8" w:space="0" w:color="auto"/>
            </w:tcBorders>
            <w:shd w:val="clear" w:color="auto" w:fill="auto"/>
            <w:vAlign w:val="center"/>
            <w:hideMark/>
          </w:tcPr>
          <w:p w14:paraId="13B55B60" w14:textId="77777777" w:rsidR="00153606" w:rsidRPr="008951AA" w:rsidRDefault="00153606" w:rsidP="00E00A80">
            <w:pPr>
              <w:spacing w:before="60" w:after="60" w:line="240" w:lineRule="auto"/>
              <w:jc w:val="center"/>
              <w:rPr>
                <w:rFonts w:cs="Arial"/>
                <w:bCs/>
                <w:color w:val="000000"/>
                <w:sz w:val="20"/>
              </w:rPr>
            </w:pPr>
            <w:r w:rsidRPr="008951AA">
              <w:rPr>
                <w:rFonts w:cs="Arial"/>
                <w:bCs/>
                <w:color w:val="000000"/>
                <w:sz w:val="20"/>
              </w:rPr>
              <w:t>4</w:t>
            </w:r>
          </w:p>
        </w:tc>
        <w:tc>
          <w:tcPr>
            <w:tcW w:w="950" w:type="pct"/>
            <w:tcBorders>
              <w:top w:val="nil"/>
              <w:left w:val="nil"/>
              <w:bottom w:val="single" w:sz="8" w:space="0" w:color="auto"/>
              <w:right w:val="single" w:sz="8" w:space="0" w:color="auto"/>
            </w:tcBorders>
            <w:shd w:val="clear" w:color="auto" w:fill="auto"/>
            <w:vAlign w:val="center"/>
            <w:hideMark/>
          </w:tcPr>
          <w:p w14:paraId="13B55B61" w14:textId="77777777" w:rsidR="00153606" w:rsidRPr="008951AA" w:rsidRDefault="00153606" w:rsidP="00E00A80">
            <w:pPr>
              <w:spacing w:before="60" w:after="60" w:line="240" w:lineRule="auto"/>
              <w:jc w:val="center"/>
              <w:rPr>
                <w:rFonts w:cs="Arial"/>
                <w:color w:val="000000"/>
                <w:sz w:val="20"/>
              </w:rPr>
            </w:pPr>
            <w:r w:rsidRPr="008951AA">
              <w:rPr>
                <w:rFonts w:cs="Arial"/>
                <w:color w:val="000000"/>
                <w:sz w:val="20"/>
              </w:rPr>
              <w:t>15</w:t>
            </w:r>
          </w:p>
        </w:tc>
      </w:tr>
      <w:tr w:rsidR="00153606" w:rsidRPr="000A7545" w14:paraId="13B55B68" w14:textId="77777777" w:rsidTr="008951AA">
        <w:trPr>
          <w:trHeight w:val="315"/>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13B55B63" w14:textId="77777777" w:rsidR="00153606" w:rsidRPr="008951AA" w:rsidRDefault="00153606" w:rsidP="00E00A80">
            <w:pPr>
              <w:spacing w:before="60" w:after="60" w:line="240" w:lineRule="auto"/>
              <w:rPr>
                <w:rFonts w:cs="Arial"/>
                <w:bCs/>
                <w:color w:val="000000"/>
                <w:sz w:val="20"/>
              </w:rPr>
            </w:pPr>
            <w:r w:rsidRPr="008951AA">
              <w:rPr>
                <w:rFonts w:cs="Arial"/>
                <w:bCs/>
                <w:color w:val="000000"/>
                <w:sz w:val="20"/>
              </w:rPr>
              <w:t>26-A</w:t>
            </w:r>
            <w:r w:rsidR="00FE4FD9" w:rsidRPr="008951AA">
              <w:rPr>
                <w:rFonts w:cs="Arial"/>
                <w:bCs/>
                <w:color w:val="000000"/>
                <w:sz w:val="20"/>
              </w:rPr>
              <w:t>u</w:t>
            </w:r>
            <w:r w:rsidRPr="008951AA">
              <w:rPr>
                <w:rFonts w:cs="Arial"/>
                <w:bCs/>
                <w:color w:val="000000"/>
                <w:sz w:val="20"/>
              </w:rPr>
              <w:t>gust-11</w:t>
            </w:r>
          </w:p>
        </w:tc>
        <w:tc>
          <w:tcPr>
            <w:tcW w:w="1028" w:type="pct"/>
            <w:tcBorders>
              <w:top w:val="nil"/>
              <w:left w:val="nil"/>
              <w:bottom w:val="single" w:sz="8" w:space="0" w:color="auto"/>
              <w:right w:val="single" w:sz="8" w:space="0" w:color="auto"/>
            </w:tcBorders>
            <w:shd w:val="clear" w:color="auto" w:fill="auto"/>
            <w:vAlign w:val="center"/>
            <w:hideMark/>
          </w:tcPr>
          <w:p w14:paraId="13B55B64" w14:textId="77777777" w:rsidR="00153606" w:rsidRPr="008951AA" w:rsidRDefault="00153606" w:rsidP="00E00A80">
            <w:pPr>
              <w:spacing w:before="60" w:after="60" w:line="240" w:lineRule="auto"/>
              <w:rPr>
                <w:rFonts w:cs="Arial"/>
                <w:bCs/>
                <w:color w:val="000000"/>
                <w:sz w:val="20"/>
              </w:rPr>
            </w:pPr>
            <w:r w:rsidRPr="008951AA">
              <w:rPr>
                <w:rFonts w:cs="Arial"/>
                <w:bCs/>
                <w:color w:val="000000"/>
                <w:sz w:val="20"/>
              </w:rPr>
              <w:t>Jayawijaya</w:t>
            </w:r>
          </w:p>
        </w:tc>
        <w:tc>
          <w:tcPr>
            <w:tcW w:w="1027" w:type="pct"/>
            <w:tcBorders>
              <w:top w:val="nil"/>
              <w:left w:val="nil"/>
              <w:bottom w:val="single" w:sz="8" w:space="0" w:color="auto"/>
              <w:right w:val="single" w:sz="8" w:space="0" w:color="auto"/>
            </w:tcBorders>
            <w:shd w:val="clear" w:color="auto" w:fill="auto"/>
            <w:vAlign w:val="center"/>
            <w:hideMark/>
          </w:tcPr>
          <w:p w14:paraId="13B55B65" w14:textId="77777777" w:rsidR="00153606" w:rsidRPr="008951AA" w:rsidRDefault="00153606" w:rsidP="00E00A80">
            <w:pPr>
              <w:spacing w:before="60" w:after="60" w:line="240" w:lineRule="auto"/>
              <w:jc w:val="center"/>
              <w:rPr>
                <w:rFonts w:cs="Arial"/>
                <w:bCs/>
                <w:color w:val="000000"/>
                <w:sz w:val="20"/>
              </w:rPr>
            </w:pPr>
            <w:r w:rsidRPr="008951AA">
              <w:rPr>
                <w:rFonts w:cs="Arial"/>
                <w:bCs/>
                <w:color w:val="000000"/>
                <w:sz w:val="20"/>
              </w:rPr>
              <w:t>14</w:t>
            </w:r>
          </w:p>
        </w:tc>
        <w:tc>
          <w:tcPr>
            <w:tcW w:w="1027" w:type="pct"/>
            <w:tcBorders>
              <w:top w:val="nil"/>
              <w:left w:val="nil"/>
              <w:bottom w:val="single" w:sz="8" w:space="0" w:color="auto"/>
              <w:right w:val="single" w:sz="8" w:space="0" w:color="auto"/>
            </w:tcBorders>
            <w:shd w:val="clear" w:color="auto" w:fill="auto"/>
            <w:vAlign w:val="center"/>
            <w:hideMark/>
          </w:tcPr>
          <w:p w14:paraId="13B55B66" w14:textId="77777777" w:rsidR="00153606" w:rsidRPr="008951AA" w:rsidRDefault="00153606" w:rsidP="00E00A80">
            <w:pPr>
              <w:spacing w:before="60" w:after="60" w:line="240" w:lineRule="auto"/>
              <w:jc w:val="center"/>
              <w:rPr>
                <w:rFonts w:cs="Arial"/>
                <w:bCs/>
                <w:color w:val="000000"/>
                <w:sz w:val="20"/>
              </w:rPr>
            </w:pPr>
            <w:r w:rsidRPr="008951AA">
              <w:rPr>
                <w:rFonts w:cs="Arial"/>
                <w:bCs/>
                <w:color w:val="000000"/>
                <w:sz w:val="20"/>
              </w:rPr>
              <w:t>3</w:t>
            </w:r>
          </w:p>
        </w:tc>
        <w:tc>
          <w:tcPr>
            <w:tcW w:w="950" w:type="pct"/>
            <w:tcBorders>
              <w:top w:val="nil"/>
              <w:left w:val="nil"/>
              <w:bottom w:val="single" w:sz="8" w:space="0" w:color="auto"/>
              <w:right w:val="single" w:sz="8" w:space="0" w:color="auto"/>
            </w:tcBorders>
            <w:shd w:val="clear" w:color="auto" w:fill="auto"/>
            <w:vAlign w:val="center"/>
            <w:hideMark/>
          </w:tcPr>
          <w:p w14:paraId="13B55B67" w14:textId="77777777" w:rsidR="00153606" w:rsidRPr="008951AA" w:rsidRDefault="00153606" w:rsidP="00E00A80">
            <w:pPr>
              <w:spacing w:before="60" w:after="60" w:line="240" w:lineRule="auto"/>
              <w:jc w:val="center"/>
              <w:rPr>
                <w:rFonts w:cs="Arial"/>
                <w:color w:val="000000"/>
                <w:sz w:val="20"/>
              </w:rPr>
            </w:pPr>
            <w:r w:rsidRPr="008951AA">
              <w:rPr>
                <w:rFonts w:cs="Arial"/>
                <w:color w:val="000000"/>
                <w:sz w:val="20"/>
              </w:rPr>
              <w:t>17</w:t>
            </w:r>
          </w:p>
        </w:tc>
      </w:tr>
      <w:tr w:rsidR="00153606" w:rsidRPr="000A7545" w14:paraId="13B55B6E" w14:textId="77777777" w:rsidTr="008951AA">
        <w:trPr>
          <w:trHeight w:val="315"/>
        </w:trPr>
        <w:tc>
          <w:tcPr>
            <w:tcW w:w="967" w:type="pct"/>
            <w:tcBorders>
              <w:top w:val="nil"/>
              <w:left w:val="single" w:sz="8" w:space="0" w:color="auto"/>
              <w:bottom w:val="single" w:sz="8" w:space="0" w:color="auto"/>
              <w:right w:val="single" w:sz="8" w:space="0" w:color="auto"/>
            </w:tcBorders>
            <w:shd w:val="clear" w:color="auto" w:fill="auto"/>
            <w:vAlign w:val="center"/>
            <w:hideMark/>
          </w:tcPr>
          <w:p w14:paraId="13B55B69" w14:textId="77777777" w:rsidR="00153606" w:rsidRPr="008951AA" w:rsidRDefault="00153606" w:rsidP="00E00A80">
            <w:pPr>
              <w:spacing w:before="60" w:after="60" w:line="240" w:lineRule="auto"/>
              <w:rPr>
                <w:rFonts w:cs="Arial"/>
                <w:bCs/>
                <w:color w:val="000000"/>
                <w:sz w:val="20"/>
              </w:rPr>
            </w:pPr>
            <w:r w:rsidRPr="008951AA">
              <w:rPr>
                <w:rFonts w:cs="Arial"/>
                <w:bCs/>
                <w:color w:val="000000"/>
                <w:sz w:val="20"/>
              </w:rPr>
              <w:t>14-Sep-11</w:t>
            </w:r>
          </w:p>
        </w:tc>
        <w:tc>
          <w:tcPr>
            <w:tcW w:w="1028" w:type="pct"/>
            <w:tcBorders>
              <w:top w:val="nil"/>
              <w:left w:val="nil"/>
              <w:bottom w:val="single" w:sz="8" w:space="0" w:color="auto"/>
              <w:right w:val="single" w:sz="8" w:space="0" w:color="auto"/>
            </w:tcBorders>
            <w:shd w:val="clear" w:color="auto" w:fill="auto"/>
            <w:vAlign w:val="center"/>
            <w:hideMark/>
          </w:tcPr>
          <w:p w14:paraId="13B55B6A" w14:textId="77777777" w:rsidR="00153606" w:rsidRPr="008951AA" w:rsidRDefault="00153606" w:rsidP="00E00A80">
            <w:pPr>
              <w:spacing w:before="60" w:after="60" w:line="240" w:lineRule="auto"/>
              <w:rPr>
                <w:rFonts w:cs="Arial"/>
                <w:bCs/>
                <w:color w:val="000000"/>
                <w:sz w:val="20"/>
              </w:rPr>
            </w:pPr>
            <w:r w:rsidRPr="008951AA">
              <w:rPr>
                <w:rFonts w:cs="Arial"/>
                <w:bCs/>
                <w:color w:val="000000"/>
                <w:sz w:val="20"/>
              </w:rPr>
              <w:t>Sorong</w:t>
            </w:r>
          </w:p>
        </w:tc>
        <w:tc>
          <w:tcPr>
            <w:tcW w:w="1027" w:type="pct"/>
            <w:tcBorders>
              <w:top w:val="nil"/>
              <w:left w:val="nil"/>
              <w:bottom w:val="single" w:sz="8" w:space="0" w:color="auto"/>
              <w:right w:val="single" w:sz="8" w:space="0" w:color="auto"/>
            </w:tcBorders>
            <w:shd w:val="clear" w:color="auto" w:fill="auto"/>
            <w:vAlign w:val="center"/>
            <w:hideMark/>
          </w:tcPr>
          <w:p w14:paraId="13B55B6B" w14:textId="77777777" w:rsidR="00153606" w:rsidRPr="008951AA" w:rsidRDefault="00153606" w:rsidP="00E00A80">
            <w:pPr>
              <w:spacing w:before="60" w:after="60" w:line="240" w:lineRule="auto"/>
              <w:jc w:val="center"/>
              <w:rPr>
                <w:rFonts w:cs="Arial"/>
                <w:bCs/>
                <w:color w:val="000000"/>
                <w:sz w:val="20"/>
              </w:rPr>
            </w:pPr>
            <w:r w:rsidRPr="008951AA">
              <w:rPr>
                <w:rFonts w:cs="Arial"/>
                <w:bCs/>
                <w:color w:val="000000"/>
                <w:sz w:val="20"/>
              </w:rPr>
              <w:t>12</w:t>
            </w:r>
          </w:p>
        </w:tc>
        <w:tc>
          <w:tcPr>
            <w:tcW w:w="1027" w:type="pct"/>
            <w:tcBorders>
              <w:top w:val="nil"/>
              <w:left w:val="nil"/>
              <w:bottom w:val="single" w:sz="8" w:space="0" w:color="auto"/>
              <w:right w:val="single" w:sz="8" w:space="0" w:color="auto"/>
            </w:tcBorders>
            <w:shd w:val="clear" w:color="auto" w:fill="auto"/>
            <w:vAlign w:val="center"/>
            <w:hideMark/>
          </w:tcPr>
          <w:p w14:paraId="13B55B6C" w14:textId="77777777" w:rsidR="00153606" w:rsidRPr="008951AA" w:rsidRDefault="00153606" w:rsidP="00E00A80">
            <w:pPr>
              <w:spacing w:before="60" w:after="60" w:line="240" w:lineRule="auto"/>
              <w:jc w:val="center"/>
              <w:rPr>
                <w:rFonts w:cs="Arial"/>
                <w:bCs/>
                <w:color w:val="000000"/>
                <w:sz w:val="20"/>
              </w:rPr>
            </w:pPr>
            <w:r w:rsidRPr="008951AA">
              <w:rPr>
                <w:rFonts w:cs="Arial"/>
                <w:bCs/>
                <w:color w:val="000000"/>
                <w:sz w:val="20"/>
              </w:rPr>
              <w:t>9</w:t>
            </w:r>
          </w:p>
        </w:tc>
        <w:tc>
          <w:tcPr>
            <w:tcW w:w="950" w:type="pct"/>
            <w:tcBorders>
              <w:top w:val="nil"/>
              <w:left w:val="nil"/>
              <w:bottom w:val="single" w:sz="8" w:space="0" w:color="auto"/>
              <w:right w:val="single" w:sz="8" w:space="0" w:color="auto"/>
            </w:tcBorders>
            <w:shd w:val="clear" w:color="auto" w:fill="auto"/>
            <w:vAlign w:val="center"/>
            <w:hideMark/>
          </w:tcPr>
          <w:p w14:paraId="13B55B6D" w14:textId="77777777" w:rsidR="00153606" w:rsidRPr="008951AA" w:rsidRDefault="00153606" w:rsidP="00E00A80">
            <w:pPr>
              <w:spacing w:before="60" w:after="60" w:line="240" w:lineRule="auto"/>
              <w:jc w:val="center"/>
              <w:rPr>
                <w:rFonts w:cs="Arial"/>
                <w:color w:val="000000"/>
                <w:sz w:val="20"/>
              </w:rPr>
            </w:pPr>
            <w:r w:rsidRPr="008951AA">
              <w:rPr>
                <w:rFonts w:cs="Arial"/>
                <w:color w:val="000000"/>
                <w:sz w:val="20"/>
              </w:rPr>
              <w:t>21</w:t>
            </w:r>
          </w:p>
        </w:tc>
      </w:tr>
      <w:tr w:rsidR="00153606" w:rsidRPr="000A7545" w14:paraId="13B55B73" w14:textId="77777777" w:rsidTr="008951AA">
        <w:trPr>
          <w:trHeight w:val="315"/>
        </w:trPr>
        <w:tc>
          <w:tcPr>
            <w:tcW w:w="199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B55B6F" w14:textId="77777777" w:rsidR="00153606" w:rsidRPr="008951AA" w:rsidRDefault="00153606" w:rsidP="00E00A80">
            <w:pPr>
              <w:spacing w:before="60" w:after="60" w:line="240" w:lineRule="auto"/>
              <w:jc w:val="center"/>
              <w:rPr>
                <w:rFonts w:cs="Arial"/>
                <w:color w:val="000000"/>
                <w:sz w:val="20"/>
              </w:rPr>
            </w:pPr>
            <w:r w:rsidRPr="008951AA">
              <w:rPr>
                <w:rFonts w:cs="Arial"/>
                <w:color w:val="000000"/>
                <w:sz w:val="20"/>
              </w:rPr>
              <w:t>Total</w:t>
            </w:r>
          </w:p>
        </w:tc>
        <w:tc>
          <w:tcPr>
            <w:tcW w:w="1027" w:type="pct"/>
            <w:tcBorders>
              <w:top w:val="nil"/>
              <w:left w:val="nil"/>
              <w:bottom w:val="single" w:sz="8" w:space="0" w:color="auto"/>
              <w:right w:val="single" w:sz="8" w:space="0" w:color="auto"/>
            </w:tcBorders>
            <w:shd w:val="clear" w:color="auto" w:fill="auto"/>
            <w:vAlign w:val="center"/>
            <w:hideMark/>
          </w:tcPr>
          <w:p w14:paraId="13B55B70" w14:textId="77777777" w:rsidR="00153606" w:rsidRPr="008951AA" w:rsidRDefault="00153606" w:rsidP="00E00A80">
            <w:pPr>
              <w:spacing w:before="60" w:after="60" w:line="240" w:lineRule="auto"/>
              <w:jc w:val="center"/>
              <w:rPr>
                <w:rFonts w:cs="Arial"/>
                <w:color w:val="000000"/>
                <w:sz w:val="20"/>
              </w:rPr>
            </w:pPr>
            <w:r w:rsidRPr="008951AA">
              <w:rPr>
                <w:rFonts w:cs="Arial"/>
                <w:color w:val="000000"/>
                <w:sz w:val="20"/>
              </w:rPr>
              <w:t>56</w:t>
            </w:r>
          </w:p>
        </w:tc>
        <w:tc>
          <w:tcPr>
            <w:tcW w:w="1027" w:type="pct"/>
            <w:tcBorders>
              <w:top w:val="nil"/>
              <w:left w:val="nil"/>
              <w:bottom w:val="single" w:sz="8" w:space="0" w:color="auto"/>
              <w:right w:val="single" w:sz="8" w:space="0" w:color="auto"/>
            </w:tcBorders>
            <w:shd w:val="clear" w:color="auto" w:fill="auto"/>
            <w:vAlign w:val="center"/>
            <w:hideMark/>
          </w:tcPr>
          <w:p w14:paraId="13B55B71" w14:textId="77777777" w:rsidR="00153606" w:rsidRPr="008951AA" w:rsidRDefault="00153606" w:rsidP="00E00A80">
            <w:pPr>
              <w:spacing w:before="60" w:after="60" w:line="240" w:lineRule="auto"/>
              <w:jc w:val="center"/>
              <w:rPr>
                <w:rFonts w:cs="Arial"/>
                <w:color w:val="000000"/>
                <w:sz w:val="20"/>
              </w:rPr>
            </w:pPr>
            <w:r w:rsidRPr="008951AA">
              <w:rPr>
                <w:rFonts w:cs="Arial"/>
                <w:color w:val="000000"/>
                <w:sz w:val="20"/>
              </w:rPr>
              <w:t>22</w:t>
            </w:r>
          </w:p>
        </w:tc>
        <w:tc>
          <w:tcPr>
            <w:tcW w:w="950" w:type="pct"/>
            <w:tcBorders>
              <w:top w:val="nil"/>
              <w:left w:val="nil"/>
              <w:bottom w:val="single" w:sz="8" w:space="0" w:color="auto"/>
              <w:right w:val="single" w:sz="8" w:space="0" w:color="auto"/>
            </w:tcBorders>
            <w:shd w:val="clear" w:color="auto" w:fill="auto"/>
            <w:vAlign w:val="center"/>
            <w:hideMark/>
          </w:tcPr>
          <w:p w14:paraId="13B55B72" w14:textId="77777777" w:rsidR="00153606" w:rsidRPr="008951AA" w:rsidRDefault="00153606" w:rsidP="00E00A80">
            <w:pPr>
              <w:spacing w:before="60" w:after="60" w:line="240" w:lineRule="auto"/>
              <w:jc w:val="center"/>
              <w:rPr>
                <w:rFonts w:cs="Arial"/>
                <w:color w:val="000000"/>
                <w:sz w:val="20"/>
              </w:rPr>
            </w:pPr>
            <w:r w:rsidRPr="008951AA">
              <w:rPr>
                <w:rFonts w:cs="Arial"/>
                <w:color w:val="000000"/>
                <w:sz w:val="20"/>
              </w:rPr>
              <w:t>68</w:t>
            </w:r>
          </w:p>
        </w:tc>
      </w:tr>
    </w:tbl>
    <w:p w14:paraId="13B55B74" w14:textId="77777777" w:rsidR="00153606" w:rsidRPr="000A7545" w:rsidRDefault="00153606" w:rsidP="00153606"/>
    <w:p w14:paraId="13B55B75" w14:textId="77777777" w:rsidR="00153606" w:rsidRPr="000A7545" w:rsidRDefault="00153606" w:rsidP="00153606">
      <w:r w:rsidRPr="000A7545">
        <w:t xml:space="preserve">Some 68 duty-bearers </w:t>
      </w:r>
      <w:r w:rsidR="00FE4FD9" w:rsidRPr="000A7545">
        <w:t xml:space="preserve">participated in this activity. </w:t>
      </w:r>
      <w:r w:rsidRPr="000A7545">
        <w:t>Participants included representatives from Education Offices, faith-based education foundations, University representatives, formal and non-formal education institutes, Indonesian youth association representatives, local government from parliament, and other public services offices (e.g. health).</w:t>
      </w:r>
    </w:p>
    <w:p w14:paraId="13B55B76" w14:textId="77777777" w:rsidR="00004E63" w:rsidRDefault="00153606" w:rsidP="00153606">
      <w:r w:rsidRPr="000A7545">
        <w:t xml:space="preserve">There continues to be a gender imbalance in access to and uptake of training opportunities across the programme with far greater numbers of males </w:t>
      </w:r>
      <w:r w:rsidR="00FE4FD9" w:rsidRPr="000A7545">
        <w:t xml:space="preserve">than female’s access training. </w:t>
      </w:r>
      <w:r w:rsidRPr="000A7545">
        <w:t>The programme staff and consultants continue to considerate and advocate for gr</w:t>
      </w:r>
      <w:r w:rsidR="001B638F">
        <w:t>e</w:t>
      </w:r>
      <w:r w:rsidRPr="000A7545">
        <w:t xml:space="preserve">ater female participation but further strengthening </w:t>
      </w:r>
      <w:r w:rsidR="001B638F">
        <w:t xml:space="preserve">of </w:t>
      </w:r>
      <w:r w:rsidRPr="000A7545">
        <w:t>strategies should be considered</w:t>
      </w:r>
      <w:r w:rsidR="001B638F">
        <w:t>.</w:t>
      </w:r>
    </w:p>
    <w:p w14:paraId="13B55B77" w14:textId="77777777" w:rsidR="00F30A11" w:rsidRPr="00936494" w:rsidRDefault="00B05D52" w:rsidP="00936494">
      <w:pPr>
        <w:pStyle w:val="IntenseQuote"/>
        <w:rPr>
          <w:rStyle w:val="Emphasis"/>
          <w:bCs w:val="0"/>
          <w:i w:val="0"/>
          <w:u w:val="none"/>
        </w:rPr>
      </w:pPr>
      <w:r w:rsidRPr="00936494">
        <w:rPr>
          <w:rStyle w:val="Emphasis"/>
          <w:bCs w:val="0"/>
          <w:i w:val="0"/>
          <w:u w:val="none"/>
        </w:rPr>
        <w:t>1.1.4c</w:t>
      </w:r>
      <w:r w:rsidR="00F30A11" w:rsidRPr="00936494">
        <w:rPr>
          <w:rStyle w:val="Emphasis"/>
          <w:bCs w:val="0"/>
          <w:i w:val="0"/>
          <w:u w:val="none"/>
        </w:rPr>
        <w:t>. Education offices in target provinces and districts use financial management data for planning purposes and1.1.4d. Education offices in target provinces produce AKPD/SAKIP to meet predefined criteria</w:t>
      </w:r>
      <w:r w:rsidR="00F404EF" w:rsidRPr="00936494">
        <w:rPr>
          <w:rStyle w:val="Emphasis"/>
          <w:bCs w:val="0"/>
          <w:i w:val="0"/>
          <w:u w:val="none"/>
        </w:rPr>
        <w:t xml:space="preserve"> (USAID)</w:t>
      </w:r>
    </w:p>
    <w:p w14:paraId="13B55B78" w14:textId="77777777" w:rsidR="00153606" w:rsidRDefault="00F30A11" w:rsidP="00153606">
      <w:r>
        <w:t>Progress related to both is pending roll out of training in</w:t>
      </w:r>
      <w:r w:rsidR="00936494">
        <w:t xml:space="preserve"> quarter two and three of 2012.</w:t>
      </w:r>
    </w:p>
    <w:p w14:paraId="13B55B79" w14:textId="77777777" w:rsidR="00936494" w:rsidRPr="0018048F" w:rsidRDefault="00936494" w:rsidP="00153606"/>
    <w:p w14:paraId="13B55B7A" w14:textId="77777777" w:rsidR="00153606" w:rsidRPr="000A7545" w:rsidRDefault="00153606" w:rsidP="00607424">
      <w:pPr>
        <w:pStyle w:val="IntenseQuote"/>
        <w:rPr>
          <w:rStyle w:val="Emphasis"/>
          <w:bCs w:val="0"/>
          <w:i w:val="0"/>
          <w:u w:val="none"/>
        </w:rPr>
      </w:pPr>
      <w:r w:rsidRPr="000A7545">
        <w:rPr>
          <w:rStyle w:val="Emphasis"/>
          <w:bCs w:val="0"/>
          <w:i w:val="0"/>
          <w:u w:val="none"/>
        </w:rPr>
        <w:t>1.1.4e. Allocation of budgets for SMB at provincial and district levels</w:t>
      </w:r>
      <w:r w:rsidR="00F404EF">
        <w:rPr>
          <w:rStyle w:val="Emphasis"/>
          <w:bCs w:val="0"/>
          <w:i w:val="0"/>
          <w:u w:val="none"/>
        </w:rPr>
        <w:t xml:space="preserve"> (AusAID)</w:t>
      </w:r>
    </w:p>
    <w:p w14:paraId="13B55B7B" w14:textId="77777777" w:rsidR="00153606" w:rsidRPr="000A7545" w:rsidRDefault="00153606" w:rsidP="00153606">
      <w:r w:rsidRPr="000A7545">
        <w:t>Provincial and local governments have allocated significant funding to replicate SBM and provide in-service training support via school clusters, model schools and supervision via school supervisors.</w:t>
      </w:r>
    </w:p>
    <w:p w14:paraId="13B55B7C" w14:textId="77777777" w:rsidR="00153606" w:rsidRPr="000A7545" w:rsidRDefault="00153606" w:rsidP="00E00A80">
      <w:pPr>
        <w:rPr>
          <w:i/>
        </w:rPr>
      </w:pPr>
      <w:r w:rsidRPr="000A7545">
        <w:t xml:space="preserve">Successful involvement of stakeholders in Renstra and Renja in both Papua and West Papua, supported by many programme investments, resulted in significant budget allocation for SBM in both provinces and all districts with breakdown shown in </w:t>
      </w:r>
      <w:r w:rsidR="00FE4FD9" w:rsidRPr="000A7545">
        <w:t>Figure</w:t>
      </w:r>
      <w:r w:rsidRPr="000A7545">
        <w:t xml:space="preserve"> 4. Currently Papua provincial education office has allocated </w:t>
      </w:r>
      <w:r w:rsidR="00E377B2">
        <w:t>IDR</w:t>
      </w:r>
      <w:r w:rsidRPr="000A7545">
        <w:t xml:space="preserve"> 4 billion, and West Papua </w:t>
      </w:r>
      <w:r w:rsidR="00E377B2">
        <w:t>IDR</w:t>
      </w:r>
      <w:r w:rsidRPr="000A7545">
        <w:t xml:space="preserve"> 1.2 billion to further strengthen the province wide replication of SBM. Target districts have also planned to allocate funds in 2012 to support district-wide replication of SBM (as per final version of 2012 provincial and district Renja):</w:t>
      </w:r>
    </w:p>
    <w:p w14:paraId="13B55B7D" w14:textId="77777777" w:rsidR="00E00A80" w:rsidRPr="000A7545" w:rsidRDefault="00E00A80" w:rsidP="00E00A80">
      <w:pPr>
        <w:pStyle w:val="Caption"/>
        <w:keepNext/>
        <w:spacing w:after="200"/>
      </w:pPr>
      <w:bookmarkStart w:id="36" w:name="_Toc322710095"/>
      <w:r w:rsidRPr="000A7545">
        <w:t xml:space="preserve">Figure </w:t>
      </w:r>
      <w:fldSimple w:instr=" SEQ Figure \* ARABIC ">
        <w:r w:rsidR="009B4D84">
          <w:rPr>
            <w:noProof/>
          </w:rPr>
          <w:t>4</w:t>
        </w:r>
      </w:fldSimple>
      <w:r w:rsidRPr="000A7545">
        <w:t>: Government budget allocations for SBM 2012 (Final District Renja 2012)</w:t>
      </w:r>
      <w:bookmarkEnd w:id="36"/>
    </w:p>
    <w:tbl>
      <w:tblPr>
        <w:tblStyle w:val="TableGrid"/>
        <w:tblW w:w="0" w:type="auto"/>
        <w:tblInd w:w="108" w:type="dxa"/>
        <w:tblLook w:val="04A0" w:firstRow="1" w:lastRow="0" w:firstColumn="1" w:lastColumn="0" w:noHBand="0" w:noVBand="1"/>
      </w:tblPr>
      <w:tblGrid>
        <w:gridCol w:w="4050"/>
        <w:gridCol w:w="5040"/>
      </w:tblGrid>
      <w:tr w:rsidR="00153606" w:rsidRPr="000A7545" w14:paraId="13B55B80" w14:textId="77777777" w:rsidTr="00E00A80">
        <w:tc>
          <w:tcPr>
            <w:tcW w:w="4050" w:type="dxa"/>
            <w:shd w:val="clear" w:color="auto" w:fill="C6D9F1" w:themeFill="text2" w:themeFillTint="33"/>
          </w:tcPr>
          <w:p w14:paraId="13B55B7E" w14:textId="77777777" w:rsidR="00153606" w:rsidRPr="000A7545" w:rsidRDefault="00153606" w:rsidP="00E00A80">
            <w:pPr>
              <w:pStyle w:val="NoSpacing"/>
              <w:spacing w:before="60" w:after="60"/>
              <w:jc w:val="center"/>
              <w:rPr>
                <w:rFonts w:ascii="Arial" w:hAnsi="Arial" w:cs="Arial"/>
                <w:b/>
                <w:lang w:val="en-GB"/>
              </w:rPr>
            </w:pPr>
            <w:r w:rsidRPr="000A7545">
              <w:rPr>
                <w:rFonts w:ascii="Arial" w:hAnsi="Arial" w:cs="Arial"/>
                <w:b/>
                <w:lang w:val="en-GB"/>
              </w:rPr>
              <w:t>District</w:t>
            </w:r>
          </w:p>
        </w:tc>
        <w:tc>
          <w:tcPr>
            <w:tcW w:w="5040" w:type="dxa"/>
            <w:shd w:val="clear" w:color="auto" w:fill="C6D9F1" w:themeFill="text2" w:themeFillTint="33"/>
          </w:tcPr>
          <w:p w14:paraId="13B55B7F" w14:textId="77777777" w:rsidR="00153606" w:rsidRPr="000A7545" w:rsidRDefault="00153606" w:rsidP="001E1053">
            <w:pPr>
              <w:pStyle w:val="NoSpacing"/>
              <w:spacing w:before="60" w:after="60"/>
              <w:jc w:val="center"/>
              <w:rPr>
                <w:rFonts w:ascii="Arial" w:hAnsi="Arial" w:cs="Arial"/>
                <w:b/>
                <w:lang w:val="en-GB"/>
              </w:rPr>
            </w:pPr>
            <w:r w:rsidRPr="000A7545">
              <w:rPr>
                <w:rFonts w:ascii="Arial" w:hAnsi="Arial" w:cs="Arial"/>
                <w:b/>
                <w:lang w:val="en-GB"/>
              </w:rPr>
              <w:t>2012 Budget Allocation for SBM Replication (</w:t>
            </w:r>
            <w:r w:rsidR="001E1053" w:rsidRPr="000A7545">
              <w:rPr>
                <w:rFonts w:ascii="Arial" w:hAnsi="Arial" w:cs="Arial"/>
                <w:b/>
                <w:lang w:val="en-GB"/>
              </w:rPr>
              <w:t>IDR</w:t>
            </w:r>
            <w:r w:rsidRPr="000A7545">
              <w:rPr>
                <w:rFonts w:ascii="Arial" w:hAnsi="Arial" w:cs="Arial"/>
                <w:b/>
                <w:lang w:val="en-GB"/>
              </w:rPr>
              <w:t>)</w:t>
            </w:r>
          </w:p>
        </w:tc>
      </w:tr>
      <w:tr w:rsidR="00153606" w:rsidRPr="000A7545" w14:paraId="13B55B83" w14:textId="77777777" w:rsidTr="00E00A80">
        <w:tc>
          <w:tcPr>
            <w:tcW w:w="4050" w:type="dxa"/>
            <w:shd w:val="clear" w:color="auto" w:fill="auto"/>
          </w:tcPr>
          <w:p w14:paraId="13B55B81" w14:textId="77777777" w:rsidR="00153606" w:rsidRPr="000A7545" w:rsidRDefault="00153606" w:rsidP="00E00A80">
            <w:pPr>
              <w:pStyle w:val="NoSpacing"/>
              <w:spacing w:before="60" w:after="60"/>
              <w:jc w:val="both"/>
              <w:rPr>
                <w:rFonts w:ascii="Arial" w:hAnsi="Arial" w:cs="Arial"/>
                <w:lang w:val="en-GB"/>
              </w:rPr>
            </w:pPr>
            <w:r w:rsidRPr="000A7545">
              <w:rPr>
                <w:rFonts w:ascii="Arial" w:hAnsi="Arial" w:cs="Arial"/>
                <w:lang w:val="en-GB"/>
              </w:rPr>
              <w:t>Papua Province</w:t>
            </w:r>
          </w:p>
        </w:tc>
        <w:tc>
          <w:tcPr>
            <w:tcW w:w="5040" w:type="dxa"/>
            <w:shd w:val="clear" w:color="auto" w:fill="auto"/>
          </w:tcPr>
          <w:p w14:paraId="13B55B82" w14:textId="77777777" w:rsidR="00153606" w:rsidRPr="000A7545" w:rsidRDefault="001E1053" w:rsidP="001E1053">
            <w:pPr>
              <w:pStyle w:val="NoSpacing"/>
              <w:spacing w:before="60" w:after="60"/>
              <w:jc w:val="both"/>
              <w:rPr>
                <w:rFonts w:ascii="Arial" w:hAnsi="Arial" w:cs="Arial"/>
                <w:lang w:val="en-GB"/>
              </w:rPr>
            </w:pPr>
            <w:r w:rsidRPr="000A7545">
              <w:rPr>
                <w:rFonts w:ascii="Arial" w:hAnsi="Arial" w:cs="Arial"/>
                <w:lang w:val="en-GB"/>
              </w:rPr>
              <w:t>4,000,000,000</w:t>
            </w:r>
          </w:p>
        </w:tc>
      </w:tr>
      <w:tr w:rsidR="00153606" w:rsidRPr="000A7545" w14:paraId="13B55B86" w14:textId="77777777" w:rsidTr="00E00A80">
        <w:tc>
          <w:tcPr>
            <w:tcW w:w="4050" w:type="dxa"/>
            <w:shd w:val="clear" w:color="auto" w:fill="auto"/>
          </w:tcPr>
          <w:p w14:paraId="13B55B84" w14:textId="77777777" w:rsidR="00153606" w:rsidRPr="000A7545" w:rsidRDefault="00153606" w:rsidP="00E00A80">
            <w:pPr>
              <w:pStyle w:val="NoSpacing"/>
              <w:spacing w:before="60" w:after="60"/>
              <w:jc w:val="both"/>
              <w:rPr>
                <w:rFonts w:ascii="Arial" w:hAnsi="Arial" w:cs="Arial"/>
                <w:lang w:val="en-GB"/>
              </w:rPr>
            </w:pPr>
            <w:r w:rsidRPr="000A7545">
              <w:rPr>
                <w:rFonts w:ascii="Arial" w:hAnsi="Arial" w:cs="Arial"/>
                <w:lang w:val="en-GB"/>
              </w:rPr>
              <w:t>West Papua Province</w:t>
            </w:r>
          </w:p>
        </w:tc>
        <w:tc>
          <w:tcPr>
            <w:tcW w:w="5040" w:type="dxa"/>
            <w:shd w:val="clear" w:color="auto" w:fill="auto"/>
          </w:tcPr>
          <w:p w14:paraId="13B55B85" w14:textId="77777777" w:rsidR="00153606" w:rsidRPr="000A7545" w:rsidRDefault="001E1053" w:rsidP="001E1053">
            <w:pPr>
              <w:pStyle w:val="NoSpacing"/>
              <w:spacing w:before="60" w:after="60"/>
              <w:jc w:val="both"/>
              <w:rPr>
                <w:rFonts w:ascii="Arial" w:hAnsi="Arial" w:cs="Arial"/>
                <w:lang w:val="en-GB"/>
              </w:rPr>
            </w:pPr>
            <w:r w:rsidRPr="000A7545">
              <w:rPr>
                <w:rFonts w:ascii="Arial" w:hAnsi="Arial" w:cs="Arial"/>
                <w:lang w:val="en-GB"/>
              </w:rPr>
              <w:t>1,200,000,000</w:t>
            </w:r>
          </w:p>
        </w:tc>
      </w:tr>
      <w:tr w:rsidR="00153606" w:rsidRPr="000A7545" w14:paraId="13B55B89" w14:textId="77777777" w:rsidTr="00E00A80">
        <w:tc>
          <w:tcPr>
            <w:tcW w:w="4050" w:type="dxa"/>
            <w:shd w:val="clear" w:color="auto" w:fill="auto"/>
          </w:tcPr>
          <w:p w14:paraId="13B55B87" w14:textId="77777777" w:rsidR="00153606" w:rsidRPr="000A7545" w:rsidRDefault="00153606" w:rsidP="00E00A80">
            <w:pPr>
              <w:pStyle w:val="NoSpacing"/>
              <w:spacing w:before="60" w:after="60"/>
              <w:jc w:val="both"/>
              <w:rPr>
                <w:rFonts w:ascii="Arial" w:hAnsi="Arial" w:cs="Arial"/>
                <w:lang w:val="en-GB"/>
              </w:rPr>
            </w:pPr>
            <w:r w:rsidRPr="000A7545">
              <w:rPr>
                <w:rFonts w:ascii="Arial" w:hAnsi="Arial" w:cs="Arial"/>
                <w:lang w:val="en-GB"/>
              </w:rPr>
              <w:t>Biak Numfor</w:t>
            </w:r>
          </w:p>
        </w:tc>
        <w:tc>
          <w:tcPr>
            <w:tcW w:w="5040" w:type="dxa"/>
            <w:shd w:val="clear" w:color="auto" w:fill="auto"/>
          </w:tcPr>
          <w:p w14:paraId="13B55B88" w14:textId="77777777" w:rsidR="00153606" w:rsidRPr="000A7545" w:rsidRDefault="001E1053" w:rsidP="001E1053">
            <w:pPr>
              <w:pStyle w:val="NoSpacing"/>
              <w:spacing w:before="60" w:after="60"/>
              <w:jc w:val="both"/>
              <w:rPr>
                <w:rFonts w:ascii="Arial" w:hAnsi="Arial" w:cs="Arial"/>
                <w:lang w:val="en-GB"/>
              </w:rPr>
            </w:pPr>
            <w:r w:rsidRPr="000A7545">
              <w:rPr>
                <w:rFonts w:ascii="Arial" w:hAnsi="Arial" w:cs="Arial"/>
                <w:lang w:val="en-GB"/>
              </w:rPr>
              <w:t>190,000,000</w:t>
            </w:r>
            <w:r w:rsidR="00153606" w:rsidRPr="000A7545">
              <w:rPr>
                <w:rFonts w:ascii="Arial" w:hAnsi="Arial" w:cs="Arial"/>
                <w:lang w:val="en-GB"/>
              </w:rPr>
              <w:t xml:space="preserve"> (replication to JSS only)</w:t>
            </w:r>
          </w:p>
        </w:tc>
      </w:tr>
      <w:tr w:rsidR="00153606" w:rsidRPr="000A7545" w14:paraId="13B55B8C" w14:textId="77777777" w:rsidTr="00E00A80">
        <w:tc>
          <w:tcPr>
            <w:tcW w:w="4050" w:type="dxa"/>
            <w:shd w:val="clear" w:color="auto" w:fill="auto"/>
          </w:tcPr>
          <w:p w14:paraId="13B55B8A" w14:textId="77777777" w:rsidR="00153606" w:rsidRPr="000A7545" w:rsidRDefault="00153606" w:rsidP="00E00A80">
            <w:pPr>
              <w:pStyle w:val="NoSpacing"/>
              <w:spacing w:before="60" w:after="60"/>
              <w:jc w:val="both"/>
              <w:rPr>
                <w:rFonts w:ascii="Arial" w:hAnsi="Arial" w:cs="Arial"/>
                <w:lang w:val="en-GB"/>
              </w:rPr>
            </w:pPr>
            <w:r w:rsidRPr="000A7545">
              <w:rPr>
                <w:rFonts w:ascii="Arial" w:hAnsi="Arial" w:cs="Arial"/>
                <w:lang w:val="en-GB"/>
              </w:rPr>
              <w:t>Jayapura</w:t>
            </w:r>
          </w:p>
        </w:tc>
        <w:tc>
          <w:tcPr>
            <w:tcW w:w="5040" w:type="dxa"/>
            <w:shd w:val="clear" w:color="auto" w:fill="auto"/>
          </w:tcPr>
          <w:p w14:paraId="13B55B8B" w14:textId="77777777" w:rsidR="00153606" w:rsidRPr="000A7545" w:rsidRDefault="001E1053" w:rsidP="00E00A80">
            <w:pPr>
              <w:pStyle w:val="NoSpacing"/>
              <w:spacing w:before="60" w:after="60"/>
              <w:jc w:val="both"/>
              <w:rPr>
                <w:rFonts w:ascii="Arial" w:hAnsi="Arial" w:cs="Arial"/>
                <w:lang w:val="en-GB"/>
              </w:rPr>
            </w:pPr>
            <w:r w:rsidRPr="000A7545">
              <w:rPr>
                <w:rFonts w:ascii="Arial" w:hAnsi="Arial" w:cs="Arial"/>
                <w:lang w:val="en-GB"/>
              </w:rPr>
              <w:t>350,000,000</w:t>
            </w:r>
          </w:p>
        </w:tc>
      </w:tr>
      <w:tr w:rsidR="00153606" w:rsidRPr="000A7545" w14:paraId="13B55B8F" w14:textId="77777777" w:rsidTr="00E00A80">
        <w:tc>
          <w:tcPr>
            <w:tcW w:w="4050" w:type="dxa"/>
            <w:shd w:val="clear" w:color="auto" w:fill="auto"/>
          </w:tcPr>
          <w:p w14:paraId="13B55B8D" w14:textId="77777777" w:rsidR="00153606" w:rsidRPr="000A7545" w:rsidRDefault="00153606" w:rsidP="00E00A80">
            <w:pPr>
              <w:pStyle w:val="NoSpacing"/>
              <w:spacing w:before="60" w:after="60"/>
              <w:jc w:val="both"/>
              <w:rPr>
                <w:rFonts w:ascii="Arial" w:hAnsi="Arial" w:cs="Arial"/>
                <w:lang w:val="en-GB"/>
              </w:rPr>
            </w:pPr>
            <w:r w:rsidRPr="000A7545">
              <w:rPr>
                <w:rFonts w:ascii="Arial" w:hAnsi="Arial" w:cs="Arial"/>
                <w:lang w:val="en-GB"/>
              </w:rPr>
              <w:t>Jayawijaya</w:t>
            </w:r>
          </w:p>
        </w:tc>
        <w:tc>
          <w:tcPr>
            <w:tcW w:w="5040" w:type="dxa"/>
            <w:shd w:val="clear" w:color="auto" w:fill="auto"/>
          </w:tcPr>
          <w:p w14:paraId="13B55B8E" w14:textId="77777777" w:rsidR="00153606" w:rsidRPr="000A7545" w:rsidRDefault="001E1053" w:rsidP="00E00A80">
            <w:pPr>
              <w:pStyle w:val="NoSpacing"/>
              <w:spacing w:before="60" w:after="60"/>
              <w:jc w:val="both"/>
              <w:rPr>
                <w:rFonts w:ascii="Arial" w:hAnsi="Arial" w:cs="Arial"/>
                <w:lang w:val="en-GB"/>
              </w:rPr>
            </w:pPr>
            <w:r w:rsidRPr="000A7545">
              <w:rPr>
                <w:rFonts w:ascii="Arial" w:hAnsi="Arial" w:cs="Arial"/>
                <w:lang w:val="en-GB"/>
              </w:rPr>
              <w:t>900,000,000</w:t>
            </w:r>
          </w:p>
        </w:tc>
      </w:tr>
      <w:tr w:rsidR="00153606" w:rsidRPr="000A7545" w14:paraId="13B55B92" w14:textId="77777777" w:rsidTr="00E00A80">
        <w:tc>
          <w:tcPr>
            <w:tcW w:w="4050" w:type="dxa"/>
            <w:shd w:val="clear" w:color="auto" w:fill="auto"/>
          </w:tcPr>
          <w:p w14:paraId="13B55B90" w14:textId="77777777" w:rsidR="00153606" w:rsidRPr="000A7545" w:rsidRDefault="00153606" w:rsidP="00E00A80">
            <w:pPr>
              <w:pStyle w:val="NoSpacing"/>
              <w:spacing w:before="60" w:after="60"/>
              <w:jc w:val="both"/>
              <w:rPr>
                <w:rFonts w:ascii="Arial" w:hAnsi="Arial" w:cs="Arial"/>
                <w:lang w:val="en-GB"/>
              </w:rPr>
            </w:pPr>
            <w:r w:rsidRPr="000A7545">
              <w:rPr>
                <w:rFonts w:ascii="Arial" w:hAnsi="Arial" w:cs="Arial"/>
                <w:lang w:val="en-GB"/>
              </w:rPr>
              <w:t>Manokwari</w:t>
            </w:r>
          </w:p>
        </w:tc>
        <w:tc>
          <w:tcPr>
            <w:tcW w:w="5040" w:type="dxa"/>
            <w:shd w:val="clear" w:color="auto" w:fill="auto"/>
          </w:tcPr>
          <w:p w14:paraId="13B55B91" w14:textId="77777777" w:rsidR="00153606" w:rsidRPr="000A7545" w:rsidRDefault="00153606" w:rsidP="001E1053">
            <w:pPr>
              <w:pStyle w:val="NoSpacing"/>
              <w:spacing w:before="60" w:after="60"/>
              <w:jc w:val="both"/>
              <w:rPr>
                <w:rFonts w:ascii="Arial" w:hAnsi="Arial" w:cs="Arial"/>
                <w:lang w:val="en-GB"/>
              </w:rPr>
            </w:pPr>
            <w:r w:rsidRPr="000A7545">
              <w:rPr>
                <w:rFonts w:ascii="Arial" w:hAnsi="Arial" w:cs="Arial"/>
                <w:lang w:val="en-GB"/>
              </w:rPr>
              <w:t>315</w:t>
            </w:r>
            <w:r w:rsidR="001E1053" w:rsidRPr="000A7545">
              <w:rPr>
                <w:rFonts w:ascii="Arial" w:hAnsi="Arial" w:cs="Arial"/>
                <w:lang w:val="en-GB"/>
              </w:rPr>
              <w:t>,000,000</w:t>
            </w:r>
            <w:r w:rsidRPr="000A7545">
              <w:rPr>
                <w:rFonts w:ascii="Arial" w:hAnsi="Arial" w:cs="Arial"/>
                <w:lang w:val="en-GB"/>
              </w:rPr>
              <w:t>*</w:t>
            </w:r>
          </w:p>
        </w:tc>
      </w:tr>
      <w:tr w:rsidR="00153606" w:rsidRPr="000A7545" w14:paraId="13B55B95" w14:textId="77777777" w:rsidTr="00E00A80">
        <w:tc>
          <w:tcPr>
            <w:tcW w:w="4050" w:type="dxa"/>
            <w:shd w:val="clear" w:color="auto" w:fill="auto"/>
          </w:tcPr>
          <w:p w14:paraId="13B55B93" w14:textId="77777777" w:rsidR="00153606" w:rsidRPr="000A7545" w:rsidRDefault="00153606" w:rsidP="00E00A80">
            <w:pPr>
              <w:pStyle w:val="NoSpacing"/>
              <w:spacing w:before="60" w:after="60"/>
              <w:jc w:val="both"/>
              <w:rPr>
                <w:rFonts w:ascii="Arial" w:hAnsi="Arial" w:cs="Arial"/>
                <w:lang w:val="en-GB"/>
              </w:rPr>
            </w:pPr>
            <w:r w:rsidRPr="000A7545">
              <w:rPr>
                <w:rFonts w:ascii="Arial" w:hAnsi="Arial" w:cs="Arial"/>
                <w:lang w:val="en-GB"/>
              </w:rPr>
              <w:t>Mimika</w:t>
            </w:r>
          </w:p>
        </w:tc>
        <w:tc>
          <w:tcPr>
            <w:tcW w:w="5040" w:type="dxa"/>
            <w:shd w:val="clear" w:color="auto" w:fill="auto"/>
          </w:tcPr>
          <w:p w14:paraId="13B55B94" w14:textId="77777777" w:rsidR="00153606" w:rsidRPr="000A7545" w:rsidRDefault="00153606" w:rsidP="001E1053">
            <w:pPr>
              <w:pStyle w:val="NoSpacing"/>
              <w:spacing w:before="60" w:after="60"/>
              <w:jc w:val="both"/>
              <w:rPr>
                <w:rFonts w:ascii="Arial" w:hAnsi="Arial" w:cs="Arial"/>
                <w:lang w:val="en-GB"/>
              </w:rPr>
            </w:pPr>
            <w:r w:rsidRPr="000A7545">
              <w:rPr>
                <w:rFonts w:ascii="Arial" w:hAnsi="Arial" w:cs="Arial"/>
                <w:lang w:val="en-GB"/>
              </w:rPr>
              <w:t>150</w:t>
            </w:r>
            <w:r w:rsidR="001E1053" w:rsidRPr="000A7545">
              <w:rPr>
                <w:rFonts w:ascii="Arial" w:hAnsi="Arial" w:cs="Arial"/>
                <w:lang w:val="en-GB"/>
              </w:rPr>
              <w:t>,000,000</w:t>
            </w:r>
          </w:p>
        </w:tc>
      </w:tr>
      <w:tr w:rsidR="00153606" w:rsidRPr="000A7545" w14:paraId="13B55B98" w14:textId="77777777" w:rsidTr="00E00A80">
        <w:tc>
          <w:tcPr>
            <w:tcW w:w="4050" w:type="dxa"/>
            <w:shd w:val="clear" w:color="auto" w:fill="auto"/>
          </w:tcPr>
          <w:p w14:paraId="13B55B96" w14:textId="77777777" w:rsidR="00153606" w:rsidRPr="000A7545" w:rsidRDefault="00153606" w:rsidP="00E00A80">
            <w:pPr>
              <w:pStyle w:val="NoSpacing"/>
              <w:spacing w:before="60" w:after="60"/>
              <w:jc w:val="both"/>
              <w:rPr>
                <w:rFonts w:ascii="Arial" w:hAnsi="Arial" w:cs="Arial"/>
                <w:lang w:val="en-GB"/>
              </w:rPr>
            </w:pPr>
            <w:r w:rsidRPr="000A7545">
              <w:rPr>
                <w:rFonts w:ascii="Arial" w:hAnsi="Arial" w:cs="Arial"/>
                <w:lang w:val="en-GB"/>
              </w:rPr>
              <w:t>Sorong</w:t>
            </w:r>
          </w:p>
        </w:tc>
        <w:tc>
          <w:tcPr>
            <w:tcW w:w="5040" w:type="dxa"/>
            <w:shd w:val="clear" w:color="auto" w:fill="auto"/>
          </w:tcPr>
          <w:p w14:paraId="13B55B97" w14:textId="77777777" w:rsidR="00153606" w:rsidRPr="000A7545" w:rsidRDefault="001E1053" w:rsidP="001E1053">
            <w:pPr>
              <w:pStyle w:val="NoSpacing"/>
              <w:spacing w:before="60" w:after="60"/>
              <w:jc w:val="both"/>
              <w:rPr>
                <w:rFonts w:ascii="Arial" w:hAnsi="Arial" w:cs="Arial"/>
                <w:lang w:val="en-GB"/>
              </w:rPr>
            </w:pPr>
            <w:r w:rsidRPr="000A7545">
              <w:rPr>
                <w:rFonts w:ascii="Arial" w:hAnsi="Arial" w:cs="Arial"/>
                <w:lang w:val="en-GB"/>
              </w:rPr>
              <w:t>453,850,000</w:t>
            </w:r>
          </w:p>
        </w:tc>
      </w:tr>
    </w:tbl>
    <w:p w14:paraId="13B55B99" w14:textId="77777777" w:rsidR="00153606" w:rsidRPr="000A7545" w:rsidRDefault="00153606" w:rsidP="00153606">
      <w:pPr>
        <w:jc w:val="right"/>
        <w:rPr>
          <w:rFonts w:cs="Arial"/>
          <w:i/>
          <w:sz w:val="18"/>
        </w:rPr>
      </w:pPr>
      <w:r w:rsidRPr="000A7545">
        <w:rPr>
          <w:rFonts w:cs="Arial"/>
          <w:i/>
          <w:sz w:val="18"/>
        </w:rPr>
        <w:t>*Pending approval by local parliament</w:t>
      </w:r>
    </w:p>
    <w:p w14:paraId="13B55B9A" w14:textId="77777777" w:rsidR="00153606" w:rsidRPr="000A7545" w:rsidRDefault="00153606" w:rsidP="00153606">
      <w:r w:rsidRPr="000A7545">
        <w:t>For 2012 Jayawijaya District allocated specialised funding for mentoring at school level for school committees (</w:t>
      </w:r>
      <w:r w:rsidR="001E1053" w:rsidRPr="000A7545">
        <w:t>IDR</w:t>
      </w:r>
      <w:r w:rsidRPr="000A7545">
        <w:t xml:space="preserve"> 50 million), mentoring for the district education council (</w:t>
      </w:r>
      <w:r w:rsidR="00E377B2">
        <w:t>IDR</w:t>
      </w:r>
      <w:r w:rsidRPr="000A7545">
        <w:t xml:space="preserve"> 100 million) and mentoring for school teachers and </w:t>
      </w:r>
      <w:r w:rsidR="001E1053" w:rsidRPr="000A7545">
        <w:t>supervisors</w:t>
      </w:r>
      <w:r w:rsidRPr="000A7545">
        <w:t xml:space="preserve"> (</w:t>
      </w:r>
      <w:r w:rsidR="001E1053" w:rsidRPr="000A7545">
        <w:t>IDR</w:t>
      </w:r>
      <w:r w:rsidRPr="000A7545">
        <w:t xml:space="preserve"> 225 million). Similarly Timika has allocated </w:t>
      </w:r>
      <w:r w:rsidR="001E1053" w:rsidRPr="000A7545">
        <w:t>IDR</w:t>
      </w:r>
      <w:r w:rsidRPr="000A7545">
        <w:t xml:space="preserve"> 200 million for training of teachers for Minimum Service Standards including SBM and </w:t>
      </w:r>
      <w:r w:rsidR="001E1053" w:rsidRPr="000A7545">
        <w:t>IDR</w:t>
      </w:r>
      <w:r w:rsidRPr="000A7545">
        <w:t xml:space="preserve"> 100 million for increasing the budget of school supervisors operational activities.</w:t>
      </w:r>
    </w:p>
    <w:p w14:paraId="13B55B9B" w14:textId="77777777" w:rsidR="00153606" w:rsidRPr="000A7545" w:rsidRDefault="00153606" w:rsidP="00153606">
      <w:r w:rsidRPr="000A7545">
        <w:t>Data management and maintenance budget in Biak Numfor increa</w:t>
      </w:r>
      <w:r w:rsidR="001E1053" w:rsidRPr="000A7545">
        <w:t>sed from zero in 2010-2011 to IDR</w:t>
      </w:r>
      <w:r w:rsidRPr="000A7545">
        <w:t xml:space="preserve"> 40 million in 2012. The district government also allocated </w:t>
      </w:r>
      <w:r w:rsidR="001E1053" w:rsidRPr="000A7545">
        <w:t>IDR</w:t>
      </w:r>
      <w:r w:rsidRPr="000A7545">
        <w:t xml:space="preserve"> 130 million for further review and revision of Renstra and Renja after data quality has been improved.</w:t>
      </w:r>
    </w:p>
    <w:p w14:paraId="13B55B9C" w14:textId="77777777" w:rsidR="00153606" w:rsidRPr="000A7545" w:rsidRDefault="00153606" w:rsidP="00607424">
      <w:r w:rsidRPr="000A7545">
        <w:t xml:space="preserve">Minutes from the Provincial Education Steering Committee December 2011 report that Dikpora will replicate AusAID supported programmes to all non-target districts with a target that by the end of 2012 all districts will have at least one effective ‘model </w:t>
      </w:r>
      <w:r w:rsidR="00607424" w:rsidRPr="000A7545">
        <w:t>school’ for SBM.</w:t>
      </w:r>
    </w:p>
    <w:p w14:paraId="13B55B9D" w14:textId="77777777" w:rsidR="00153606" w:rsidRPr="000A7545" w:rsidRDefault="00153606" w:rsidP="00607424">
      <w:pPr>
        <w:pStyle w:val="IntenseQuote"/>
        <w:rPr>
          <w:rStyle w:val="Emphasis"/>
          <w:bCs w:val="0"/>
          <w:i w:val="0"/>
          <w:u w:val="none"/>
        </w:rPr>
      </w:pPr>
      <w:r w:rsidRPr="000A7545">
        <w:rPr>
          <w:rStyle w:val="Emphasis"/>
          <w:bCs w:val="0"/>
          <w:i w:val="0"/>
          <w:u w:val="none"/>
        </w:rPr>
        <w:t xml:space="preserve">1.1.4f. </w:t>
      </w:r>
      <w:r w:rsidR="000537E2">
        <w:rPr>
          <w:rStyle w:val="Emphasis"/>
          <w:bCs w:val="0"/>
          <w:i w:val="0"/>
          <w:u w:val="none"/>
        </w:rPr>
        <w:t>E</w:t>
      </w:r>
      <w:r w:rsidRPr="000A7545">
        <w:rPr>
          <w:rStyle w:val="Emphasis"/>
          <w:bCs w:val="0"/>
          <w:i w:val="0"/>
          <w:u w:val="none"/>
        </w:rPr>
        <w:t>ducation offices allocating funds for HIV</w:t>
      </w:r>
      <w:r w:rsidR="00F30A11">
        <w:rPr>
          <w:rStyle w:val="Emphasis"/>
          <w:bCs w:val="0"/>
          <w:i w:val="0"/>
          <w:u w:val="none"/>
        </w:rPr>
        <w:t>/</w:t>
      </w:r>
      <w:r w:rsidRPr="000A7545">
        <w:rPr>
          <w:rStyle w:val="Emphasis"/>
          <w:bCs w:val="0"/>
          <w:i w:val="0"/>
          <w:u w:val="none"/>
        </w:rPr>
        <w:t>AIDS programming</w:t>
      </w:r>
      <w:r w:rsidR="00F404EF">
        <w:rPr>
          <w:rStyle w:val="Emphasis"/>
          <w:bCs w:val="0"/>
          <w:i w:val="0"/>
          <w:u w:val="none"/>
        </w:rPr>
        <w:t xml:space="preserve"> (AusAID)</w:t>
      </w:r>
    </w:p>
    <w:p w14:paraId="13B55B9E" w14:textId="77777777" w:rsidR="00153606" w:rsidRPr="000A7545" w:rsidRDefault="00153606" w:rsidP="00153606">
      <w:r w:rsidRPr="000A7545">
        <w:t>All of the six district Education Office Renja documents included specific budget line items for HIV AIDs prevention activities within schools.  This had been encouraged and advocated for by UNICEF as a convergence strategy with the HIV&amp;AIDS programme supported by the Dutch government in education sector. The mainstreaming of HIV into the Renja highlights the importance of the process for operationalizing higher level regulations at local level.</w:t>
      </w:r>
    </w:p>
    <w:p w14:paraId="13B55B9F" w14:textId="77777777" w:rsidR="00153606" w:rsidRPr="000A7545" w:rsidRDefault="00153606" w:rsidP="00153606"/>
    <w:p w14:paraId="13B55BA0" w14:textId="77777777" w:rsidR="001E1053" w:rsidRPr="000A7545" w:rsidRDefault="001E1053" w:rsidP="001E1053">
      <w:pPr>
        <w:pStyle w:val="Caption"/>
        <w:keepNext/>
        <w:spacing w:after="200"/>
      </w:pPr>
      <w:bookmarkStart w:id="37" w:name="_Toc322710096"/>
      <w:r w:rsidRPr="000A7545">
        <w:t xml:space="preserve">Figure </w:t>
      </w:r>
      <w:fldSimple w:instr=" SEQ Figure \* ARABIC ">
        <w:r w:rsidR="009B4D84">
          <w:rPr>
            <w:noProof/>
          </w:rPr>
          <w:t>5</w:t>
        </w:r>
      </w:fldSimple>
      <w:r w:rsidRPr="000A7545">
        <w:t>: Planned amount for HIV&amp;AIDS within the 2012 Annual Operational Plan of the Education Sector</w:t>
      </w:r>
      <w:bookmarkEnd w:id="37"/>
    </w:p>
    <w:tbl>
      <w:tblPr>
        <w:tblStyle w:val="TableGrid"/>
        <w:tblpPr w:leftFromText="180" w:rightFromText="180" w:vertAnchor="text" w:tblpY="1"/>
        <w:tblW w:w="9018" w:type="dxa"/>
        <w:tblLayout w:type="fixed"/>
        <w:tblLook w:val="0460" w:firstRow="1" w:lastRow="1" w:firstColumn="0" w:lastColumn="0" w:noHBand="0" w:noVBand="1"/>
      </w:tblPr>
      <w:tblGrid>
        <w:gridCol w:w="2268"/>
        <w:gridCol w:w="3060"/>
        <w:gridCol w:w="3690"/>
      </w:tblGrid>
      <w:tr w:rsidR="001E1053" w:rsidRPr="000A7545" w14:paraId="13B55BA3" w14:textId="77777777" w:rsidTr="001E1053">
        <w:tc>
          <w:tcPr>
            <w:tcW w:w="2268" w:type="dxa"/>
            <w:vMerge w:val="restart"/>
            <w:tcBorders>
              <w:bottom w:val="single" w:sz="4" w:space="0" w:color="auto"/>
            </w:tcBorders>
            <w:shd w:val="clear" w:color="auto" w:fill="C6D9F1" w:themeFill="text2" w:themeFillTint="33"/>
            <w:vAlign w:val="center"/>
          </w:tcPr>
          <w:p w14:paraId="13B55BA1" w14:textId="77777777" w:rsidR="001E1053" w:rsidRPr="000A7545" w:rsidRDefault="001E1053" w:rsidP="001E1053">
            <w:pPr>
              <w:spacing w:before="60" w:after="60"/>
              <w:rPr>
                <w:rFonts w:cs="Arial"/>
                <w:b/>
                <w:sz w:val="18"/>
                <w:szCs w:val="18"/>
                <w:lang w:val="en-GB"/>
              </w:rPr>
            </w:pPr>
            <w:r w:rsidRPr="000A7545">
              <w:rPr>
                <w:rFonts w:cs="Arial"/>
                <w:b/>
                <w:sz w:val="18"/>
                <w:szCs w:val="18"/>
                <w:lang w:val="en-GB"/>
              </w:rPr>
              <w:t>Education Office</w:t>
            </w:r>
          </w:p>
        </w:tc>
        <w:tc>
          <w:tcPr>
            <w:tcW w:w="6750" w:type="dxa"/>
            <w:gridSpan w:val="2"/>
            <w:shd w:val="clear" w:color="auto" w:fill="C6D9F1" w:themeFill="text2" w:themeFillTint="33"/>
            <w:vAlign w:val="center"/>
          </w:tcPr>
          <w:p w14:paraId="13B55BA2" w14:textId="77777777" w:rsidR="001E1053" w:rsidRPr="000A7545" w:rsidRDefault="001E1053" w:rsidP="001E1053">
            <w:pPr>
              <w:spacing w:before="60" w:after="60"/>
              <w:jc w:val="center"/>
              <w:rPr>
                <w:rFonts w:cs="Arial"/>
                <w:b/>
                <w:sz w:val="18"/>
                <w:szCs w:val="18"/>
                <w:lang w:val="en-GB"/>
              </w:rPr>
            </w:pPr>
            <w:r w:rsidRPr="000A7545">
              <w:rPr>
                <w:rFonts w:cs="Arial"/>
                <w:b/>
                <w:sz w:val="18"/>
                <w:szCs w:val="18"/>
                <w:lang w:val="en-GB"/>
              </w:rPr>
              <w:t>Planned Amount</w:t>
            </w:r>
          </w:p>
        </w:tc>
      </w:tr>
      <w:tr w:rsidR="001E1053" w:rsidRPr="000A7545" w14:paraId="13B55BA7" w14:textId="77777777" w:rsidTr="001E1053">
        <w:tc>
          <w:tcPr>
            <w:tcW w:w="2268" w:type="dxa"/>
            <w:vMerge/>
            <w:tcBorders>
              <w:bottom w:val="single" w:sz="4" w:space="0" w:color="auto"/>
            </w:tcBorders>
            <w:shd w:val="clear" w:color="auto" w:fill="C6D9F1" w:themeFill="text2" w:themeFillTint="33"/>
            <w:vAlign w:val="center"/>
          </w:tcPr>
          <w:p w14:paraId="13B55BA4" w14:textId="77777777" w:rsidR="001E1053" w:rsidRPr="000A7545" w:rsidRDefault="001E1053" w:rsidP="001E1053">
            <w:pPr>
              <w:spacing w:before="60" w:after="60"/>
              <w:rPr>
                <w:rFonts w:cs="Arial"/>
                <w:b/>
                <w:sz w:val="18"/>
                <w:szCs w:val="18"/>
                <w:lang w:val="en-GB"/>
              </w:rPr>
            </w:pPr>
          </w:p>
        </w:tc>
        <w:tc>
          <w:tcPr>
            <w:tcW w:w="3060" w:type="dxa"/>
            <w:shd w:val="clear" w:color="auto" w:fill="C6D9F1" w:themeFill="text2" w:themeFillTint="33"/>
            <w:vAlign w:val="center"/>
          </w:tcPr>
          <w:p w14:paraId="13B55BA5" w14:textId="77777777" w:rsidR="001E1053" w:rsidRPr="000A7545" w:rsidRDefault="001E1053" w:rsidP="001E1053">
            <w:pPr>
              <w:spacing w:before="60" w:after="60"/>
              <w:jc w:val="center"/>
              <w:rPr>
                <w:rFonts w:cs="Arial"/>
                <w:b/>
                <w:sz w:val="18"/>
                <w:szCs w:val="18"/>
                <w:lang w:val="en-GB"/>
              </w:rPr>
            </w:pPr>
            <w:r w:rsidRPr="000A7545">
              <w:rPr>
                <w:rFonts w:cs="Arial"/>
                <w:b/>
                <w:sz w:val="18"/>
                <w:szCs w:val="18"/>
                <w:lang w:val="en-GB"/>
              </w:rPr>
              <w:t>IDR</w:t>
            </w:r>
          </w:p>
        </w:tc>
        <w:tc>
          <w:tcPr>
            <w:tcW w:w="3690" w:type="dxa"/>
            <w:shd w:val="clear" w:color="auto" w:fill="C6D9F1" w:themeFill="text2" w:themeFillTint="33"/>
            <w:vAlign w:val="center"/>
          </w:tcPr>
          <w:p w14:paraId="13B55BA6" w14:textId="77777777" w:rsidR="001E1053" w:rsidRPr="000A7545" w:rsidRDefault="001E1053" w:rsidP="001E1053">
            <w:pPr>
              <w:spacing w:before="60" w:after="60"/>
              <w:jc w:val="center"/>
              <w:rPr>
                <w:rFonts w:cs="Arial"/>
                <w:b/>
                <w:sz w:val="18"/>
                <w:szCs w:val="18"/>
                <w:lang w:val="en-GB"/>
              </w:rPr>
            </w:pPr>
            <w:r w:rsidRPr="000A7545">
              <w:rPr>
                <w:rFonts w:cs="Arial"/>
                <w:b/>
                <w:sz w:val="18"/>
                <w:szCs w:val="18"/>
                <w:lang w:val="en-GB"/>
              </w:rPr>
              <w:t>USD</w:t>
            </w:r>
          </w:p>
        </w:tc>
      </w:tr>
      <w:tr w:rsidR="00153606" w:rsidRPr="000A7545" w14:paraId="13B55BAB" w14:textId="77777777" w:rsidTr="001E1053">
        <w:tc>
          <w:tcPr>
            <w:tcW w:w="2268" w:type="dxa"/>
            <w:tcBorders>
              <w:top w:val="single" w:sz="4" w:space="0" w:color="auto"/>
            </w:tcBorders>
            <w:vAlign w:val="center"/>
          </w:tcPr>
          <w:p w14:paraId="13B55BA8" w14:textId="77777777" w:rsidR="00153606" w:rsidRPr="000A7545" w:rsidRDefault="00153606" w:rsidP="001E1053">
            <w:pPr>
              <w:spacing w:before="60" w:after="60"/>
              <w:rPr>
                <w:rFonts w:cs="Arial"/>
                <w:sz w:val="18"/>
                <w:szCs w:val="18"/>
                <w:lang w:val="en-GB"/>
              </w:rPr>
            </w:pPr>
            <w:r w:rsidRPr="000A7545">
              <w:rPr>
                <w:rFonts w:cs="Arial"/>
                <w:sz w:val="18"/>
                <w:szCs w:val="18"/>
                <w:lang w:val="en-GB"/>
              </w:rPr>
              <w:t>Papua Province</w:t>
            </w:r>
          </w:p>
        </w:tc>
        <w:tc>
          <w:tcPr>
            <w:tcW w:w="3060" w:type="dxa"/>
            <w:vAlign w:val="center"/>
          </w:tcPr>
          <w:p w14:paraId="13B55BA9" w14:textId="77777777" w:rsidR="00153606" w:rsidRPr="000A7545" w:rsidRDefault="00153606" w:rsidP="001E1053">
            <w:pPr>
              <w:spacing w:before="60" w:after="60"/>
              <w:jc w:val="right"/>
              <w:rPr>
                <w:rFonts w:cs="Arial"/>
                <w:sz w:val="18"/>
                <w:szCs w:val="18"/>
                <w:lang w:val="en-GB"/>
              </w:rPr>
            </w:pPr>
            <w:r w:rsidRPr="000A7545">
              <w:rPr>
                <w:rFonts w:cs="Arial"/>
                <w:sz w:val="18"/>
                <w:szCs w:val="18"/>
                <w:lang w:val="en-GB"/>
              </w:rPr>
              <w:t>1,500,000,000.00</w:t>
            </w:r>
          </w:p>
        </w:tc>
        <w:tc>
          <w:tcPr>
            <w:tcW w:w="3690" w:type="dxa"/>
            <w:vAlign w:val="center"/>
          </w:tcPr>
          <w:p w14:paraId="13B55BAA" w14:textId="77777777" w:rsidR="00153606" w:rsidRPr="000A7545" w:rsidRDefault="00153606" w:rsidP="001E1053">
            <w:pPr>
              <w:spacing w:before="60" w:after="60"/>
              <w:jc w:val="right"/>
              <w:rPr>
                <w:rFonts w:cs="Arial"/>
                <w:iCs/>
                <w:color w:val="000000"/>
                <w:sz w:val="18"/>
                <w:szCs w:val="18"/>
                <w:lang w:val="en-GB"/>
              </w:rPr>
            </w:pPr>
            <w:r w:rsidRPr="000A7545">
              <w:rPr>
                <w:rFonts w:cs="Arial"/>
                <w:iCs/>
                <w:color w:val="000000"/>
                <w:sz w:val="18"/>
                <w:szCs w:val="18"/>
                <w:lang w:val="en-GB"/>
              </w:rPr>
              <w:t>166,463.21</w:t>
            </w:r>
          </w:p>
        </w:tc>
      </w:tr>
      <w:tr w:rsidR="00153606" w:rsidRPr="000A7545" w14:paraId="13B55BAF" w14:textId="77777777" w:rsidTr="001E1053">
        <w:tc>
          <w:tcPr>
            <w:tcW w:w="2268" w:type="dxa"/>
            <w:vAlign w:val="center"/>
          </w:tcPr>
          <w:p w14:paraId="13B55BAC" w14:textId="77777777" w:rsidR="00153606" w:rsidRPr="000A7545" w:rsidRDefault="00153606" w:rsidP="001E1053">
            <w:pPr>
              <w:spacing w:before="60" w:after="60"/>
              <w:rPr>
                <w:rFonts w:cs="Arial"/>
                <w:sz w:val="18"/>
                <w:szCs w:val="18"/>
                <w:lang w:val="en-GB"/>
              </w:rPr>
            </w:pPr>
            <w:r w:rsidRPr="000A7545">
              <w:rPr>
                <w:rFonts w:cs="Arial"/>
                <w:sz w:val="18"/>
                <w:szCs w:val="18"/>
                <w:lang w:val="en-GB"/>
              </w:rPr>
              <w:t>West Papua Province</w:t>
            </w:r>
          </w:p>
        </w:tc>
        <w:tc>
          <w:tcPr>
            <w:tcW w:w="3060" w:type="dxa"/>
            <w:vAlign w:val="center"/>
          </w:tcPr>
          <w:p w14:paraId="13B55BAD" w14:textId="77777777" w:rsidR="00153606" w:rsidRPr="000A7545" w:rsidRDefault="00153606" w:rsidP="001E1053">
            <w:pPr>
              <w:spacing w:before="60" w:after="60"/>
              <w:jc w:val="right"/>
              <w:rPr>
                <w:rFonts w:cs="Arial"/>
                <w:sz w:val="18"/>
                <w:szCs w:val="18"/>
                <w:lang w:val="en-GB"/>
              </w:rPr>
            </w:pPr>
            <w:r w:rsidRPr="000A7545">
              <w:rPr>
                <w:rFonts w:cs="Arial"/>
                <w:sz w:val="18"/>
                <w:szCs w:val="18"/>
                <w:lang w:val="en-GB"/>
              </w:rPr>
              <w:t>370,500,000.00</w:t>
            </w:r>
          </w:p>
        </w:tc>
        <w:tc>
          <w:tcPr>
            <w:tcW w:w="3690" w:type="dxa"/>
            <w:vAlign w:val="center"/>
          </w:tcPr>
          <w:p w14:paraId="13B55BAE" w14:textId="77777777" w:rsidR="00153606" w:rsidRPr="000A7545" w:rsidRDefault="00153606" w:rsidP="001E1053">
            <w:pPr>
              <w:spacing w:before="60" w:after="60"/>
              <w:jc w:val="right"/>
              <w:rPr>
                <w:rFonts w:cs="Arial"/>
                <w:iCs/>
                <w:sz w:val="18"/>
                <w:szCs w:val="18"/>
                <w:lang w:val="en-GB"/>
              </w:rPr>
            </w:pPr>
            <w:r w:rsidRPr="000A7545">
              <w:rPr>
                <w:rFonts w:cs="Arial"/>
                <w:iCs/>
                <w:sz w:val="18"/>
                <w:szCs w:val="18"/>
                <w:lang w:val="en-GB"/>
              </w:rPr>
              <w:t>41,116.41</w:t>
            </w:r>
          </w:p>
        </w:tc>
      </w:tr>
      <w:tr w:rsidR="00153606" w:rsidRPr="000A7545" w14:paraId="13B55BB3" w14:textId="77777777" w:rsidTr="001E1053">
        <w:tc>
          <w:tcPr>
            <w:tcW w:w="2268" w:type="dxa"/>
            <w:vAlign w:val="center"/>
          </w:tcPr>
          <w:p w14:paraId="13B55BB0" w14:textId="77777777" w:rsidR="00153606" w:rsidRPr="000A7545" w:rsidRDefault="00153606" w:rsidP="001E1053">
            <w:pPr>
              <w:spacing w:before="60" w:after="60"/>
              <w:rPr>
                <w:rFonts w:cs="Arial"/>
                <w:sz w:val="18"/>
                <w:szCs w:val="18"/>
                <w:lang w:val="en-GB"/>
              </w:rPr>
            </w:pPr>
            <w:r w:rsidRPr="000A7545">
              <w:rPr>
                <w:rFonts w:cs="Arial"/>
                <w:sz w:val="18"/>
                <w:szCs w:val="18"/>
                <w:lang w:val="en-GB"/>
              </w:rPr>
              <w:t>Biak</w:t>
            </w:r>
          </w:p>
        </w:tc>
        <w:tc>
          <w:tcPr>
            <w:tcW w:w="3060" w:type="dxa"/>
            <w:vAlign w:val="center"/>
          </w:tcPr>
          <w:p w14:paraId="13B55BB1" w14:textId="77777777" w:rsidR="00153606" w:rsidRPr="000A7545" w:rsidRDefault="00153606" w:rsidP="001E1053">
            <w:pPr>
              <w:spacing w:before="60" w:after="60"/>
              <w:jc w:val="right"/>
              <w:rPr>
                <w:rFonts w:cs="Arial"/>
                <w:sz w:val="18"/>
                <w:szCs w:val="18"/>
                <w:lang w:val="en-GB"/>
              </w:rPr>
            </w:pPr>
            <w:r w:rsidRPr="000A7545">
              <w:rPr>
                <w:rFonts w:cs="Arial"/>
                <w:sz w:val="18"/>
                <w:szCs w:val="18"/>
                <w:lang w:val="en-GB"/>
              </w:rPr>
              <w:t>283,000,000.00</w:t>
            </w:r>
          </w:p>
        </w:tc>
        <w:tc>
          <w:tcPr>
            <w:tcW w:w="3690" w:type="dxa"/>
            <w:vAlign w:val="center"/>
          </w:tcPr>
          <w:p w14:paraId="13B55BB2" w14:textId="77777777" w:rsidR="00153606" w:rsidRPr="000A7545" w:rsidRDefault="00153606" w:rsidP="001E1053">
            <w:pPr>
              <w:spacing w:before="60" w:after="60"/>
              <w:jc w:val="right"/>
              <w:rPr>
                <w:rFonts w:cs="Arial"/>
                <w:iCs/>
                <w:color w:val="000000"/>
                <w:sz w:val="18"/>
                <w:szCs w:val="18"/>
                <w:lang w:val="en-GB"/>
              </w:rPr>
            </w:pPr>
            <w:r w:rsidRPr="000A7545">
              <w:rPr>
                <w:rFonts w:cs="Arial"/>
                <w:iCs/>
                <w:color w:val="000000"/>
                <w:sz w:val="18"/>
                <w:szCs w:val="18"/>
                <w:lang w:val="en-GB"/>
              </w:rPr>
              <w:t>31,406.06</w:t>
            </w:r>
          </w:p>
        </w:tc>
      </w:tr>
      <w:tr w:rsidR="00153606" w:rsidRPr="000A7545" w14:paraId="13B55BB7" w14:textId="77777777" w:rsidTr="001E1053">
        <w:tc>
          <w:tcPr>
            <w:tcW w:w="2268" w:type="dxa"/>
            <w:vAlign w:val="center"/>
          </w:tcPr>
          <w:p w14:paraId="13B55BB4" w14:textId="77777777" w:rsidR="00153606" w:rsidRPr="000A7545" w:rsidRDefault="00153606" w:rsidP="001E1053">
            <w:pPr>
              <w:spacing w:before="60" w:after="60"/>
              <w:rPr>
                <w:rFonts w:cs="Arial"/>
                <w:sz w:val="18"/>
                <w:szCs w:val="18"/>
                <w:lang w:val="en-GB"/>
              </w:rPr>
            </w:pPr>
            <w:r w:rsidRPr="000A7545">
              <w:rPr>
                <w:rFonts w:cs="Arial"/>
                <w:sz w:val="18"/>
                <w:szCs w:val="18"/>
                <w:lang w:val="en-GB"/>
              </w:rPr>
              <w:t>Mimika</w:t>
            </w:r>
          </w:p>
        </w:tc>
        <w:tc>
          <w:tcPr>
            <w:tcW w:w="3060" w:type="dxa"/>
            <w:vAlign w:val="center"/>
          </w:tcPr>
          <w:p w14:paraId="13B55BB5" w14:textId="77777777" w:rsidR="00153606" w:rsidRPr="000A7545" w:rsidRDefault="00153606" w:rsidP="001E1053">
            <w:pPr>
              <w:spacing w:before="60" w:after="60"/>
              <w:jc w:val="right"/>
              <w:rPr>
                <w:rFonts w:cs="Arial"/>
                <w:sz w:val="18"/>
                <w:szCs w:val="18"/>
                <w:lang w:val="en-GB"/>
              </w:rPr>
            </w:pPr>
            <w:r w:rsidRPr="000A7545">
              <w:rPr>
                <w:rFonts w:cs="Arial"/>
                <w:sz w:val="18"/>
                <w:szCs w:val="18"/>
                <w:lang w:val="en-GB"/>
              </w:rPr>
              <w:t>0.00</w:t>
            </w:r>
          </w:p>
        </w:tc>
        <w:tc>
          <w:tcPr>
            <w:tcW w:w="3690" w:type="dxa"/>
            <w:vAlign w:val="center"/>
          </w:tcPr>
          <w:p w14:paraId="13B55BB6" w14:textId="77777777" w:rsidR="00153606" w:rsidRPr="000A7545" w:rsidRDefault="00153606" w:rsidP="001E1053">
            <w:pPr>
              <w:spacing w:before="60" w:after="60"/>
              <w:jc w:val="right"/>
              <w:rPr>
                <w:rFonts w:cs="Arial"/>
                <w:iCs/>
                <w:color w:val="000000"/>
                <w:sz w:val="18"/>
                <w:szCs w:val="18"/>
                <w:lang w:val="en-GB"/>
              </w:rPr>
            </w:pPr>
            <w:r w:rsidRPr="000A7545">
              <w:rPr>
                <w:rFonts w:cs="Arial"/>
                <w:iCs/>
                <w:color w:val="000000"/>
                <w:sz w:val="18"/>
                <w:szCs w:val="18"/>
                <w:lang w:val="en-GB"/>
              </w:rPr>
              <w:t>0.00</w:t>
            </w:r>
          </w:p>
        </w:tc>
      </w:tr>
      <w:tr w:rsidR="00153606" w:rsidRPr="000A7545" w14:paraId="13B55BBB" w14:textId="77777777" w:rsidTr="001E1053">
        <w:tc>
          <w:tcPr>
            <w:tcW w:w="2268" w:type="dxa"/>
            <w:vAlign w:val="center"/>
          </w:tcPr>
          <w:p w14:paraId="13B55BB8" w14:textId="77777777" w:rsidR="00153606" w:rsidRPr="000A7545" w:rsidRDefault="00153606" w:rsidP="001E1053">
            <w:pPr>
              <w:spacing w:before="60" w:after="60"/>
              <w:rPr>
                <w:rFonts w:cs="Arial"/>
                <w:sz w:val="18"/>
                <w:szCs w:val="18"/>
                <w:lang w:val="en-GB"/>
              </w:rPr>
            </w:pPr>
            <w:r w:rsidRPr="000A7545">
              <w:rPr>
                <w:rFonts w:cs="Arial"/>
                <w:sz w:val="18"/>
                <w:szCs w:val="18"/>
                <w:lang w:val="en-GB"/>
              </w:rPr>
              <w:t>Jayawijaya</w:t>
            </w:r>
          </w:p>
        </w:tc>
        <w:tc>
          <w:tcPr>
            <w:tcW w:w="3060" w:type="dxa"/>
            <w:vAlign w:val="center"/>
          </w:tcPr>
          <w:p w14:paraId="13B55BB9" w14:textId="77777777" w:rsidR="00153606" w:rsidRPr="000A7545" w:rsidRDefault="00153606" w:rsidP="001E1053">
            <w:pPr>
              <w:spacing w:before="60" w:after="60"/>
              <w:jc w:val="right"/>
              <w:rPr>
                <w:rFonts w:cs="Arial"/>
                <w:sz w:val="18"/>
                <w:szCs w:val="18"/>
                <w:lang w:val="en-GB"/>
              </w:rPr>
            </w:pPr>
            <w:r w:rsidRPr="000A7545">
              <w:rPr>
                <w:rFonts w:cs="Arial"/>
                <w:sz w:val="18"/>
                <w:szCs w:val="18"/>
                <w:lang w:val="en-GB"/>
              </w:rPr>
              <w:t>350,000,000.00</w:t>
            </w:r>
          </w:p>
        </w:tc>
        <w:tc>
          <w:tcPr>
            <w:tcW w:w="3690" w:type="dxa"/>
            <w:vAlign w:val="center"/>
          </w:tcPr>
          <w:p w14:paraId="13B55BBA" w14:textId="77777777" w:rsidR="00153606" w:rsidRPr="000A7545" w:rsidRDefault="00153606" w:rsidP="001E1053">
            <w:pPr>
              <w:spacing w:before="60" w:after="60"/>
              <w:jc w:val="right"/>
              <w:rPr>
                <w:rFonts w:cs="Arial"/>
                <w:iCs/>
                <w:color w:val="000000"/>
                <w:sz w:val="18"/>
                <w:szCs w:val="18"/>
                <w:lang w:val="en-GB"/>
              </w:rPr>
            </w:pPr>
            <w:r w:rsidRPr="000A7545">
              <w:rPr>
                <w:rFonts w:cs="Arial"/>
                <w:iCs/>
                <w:color w:val="000000"/>
                <w:sz w:val="18"/>
                <w:szCs w:val="18"/>
                <w:lang w:val="en-GB"/>
              </w:rPr>
              <w:t>38,841.42</w:t>
            </w:r>
          </w:p>
        </w:tc>
      </w:tr>
      <w:tr w:rsidR="00153606" w:rsidRPr="000A7545" w14:paraId="13B55BBF" w14:textId="77777777" w:rsidTr="001E1053">
        <w:tc>
          <w:tcPr>
            <w:tcW w:w="2268" w:type="dxa"/>
            <w:vAlign w:val="center"/>
          </w:tcPr>
          <w:p w14:paraId="13B55BBC" w14:textId="77777777" w:rsidR="00153606" w:rsidRPr="000A7545" w:rsidRDefault="00153606" w:rsidP="001E1053">
            <w:pPr>
              <w:spacing w:before="60" w:after="60"/>
              <w:rPr>
                <w:rFonts w:cs="Arial"/>
                <w:sz w:val="18"/>
                <w:szCs w:val="18"/>
                <w:lang w:val="en-GB"/>
              </w:rPr>
            </w:pPr>
            <w:r w:rsidRPr="000A7545">
              <w:rPr>
                <w:rFonts w:cs="Arial"/>
                <w:sz w:val="18"/>
                <w:szCs w:val="18"/>
                <w:lang w:val="en-GB"/>
              </w:rPr>
              <w:t>Jayapura</w:t>
            </w:r>
          </w:p>
        </w:tc>
        <w:tc>
          <w:tcPr>
            <w:tcW w:w="3060" w:type="dxa"/>
            <w:vAlign w:val="center"/>
          </w:tcPr>
          <w:p w14:paraId="13B55BBD" w14:textId="77777777" w:rsidR="00153606" w:rsidRPr="000A7545" w:rsidRDefault="00153606" w:rsidP="001E1053">
            <w:pPr>
              <w:spacing w:before="60" w:after="60"/>
              <w:jc w:val="right"/>
              <w:rPr>
                <w:rFonts w:cs="Arial"/>
                <w:sz w:val="18"/>
                <w:szCs w:val="18"/>
                <w:lang w:val="en-GB"/>
              </w:rPr>
            </w:pPr>
            <w:r w:rsidRPr="000A7545">
              <w:rPr>
                <w:rFonts w:cs="Arial"/>
                <w:sz w:val="18"/>
                <w:szCs w:val="18"/>
                <w:lang w:val="en-GB"/>
              </w:rPr>
              <w:t>150,000,000.00</w:t>
            </w:r>
          </w:p>
        </w:tc>
        <w:tc>
          <w:tcPr>
            <w:tcW w:w="3690" w:type="dxa"/>
            <w:vAlign w:val="center"/>
          </w:tcPr>
          <w:p w14:paraId="13B55BBE" w14:textId="77777777" w:rsidR="00153606" w:rsidRPr="000A7545" w:rsidRDefault="00153606" w:rsidP="001E1053">
            <w:pPr>
              <w:spacing w:before="60" w:after="60"/>
              <w:jc w:val="right"/>
              <w:rPr>
                <w:rFonts w:cs="Arial"/>
                <w:iCs/>
                <w:color w:val="000000"/>
                <w:sz w:val="18"/>
                <w:szCs w:val="18"/>
                <w:lang w:val="en-GB"/>
              </w:rPr>
            </w:pPr>
            <w:r w:rsidRPr="000A7545">
              <w:rPr>
                <w:rFonts w:cs="Arial"/>
                <w:iCs/>
                <w:color w:val="000000"/>
                <w:sz w:val="18"/>
                <w:szCs w:val="18"/>
                <w:lang w:val="en-GB"/>
              </w:rPr>
              <w:t>16,646.32</w:t>
            </w:r>
          </w:p>
        </w:tc>
      </w:tr>
      <w:tr w:rsidR="00153606" w:rsidRPr="000A7545" w14:paraId="13B55BC3" w14:textId="77777777" w:rsidTr="001E1053">
        <w:tc>
          <w:tcPr>
            <w:tcW w:w="2268" w:type="dxa"/>
            <w:vAlign w:val="center"/>
          </w:tcPr>
          <w:p w14:paraId="13B55BC0" w14:textId="77777777" w:rsidR="00153606" w:rsidRPr="000A7545" w:rsidRDefault="00153606" w:rsidP="001E1053">
            <w:pPr>
              <w:spacing w:before="60" w:after="60"/>
              <w:rPr>
                <w:rFonts w:cs="Arial"/>
                <w:sz w:val="18"/>
                <w:szCs w:val="18"/>
                <w:lang w:val="en-GB"/>
              </w:rPr>
            </w:pPr>
            <w:r w:rsidRPr="000A7545">
              <w:rPr>
                <w:rFonts w:cs="Arial"/>
                <w:sz w:val="18"/>
                <w:szCs w:val="18"/>
                <w:lang w:val="en-GB"/>
              </w:rPr>
              <w:t>Sorong</w:t>
            </w:r>
          </w:p>
        </w:tc>
        <w:tc>
          <w:tcPr>
            <w:tcW w:w="3060" w:type="dxa"/>
            <w:vAlign w:val="center"/>
          </w:tcPr>
          <w:p w14:paraId="13B55BC1" w14:textId="77777777" w:rsidR="00153606" w:rsidRPr="000A7545" w:rsidRDefault="00153606" w:rsidP="001E1053">
            <w:pPr>
              <w:spacing w:before="60" w:after="60"/>
              <w:jc w:val="right"/>
              <w:rPr>
                <w:rFonts w:cs="Arial"/>
                <w:sz w:val="18"/>
                <w:szCs w:val="18"/>
                <w:lang w:val="en-GB"/>
              </w:rPr>
            </w:pPr>
            <w:r w:rsidRPr="000A7545">
              <w:rPr>
                <w:rFonts w:cs="Arial"/>
                <w:sz w:val="18"/>
                <w:szCs w:val="18"/>
                <w:lang w:val="en-GB"/>
              </w:rPr>
              <w:t>450,000,000.00</w:t>
            </w:r>
          </w:p>
        </w:tc>
        <w:tc>
          <w:tcPr>
            <w:tcW w:w="3690" w:type="dxa"/>
            <w:vAlign w:val="center"/>
          </w:tcPr>
          <w:p w14:paraId="13B55BC2" w14:textId="77777777" w:rsidR="00153606" w:rsidRPr="000A7545" w:rsidRDefault="00153606" w:rsidP="001E1053">
            <w:pPr>
              <w:spacing w:before="60" w:after="60"/>
              <w:jc w:val="right"/>
              <w:rPr>
                <w:rFonts w:cs="Arial"/>
                <w:iCs/>
                <w:color w:val="000000"/>
                <w:sz w:val="18"/>
                <w:szCs w:val="18"/>
                <w:lang w:val="en-GB"/>
              </w:rPr>
            </w:pPr>
            <w:r w:rsidRPr="000A7545">
              <w:rPr>
                <w:rFonts w:cs="Arial"/>
                <w:iCs/>
                <w:color w:val="000000"/>
                <w:sz w:val="18"/>
                <w:szCs w:val="18"/>
                <w:lang w:val="en-GB"/>
              </w:rPr>
              <w:t>49,938.96</w:t>
            </w:r>
          </w:p>
        </w:tc>
      </w:tr>
      <w:tr w:rsidR="00153606" w:rsidRPr="000A7545" w14:paraId="13B55BC7" w14:textId="77777777" w:rsidTr="001E1053">
        <w:tc>
          <w:tcPr>
            <w:tcW w:w="2268" w:type="dxa"/>
            <w:vAlign w:val="center"/>
          </w:tcPr>
          <w:p w14:paraId="13B55BC4" w14:textId="77777777" w:rsidR="00153606" w:rsidRPr="000A7545" w:rsidRDefault="00153606" w:rsidP="001E1053">
            <w:pPr>
              <w:spacing w:before="60" w:after="60"/>
              <w:rPr>
                <w:rFonts w:cs="Arial"/>
                <w:sz w:val="18"/>
                <w:szCs w:val="18"/>
                <w:lang w:val="en-GB"/>
              </w:rPr>
            </w:pPr>
            <w:r w:rsidRPr="000A7545">
              <w:rPr>
                <w:rFonts w:cs="Arial"/>
                <w:sz w:val="18"/>
                <w:szCs w:val="18"/>
                <w:lang w:val="en-GB"/>
              </w:rPr>
              <w:t>Manokwari</w:t>
            </w:r>
          </w:p>
        </w:tc>
        <w:tc>
          <w:tcPr>
            <w:tcW w:w="3060" w:type="dxa"/>
            <w:vAlign w:val="center"/>
          </w:tcPr>
          <w:p w14:paraId="13B55BC5" w14:textId="77777777" w:rsidR="00153606" w:rsidRPr="000A7545" w:rsidRDefault="00153606" w:rsidP="001E1053">
            <w:pPr>
              <w:spacing w:before="60" w:after="60"/>
              <w:jc w:val="right"/>
              <w:rPr>
                <w:rFonts w:cs="Arial"/>
                <w:sz w:val="18"/>
                <w:szCs w:val="18"/>
                <w:lang w:val="en-GB"/>
              </w:rPr>
            </w:pPr>
            <w:r w:rsidRPr="000A7545">
              <w:rPr>
                <w:rFonts w:cs="Arial"/>
                <w:sz w:val="18"/>
                <w:szCs w:val="18"/>
                <w:lang w:val="en-GB"/>
              </w:rPr>
              <w:t>950,000,000.00</w:t>
            </w:r>
          </w:p>
        </w:tc>
        <w:tc>
          <w:tcPr>
            <w:tcW w:w="3690" w:type="dxa"/>
            <w:vAlign w:val="center"/>
          </w:tcPr>
          <w:p w14:paraId="13B55BC6" w14:textId="77777777" w:rsidR="00153606" w:rsidRPr="000A7545" w:rsidRDefault="00153606" w:rsidP="001E1053">
            <w:pPr>
              <w:spacing w:before="60" w:after="60"/>
              <w:jc w:val="right"/>
              <w:rPr>
                <w:rFonts w:cs="Arial"/>
                <w:iCs/>
                <w:color w:val="000000"/>
                <w:sz w:val="18"/>
                <w:szCs w:val="18"/>
                <w:lang w:val="en-GB"/>
              </w:rPr>
            </w:pPr>
            <w:r w:rsidRPr="000A7545">
              <w:rPr>
                <w:rFonts w:cs="Arial"/>
                <w:iCs/>
                <w:color w:val="000000"/>
                <w:sz w:val="18"/>
                <w:szCs w:val="18"/>
                <w:lang w:val="en-GB"/>
              </w:rPr>
              <w:t>105,426.70</w:t>
            </w:r>
          </w:p>
        </w:tc>
      </w:tr>
      <w:tr w:rsidR="00153606" w:rsidRPr="000A7545" w14:paraId="13B55BCB" w14:textId="77777777" w:rsidTr="001E1053">
        <w:tc>
          <w:tcPr>
            <w:tcW w:w="2268" w:type="dxa"/>
            <w:vAlign w:val="center"/>
          </w:tcPr>
          <w:p w14:paraId="13B55BC8" w14:textId="77777777" w:rsidR="00153606" w:rsidRPr="000A7545" w:rsidRDefault="00153606" w:rsidP="001E1053">
            <w:pPr>
              <w:spacing w:before="60" w:after="60"/>
              <w:rPr>
                <w:rFonts w:cs="Arial"/>
                <w:b/>
                <w:sz w:val="18"/>
                <w:szCs w:val="18"/>
                <w:lang w:val="en-GB"/>
              </w:rPr>
            </w:pPr>
            <w:r w:rsidRPr="000A7545">
              <w:rPr>
                <w:rFonts w:cs="Arial"/>
                <w:b/>
                <w:sz w:val="18"/>
                <w:szCs w:val="18"/>
                <w:lang w:val="en-GB"/>
              </w:rPr>
              <w:t>Total</w:t>
            </w:r>
          </w:p>
        </w:tc>
        <w:tc>
          <w:tcPr>
            <w:tcW w:w="3060" w:type="dxa"/>
            <w:vAlign w:val="center"/>
          </w:tcPr>
          <w:p w14:paraId="13B55BC9" w14:textId="77777777" w:rsidR="00153606" w:rsidRPr="000A7545" w:rsidRDefault="00153606" w:rsidP="001E1053">
            <w:pPr>
              <w:spacing w:before="60" w:after="60"/>
              <w:jc w:val="right"/>
              <w:rPr>
                <w:rFonts w:cs="Arial"/>
                <w:b/>
                <w:sz w:val="18"/>
                <w:szCs w:val="18"/>
                <w:lang w:val="en-GB"/>
              </w:rPr>
            </w:pPr>
            <w:r w:rsidRPr="000A7545">
              <w:rPr>
                <w:rFonts w:cs="Arial"/>
                <w:b/>
                <w:sz w:val="18"/>
                <w:szCs w:val="18"/>
                <w:lang w:val="en-GB"/>
              </w:rPr>
              <w:t>4,053,500,000.00</w:t>
            </w:r>
          </w:p>
        </w:tc>
        <w:tc>
          <w:tcPr>
            <w:tcW w:w="3690" w:type="dxa"/>
            <w:vAlign w:val="center"/>
          </w:tcPr>
          <w:p w14:paraId="13B55BCA" w14:textId="77777777" w:rsidR="00153606" w:rsidRPr="000A7545" w:rsidRDefault="00153606" w:rsidP="001E1053">
            <w:pPr>
              <w:spacing w:before="60" w:after="60"/>
              <w:jc w:val="right"/>
              <w:rPr>
                <w:rFonts w:cs="Arial"/>
                <w:b/>
                <w:iCs/>
                <w:color w:val="000000"/>
                <w:sz w:val="18"/>
                <w:szCs w:val="18"/>
                <w:lang w:val="en-GB"/>
              </w:rPr>
            </w:pPr>
            <w:r w:rsidRPr="000A7545">
              <w:rPr>
                <w:rFonts w:cs="Arial"/>
                <w:b/>
                <w:iCs/>
                <w:color w:val="000000"/>
                <w:sz w:val="18"/>
                <w:szCs w:val="18"/>
                <w:lang w:val="en-GB"/>
              </w:rPr>
              <w:t>449,839.08</w:t>
            </w:r>
          </w:p>
        </w:tc>
      </w:tr>
    </w:tbl>
    <w:p w14:paraId="13B55BCC" w14:textId="77777777" w:rsidR="00153606" w:rsidRPr="000A7545" w:rsidRDefault="00153606" w:rsidP="00153606"/>
    <w:p w14:paraId="13B55BCD" w14:textId="77777777" w:rsidR="00153606" w:rsidRPr="000A7545" w:rsidRDefault="00153606" w:rsidP="00607424">
      <w:pPr>
        <w:pStyle w:val="IntenseQuote"/>
        <w:rPr>
          <w:rStyle w:val="Emphasis"/>
          <w:bCs w:val="0"/>
          <w:i w:val="0"/>
          <w:u w:val="none"/>
        </w:rPr>
      </w:pPr>
      <w:r w:rsidRPr="000A7545">
        <w:rPr>
          <w:rStyle w:val="Emphasis"/>
          <w:bCs w:val="0"/>
          <w:i w:val="0"/>
          <w:u w:val="none"/>
        </w:rPr>
        <w:t xml:space="preserve">1.1.4g. </w:t>
      </w:r>
      <w:r w:rsidR="000537E2">
        <w:rPr>
          <w:rStyle w:val="Emphasis"/>
          <w:bCs w:val="0"/>
          <w:i w:val="0"/>
          <w:u w:val="none"/>
        </w:rPr>
        <w:t>D</w:t>
      </w:r>
      <w:r w:rsidRPr="000A7545">
        <w:rPr>
          <w:rStyle w:val="Emphasis"/>
          <w:bCs w:val="0"/>
          <w:i w:val="0"/>
          <w:u w:val="none"/>
        </w:rPr>
        <w:t>istrict</w:t>
      </w:r>
      <w:r w:rsidR="000537E2">
        <w:rPr>
          <w:rStyle w:val="Emphasis"/>
          <w:bCs w:val="0"/>
          <w:i w:val="0"/>
          <w:u w:val="none"/>
        </w:rPr>
        <w:t>s</w:t>
      </w:r>
      <w:r w:rsidRPr="000A7545">
        <w:rPr>
          <w:rStyle w:val="Emphasis"/>
          <w:bCs w:val="0"/>
          <w:i w:val="0"/>
          <w:u w:val="none"/>
        </w:rPr>
        <w:t xml:space="preserve"> providing additional BOS allocations to schools to fill funding gaps</w:t>
      </w:r>
      <w:r w:rsidR="00F404EF">
        <w:rPr>
          <w:rStyle w:val="Emphasis"/>
          <w:bCs w:val="0"/>
          <w:i w:val="0"/>
          <w:u w:val="none"/>
        </w:rPr>
        <w:t xml:space="preserve"> (USAID)</w:t>
      </w:r>
    </w:p>
    <w:p w14:paraId="13B55BCE" w14:textId="77777777" w:rsidR="00153606" w:rsidRPr="000A7545" w:rsidRDefault="00153606" w:rsidP="00153606">
      <w:r w:rsidRPr="000A7545">
        <w:t>Since 2005 the government BOS scheme, funded by World Bank loans, has provided financial support directly to schools based on total number of students enrolled.  A key factor with funding education services is ensuring operational needs of schools are met, as well as ensuring that children (especially those from poorer families) do not face obstacles  accessing education due to financial obstacles.</w:t>
      </w:r>
    </w:p>
    <w:p w14:paraId="13B55BCF" w14:textId="77777777" w:rsidR="00153606" w:rsidRPr="000A7545" w:rsidRDefault="00153606" w:rsidP="00153606">
      <w:r w:rsidRPr="000A7545">
        <w:t>In September and October 2011 workshops were conducted in four target districts  to ensure accurate budgeting (or counting of operational needs) by target districts and ensure that local government  provide additional funding support using local government budgets in cases where BOS funding from the central government is insufficient. Participants included District Education Officer, Planning Boards, District Finance Officer, and Ministry of Religious Affairs at district level, local parliament, NGOs, Media and representative from school committee members.</w:t>
      </w:r>
    </w:p>
    <w:p w14:paraId="13B55BD0" w14:textId="77777777" w:rsidR="00153606" w:rsidRPr="000A7545" w:rsidRDefault="00153606" w:rsidP="005A04CA">
      <w:r w:rsidRPr="000A7545">
        <w:t>Following the training mini policy dialogues were facilitated at district level to further inform government budgeting policy. Each target district also completed a full report on BOS funding needs for schools. These documents outlining the details of the calculation process and now are being used to inform government policy.</w:t>
      </w:r>
    </w:p>
    <w:p w14:paraId="13B55BD1" w14:textId="77777777" w:rsidR="00153606" w:rsidRPr="000A7545" w:rsidRDefault="00153606" w:rsidP="005A04CA"/>
    <w:p w14:paraId="13B55BD2" w14:textId="77777777" w:rsidR="00285FB6" w:rsidRPr="000A7545" w:rsidRDefault="00285FB6" w:rsidP="006E33B0">
      <w:pPr>
        <w:pStyle w:val="Heading3"/>
        <w:rPr>
          <w:lang w:val="en-GB"/>
        </w:rPr>
      </w:pPr>
      <w:bookmarkStart w:id="38" w:name="_Toc322702762"/>
      <w:r w:rsidRPr="000A7545">
        <w:rPr>
          <w:lang w:val="en-GB"/>
        </w:rPr>
        <w:t>Output 1.1.5</w:t>
      </w:r>
      <w:r w:rsidR="006E33B0" w:rsidRPr="000A7545">
        <w:rPr>
          <w:lang w:val="en-GB"/>
        </w:rPr>
        <w:t>:</w:t>
      </w:r>
      <w:r w:rsidRPr="000A7545">
        <w:rPr>
          <w:lang w:val="en-GB"/>
        </w:rPr>
        <w:t xml:space="preserve"> Provincial and </w:t>
      </w:r>
      <w:r w:rsidR="006E33B0" w:rsidRPr="000A7545">
        <w:rPr>
          <w:lang w:val="en-GB"/>
        </w:rPr>
        <w:t>d</w:t>
      </w:r>
      <w:r w:rsidRPr="000A7545">
        <w:rPr>
          <w:lang w:val="en-GB"/>
        </w:rPr>
        <w:t xml:space="preserve">istrict </w:t>
      </w:r>
      <w:r w:rsidR="006E33B0" w:rsidRPr="000A7545">
        <w:rPr>
          <w:lang w:val="en-GB"/>
        </w:rPr>
        <w:t>accountability systems improved</w:t>
      </w:r>
      <w:r w:rsidR="00F404EF">
        <w:rPr>
          <w:lang w:val="en-GB"/>
        </w:rPr>
        <w:t xml:space="preserve"> (USAID)</w:t>
      </w:r>
      <w:bookmarkEnd w:id="38"/>
    </w:p>
    <w:p w14:paraId="13B55BD3" w14:textId="77777777" w:rsidR="00285FB6" w:rsidRPr="000A7545" w:rsidRDefault="00285FB6" w:rsidP="00607424">
      <w:pPr>
        <w:pStyle w:val="IntenseQuote"/>
        <w:rPr>
          <w:rStyle w:val="Emphasis"/>
          <w:bCs w:val="0"/>
          <w:i w:val="0"/>
          <w:u w:val="none"/>
        </w:rPr>
      </w:pPr>
      <w:r w:rsidRPr="000A7545">
        <w:rPr>
          <w:rStyle w:val="Emphasis"/>
          <w:bCs w:val="0"/>
          <w:i w:val="0"/>
          <w:u w:val="none"/>
        </w:rPr>
        <w:t xml:space="preserve">1.1.5a. </w:t>
      </w:r>
      <w:r w:rsidR="00BB5F39" w:rsidRPr="000A7545">
        <w:rPr>
          <w:rStyle w:val="Emphasis"/>
          <w:bCs w:val="0"/>
          <w:i w:val="0"/>
          <w:u w:val="none"/>
        </w:rPr>
        <w:t>R</w:t>
      </w:r>
      <w:r w:rsidRPr="000A7545">
        <w:rPr>
          <w:rStyle w:val="Emphasis"/>
          <w:bCs w:val="0"/>
          <w:i w:val="0"/>
          <w:u w:val="none"/>
        </w:rPr>
        <w:t>elevant staff from provincial and district teams trained in the preparation of Accounta</w:t>
      </w:r>
      <w:r w:rsidR="006E33B0" w:rsidRPr="000A7545">
        <w:rPr>
          <w:rStyle w:val="Emphasis"/>
          <w:bCs w:val="0"/>
          <w:i w:val="0"/>
          <w:u w:val="none"/>
        </w:rPr>
        <w:t>bility Report (LAKIP) by gender</w:t>
      </w:r>
    </w:p>
    <w:p w14:paraId="13B55BD4" w14:textId="77777777" w:rsidR="00285FB6" w:rsidRPr="000A7545" w:rsidRDefault="00285FB6" w:rsidP="006E33B0">
      <w:r w:rsidRPr="000A7545">
        <w:t>LAKIP training is geared toward strengthening the transparency and accountability of education offices with the main objective to develop participants’ awareness and understanding of legal, methods, mechanism, and data management required for good</w:t>
      </w:r>
      <w:r w:rsidR="006E33B0" w:rsidRPr="000A7545">
        <w:t xml:space="preserve"> accounting and accountability.</w:t>
      </w:r>
      <w:r w:rsidRPr="000A7545">
        <w:t xml:space="preserve"> A training course was developed during this reporting period aimed to develop capacity for 1) compiling a strategic plan and annual work plan, 2) determining targets including measuring performance, 3) narrative report writing and 4) reporting of education progress linked to strategic development objectives.</w:t>
      </w:r>
    </w:p>
    <w:p w14:paraId="13B55BD5" w14:textId="77777777" w:rsidR="00285FB6" w:rsidRPr="000A7545" w:rsidRDefault="00285FB6" w:rsidP="006E33B0">
      <w:r w:rsidRPr="000A7545">
        <w:t xml:space="preserve">The initial training was held in West Papua in October 2011 and included 21 male and 11 female participants. In Sorong 10 people successfully completed the course in 2011 with other districts delaying LAKIP workshops due to high workloads of government counterparts.  As is common practice for all capacity development programme activities, participants’ evaluations were sought and 83% participants reported that the training had met </w:t>
      </w:r>
      <w:r w:rsidR="006E33B0" w:rsidRPr="000A7545">
        <w:t>or exceeded their expectations.</w:t>
      </w:r>
    </w:p>
    <w:p w14:paraId="13B55BD6" w14:textId="77777777" w:rsidR="00554F4B" w:rsidRDefault="00BB5F39" w:rsidP="00554F4B">
      <w:r w:rsidRPr="000A7545">
        <w:t>All other outputs as mentioned in the results matrix are expected to be rolled out in Q2 and Q3 of 2012 and will be reported on in the final report.</w:t>
      </w:r>
    </w:p>
    <w:p w14:paraId="13B55BD7" w14:textId="77777777" w:rsidR="000537E2" w:rsidRPr="000A7545" w:rsidRDefault="000537E2" w:rsidP="00554F4B"/>
    <w:p w14:paraId="13B55BD8" w14:textId="77777777" w:rsidR="00554F4B" w:rsidRPr="000A7545" w:rsidRDefault="00554F4B" w:rsidP="00554F4B">
      <w:pPr>
        <w:pStyle w:val="Heading3"/>
        <w:rPr>
          <w:lang w:val="en-GB"/>
        </w:rPr>
      </w:pPr>
      <w:bookmarkStart w:id="39" w:name="_Toc322702763"/>
      <w:r w:rsidRPr="000A7545">
        <w:rPr>
          <w:lang w:val="en-GB"/>
        </w:rPr>
        <w:t>Output 1.1.6: Provincial and district education offices have access to and are using reliable data in planning process</w:t>
      </w:r>
      <w:r w:rsidR="00F404EF">
        <w:rPr>
          <w:lang w:val="en-GB"/>
        </w:rPr>
        <w:t xml:space="preserve"> (AusAID and USAID)</w:t>
      </w:r>
      <w:bookmarkEnd w:id="39"/>
    </w:p>
    <w:p w14:paraId="13B55BD9" w14:textId="77777777" w:rsidR="00554F4B" w:rsidRPr="000A7545" w:rsidRDefault="00554F4B" w:rsidP="00607424">
      <w:pPr>
        <w:pStyle w:val="IntenseQuote"/>
        <w:rPr>
          <w:rStyle w:val="Emphasis"/>
          <w:bCs w:val="0"/>
          <w:i w:val="0"/>
          <w:u w:val="none"/>
        </w:rPr>
      </w:pPr>
      <w:r w:rsidRPr="000A7545">
        <w:rPr>
          <w:rStyle w:val="Emphasis"/>
          <w:bCs w:val="0"/>
          <w:i w:val="0"/>
          <w:u w:val="none"/>
        </w:rPr>
        <w:t>1.1.6a. Operational budget for data man</w:t>
      </w:r>
      <w:r w:rsidR="00B05D52">
        <w:rPr>
          <w:rStyle w:val="Emphasis"/>
          <w:bCs w:val="0"/>
          <w:i w:val="0"/>
          <w:u w:val="none"/>
        </w:rPr>
        <w:t>a</w:t>
      </w:r>
      <w:r w:rsidRPr="000A7545">
        <w:rPr>
          <w:rStyle w:val="Emphasis"/>
          <w:bCs w:val="0"/>
          <w:i w:val="0"/>
          <w:u w:val="none"/>
        </w:rPr>
        <w:t>gement system in place (USAID)</w:t>
      </w:r>
    </w:p>
    <w:p w14:paraId="13B55BDA" w14:textId="77777777" w:rsidR="00554F4B" w:rsidRDefault="00491F62" w:rsidP="00554F4B">
      <w:r>
        <w:t>The baseline data informed that Papua province allocated IDR 144 million for routine data collection activities and IDR 377 million for training of personnel in 2011, while Biak Numfor of Papua Province allocated IDR 40 million in 2010. Other than this, Jayapura and Jayawijaya allocated some funds for LI data collection from Papua province target districts.</w:t>
      </w:r>
    </w:p>
    <w:p w14:paraId="13B55BDB" w14:textId="77777777" w:rsidR="00491F62" w:rsidRDefault="00491F62" w:rsidP="00554F4B">
      <w:r>
        <w:t>From Papua Barat neither Sarong nor Manokwari allocated any operational funds for data management systems.</w:t>
      </w:r>
    </w:p>
    <w:p w14:paraId="13B55BDC" w14:textId="77777777" w:rsidR="00491F62" w:rsidRDefault="00491F62" w:rsidP="00554F4B">
      <w:r>
        <w:t>The target for the programme is to strengthen the capacity of the four target districts under USAID programme as well as both provinces to have operational budget allocations for data management systems in place by the end of the programme.</w:t>
      </w:r>
    </w:p>
    <w:p w14:paraId="13B55BDD" w14:textId="77777777" w:rsidR="00927DDA" w:rsidRPr="000537E2" w:rsidRDefault="00927DDA" w:rsidP="00554F4B"/>
    <w:p w14:paraId="13B55BDE" w14:textId="77777777" w:rsidR="00554F4B" w:rsidRPr="000A7545" w:rsidRDefault="00554F4B" w:rsidP="00607424">
      <w:pPr>
        <w:pStyle w:val="IntenseQuote"/>
        <w:rPr>
          <w:rStyle w:val="Emphasis"/>
          <w:bCs w:val="0"/>
          <w:i w:val="0"/>
          <w:u w:val="none"/>
        </w:rPr>
      </w:pPr>
      <w:r w:rsidRPr="000A7545">
        <w:rPr>
          <w:rStyle w:val="Emphasis"/>
          <w:bCs w:val="0"/>
          <w:i w:val="0"/>
          <w:u w:val="none"/>
        </w:rPr>
        <w:t>1.1.6b. Budget allocated for professional development of data management staff in Dinas</w:t>
      </w:r>
      <w:r w:rsidR="002214AD" w:rsidRPr="000A7545">
        <w:rPr>
          <w:rStyle w:val="Emphasis"/>
          <w:bCs w:val="0"/>
          <w:i w:val="0"/>
          <w:u w:val="none"/>
        </w:rPr>
        <w:t xml:space="preserve"> (</w:t>
      </w:r>
      <w:r w:rsidR="00491F62">
        <w:rPr>
          <w:rStyle w:val="Emphasis"/>
          <w:bCs w:val="0"/>
          <w:i w:val="0"/>
          <w:u w:val="none"/>
        </w:rPr>
        <w:t>USAID)</w:t>
      </w:r>
    </w:p>
    <w:p w14:paraId="13B55BDF" w14:textId="77777777" w:rsidR="00554F4B" w:rsidRDefault="00491F62" w:rsidP="00554F4B">
      <w:r>
        <w:t>Allocation for monitoring purposes has been available every year in both provinces and all four of USAID target districts. However</w:t>
      </w:r>
      <w:r w:rsidR="00927DDA">
        <w:t>,</w:t>
      </w:r>
      <w:r>
        <w:t xml:space="preserve"> professional development funding has only been allocated in Papua province in 2011 (IDR 435 million). This includes funding for training at district level. At the time of baseline none of the provinces or districts had allocated any funds for routine monitoring and evaluation of Renstra.</w:t>
      </w:r>
    </w:p>
    <w:p w14:paraId="13B55BE0" w14:textId="77777777" w:rsidR="00554F4B" w:rsidRPr="000A7545" w:rsidRDefault="00554F4B" w:rsidP="00607424">
      <w:pPr>
        <w:pStyle w:val="IntenseQuote"/>
        <w:rPr>
          <w:rStyle w:val="Emphasis"/>
          <w:bCs w:val="0"/>
          <w:i w:val="0"/>
          <w:u w:val="none"/>
        </w:rPr>
      </w:pPr>
      <w:r w:rsidRPr="000A7545">
        <w:rPr>
          <w:rStyle w:val="Emphasis"/>
          <w:bCs w:val="0"/>
          <w:i w:val="0"/>
          <w:u w:val="none"/>
        </w:rPr>
        <w:t xml:space="preserve">1.1.6c. </w:t>
      </w:r>
      <w:r w:rsidR="000537E2">
        <w:rPr>
          <w:rStyle w:val="Emphasis"/>
          <w:bCs w:val="0"/>
          <w:i w:val="0"/>
          <w:u w:val="none"/>
        </w:rPr>
        <w:t>E</w:t>
      </w:r>
      <w:r w:rsidRPr="000A7545">
        <w:rPr>
          <w:rStyle w:val="Emphasis"/>
          <w:bCs w:val="0"/>
          <w:i w:val="0"/>
          <w:u w:val="none"/>
        </w:rPr>
        <w:t>ducation data team members in 2/2 provinces and 6/6 districts trained in M&amp;E for Renstra and Renja (including baseline and endl</w:t>
      </w:r>
      <w:r w:rsidR="000537E2">
        <w:rPr>
          <w:rStyle w:val="Emphasis"/>
          <w:bCs w:val="0"/>
          <w:i w:val="0"/>
          <w:u w:val="none"/>
        </w:rPr>
        <w:t>ine survey methodology)</w:t>
      </w:r>
      <w:r w:rsidR="00CD70E2">
        <w:rPr>
          <w:rStyle w:val="Emphasis"/>
          <w:bCs w:val="0"/>
          <w:i w:val="0"/>
          <w:u w:val="none"/>
        </w:rPr>
        <w:t xml:space="preserve"> </w:t>
      </w:r>
      <w:r w:rsidR="000537E2">
        <w:rPr>
          <w:rStyle w:val="Emphasis"/>
          <w:bCs w:val="0"/>
          <w:i w:val="0"/>
          <w:u w:val="none"/>
        </w:rPr>
        <w:t>(AusAid)</w:t>
      </w:r>
    </w:p>
    <w:p w14:paraId="13B55BE1" w14:textId="77777777" w:rsidR="00554F4B" w:rsidRDefault="00CD70E2" w:rsidP="00554F4B">
      <w:r>
        <w:t>All data management teams with 100% of team members from both provinces and all districts have received training in M&amp;E and baseline evaluations under this programme. This far exceeds the target of 50% of team members receiving training.</w:t>
      </w:r>
    </w:p>
    <w:p w14:paraId="13B55BE2" w14:textId="77777777" w:rsidR="000537E2" w:rsidRPr="000537E2" w:rsidRDefault="000537E2" w:rsidP="00554F4B"/>
    <w:p w14:paraId="13B55BE3" w14:textId="77777777" w:rsidR="00554F4B" w:rsidRPr="000A7545" w:rsidRDefault="00554F4B" w:rsidP="00607424">
      <w:pPr>
        <w:pStyle w:val="IntenseQuote"/>
        <w:rPr>
          <w:rStyle w:val="Emphasis"/>
          <w:bCs w:val="0"/>
          <w:i w:val="0"/>
          <w:u w:val="none"/>
        </w:rPr>
      </w:pPr>
      <w:r w:rsidRPr="000A7545">
        <w:rPr>
          <w:rStyle w:val="Emphasis"/>
          <w:bCs w:val="0"/>
          <w:i w:val="0"/>
          <w:u w:val="none"/>
        </w:rPr>
        <w:t>1.1.6d. District</w:t>
      </w:r>
      <w:r w:rsidR="000537E2">
        <w:rPr>
          <w:rStyle w:val="Emphasis"/>
          <w:bCs w:val="0"/>
          <w:i w:val="0"/>
          <w:u w:val="none"/>
        </w:rPr>
        <w:t>s</w:t>
      </w:r>
      <w:r w:rsidRPr="000A7545">
        <w:rPr>
          <w:rStyle w:val="Emphasis"/>
          <w:bCs w:val="0"/>
          <w:i w:val="0"/>
          <w:u w:val="none"/>
        </w:rPr>
        <w:t xml:space="preserve"> trained in use of standardized SBM indicators for SBM Monitoring and Evaluation System (AusAid)</w:t>
      </w:r>
    </w:p>
    <w:p w14:paraId="13B55BE4" w14:textId="77777777" w:rsidR="00554F4B" w:rsidRPr="000A7545" w:rsidRDefault="00554F4B" w:rsidP="00554F4B">
      <w:r w:rsidRPr="000A7545">
        <w:t>Between September and November 2011 a standardized set of SBM indicators were developed by the provincial SBM team with UNICEF support</w:t>
      </w:r>
      <w:r w:rsidRPr="000A7545">
        <w:rPr>
          <w:b/>
          <w:color w:val="FF0000"/>
        </w:rPr>
        <w:t xml:space="preserve"> </w:t>
      </w:r>
      <w:r w:rsidRPr="000A7545">
        <w:t xml:space="preserve">using national Minimum Service Standards as the main reference. An tool to monitor the SBM indicators was designed and piloted in </w:t>
      </w:r>
      <w:r w:rsidRPr="000A7545">
        <w:rPr>
          <w:b/>
        </w:rPr>
        <w:t>four target districts</w:t>
      </w:r>
      <w:r w:rsidRPr="000A7545">
        <w:t xml:space="preserve"> including all SBM model schools (n=39). At the end of 2011, Papua Provincial Education Office used the draft tool for monitoring and evaluation purposes of SBM indicators across </w:t>
      </w:r>
      <w:r w:rsidRPr="000A7545">
        <w:rPr>
          <w:b/>
        </w:rPr>
        <w:t>another 24 districts</w:t>
      </w:r>
      <w:r w:rsidRPr="000A7545">
        <w:t xml:space="preserve"> involving UNICEF in the process. A meeting to review the results of that activity is planned for late April to inform future government strategies on the roll-out of SBM in Papua Province.</w:t>
      </w:r>
    </w:p>
    <w:p w14:paraId="13B55BE5" w14:textId="77777777" w:rsidR="00554F4B" w:rsidRPr="000A7545" w:rsidRDefault="00554F4B" w:rsidP="00554F4B">
      <w:r w:rsidRPr="000A7545">
        <w:t>West Papua provincial education office recently reviewed the SBM monitoring tool and follow up is required to finalize the instrument.</w:t>
      </w:r>
    </w:p>
    <w:p w14:paraId="13B55BE6" w14:textId="77777777" w:rsidR="00554F4B" w:rsidRPr="000A7545" w:rsidRDefault="00554F4B" w:rsidP="00554F4B">
      <w:r w:rsidRPr="000A7545">
        <w:t>As part of the strategy for alignment, consensus has been reached to provide technical support to government to develop a supplementary school monitoring tool to be appl</w:t>
      </w:r>
      <w:r w:rsidR="002214AD" w:rsidRPr="000A7545">
        <w:t>ied</w:t>
      </w:r>
      <w:r w:rsidRPr="000A7545">
        <w:t xml:space="preserve"> by school supervisors in the monitoring of MBS in school. This revised tool is expected to the operational by end of April 2012.</w:t>
      </w:r>
    </w:p>
    <w:p w14:paraId="13B55BE7" w14:textId="77777777" w:rsidR="00554F4B" w:rsidRPr="000A7545" w:rsidRDefault="00554F4B" w:rsidP="00554F4B"/>
    <w:p w14:paraId="13B55BE8" w14:textId="77777777" w:rsidR="00554F4B" w:rsidRPr="000A7545" w:rsidRDefault="00554F4B" w:rsidP="00607424">
      <w:pPr>
        <w:pStyle w:val="IntenseQuote"/>
        <w:rPr>
          <w:rStyle w:val="Emphasis"/>
          <w:bCs w:val="0"/>
          <w:i w:val="0"/>
          <w:u w:val="none"/>
        </w:rPr>
      </w:pPr>
      <w:r w:rsidRPr="000A7545">
        <w:rPr>
          <w:rStyle w:val="Emphasis"/>
          <w:bCs w:val="0"/>
          <w:i w:val="0"/>
          <w:u w:val="none"/>
        </w:rPr>
        <w:t>1.1.6e. Availability of baseline survey</w:t>
      </w:r>
      <w:r w:rsidR="00F404EF">
        <w:rPr>
          <w:rStyle w:val="Emphasis"/>
          <w:bCs w:val="0"/>
          <w:i w:val="0"/>
          <w:u w:val="none"/>
        </w:rPr>
        <w:t xml:space="preserve"> (AusAID and USAID)</w:t>
      </w:r>
    </w:p>
    <w:p w14:paraId="13B55BE9" w14:textId="77777777" w:rsidR="00554F4B" w:rsidRPr="000A7545" w:rsidRDefault="00554F4B" w:rsidP="00554F4B">
      <w:pPr>
        <w:rPr>
          <w:i/>
        </w:rPr>
      </w:pPr>
      <w:r w:rsidRPr="000A7545">
        <w:t xml:space="preserve">To complement baseline data collected earlier under the AusAID programme, focusing on </w:t>
      </w:r>
      <w:r w:rsidRPr="000A7545">
        <w:rPr>
          <w:iCs/>
          <w:kern w:val="24"/>
        </w:rPr>
        <w:t>education strategic planning</w:t>
      </w:r>
      <w:r w:rsidRPr="000A7545">
        <w:rPr>
          <w:rStyle w:val="FootnoteReference"/>
          <w:rFonts w:asciiTheme="majorHAnsi" w:hAnsiTheme="majorHAnsi" w:cstheme="majorHAnsi"/>
          <w:iCs/>
          <w:kern w:val="24"/>
        </w:rPr>
        <w:footnoteReference w:id="7"/>
      </w:r>
      <w:r w:rsidRPr="000A7545">
        <w:rPr>
          <w:iCs/>
          <w:kern w:val="24"/>
        </w:rPr>
        <w:t>, teaching practices and schools management</w:t>
      </w:r>
      <w:r w:rsidRPr="000A7545">
        <w:rPr>
          <w:rStyle w:val="FootnoteReference"/>
          <w:rFonts w:asciiTheme="majorHAnsi" w:hAnsiTheme="majorHAnsi" w:cstheme="majorHAnsi"/>
          <w:iCs/>
          <w:kern w:val="24"/>
        </w:rPr>
        <w:footnoteReference w:id="8"/>
      </w:r>
      <w:r w:rsidRPr="000A7545">
        <w:rPr>
          <w:iCs/>
          <w:kern w:val="24"/>
        </w:rPr>
        <w:t xml:space="preserve">, an additional </w:t>
      </w:r>
      <w:r w:rsidRPr="000A7545">
        <w:t>baseline monitoring was completed in September 2011 followed by the writing of a draft baseline report.</w:t>
      </w:r>
    </w:p>
    <w:p w14:paraId="13B55BEA" w14:textId="77777777" w:rsidR="00554F4B" w:rsidRPr="000A7545" w:rsidRDefault="00554F4B" w:rsidP="00554F4B">
      <w:r w:rsidRPr="000A7545">
        <w:t>The baseline gathered data related to Education Sector Financial Management, Data management, Leadership competencies of principals and school supervisors and partnerships and participation between government and civil society organizations.</w:t>
      </w:r>
    </w:p>
    <w:p w14:paraId="13B55BEB" w14:textId="77777777" w:rsidR="00554F4B" w:rsidRPr="000A7545" w:rsidRDefault="00554F4B" w:rsidP="00554F4B">
      <w:r w:rsidRPr="000A7545">
        <w:t xml:space="preserve">Data was collected from 81 school principals, 69 school committee members, 51 CSOs, and 44 school supervisors. Information related to education finance and data management was also collected through focus groups discussions both at the provincial and district levels. A baseline study focused on several results areas of the </w:t>
      </w:r>
      <w:r w:rsidR="00E377B2">
        <w:t>programme</w:t>
      </w:r>
      <w:r w:rsidR="000537E2">
        <w:t xml:space="preserve"> </w:t>
      </w:r>
      <w:r w:rsidRPr="000A7545">
        <w:t>as follows:</w:t>
      </w:r>
    </w:p>
    <w:p w14:paraId="13B55BEC" w14:textId="77777777" w:rsidR="00554F4B" w:rsidRPr="000A7545" w:rsidRDefault="00554F4B" w:rsidP="00554F4B">
      <w:r w:rsidRPr="000A7545">
        <w:t xml:space="preserve">Baseline data on </w:t>
      </w:r>
      <w:r w:rsidRPr="000A7545">
        <w:rPr>
          <w:i/>
        </w:rPr>
        <w:t xml:space="preserve">Education Sector Financial Management was gathered identifying </w:t>
      </w:r>
      <w:r w:rsidRPr="000A7545">
        <w:t>provincial/district education offices regular financial analysis including per capita cost of students and criteria used by the government for allocating operational funds for schools.</w:t>
      </w:r>
    </w:p>
    <w:p w14:paraId="13B55BED" w14:textId="77777777" w:rsidR="00554F4B" w:rsidRPr="000A7545" w:rsidRDefault="00554F4B" w:rsidP="00554F4B">
      <w:r w:rsidRPr="000A7545">
        <w:t>The baseline also explores transparency and accountability, issues of budget allocation between investment and operational expenditures and educational inequities addressed via budget allocations. Lastly, the baseline provides data about the management of school operational funds (BOS) and the complementary funds.</w:t>
      </w:r>
    </w:p>
    <w:p w14:paraId="13B55BEE" w14:textId="77777777" w:rsidR="00554F4B" w:rsidRPr="000A7545" w:rsidRDefault="00554F4B" w:rsidP="00554F4B">
      <w:r w:rsidRPr="000A7545">
        <w:t xml:space="preserve">Baseline on </w:t>
      </w:r>
      <w:r w:rsidRPr="000A7545">
        <w:rPr>
          <w:i/>
        </w:rPr>
        <w:t>Data Management</w:t>
      </w:r>
      <w:r w:rsidRPr="000A7545">
        <w:t xml:space="preserve"> explores the availability of M&amp;E capacity and data management systems within provincial and district education office. It also looks into the data personnel working in data management: their number, gender, data related training and capacity gaps, as well as existing skill levels for data analysis. The baseline also explores organizational capacities relating to budget allocations for staff training and the extent to which existing data is utilized as based on LI and NUPTK and the extent to which data is readily available to parties outside the education offices.</w:t>
      </w:r>
    </w:p>
    <w:p w14:paraId="13B55BEF" w14:textId="77777777" w:rsidR="00554F4B" w:rsidRPr="000A7545" w:rsidRDefault="00554F4B" w:rsidP="00554F4B">
      <w:r w:rsidRPr="000A7545">
        <w:t>A draft report was presented in an education Policy Dialogue in December 2011 to get inputs from key education stakeholders in Tanah Papua. The Indonesian language version was completed in late March and the English translation will be version will be available by end of April.</w:t>
      </w:r>
    </w:p>
    <w:p w14:paraId="13B55BF0" w14:textId="77777777" w:rsidR="00554F4B" w:rsidRPr="000A7545" w:rsidRDefault="00554F4B" w:rsidP="00554F4B"/>
    <w:p w14:paraId="13B55BF1" w14:textId="77777777" w:rsidR="00554F4B" w:rsidRPr="000A7545" w:rsidRDefault="00554F4B" w:rsidP="00607424">
      <w:pPr>
        <w:pStyle w:val="IntenseQuote"/>
        <w:rPr>
          <w:rStyle w:val="Emphasis"/>
          <w:bCs w:val="0"/>
          <w:i w:val="0"/>
          <w:u w:val="none"/>
        </w:rPr>
      </w:pPr>
      <w:r w:rsidRPr="000A7545">
        <w:rPr>
          <w:rStyle w:val="Emphasis"/>
          <w:bCs w:val="0"/>
          <w:i w:val="0"/>
          <w:u w:val="none"/>
        </w:rPr>
        <w:t>1.1.6f. Availability of routine monitoring reports (field trip reports, activity implementation reports) and monitoring data (AusAid and USA</w:t>
      </w:r>
      <w:r w:rsidR="00607424" w:rsidRPr="000A7545">
        <w:rPr>
          <w:rStyle w:val="Emphasis"/>
          <w:bCs w:val="0"/>
          <w:i w:val="0"/>
          <w:u w:val="none"/>
        </w:rPr>
        <w:t>ID</w:t>
      </w:r>
      <w:r w:rsidRPr="000A7545">
        <w:rPr>
          <w:rStyle w:val="Emphasis"/>
          <w:bCs w:val="0"/>
          <w:i w:val="0"/>
          <w:u w:val="none"/>
        </w:rPr>
        <w:t>)</w:t>
      </w:r>
    </w:p>
    <w:p w14:paraId="13B55BF2" w14:textId="77777777" w:rsidR="00554F4B" w:rsidRPr="000A7545" w:rsidRDefault="00554F4B" w:rsidP="00554F4B">
      <w:r w:rsidRPr="000A7545">
        <w:t>Currently routine data is collected and is available</w:t>
      </w:r>
      <w:r w:rsidR="000D003F" w:rsidRPr="000A7545">
        <w:t xml:space="preserve"> from UNICEF about the programme</w:t>
      </w:r>
      <w:r w:rsidRPr="000A7545">
        <w:t xml:space="preserve"> however the programme acknowledges that access to specific documents and historical data is not easily accessible in the current system</w:t>
      </w:r>
      <w:r w:rsidR="000537E2">
        <w:t xml:space="preserve">. </w:t>
      </w:r>
      <w:r w:rsidR="000D003F" w:rsidRPr="000A7545">
        <w:t>The data is not all easily</w:t>
      </w:r>
      <w:r w:rsidR="000537E2">
        <w:t xml:space="preserve"> housed together.</w:t>
      </w:r>
      <w:r w:rsidRPr="000A7545">
        <w:t xml:space="preserve"> The UNICEF office is seeking a knowledge management and/or data management consultant ideally with archiving skills to review, refine and coordinate the internal data management aspect of the programme.</w:t>
      </w:r>
    </w:p>
    <w:p w14:paraId="13B55BF3" w14:textId="77777777" w:rsidR="00554F4B" w:rsidRPr="000A7545" w:rsidRDefault="00486C82" w:rsidP="00554F4B">
      <w:r w:rsidRPr="000A7545">
        <w:t>Greater data</w:t>
      </w:r>
      <w:r w:rsidR="00554F4B" w:rsidRPr="000A7545">
        <w:t xml:space="preserve"> collection tasks have recently been assigned to UNICEF Programme Officers to ensure that</w:t>
      </w:r>
      <w:r w:rsidRPr="000A7545">
        <w:t xml:space="preserve"> routine data is collected, recorded within the  programme data management system.  Appendix 3- provides an example of the new programming tool being used by all UNICEF programme officers and consultants in the field.  In addition the programme is liaising with government partners at districts and provincial level to ensure that routine data collection by the system is occurring and that the programme M and E tools are harmonized with other tools being promoted and used by the Education system.</w:t>
      </w:r>
    </w:p>
    <w:p w14:paraId="13B55BF4" w14:textId="77777777" w:rsidR="00554F4B" w:rsidRPr="000A7545" w:rsidRDefault="00554F4B" w:rsidP="00554F4B"/>
    <w:p w14:paraId="13B55BF5" w14:textId="77777777" w:rsidR="00554F4B" w:rsidRPr="000A7545" w:rsidRDefault="00554F4B" w:rsidP="00607424">
      <w:pPr>
        <w:pStyle w:val="IntenseQuote"/>
        <w:rPr>
          <w:rStyle w:val="Emphasis"/>
          <w:bCs w:val="0"/>
          <w:i w:val="0"/>
          <w:u w:val="none"/>
        </w:rPr>
      </w:pPr>
      <w:r w:rsidRPr="000A7545">
        <w:rPr>
          <w:rStyle w:val="Emphasis"/>
          <w:bCs w:val="0"/>
          <w:i w:val="0"/>
          <w:u w:val="none"/>
        </w:rPr>
        <w:t>1.1.6g. Completion of Endline survey (AusAid and USA</w:t>
      </w:r>
      <w:r w:rsidR="00607424" w:rsidRPr="000A7545">
        <w:rPr>
          <w:rStyle w:val="Emphasis"/>
          <w:bCs w:val="0"/>
          <w:i w:val="0"/>
          <w:u w:val="none"/>
        </w:rPr>
        <w:t>ID)</w:t>
      </w:r>
    </w:p>
    <w:p w14:paraId="13B55BF6" w14:textId="77777777" w:rsidR="000537E2" w:rsidRDefault="00554F4B" w:rsidP="00554F4B">
      <w:r w:rsidRPr="000A7545">
        <w:t>Discussion within the team about the endline survey is underway</w:t>
      </w:r>
      <w:r w:rsidR="002214AD" w:rsidRPr="000A7545">
        <w:t>.</w:t>
      </w:r>
    </w:p>
    <w:p w14:paraId="13B55BF7" w14:textId="77777777" w:rsidR="00927DDA" w:rsidRDefault="00927DDA" w:rsidP="00554F4B">
      <w:r>
        <w:br w:type="page"/>
      </w:r>
    </w:p>
    <w:p w14:paraId="13B55BF8" w14:textId="77777777" w:rsidR="002214AD" w:rsidRPr="000537E2" w:rsidRDefault="00CD70E2" w:rsidP="000537E2">
      <w:pPr>
        <w:pStyle w:val="IntenseQuote"/>
        <w:rPr>
          <w:rStyle w:val="Emphasis"/>
          <w:bCs w:val="0"/>
          <w:i w:val="0"/>
          <w:u w:val="none"/>
        </w:rPr>
      </w:pPr>
      <w:r>
        <w:rPr>
          <w:rStyle w:val="Emphasis"/>
          <w:bCs w:val="0"/>
          <w:i w:val="0"/>
          <w:u w:val="none"/>
        </w:rPr>
        <w:t>1.1.6h</w:t>
      </w:r>
      <w:r w:rsidR="002214AD" w:rsidRPr="000537E2">
        <w:rPr>
          <w:rStyle w:val="Emphasis"/>
          <w:bCs w:val="0"/>
          <w:i w:val="0"/>
          <w:u w:val="none"/>
        </w:rPr>
        <w:t>. Data gathering tools dev</w:t>
      </w:r>
      <w:r>
        <w:rPr>
          <w:rStyle w:val="Emphasis"/>
          <w:bCs w:val="0"/>
          <w:i w:val="0"/>
          <w:u w:val="none"/>
        </w:rPr>
        <w:t>eloped (MSS, MBS, HIV/</w:t>
      </w:r>
      <w:r w:rsidR="002214AD" w:rsidRPr="000537E2">
        <w:rPr>
          <w:rStyle w:val="Emphasis"/>
          <w:bCs w:val="0"/>
          <w:i w:val="0"/>
          <w:u w:val="none"/>
        </w:rPr>
        <w:t>AID</w:t>
      </w:r>
      <w:r>
        <w:rPr>
          <w:rStyle w:val="Emphasis"/>
          <w:bCs w:val="0"/>
          <w:i w:val="0"/>
          <w:u w:val="none"/>
        </w:rPr>
        <w:t>S</w:t>
      </w:r>
      <w:r w:rsidR="002214AD" w:rsidRPr="000537E2">
        <w:rPr>
          <w:rStyle w:val="Emphasis"/>
          <w:bCs w:val="0"/>
          <w:i w:val="0"/>
          <w:u w:val="none"/>
        </w:rPr>
        <w:t>, LI) and implemented in provinces and target districts (USAID)</w:t>
      </w:r>
    </w:p>
    <w:p w14:paraId="13B55BF9" w14:textId="77777777" w:rsidR="002214AD" w:rsidRPr="000A7545" w:rsidRDefault="002214AD" w:rsidP="00927DDA">
      <w:r w:rsidRPr="000A7545">
        <w:t>Instruments</w:t>
      </w:r>
      <w:r w:rsidR="00CD70E2">
        <w:t xml:space="preserve"> have been</w:t>
      </w:r>
      <w:r w:rsidRPr="000A7545">
        <w:t xml:space="preserve"> developed and piloted in all target districts</w:t>
      </w:r>
      <w:r w:rsidR="00CD70E2">
        <w:t>.</w:t>
      </w:r>
    </w:p>
    <w:p w14:paraId="13B55BFA" w14:textId="77777777" w:rsidR="000537E2" w:rsidRPr="000537E2" w:rsidRDefault="000537E2" w:rsidP="000537E2">
      <w:pPr>
        <w:rPr>
          <w:rStyle w:val="Emphasis"/>
          <w:rFonts w:ascii="Arial" w:hAnsi="Arial" w:cs="Arial"/>
          <w:b w:val="0"/>
          <w:bCs/>
          <w:color w:val="auto"/>
          <w:u w:val="none"/>
        </w:rPr>
      </w:pPr>
    </w:p>
    <w:p w14:paraId="13B55BFB" w14:textId="77777777" w:rsidR="00554F4B" w:rsidRPr="000A7545" w:rsidRDefault="00554F4B" w:rsidP="00607424">
      <w:pPr>
        <w:pStyle w:val="IntenseQuote"/>
        <w:rPr>
          <w:rStyle w:val="Emphasis"/>
          <w:bCs w:val="0"/>
          <w:i w:val="0"/>
          <w:u w:val="none"/>
        </w:rPr>
      </w:pPr>
      <w:r w:rsidRPr="000A7545">
        <w:rPr>
          <w:rStyle w:val="Emphasis"/>
          <w:bCs w:val="0"/>
          <w:i w:val="0"/>
          <w:u w:val="none"/>
        </w:rPr>
        <w:t xml:space="preserve">1.1.6i. </w:t>
      </w:r>
      <w:r w:rsidR="000537E2">
        <w:rPr>
          <w:rStyle w:val="Emphasis"/>
          <w:bCs w:val="0"/>
          <w:i w:val="0"/>
          <w:u w:val="none"/>
        </w:rPr>
        <w:t>T</w:t>
      </w:r>
      <w:r w:rsidRPr="000A7545">
        <w:rPr>
          <w:rStyle w:val="Emphasis"/>
          <w:bCs w:val="0"/>
          <w:i w:val="0"/>
          <w:u w:val="none"/>
        </w:rPr>
        <w:t>arget districts with integrated data gathering instruments mainstreamed to school supervisor reporting system (USA</w:t>
      </w:r>
      <w:r w:rsidR="00607424" w:rsidRPr="000A7545">
        <w:rPr>
          <w:rStyle w:val="Emphasis"/>
          <w:bCs w:val="0"/>
          <w:i w:val="0"/>
          <w:u w:val="none"/>
        </w:rPr>
        <w:t>ID</w:t>
      </w:r>
      <w:r w:rsidRPr="000A7545">
        <w:rPr>
          <w:rStyle w:val="Emphasis"/>
          <w:bCs w:val="0"/>
          <w:i w:val="0"/>
          <w:u w:val="none"/>
        </w:rPr>
        <w:t>)</w:t>
      </w:r>
    </w:p>
    <w:p w14:paraId="13B55BFC" w14:textId="77777777" w:rsidR="00554F4B" w:rsidRDefault="00554F4B" w:rsidP="00554F4B">
      <w:r w:rsidRPr="000A7545">
        <w:t xml:space="preserve">A good practice emerged in Biak Numfor where the SBM indicators monitoring tool was integrated into the supervisors monitoring system at the beginning of 2011/2012 academic year to strengthen district-wide replication of SBM through supervisor </w:t>
      </w:r>
      <w:r w:rsidRPr="00927DDA">
        <w:t>mechanism. (</w:t>
      </w:r>
      <w:r w:rsidR="004F654B" w:rsidRPr="00927DDA">
        <w:t>S</w:t>
      </w:r>
      <w:r w:rsidRPr="00927DDA">
        <w:t>ee</w:t>
      </w:r>
      <w:r w:rsidRPr="000A7545">
        <w:rPr>
          <w:i/>
        </w:rPr>
        <w:t xml:space="preserve"> </w:t>
      </w:r>
      <w:r w:rsidRPr="000A7545">
        <w:t>1.1.6d for further details</w:t>
      </w:r>
      <w:r w:rsidR="004F654B">
        <w:t>.</w:t>
      </w:r>
      <w:r w:rsidRPr="000A7545">
        <w:t>)</w:t>
      </w:r>
    </w:p>
    <w:p w14:paraId="13B55BFD" w14:textId="77777777" w:rsidR="000537E2" w:rsidRDefault="000537E2" w:rsidP="00554F4B"/>
    <w:p w14:paraId="13B55BFE" w14:textId="77777777" w:rsidR="004F654B" w:rsidRPr="00927DDA" w:rsidRDefault="004F654B" w:rsidP="00927DDA">
      <w:pPr>
        <w:pStyle w:val="IntenseQuote"/>
        <w:rPr>
          <w:rStyle w:val="Emphasis"/>
          <w:bCs w:val="0"/>
          <w:i w:val="0"/>
          <w:u w:val="none"/>
        </w:rPr>
      </w:pPr>
      <w:r w:rsidRPr="00927DDA">
        <w:rPr>
          <w:rStyle w:val="Emphasis"/>
          <w:bCs w:val="0"/>
          <w:i w:val="0"/>
          <w:u w:val="none"/>
        </w:rPr>
        <w:t>1.1.6j. Data units staff in Dinas capable of running PadatiWeb (USAID)</w:t>
      </w:r>
    </w:p>
    <w:p w14:paraId="13B55BFF" w14:textId="77777777" w:rsidR="004F654B" w:rsidRDefault="004F654B" w:rsidP="00554F4B">
      <w:r>
        <w:t>At the time of baseline only 41% of data unit staff demonstrated this capacity. The target for the programme is to improve the capacity to 80% of unit staff pending roll out of training in Q2 and Q3 of 2012.</w:t>
      </w:r>
    </w:p>
    <w:p w14:paraId="13B55C00" w14:textId="77777777" w:rsidR="004F654B" w:rsidRPr="000A7545" w:rsidRDefault="004F654B" w:rsidP="00554F4B"/>
    <w:p w14:paraId="13B55C01" w14:textId="77777777" w:rsidR="003753CC" w:rsidRPr="000A7545" w:rsidRDefault="003753CC" w:rsidP="003753CC">
      <w:pPr>
        <w:pStyle w:val="Heading3"/>
        <w:rPr>
          <w:lang w:val="en-GB"/>
        </w:rPr>
      </w:pPr>
      <w:bookmarkStart w:id="40" w:name="_Toc322702764"/>
      <w:r w:rsidRPr="000A7545">
        <w:rPr>
          <w:lang w:val="en-GB"/>
        </w:rPr>
        <w:t>O</w:t>
      </w:r>
      <w:r w:rsidR="00771084" w:rsidRPr="000A7545">
        <w:rPr>
          <w:lang w:val="en-GB"/>
        </w:rPr>
        <w:t xml:space="preserve">utput </w:t>
      </w:r>
      <w:r w:rsidRPr="000A7545">
        <w:rPr>
          <w:lang w:val="en-GB"/>
        </w:rPr>
        <w:t>1.1.7</w:t>
      </w:r>
      <w:r w:rsidR="00771084" w:rsidRPr="000A7545">
        <w:rPr>
          <w:lang w:val="en-GB"/>
        </w:rPr>
        <w:t>:</w:t>
      </w:r>
      <w:r w:rsidRPr="000A7545">
        <w:rPr>
          <w:lang w:val="en-GB"/>
        </w:rPr>
        <w:t xml:space="preserve"> </w:t>
      </w:r>
      <w:r w:rsidR="00771084" w:rsidRPr="000A7545">
        <w:rPr>
          <w:lang w:val="en-GB"/>
        </w:rPr>
        <w:t>Teacher Absenteeism Study provides evidence for Policy (USAID)</w:t>
      </w:r>
      <w:bookmarkEnd w:id="40"/>
    </w:p>
    <w:p w14:paraId="13B55C02" w14:textId="77777777" w:rsidR="003753CC" w:rsidRPr="000A7545" w:rsidRDefault="003753CC" w:rsidP="003753CC">
      <w:r w:rsidRPr="000A7545">
        <w:t>Teacher absenteeism was identified by the baseline study as a crucial challenge in the delivery of education service in the two provinc</w:t>
      </w:r>
      <w:r w:rsidR="000537E2">
        <w:t>es. Consequently, in late 2010,</w:t>
      </w:r>
      <w:r w:rsidRPr="000A7545">
        <w:t xml:space="preserve"> at the request of and in cooperation with the Government, </w:t>
      </w:r>
      <w:r w:rsidR="00820AE3" w:rsidRPr="000A7545">
        <w:t xml:space="preserve">UNICEF </w:t>
      </w:r>
      <w:r w:rsidRPr="000A7545">
        <w:t>initiated a study on teacher absenteeism and its root causes in Papua and West Papua. This study represented a unique opportunity to strengthen the research capacity of local universities, namely Cenderawasih University and University of Papua. SMERU, a well-recognized national research institute, provide technical support at different stages of the process and supported capacity building activities for local research institutions.</w:t>
      </w:r>
    </w:p>
    <w:p w14:paraId="13B55C03" w14:textId="77777777" w:rsidR="003753CC" w:rsidRPr="000A7545" w:rsidRDefault="003753CC" w:rsidP="003753CC">
      <w:r w:rsidRPr="000A7545">
        <w:t>Several technical workshops were conducted with university research teams in Papua and West Papua to develop and finalize the research instruments (i.e. questionnaires, school profile, teachers’ profile, and community perceptions), sampling procedures and protocols.  An enumerator’s workshop was held to train the 50 researchers from research institutes and academia (36 male and 14 female) to administer the survey.</w:t>
      </w:r>
    </w:p>
    <w:p w14:paraId="13B55C04" w14:textId="77777777" w:rsidR="003753CC" w:rsidRPr="000A7545" w:rsidRDefault="003753CC" w:rsidP="003753CC">
      <w:r w:rsidRPr="000A7545">
        <w:t>Over 1,200 teachers in 240 schools across seven districts were surveyed, alongside approximately 420 community members drawn from either school committees or from positions of influence at community/village level.</w:t>
      </w:r>
    </w:p>
    <w:p w14:paraId="13B55C05" w14:textId="77777777" w:rsidR="003753CC" w:rsidRPr="000A7545" w:rsidRDefault="003753CC" w:rsidP="003753CC">
      <w:r w:rsidRPr="000A7545">
        <w:t>Preliminary findings of the survey were reviewed and verified with government and civil society partners during a large provincial policy dialogue conducted in December 2011.  The dialogue solicited a series of inputs for strengthening the analysis of the survey findings and policy recommendations for addressing teacher absenteeism.</w:t>
      </w:r>
    </w:p>
    <w:p w14:paraId="13B55C06" w14:textId="77777777" w:rsidR="003753CC" w:rsidRPr="000A7545" w:rsidRDefault="003753CC" w:rsidP="003753CC">
      <w:pPr>
        <w:rPr>
          <w:u w:val="single"/>
        </w:rPr>
      </w:pPr>
      <w:r w:rsidRPr="000A7545">
        <w:t>Subsequent to the policy dialogue, work continued on the writing of the report leading to a full draft report completed end May. The draft report is now being peer review before finalisation.  Once the peer review process is completed the report will be socialised at provincial and national levels together with local research team members and government officials.</w:t>
      </w:r>
    </w:p>
    <w:p w14:paraId="13B55C07" w14:textId="77777777" w:rsidR="003753CC" w:rsidRPr="000A7545" w:rsidRDefault="003753CC" w:rsidP="003753CC"/>
    <w:p w14:paraId="13B55C08" w14:textId="77777777" w:rsidR="003753CC" w:rsidRPr="000A7545" w:rsidRDefault="003753CC" w:rsidP="003753CC">
      <w:pPr>
        <w:pStyle w:val="IntenseQuote"/>
        <w:rPr>
          <w:rStyle w:val="Emphasis"/>
          <w:bCs w:val="0"/>
          <w:i w:val="0"/>
          <w:u w:val="none"/>
        </w:rPr>
      </w:pPr>
      <w:r w:rsidRPr="000A7545">
        <w:rPr>
          <w:rStyle w:val="Emphasis"/>
          <w:bCs w:val="0"/>
          <w:i w:val="0"/>
          <w:u w:val="none"/>
        </w:rPr>
        <w:t xml:space="preserve">1.1.7a. </w:t>
      </w:r>
      <w:r w:rsidR="004F654B">
        <w:rPr>
          <w:rStyle w:val="Emphasis"/>
          <w:bCs w:val="0"/>
          <w:i w:val="0"/>
          <w:u w:val="none"/>
        </w:rPr>
        <w:t>Study on Teach</w:t>
      </w:r>
      <w:r w:rsidR="00F404EF">
        <w:rPr>
          <w:rStyle w:val="Emphasis"/>
          <w:bCs w:val="0"/>
          <w:i w:val="0"/>
          <w:u w:val="none"/>
        </w:rPr>
        <w:t>er Absenteeism Survey completed</w:t>
      </w:r>
    </w:p>
    <w:p w14:paraId="13B55C09" w14:textId="77777777" w:rsidR="004F654B" w:rsidRDefault="004F654B" w:rsidP="003753CC">
      <w:r>
        <w:t>Teacher Absenteeism Survey was completed as of November 2011 including survey of 1,296 teachers, 430 community members and 245 schools across all target districts and provinces. A draft report was completed and shared with government and partners to discuss preliminary findings in early 2012. It is anticipated that the final report will be completed by Q2 2012.</w:t>
      </w:r>
    </w:p>
    <w:p w14:paraId="13B55C0A" w14:textId="77777777" w:rsidR="003753CC" w:rsidRPr="000A7545" w:rsidRDefault="003753CC" w:rsidP="003753CC">
      <w:r w:rsidRPr="000A7545">
        <w:t>According to Pak James Modow, Head of Education department in Papua, the Teacher Absenteeism Report is one of the most significant pieces of research for the education sector in Tanah Papua for some years. Funded by USAID, UNICEF ha</w:t>
      </w:r>
      <w:r w:rsidR="004F654B">
        <w:t>s</w:t>
      </w:r>
      <w:r w:rsidRPr="000A7545">
        <w:t xml:space="preserve"> played the lead role in managing and coordinating the research and leading the research team.   Recommendation will guide future policy and programming directions especially as they related to policy for teachers and students living in remote and rural area.  It is important that all programme staff are aware of the implications and recommendations of the report so they too can support policy discussion and dialogue and UNICEF in consultation with government and partners will seek opportunities to support policy dialogue and the sharing of this important research work.</w:t>
      </w:r>
    </w:p>
    <w:p w14:paraId="13B55C0B" w14:textId="77777777" w:rsidR="003753CC" w:rsidRPr="000A7545" w:rsidRDefault="003753CC" w:rsidP="003753CC">
      <w:r w:rsidRPr="000A7545">
        <w:t>The research team has been led by UNICEF in partnership with BPS Papua and West Papua, UNCEN, UNIPA, districts coordinators and Education department colleagues.</w:t>
      </w:r>
    </w:p>
    <w:p w14:paraId="13B55C0C" w14:textId="77777777" w:rsidR="003753CC" w:rsidRPr="000A7545" w:rsidRDefault="003753CC" w:rsidP="003753CC"/>
    <w:p w14:paraId="13B55C0D" w14:textId="77777777" w:rsidR="003753CC" w:rsidRPr="000A7545" w:rsidRDefault="003753CC" w:rsidP="003753CC">
      <w:pPr>
        <w:pStyle w:val="IntenseQuote"/>
        <w:rPr>
          <w:rStyle w:val="Emphasis"/>
          <w:bCs w:val="0"/>
          <w:i w:val="0"/>
          <w:u w:val="none"/>
        </w:rPr>
      </w:pPr>
      <w:r w:rsidRPr="000A7545">
        <w:rPr>
          <w:rStyle w:val="Emphasis"/>
          <w:bCs w:val="0"/>
          <w:i w:val="0"/>
          <w:u w:val="none"/>
        </w:rPr>
        <w:t xml:space="preserve">1.1.7b. Workshops on capacity development for research </w:t>
      </w:r>
      <w:r w:rsidR="004F654B">
        <w:rPr>
          <w:rStyle w:val="Emphasis"/>
          <w:bCs w:val="0"/>
          <w:i w:val="0"/>
          <w:u w:val="none"/>
        </w:rPr>
        <w:t>of</w:t>
      </w:r>
      <w:r w:rsidRPr="000A7545">
        <w:rPr>
          <w:rStyle w:val="Emphasis"/>
          <w:bCs w:val="0"/>
          <w:i w:val="0"/>
          <w:u w:val="none"/>
        </w:rPr>
        <w:t xml:space="preserve"> universities completed by the end of 2011.</w:t>
      </w:r>
    </w:p>
    <w:p w14:paraId="13B55C0E" w14:textId="77777777" w:rsidR="003753CC" w:rsidRPr="000A7545" w:rsidRDefault="003753CC" w:rsidP="003753CC">
      <w:r w:rsidRPr="000A7545">
        <w:t>The Teacher Absenteeism Study in Papua represented a unique opportunity to strengthen the research capacity of local universities, namely Cenderawasih University and University of Papua. SMERU, a well-recognized national research institute, provide technical support at different stages of the process and supported capacity building activities for local research institutions.  Individuals from BPS were also involved I the process hence having most of the significant research groups involved in this study.</w:t>
      </w:r>
    </w:p>
    <w:p w14:paraId="13B55C0F" w14:textId="77777777" w:rsidR="003753CC" w:rsidRPr="000A7545" w:rsidRDefault="003753CC" w:rsidP="003753CC">
      <w:r w:rsidRPr="000A7545">
        <w:t>Several technical workshops were conducted from the planning, development of research instruments through to the writing stage of the study.  One workshop was conducted with university research team members to finalize instruments, procedures and protocols, and strengthen local university research capacities.</w:t>
      </w:r>
      <w:r w:rsidR="004F654B">
        <w:t xml:space="preserve"> In total, by end of 2011, six capacity development workshops had been completed; eight core researchers and fifty university students worked as enumerators as a result of the training.</w:t>
      </w:r>
    </w:p>
    <w:p w14:paraId="13B55C10" w14:textId="77777777" w:rsidR="003753CC" w:rsidRPr="000A7545" w:rsidRDefault="003753CC" w:rsidP="003753CC">
      <w:r w:rsidRPr="000A7545">
        <w:t>As part of the objective to strengthen partnerships, S</w:t>
      </w:r>
      <w:r w:rsidR="00486C82" w:rsidRPr="000A7545">
        <w:t>MERU</w:t>
      </w:r>
      <w:r w:rsidRPr="000A7545">
        <w:t xml:space="preserve"> also provided technical support for two workshops. Workshops covered instrument on the study protocol, school profile, teacher profile, community perceptions, in-depth interview instruments, as well as guidelines for completing case studies on cases of positive deviance.</w:t>
      </w:r>
    </w:p>
    <w:p w14:paraId="13B55C11" w14:textId="77777777" w:rsidR="003753CC" w:rsidRPr="000A7545" w:rsidRDefault="003753CC" w:rsidP="003753CC">
      <w:r w:rsidRPr="000A7545">
        <w:t>An enumerator training was conducted in September 2011 with UNIPA and UNCEN for all of the enumerator (data collectors) who went into the field for data collection. A working team had a number of intensive meetings and in February 2012 the team ha</w:t>
      </w:r>
      <w:r w:rsidR="00623FE6" w:rsidRPr="000A7545">
        <w:t>d</w:t>
      </w:r>
      <w:r w:rsidRPr="000A7545">
        <w:t xml:space="preserve"> a retreat to re</w:t>
      </w:r>
      <w:r w:rsidR="000537E2">
        <w:t xml:space="preserve">view comments and verify data. </w:t>
      </w:r>
      <w:r w:rsidR="00623FE6" w:rsidRPr="000A7545">
        <w:t>UNICEF has sought input and expert reviewer comment on the study given the significance of the report and the</w:t>
      </w:r>
      <w:r w:rsidR="00820AE3" w:rsidRPr="000A7545">
        <w:t xml:space="preserve"> role</w:t>
      </w:r>
      <w:r w:rsidR="00623FE6" w:rsidRPr="000A7545">
        <w:t xml:space="preserve"> that it will play in policy and programming in the future.</w:t>
      </w:r>
      <w:r w:rsidR="000537E2">
        <w:t xml:space="preserve"> </w:t>
      </w:r>
      <w:r w:rsidR="00623FE6" w:rsidRPr="000A7545">
        <w:t>Partnerships with individuals and organisations have ensured that data that is released is fully reliable</w:t>
      </w:r>
      <w:r w:rsidR="000537E2">
        <w:t>,</w:t>
      </w:r>
      <w:r w:rsidR="00623FE6" w:rsidRPr="000A7545">
        <w:t xml:space="preserve"> which is unfortunately not always the case </w:t>
      </w:r>
      <w:r w:rsidR="00820AE3" w:rsidRPr="000A7545">
        <w:t xml:space="preserve">in </w:t>
      </w:r>
      <w:r w:rsidR="00623FE6" w:rsidRPr="000A7545">
        <w:t>locally developed and designed research</w:t>
      </w:r>
      <w:r w:rsidR="000537E2">
        <w:t>.</w:t>
      </w:r>
    </w:p>
    <w:p w14:paraId="13B55C12" w14:textId="77777777" w:rsidR="003753CC" w:rsidRPr="000A7545" w:rsidRDefault="003753CC" w:rsidP="003753CC"/>
    <w:p w14:paraId="13B55C13" w14:textId="77777777" w:rsidR="003753CC" w:rsidRPr="000A7545" w:rsidRDefault="003753CC" w:rsidP="003753CC">
      <w:pPr>
        <w:pStyle w:val="IntenseQuote"/>
        <w:rPr>
          <w:rStyle w:val="Emphasis"/>
          <w:bCs w:val="0"/>
          <w:i w:val="0"/>
          <w:u w:val="none"/>
        </w:rPr>
      </w:pPr>
      <w:r w:rsidRPr="000A7545">
        <w:rPr>
          <w:rStyle w:val="Emphasis"/>
          <w:bCs w:val="0"/>
          <w:i w:val="0"/>
          <w:u w:val="none"/>
        </w:rPr>
        <w:t>1.1.7c. Academic and Research Institutes participate in government policy formation processes</w:t>
      </w:r>
    </w:p>
    <w:p w14:paraId="13B55C14" w14:textId="77777777" w:rsidR="0004054E" w:rsidRDefault="003753CC" w:rsidP="003753CC">
      <w:r w:rsidRPr="000A7545">
        <w:t>Research institute participation in the Teacher Absenteeism Study not only increased the competence and experience of many researchers but it also served to create a local ownership of the study findings (that are potentially sensitive) and ownership of the emerging recommendations.</w:t>
      </w:r>
      <w:r w:rsidR="0004054E">
        <w:t xml:space="preserve"> Specifically, the study increased participation of UNCEN and UNIPA staff in this research policy process.</w:t>
      </w:r>
    </w:p>
    <w:p w14:paraId="13B55C15" w14:textId="77777777" w:rsidR="003753CC" w:rsidRPr="000A7545" w:rsidRDefault="003753CC" w:rsidP="003753CC">
      <w:r w:rsidRPr="000A7545">
        <w:t>Given the importance afforded to the Teacher Absentee study in Papua and the emerging policy implications academic and research institutions involved in this study are now ideally placed with good technical credibility and high visibility to advocate for and support the development of government policy.</w:t>
      </w:r>
    </w:p>
    <w:p w14:paraId="13B55C16" w14:textId="77777777" w:rsidR="00153606" w:rsidRPr="000A7545" w:rsidRDefault="00153606" w:rsidP="003753CC"/>
    <w:p w14:paraId="13B55C17" w14:textId="77777777" w:rsidR="00F65A13" w:rsidRPr="000A7545" w:rsidRDefault="00F65A13" w:rsidP="00F65A13">
      <w:pPr>
        <w:pStyle w:val="Heading2"/>
        <w:rPr>
          <w:lang w:val="en-GB"/>
        </w:rPr>
      </w:pPr>
      <w:bookmarkStart w:id="41" w:name="_Toc322702765"/>
      <w:r w:rsidRPr="000A7545">
        <w:rPr>
          <w:lang w:val="en-GB"/>
        </w:rPr>
        <w:t xml:space="preserve">Outcome 1.2: Primary school children in selected schools in target districts are benefiting from improved teaching </w:t>
      </w:r>
      <w:r w:rsidR="00F279B1">
        <w:rPr>
          <w:lang w:val="en-GB"/>
        </w:rPr>
        <w:t>(AUSAID)</w:t>
      </w:r>
      <w:bookmarkEnd w:id="41"/>
    </w:p>
    <w:p w14:paraId="13B55C18" w14:textId="77777777" w:rsidR="00F65A13" w:rsidRPr="000A7545" w:rsidRDefault="00F65A13" w:rsidP="00F65A13">
      <w:r w:rsidRPr="000A7545">
        <w:t>In order to accomplish this difficult task</w:t>
      </w:r>
      <w:r w:rsidR="00E377B2">
        <w:t xml:space="preserve"> for  232 early-grade and multi-</w:t>
      </w:r>
      <w:r w:rsidRPr="000A7545">
        <w:t>grade schools, 260 MBS schools including  schools spread over urban, peri-urban, rural and remote areas of 6 districts in Papua and West Papua, the programme has implemented a number of key activities during reporting the period including:</w:t>
      </w:r>
    </w:p>
    <w:p w14:paraId="13B55C19" w14:textId="77777777" w:rsidR="00F65A13" w:rsidRPr="000A7545" w:rsidRDefault="00F65A13" w:rsidP="00FA09D3">
      <w:pPr>
        <w:pStyle w:val="ListParagraph"/>
        <w:numPr>
          <w:ilvl w:val="0"/>
          <w:numId w:val="10"/>
        </w:numPr>
      </w:pPr>
      <w:r w:rsidRPr="000A7545">
        <w:t>Preparation of multi-grade, early-grade and AJEL materials and classroom kits for teachers and students</w:t>
      </w:r>
    </w:p>
    <w:p w14:paraId="13B55C1A" w14:textId="77777777" w:rsidR="00F65A13" w:rsidRPr="000A7545" w:rsidRDefault="00F65A13" w:rsidP="00FA09D3">
      <w:pPr>
        <w:pStyle w:val="ListParagraph"/>
        <w:numPr>
          <w:ilvl w:val="0"/>
          <w:numId w:val="10"/>
        </w:numPr>
      </w:pPr>
      <w:r w:rsidRPr="000A7545">
        <w:t>Training on improvements in child-</w:t>
      </w:r>
      <w:r w:rsidR="000537E2" w:rsidRPr="000A7545">
        <w:t>centred</w:t>
      </w:r>
      <w:r w:rsidRPr="000A7545">
        <w:t xml:space="preserve"> teaching and learning in the classroom in urban and per-urban schools</w:t>
      </w:r>
    </w:p>
    <w:p w14:paraId="13B55C1B" w14:textId="77777777" w:rsidR="00F65A13" w:rsidRPr="000A7545" w:rsidRDefault="00F65A13" w:rsidP="00FA09D3">
      <w:pPr>
        <w:pStyle w:val="ListParagraph"/>
        <w:numPr>
          <w:ilvl w:val="0"/>
          <w:numId w:val="10"/>
        </w:numPr>
      </w:pPr>
      <w:r w:rsidRPr="000A7545">
        <w:t>Strengthening management roles of principals and school committees in supporting child-</w:t>
      </w:r>
      <w:r w:rsidR="000537E2" w:rsidRPr="000A7545">
        <w:t>centred</w:t>
      </w:r>
      <w:r w:rsidRPr="000A7545">
        <w:t xml:space="preserve"> classroom practices</w:t>
      </w:r>
    </w:p>
    <w:p w14:paraId="13B55C1C" w14:textId="77777777" w:rsidR="00F65A13" w:rsidRPr="000A7545" w:rsidRDefault="00F65A13" w:rsidP="00FA09D3">
      <w:pPr>
        <w:pStyle w:val="ListParagraph"/>
        <w:numPr>
          <w:ilvl w:val="0"/>
          <w:numId w:val="10"/>
        </w:numPr>
      </w:pPr>
      <w:r w:rsidRPr="000A7545">
        <w:t xml:space="preserve">Training in multi-grade and </w:t>
      </w:r>
      <w:r w:rsidR="00E377B2">
        <w:t>early-grade</w:t>
      </w:r>
      <w:r w:rsidRPr="000A7545">
        <w:t xml:space="preserve"> teaching for rural and remote schools</w:t>
      </w:r>
    </w:p>
    <w:p w14:paraId="13B55C1D" w14:textId="77777777" w:rsidR="00F65A13" w:rsidRPr="000A7545" w:rsidRDefault="00F65A13" w:rsidP="00FA09D3">
      <w:pPr>
        <w:pStyle w:val="ListParagraph"/>
        <w:numPr>
          <w:ilvl w:val="0"/>
          <w:numId w:val="10"/>
        </w:numPr>
      </w:pPr>
      <w:r w:rsidRPr="000A7545">
        <w:t>Strengthening the roles of school supervisors to provide sustainable support for teachers in urban, peri-urban, rural and remote areas</w:t>
      </w:r>
    </w:p>
    <w:p w14:paraId="13B55C1E" w14:textId="77777777" w:rsidR="00F65A13" w:rsidRPr="000A7545" w:rsidRDefault="00F65A13" w:rsidP="00FA09D3">
      <w:pPr>
        <w:pStyle w:val="ListParagraph"/>
        <w:numPr>
          <w:ilvl w:val="0"/>
          <w:numId w:val="10"/>
        </w:numPr>
      </w:pPr>
      <w:r w:rsidRPr="000A7545">
        <w:t>Strengthening of KKGs or school clusters for on-going support for teachers</w:t>
      </w:r>
    </w:p>
    <w:p w14:paraId="13B55C1F" w14:textId="77777777" w:rsidR="00F65A13" w:rsidRPr="000A7545" w:rsidRDefault="00F65A13" w:rsidP="00FA09D3">
      <w:pPr>
        <w:pStyle w:val="ListParagraph"/>
        <w:numPr>
          <w:ilvl w:val="0"/>
          <w:numId w:val="10"/>
        </w:numPr>
      </w:pPr>
      <w:r w:rsidRPr="000A7545">
        <w:t>Regular district level workshops to strengthen capacity and coordination of SBM, early-grade and multi-grade teams</w:t>
      </w:r>
    </w:p>
    <w:p w14:paraId="13B55C20" w14:textId="77777777" w:rsidR="00F65A13" w:rsidRPr="000A7545" w:rsidRDefault="00F65A13" w:rsidP="00FA09D3">
      <w:pPr>
        <w:pStyle w:val="ListParagraph"/>
        <w:numPr>
          <w:ilvl w:val="0"/>
          <w:numId w:val="10"/>
        </w:numPr>
      </w:pPr>
      <w:r w:rsidRPr="000A7545">
        <w:t xml:space="preserve">Development of district SBM, </w:t>
      </w:r>
      <w:r w:rsidR="00E377B2">
        <w:t>early-grade</w:t>
      </w:r>
      <w:r w:rsidRPr="000A7545">
        <w:t xml:space="preserve"> and multi</w:t>
      </w:r>
      <w:r w:rsidR="00B53F1A" w:rsidRPr="000A7545">
        <w:t>-</w:t>
      </w:r>
      <w:r w:rsidRPr="000A7545">
        <w:t>grade teaching model schools for district-wide replication of child-</w:t>
      </w:r>
      <w:r w:rsidR="00B53F1A" w:rsidRPr="000A7545">
        <w:t>centred</w:t>
      </w:r>
      <w:r w:rsidRPr="000A7545">
        <w:t xml:space="preserve"> </w:t>
      </w:r>
      <w:r w:rsidR="00B53F1A" w:rsidRPr="000A7545">
        <w:t>teaching and learning practices</w:t>
      </w:r>
    </w:p>
    <w:p w14:paraId="13B55C21" w14:textId="77777777" w:rsidR="00F65A13" w:rsidRPr="000A7545" w:rsidRDefault="00F65A13" w:rsidP="00F65A13">
      <w:r w:rsidRPr="000A7545">
        <w:t>AusAID funds have been used to accomplish results related to these outcomes and outcome indicators including:</w:t>
      </w:r>
    </w:p>
    <w:p w14:paraId="13B55C22" w14:textId="77777777" w:rsidR="00F65A13" w:rsidRPr="000A7545" w:rsidRDefault="00F65A13" w:rsidP="00F65A13"/>
    <w:p w14:paraId="13B55C23" w14:textId="77777777" w:rsidR="00F65A13" w:rsidRPr="000A7545" w:rsidRDefault="00F65A13" w:rsidP="00F65A13">
      <w:pPr>
        <w:pStyle w:val="IntenseQuote"/>
        <w:rPr>
          <w:rStyle w:val="Emphasis"/>
          <w:b/>
          <w:bCs w:val="0"/>
          <w:i w:val="0"/>
          <w:u w:val="none"/>
        </w:rPr>
      </w:pPr>
      <w:r w:rsidRPr="000A7545">
        <w:rPr>
          <w:rStyle w:val="Emphasis"/>
          <w:b/>
          <w:bCs w:val="0"/>
          <w:i w:val="0"/>
          <w:u w:val="none"/>
        </w:rPr>
        <w:t xml:space="preserve">1.2a. </w:t>
      </w:r>
      <w:r w:rsidR="00B05D52">
        <w:rPr>
          <w:rStyle w:val="Emphasis"/>
          <w:b/>
          <w:bCs w:val="0"/>
          <w:i w:val="0"/>
          <w:u w:val="none"/>
        </w:rPr>
        <w:t>T</w:t>
      </w:r>
      <w:r w:rsidRPr="000A7545">
        <w:rPr>
          <w:rStyle w:val="Emphasis"/>
          <w:b/>
          <w:bCs w:val="0"/>
          <w:i w:val="0"/>
          <w:u w:val="none"/>
        </w:rPr>
        <w:t>eachers trained applying Active Joyful Effective Learning approaches in urban and peri-urban classroom</w:t>
      </w:r>
    </w:p>
    <w:p w14:paraId="13B55C24" w14:textId="77777777" w:rsidR="00F65A13" w:rsidRPr="000A7545" w:rsidRDefault="00F65A13" w:rsidP="00F65A13">
      <w:pPr>
        <w:rPr>
          <w:i/>
        </w:rPr>
      </w:pPr>
      <w:r w:rsidRPr="000A7545">
        <w:t>Between August and October 2011, the programme piloted a draft of SBM indicators</w:t>
      </w:r>
      <w:r w:rsidR="000B6F5F" w:rsidRPr="000A7545">
        <w:t xml:space="preserve"> and instruments and found that</w:t>
      </w:r>
      <w:r w:rsidRPr="000A7545">
        <w:t xml:space="preserve"> 80% of the 39 sample schools in Papua showed very limited evidence of AJEL implementation which included but not limited to using of relevant teaching aids, active participation of children in learning process, and positive classroom environments.  Reports of school visits by </w:t>
      </w:r>
      <w:r w:rsidR="00E377B2">
        <w:t xml:space="preserve">programme </w:t>
      </w:r>
      <w:r w:rsidRPr="000A7545">
        <w:t>officers, mentoring by trainers, as well as monitoring by supervisors and district education offices have indicated that following training, mentoring, and cluster meetings, positive changes in AJEL implementation has been seen however much more evident in urban and peri-urban classrooms. While percentage figures are unavailable the programme is on track to achieve the intended target related to this indicator.</w:t>
      </w:r>
    </w:p>
    <w:p w14:paraId="13B55C25" w14:textId="77777777" w:rsidR="00F65A13" w:rsidRPr="000A7545" w:rsidRDefault="00F65A13" w:rsidP="00F65A13"/>
    <w:p w14:paraId="13B55C26" w14:textId="77777777" w:rsidR="00F65A13" w:rsidRPr="000A7545" w:rsidRDefault="00F65A13" w:rsidP="00F65A13">
      <w:pPr>
        <w:pStyle w:val="IntenseQuote"/>
        <w:rPr>
          <w:rStyle w:val="Emphasis"/>
          <w:b/>
          <w:bCs w:val="0"/>
          <w:i w:val="0"/>
          <w:u w:val="none"/>
        </w:rPr>
      </w:pPr>
      <w:r w:rsidRPr="000A7545">
        <w:rPr>
          <w:rStyle w:val="Emphasis"/>
          <w:b/>
          <w:bCs w:val="0"/>
          <w:i w:val="0"/>
          <w:u w:val="none"/>
        </w:rPr>
        <w:t xml:space="preserve">1.2b. </w:t>
      </w:r>
      <w:r w:rsidR="00B05D52">
        <w:rPr>
          <w:rStyle w:val="Emphasis"/>
          <w:b/>
          <w:bCs w:val="0"/>
          <w:i w:val="0"/>
          <w:u w:val="none"/>
        </w:rPr>
        <w:t>T</w:t>
      </w:r>
      <w:r w:rsidRPr="000A7545">
        <w:rPr>
          <w:rStyle w:val="Emphasis"/>
          <w:b/>
          <w:bCs w:val="0"/>
          <w:i w:val="0"/>
          <w:u w:val="none"/>
        </w:rPr>
        <w:t>eachers in target rural and remote schools have enhanced skills and confidence in multi-grade teaching</w:t>
      </w:r>
      <w:r w:rsidR="00F279B1">
        <w:rPr>
          <w:rStyle w:val="Emphasis"/>
          <w:b/>
          <w:bCs w:val="0"/>
          <w:i w:val="0"/>
          <w:u w:val="none"/>
        </w:rPr>
        <w:t xml:space="preserve"> </w:t>
      </w:r>
      <w:r w:rsidR="00D92BF5">
        <w:rPr>
          <w:rStyle w:val="Emphasis"/>
          <w:b/>
          <w:bCs w:val="0"/>
          <w:i w:val="0"/>
          <w:u w:val="none"/>
        </w:rPr>
        <w:t>(</w:t>
      </w:r>
      <w:r w:rsidR="00F279B1">
        <w:rPr>
          <w:rStyle w:val="Emphasis"/>
          <w:b/>
          <w:bCs w:val="0"/>
          <w:i w:val="0"/>
          <w:u w:val="none"/>
        </w:rPr>
        <w:t>grades 1-6</w:t>
      </w:r>
      <w:r w:rsidR="00D92BF5">
        <w:rPr>
          <w:rStyle w:val="Emphasis"/>
          <w:b/>
          <w:bCs w:val="0"/>
          <w:i w:val="0"/>
          <w:u w:val="none"/>
        </w:rPr>
        <w:t>)</w:t>
      </w:r>
    </w:p>
    <w:p w14:paraId="13B55C27" w14:textId="77777777" w:rsidR="00F279B1" w:rsidRDefault="00F65A13" w:rsidP="00F65A13">
      <w:r w:rsidRPr="000A7545">
        <w:t>It is not possible to assess th</w:t>
      </w:r>
      <w:r w:rsidR="00B05D52">
        <w:t>e</w:t>
      </w:r>
      <w:r w:rsidRPr="000A7545">
        <w:t xml:space="preserve"> exact percentage at this time</w:t>
      </w:r>
      <w:r w:rsidR="00E377B2">
        <w:t xml:space="preserve"> given the early stage of multi-</w:t>
      </w:r>
      <w:r w:rsidRPr="000A7545">
        <w:t>grade roll out coupled with the difficulties the programme has encountered in reaching the remote satellite schools.  It is predicted that currently these numbers are small.  While many teachers reportedly have attended cluster meetings it is unclear how much time and attention has been given to these areas of multi-grade teaching.  Strengthening strategies presented later in the report aim to increase the number of teachers reached in rural and remote schools.</w:t>
      </w:r>
    </w:p>
    <w:p w14:paraId="13B55C28" w14:textId="77777777" w:rsidR="00F279B1" w:rsidRDefault="00F279B1" w:rsidP="00F65A13"/>
    <w:p w14:paraId="13B55C29" w14:textId="77777777" w:rsidR="00F65A13" w:rsidRPr="000A7545" w:rsidRDefault="00F279B1" w:rsidP="00F65A13">
      <w:r>
        <w:t>As a third outcome indicator is to monitor the percentage of teachers being trained who are applying improved early-grade teaching approaches in their classrooms. The baseline revealed that none of the teachers in target schools had the capacity to do so. While the target for the programme has been set at enabling at least 80 per cent of teachers trained in applying improved early-grade teaching approaches in their classrooms, it is difficult to say whether the programme will be able to achieve this goal given the difficulties of reaching teachers in rural and remote areas.</w:t>
      </w:r>
    </w:p>
    <w:p w14:paraId="13B55C2A" w14:textId="77777777" w:rsidR="000B6F5F" w:rsidRPr="000A7545" w:rsidRDefault="000B6F5F" w:rsidP="000B6F5F">
      <w:pPr>
        <w:pStyle w:val="Heading3"/>
        <w:rPr>
          <w:lang w:val="en-GB"/>
        </w:rPr>
      </w:pPr>
      <w:bookmarkStart w:id="42" w:name="_Toc322702766"/>
      <w:r w:rsidRPr="000A7545">
        <w:rPr>
          <w:lang w:val="en-GB"/>
        </w:rPr>
        <w:t>Output 1.2.1: Teachers, principals, and supervisor</w:t>
      </w:r>
      <w:r w:rsidR="000537E2">
        <w:rPr>
          <w:lang w:val="en-GB"/>
        </w:rPr>
        <w:t>s improve capacity to use child-</w:t>
      </w:r>
      <w:r w:rsidR="000537E2" w:rsidRPr="000A7545">
        <w:rPr>
          <w:lang w:val="en-GB"/>
        </w:rPr>
        <w:t>centred</w:t>
      </w:r>
      <w:r w:rsidRPr="000A7545">
        <w:rPr>
          <w:lang w:val="en-GB"/>
        </w:rPr>
        <w:t xml:space="preserve"> learning approach in the classroom</w:t>
      </w:r>
      <w:r w:rsidR="00F279B1">
        <w:rPr>
          <w:lang w:val="en-GB"/>
        </w:rPr>
        <w:t xml:space="preserve"> (AusAID)</w:t>
      </w:r>
      <w:bookmarkEnd w:id="42"/>
    </w:p>
    <w:p w14:paraId="13B55C2B" w14:textId="77777777" w:rsidR="000B6F5F" w:rsidRPr="000A7545" w:rsidRDefault="000B6F5F" w:rsidP="000B6F5F">
      <w:r w:rsidRPr="000A7545">
        <w:t>School Based Management is a major g</w:t>
      </w:r>
      <w:r w:rsidR="000537E2">
        <w:t xml:space="preserve">overnment programme focused on </w:t>
      </w:r>
      <w:r w:rsidRPr="000A7545">
        <w:t>improving the quality of education services for children in schools. It is a model of management required by Law 20/2003 to allow greater autonomy for a school to plan and implement its 3 key pillars i.e. participatory and transparent management, active parent/community participation, and child-</w:t>
      </w:r>
      <w:r w:rsidR="000537E2" w:rsidRPr="000A7545">
        <w:t>centred</w:t>
      </w:r>
      <w:r w:rsidRPr="000A7545">
        <w:t xml:space="preserve"> teaching and learning process. Preliminary research results conducted in Papua and West Papua on teacher absenteeism with USAID funds show that in schools that apply SBM effectively the rates of teacher absence are as low as 11% compared to an overall average of 33.5%.</w:t>
      </w:r>
    </w:p>
    <w:p w14:paraId="13B55C2C" w14:textId="77777777" w:rsidR="000B6F5F" w:rsidRPr="000A7545" w:rsidRDefault="000B6F5F" w:rsidP="000B6F5F">
      <w:r w:rsidRPr="000A7545">
        <w:t>During the reporting period, UNICEF facilitated government counterparts in implementation of a number of key activities including contextualizing child-</w:t>
      </w:r>
      <w:r w:rsidR="000537E2" w:rsidRPr="000A7545">
        <w:t>centred</w:t>
      </w:r>
      <w:r w:rsidRPr="000A7545">
        <w:t xml:space="preserve"> teaching training materials, training of trainers, teachers, principals, school committees and supervisors, strengthening provincial and district SBM teams, improving SBM monitoring and evaluation system, and providing support for teacher and principal working group meetings.</w:t>
      </w:r>
    </w:p>
    <w:p w14:paraId="13B55C2D" w14:textId="77777777" w:rsidR="000B6F5F" w:rsidRPr="000A7545" w:rsidRDefault="000B6F5F" w:rsidP="000B6F5F"/>
    <w:p w14:paraId="13B55C2E" w14:textId="77777777" w:rsidR="000B6F5F" w:rsidRPr="000A7545" w:rsidRDefault="000B6F5F" w:rsidP="000B6F5F">
      <w:pPr>
        <w:pStyle w:val="IntenseQuote"/>
        <w:rPr>
          <w:rStyle w:val="Emphasis"/>
          <w:b/>
          <w:bCs w:val="0"/>
          <w:i w:val="0"/>
          <w:u w:val="none"/>
        </w:rPr>
      </w:pPr>
      <w:r w:rsidRPr="000A7545">
        <w:rPr>
          <w:rStyle w:val="Emphasis"/>
          <w:b/>
          <w:bCs w:val="0"/>
          <w:i w:val="0"/>
          <w:u w:val="none"/>
        </w:rPr>
        <w:t xml:space="preserve">1.2.1a. </w:t>
      </w:r>
      <w:r w:rsidR="00B05D52">
        <w:rPr>
          <w:rStyle w:val="Emphasis"/>
          <w:b/>
          <w:bCs w:val="0"/>
          <w:i w:val="0"/>
          <w:u w:val="none"/>
        </w:rPr>
        <w:t>T</w:t>
      </w:r>
      <w:r w:rsidRPr="000A7545">
        <w:rPr>
          <w:rStyle w:val="Emphasis"/>
          <w:b/>
          <w:bCs w:val="0"/>
          <w:i w:val="0"/>
          <w:u w:val="none"/>
        </w:rPr>
        <w:t>eachers, principals, supervisors and school committee members trained in AJEL</w:t>
      </w:r>
    </w:p>
    <w:p w14:paraId="13B55C2F" w14:textId="77777777" w:rsidR="000B6F5F" w:rsidRPr="000A7545" w:rsidRDefault="000B6F5F" w:rsidP="000B6F5F">
      <w:pPr>
        <w:rPr>
          <w:noProof/>
        </w:rPr>
      </w:pPr>
      <w:r w:rsidRPr="000A7545">
        <w:t>The programme has implemented district level trainings and mentoring for teache</w:t>
      </w:r>
      <w:r w:rsidR="000537E2">
        <w:t>rs, principal, and supervisors.</w:t>
      </w:r>
      <w:r w:rsidRPr="000A7545">
        <w:t xml:space="preserve"> During the reporting period, </w:t>
      </w:r>
      <w:r w:rsidR="000537E2">
        <w:t>six</w:t>
      </w:r>
      <w:r w:rsidRPr="000A7545">
        <w:t xml:space="preserve"> target district education offices organized refresher AJEL training consisting </w:t>
      </w:r>
      <w:r w:rsidR="000537E2">
        <w:t xml:space="preserve">of </w:t>
      </w:r>
      <w:r w:rsidRPr="000A7545">
        <w:t>962 teachers, 213 principals and 115 elementary supervisors. The training in each district was conducted for 3 days, using materials developed from a standardized UNICEF CLCC – Mo</w:t>
      </w:r>
      <w:r w:rsidR="00927DDA">
        <w:t>EC</w:t>
      </w:r>
      <w:r w:rsidRPr="000A7545">
        <w:t xml:space="preserve"> SBM training modules. Prior to the training, the programme conducted a training needs assessment process to 39 sample schools and found that around 80% teachers have shown very limited evidence of AJEL implementation. Based on this information, the AJEL training materials underwent significant modifications and incorporated much more practical examples and hands-on experiences instead of theories.</w:t>
      </w:r>
      <w:r w:rsidRPr="000A7545">
        <w:rPr>
          <w:noProof/>
        </w:rPr>
        <w:t xml:space="preserve"> </w:t>
      </w:r>
      <w:r w:rsidRPr="000A7545">
        <w:t>The result of training post-tests indicated that the knowledge of teachers, principals, supervisors, and school committee members on AJEL had increased considerably. The change in school level practice is monitored and reinforced through regular on-the-job mentoring by trainers and supervisors.</w:t>
      </w:r>
    </w:p>
    <w:p w14:paraId="13B55C30" w14:textId="77777777" w:rsidR="000B6F5F" w:rsidRPr="000A7545" w:rsidRDefault="000B6F5F" w:rsidP="000B6F5F">
      <w:r w:rsidRPr="000A7545">
        <w:t>The on-the-job mentoring reports generally indicate that the level of progress in teaching and learning processes are varied between schools. The reports also highlight that most target schools have shown progress in semester planning, syllabus, and lesson plans. The mentoring reports also mention that positive changes have occurred with supervisors who accompanied trainers to schools, in that they have improved upon how they provide constructive mentoring guidance to schools and teachers.</w:t>
      </w:r>
    </w:p>
    <w:p w14:paraId="13B55C31" w14:textId="77777777" w:rsidR="000B6F5F" w:rsidRPr="000A7545" w:rsidRDefault="000B6F5F" w:rsidP="000B6F5F">
      <w:r w:rsidRPr="000A7545">
        <w:t>Papua Province replicat</w:t>
      </w:r>
      <w:r w:rsidR="00927DDA">
        <w:t>ed the</w:t>
      </w:r>
      <w:r w:rsidRPr="000A7545">
        <w:t xml:space="preserve"> UNICEF-supported AJEL training for teachers, principals, and supervisors in 24 non-target districts</w:t>
      </w:r>
      <w:r w:rsidR="00927DDA">
        <w:t>.</w:t>
      </w:r>
    </w:p>
    <w:p w14:paraId="13B55C32" w14:textId="77777777" w:rsidR="000B6F5F" w:rsidRPr="000A7545" w:rsidRDefault="000B6F5F" w:rsidP="000B6F5F">
      <w:r w:rsidRPr="000A7545">
        <w:t xml:space="preserve">Papua Provincial Education Office allocated </w:t>
      </w:r>
      <w:r w:rsidR="00B53F1A" w:rsidRPr="000A7545">
        <w:t>IDR</w:t>
      </w:r>
      <w:r w:rsidRPr="000A7545">
        <w:t xml:space="preserve"> 3 billion during 2011 to create model schools of effective AJEL implementation throughout 24 non-target districts. The Provincial Education Office trained 145 model school principals, teachers and school committee members drawn from non-target districts in July and October 2011. Following </w:t>
      </w:r>
      <w:r w:rsidR="00B53F1A" w:rsidRPr="000A7545">
        <w:t>the training, a block grant of IDR</w:t>
      </w:r>
      <w:r w:rsidRPr="000A7545">
        <w:t xml:space="preserve"> 3 million was provided to each model school to support the initial implementation of SBM at school level.</w:t>
      </w:r>
    </w:p>
    <w:p w14:paraId="13B55C33" w14:textId="77777777" w:rsidR="000B6F5F" w:rsidRPr="000A7545" w:rsidRDefault="000B6F5F" w:rsidP="000B6F5F">
      <w:pPr>
        <w:pStyle w:val="NoSpacing"/>
        <w:jc w:val="both"/>
        <w:rPr>
          <w:rFonts w:asciiTheme="majorHAnsi" w:hAnsiTheme="majorHAnsi" w:cstheme="majorHAnsi"/>
          <w:lang w:val="en-GB"/>
        </w:rPr>
      </w:pPr>
    </w:p>
    <w:p w14:paraId="13B55C34" w14:textId="77777777" w:rsidR="000B6F5F" w:rsidRPr="000A7545" w:rsidRDefault="000B6F5F" w:rsidP="000B6F5F">
      <w:pPr>
        <w:pStyle w:val="IntenseQuote"/>
        <w:rPr>
          <w:rStyle w:val="Emphasis"/>
          <w:bCs w:val="0"/>
          <w:i w:val="0"/>
          <w:u w:val="none"/>
        </w:rPr>
      </w:pPr>
      <w:r w:rsidRPr="000A7545">
        <w:rPr>
          <w:rStyle w:val="Emphasis"/>
          <w:bCs w:val="0"/>
          <w:i w:val="0"/>
          <w:u w:val="none"/>
        </w:rPr>
        <w:t xml:space="preserve">1.2.1b. </w:t>
      </w:r>
      <w:r w:rsidR="00B05D52">
        <w:rPr>
          <w:rStyle w:val="Emphasis"/>
          <w:bCs w:val="0"/>
          <w:i w:val="0"/>
          <w:u w:val="none"/>
        </w:rPr>
        <w:t>P</w:t>
      </w:r>
      <w:r w:rsidRPr="000A7545">
        <w:rPr>
          <w:rStyle w:val="Emphasis"/>
          <w:bCs w:val="0"/>
          <w:i w:val="0"/>
          <w:u w:val="none"/>
        </w:rPr>
        <w:t>rincipals, supervisors and school committee members trained in improved school-based management</w:t>
      </w:r>
    </w:p>
    <w:p w14:paraId="13B55C35" w14:textId="77777777" w:rsidR="000B6F5F" w:rsidRPr="000A7545" w:rsidRDefault="000B6F5F" w:rsidP="000B6F5F">
      <w:r w:rsidRPr="000A7545">
        <w:t>Successful implementation of AJEL by teachers requires effective planning, budgeting, supervision and support from principal and school committee. To improve the capacity of school principals and committee members, a similar approach of district level training and school level mentoring was adopted. The district level training targeted consisting 213 principals, 120 committee members, and 115 supervisors). As with AJEL, the materials for the trainings were modified from UNICEF CLCC – Mo</w:t>
      </w:r>
      <w:r w:rsidR="00927DDA">
        <w:t>EC</w:t>
      </w:r>
      <w:r w:rsidRPr="000A7545">
        <w:t xml:space="preserve"> SBM materials to include more practical strategies in school transparent and participatory planning, budgeting, reporting, and supervision.</w:t>
      </w:r>
    </w:p>
    <w:p w14:paraId="13B55C36" w14:textId="77777777" w:rsidR="000B6F5F" w:rsidRPr="000A7545" w:rsidRDefault="000B6F5F" w:rsidP="000B6F5F">
      <w:r w:rsidRPr="000A7545">
        <w:t>Examples of community participation in supporting school management and AJEL implementation from Manokwari and Sorong include the renovation of classrooms, teacher homes, playgrounds, fences, toilets, and school clinic; and monitoring of teaching and learning processes.</w:t>
      </w:r>
    </w:p>
    <w:p w14:paraId="13B55C37" w14:textId="77777777" w:rsidR="000B6F5F" w:rsidRDefault="000B6F5F" w:rsidP="000B6F5F">
      <w:r w:rsidRPr="000A7545">
        <w:t xml:space="preserve">As part of the programme’s strategy to raise awareness and support for sustainable quality improvement at school level, the programme closely engaged </w:t>
      </w:r>
      <w:r w:rsidR="00623FE6" w:rsidRPr="000A7545">
        <w:t xml:space="preserve">the </w:t>
      </w:r>
      <w:r w:rsidRPr="000A7545">
        <w:t>education community including parliament representatives, district education council members, local media, CSOs, and Bappeda in SBM monitoring. In B</w:t>
      </w:r>
      <w:r w:rsidR="000537E2">
        <w:t>iak Numfor, media and community</w:t>
      </w:r>
      <w:r w:rsidRPr="000A7545">
        <w:t xml:space="preserve"> keenly reported on both progress and challenges of SBM implementation through audio broadcasting (14 stories) and printed newspaper coverage (6 stories) during 2011. This has helped garner stronger support for schools from community, particularly parents who in the past were not always involved in their children’s education.</w:t>
      </w:r>
    </w:p>
    <w:p w14:paraId="13B55C38" w14:textId="77777777" w:rsidR="000537E2" w:rsidRPr="000A7545" w:rsidRDefault="000537E2" w:rsidP="000B6F5F"/>
    <w:p w14:paraId="13B55C39" w14:textId="77777777" w:rsidR="000B6F5F" w:rsidRPr="000A7545" w:rsidRDefault="000B6F5F" w:rsidP="000B6F5F">
      <w:pPr>
        <w:pStyle w:val="IntenseQuote"/>
        <w:rPr>
          <w:rStyle w:val="Emphasis"/>
          <w:b/>
          <w:bCs w:val="0"/>
          <w:i w:val="0"/>
          <w:u w:val="none"/>
        </w:rPr>
      </w:pPr>
      <w:r w:rsidRPr="000A7545">
        <w:rPr>
          <w:rStyle w:val="Emphasis"/>
          <w:b/>
          <w:bCs w:val="0"/>
          <w:i w:val="0"/>
          <w:u w:val="none"/>
        </w:rPr>
        <w:t xml:space="preserve">1.2.1c. </w:t>
      </w:r>
      <w:r w:rsidR="00B05D52">
        <w:rPr>
          <w:rStyle w:val="Emphasis"/>
          <w:b/>
          <w:bCs w:val="0"/>
          <w:i w:val="0"/>
          <w:u w:val="none"/>
        </w:rPr>
        <w:t>T</w:t>
      </w:r>
      <w:r w:rsidRPr="000A7545">
        <w:rPr>
          <w:rStyle w:val="Emphasis"/>
          <w:b/>
          <w:bCs w:val="0"/>
          <w:i w:val="0"/>
          <w:u w:val="none"/>
        </w:rPr>
        <w:t xml:space="preserve">eacher and principal working groups (KKG/KKS) supporting the implementation of SBM through regular meetings in 6/6 </w:t>
      </w:r>
      <w:r w:rsidRPr="00F279B1">
        <w:rPr>
          <w:rStyle w:val="Emphasis"/>
          <w:b/>
          <w:bCs w:val="0"/>
          <w:i w:val="0"/>
          <w:u w:val="none"/>
        </w:rPr>
        <w:t>districts</w:t>
      </w:r>
    </w:p>
    <w:p w14:paraId="13B55C3A" w14:textId="77777777" w:rsidR="000B6F5F" w:rsidRPr="000A7545" w:rsidRDefault="000B6F5F" w:rsidP="000B6F5F">
      <w:r w:rsidRPr="000A7545">
        <w:t>Since April 2011, each district education office has organized at least 3 quarterly teachers and principals working group meetings in at least 80% of programme’s target clusters. The working group meeting usually takes place on a Saturday when learning load is not as heavy as during other work days. It normally takes one whole day in the core school in the cluster. SBM trainers (3-4 depending on needs) were present to accompany the respective cluster supervisor to present materials related to SBM pillars. Topics such as curriculum and AJEL teaching methodology were addressed in teachers working groups; and school planning, budgeting, reporting, and new relevant policies in school principals working group.</w:t>
      </w:r>
    </w:p>
    <w:p w14:paraId="13B55C3B" w14:textId="77777777" w:rsidR="000B6F5F" w:rsidRPr="000A7545" w:rsidRDefault="000B6F5F" w:rsidP="000B6F5F">
      <w:pPr>
        <w:rPr>
          <w:b/>
        </w:rPr>
      </w:pPr>
      <w:r w:rsidRPr="000A7545">
        <w:rPr>
          <w:b/>
        </w:rPr>
        <w:t>Strengthened core/model schools to lead effective KKGs:</w:t>
      </w:r>
    </w:p>
    <w:p w14:paraId="13B55C3C" w14:textId="77777777" w:rsidR="000B6F5F" w:rsidRPr="000A7545" w:rsidRDefault="000B6F5F" w:rsidP="000B6F5F">
      <w:r w:rsidRPr="000A7545">
        <w:t>The programme supports the establishment of</w:t>
      </w:r>
      <w:r w:rsidR="00623FE6" w:rsidRPr="000A7545">
        <w:t xml:space="preserve"> </w:t>
      </w:r>
      <w:r w:rsidR="000537E2" w:rsidRPr="000A7545">
        <w:t>the ‘SBM</w:t>
      </w:r>
      <w:r w:rsidRPr="000A7545">
        <w:t xml:space="preserve"> model school’ for each cluster that provides in-service support for teachers from ‘satellite schools’. The programme provides intensive (bimonthly) on-the-job mentoring to teachers in model schools to help prepare them to lead effective replication of child-</w:t>
      </w:r>
      <w:r w:rsidR="000537E2" w:rsidRPr="000A7545">
        <w:t>centred</w:t>
      </w:r>
      <w:r w:rsidRPr="000A7545">
        <w:t xml:space="preserve"> learning through KKGs. UNICEF-supported model schools have shown marked improvements thus early signs of readiness to facilitate </w:t>
      </w:r>
      <w:r w:rsidR="00AE20D8" w:rsidRPr="000A7545">
        <w:rPr>
          <w:noProof/>
          <w:lang w:val="en-AU" w:eastAsia="en-AU"/>
        </w:rPr>
        <mc:AlternateContent>
          <mc:Choice Requires="wpg">
            <w:drawing>
              <wp:anchor distT="0" distB="0" distL="114300" distR="114300" simplePos="0" relativeHeight="251678720" behindDoc="0" locked="0" layoutInCell="1" allowOverlap="1" wp14:anchorId="13B565E3" wp14:editId="13B565E4">
                <wp:simplePos x="0" y="0"/>
                <wp:positionH relativeFrom="column">
                  <wp:posOffset>28575</wp:posOffset>
                </wp:positionH>
                <wp:positionV relativeFrom="paragraph">
                  <wp:posOffset>495300</wp:posOffset>
                </wp:positionV>
                <wp:extent cx="6010275" cy="3209925"/>
                <wp:effectExtent l="0" t="0" r="9525" b="9525"/>
                <wp:wrapTopAndBottom/>
                <wp:docPr id="5" name="Group 5"/>
                <wp:cNvGraphicFramePr/>
                <a:graphic xmlns:a="http://schemas.openxmlformats.org/drawingml/2006/main">
                  <a:graphicData uri="http://schemas.microsoft.com/office/word/2010/wordprocessingGroup">
                    <wpg:wgp>
                      <wpg:cNvGrpSpPr/>
                      <wpg:grpSpPr>
                        <a:xfrm>
                          <a:off x="0" y="0"/>
                          <a:ext cx="6010275" cy="3209925"/>
                          <a:chOff x="0" y="0"/>
                          <a:chExt cx="5343525" cy="2647950"/>
                        </a:xfrm>
                      </wpg:grpSpPr>
                      <wpg:graphicFrame>
                        <wpg:cNvPr id="29" name="Chart 12"/>
                        <wpg:cNvFrPr/>
                        <wpg:xfrm>
                          <a:off x="0" y="457200"/>
                          <a:ext cx="5343525" cy="2190750"/>
                        </wpg:xfrm>
                        <a:graphic>
                          <a:graphicData uri="http://schemas.openxmlformats.org/drawingml/2006/chart">
                            <c:chart xmlns:c="http://schemas.openxmlformats.org/drawingml/2006/chart" xmlns:r="http://schemas.openxmlformats.org/officeDocument/2006/relationships" r:id="rId20"/>
                          </a:graphicData>
                        </a:graphic>
                      </wpg:graphicFrame>
                      <wps:wsp>
                        <wps:cNvPr id="4" name="Text Box 4"/>
                        <wps:cNvSpPr txBox="1"/>
                        <wps:spPr>
                          <a:xfrm>
                            <a:off x="0" y="0"/>
                            <a:ext cx="5343525" cy="457200"/>
                          </a:xfrm>
                          <a:prstGeom prst="rect">
                            <a:avLst/>
                          </a:prstGeom>
                          <a:solidFill>
                            <a:prstClr val="white"/>
                          </a:solidFill>
                          <a:ln>
                            <a:noFill/>
                          </a:ln>
                          <a:effectLst/>
                        </wps:spPr>
                        <wps:txbx>
                          <w:txbxContent>
                            <w:p w14:paraId="13B56611" w14:textId="77777777" w:rsidR="00003C07" w:rsidRPr="00F21323" w:rsidRDefault="00003C07" w:rsidP="00B53F1A">
                              <w:pPr>
                                <w:pStyle w:val="Caption"/>
                                <w:rPr>
                                  <w:rFonts w:asciiTheme="majorHAnsi" w:hAnsiTheme="majorHAnsi" w:cstheme="majorHAnsi"/>
                                  <w:noProof/>
                                </w:rPr>
                              </w:pPr>
                              <w:bookmarkStart w:id="43" w:name="_Toc322710097"/>
                              <w:r>
                                <w:t xml:space="preserve">Figure </w:t>
                              </w:r>
                              <w:fldSimple w:instr=" SEQ Figure \* ARABIC ">
                                <w:r>
                                  <w:rPr>
                                    <w:noProof/>
                                  </w:rPr>
                                  <w:t>6</w:t>
                                </w:r>
                              </w:fldSimple>
                              <w:r>
                                <w:t xml:space="preserve">: </w:t>
                              </w:r>
                              <w:r w:rsidRPr="00B53F1A">
                                <w:t>Comparison of SBM implementation between cluster model and satellite schools (Manokwari)</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7" style="position:absolute;margin-left:2.25pt;margin-top:39pt;width:473.25pt;height:252.75pt;z-index:251678720;mso-width-relative:margin;mso-height-relative:margin" coordsize="53435,26479"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2" o:spid="_x0000_s1028" type="#_x0000_t75" style="position:absolute;left:-54;top:4525;width:53546;height:220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">
                  <v:imagedata r:id="rId21" o:title=""/>
                  <o:lock v:ext="edit" aspectratio="f"/>
                </v:shape>
                <v:shapetype id="_x0000_t202" coordsize="21600,21600" o:spt="202" path="m,l,21600r21600,l21600,xe">
                  <v:stroke joinstyle="miter"/>
                  <v:path gradientshapeok="t" o:connecttype="rect"/>
                </v:shapetype>
                <v:shape id="Text Box 4" o:spid="_x0000_s1029" type="#_x0000_t202" style="position:absolute;width:534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7C4313" w:rsidRPr="00F21323" w:rsidRDefault="007C4313" w:rsidP="00B53F1A">
                        <w:pPr>
                          <w:pStyle w:val="Caption"/>
                          <w:rPr>
                            <w:rFonts w:asciiTheme="majorHAnsi" w:hAnsiTheme="majorHAnsi" w:cstheme="majorHAnsi"/>
                            <w:noProof/>
                          </w:rPr>
                        </w:pPr>
                        <w:bookmarkStart w:id="44" w:name="_Toc322710097"/>
                        <w:r>
                          <w:t xml:space="preserve">Figure </w:t>
                        </w:r>
                        <w:fldSimple w:instr=" SEQ Figure \* ARABIC ">
                          <w:r w:rsidR="009B4D84">
                            <w:rPr>
                              <w:noProof/>
                            </w:rPr>
                            <w:t>6</w:t>
                          </w:r>
                        </w:fldSimple>
                        <w:r>
                          <w:t xml:space="preserve">: </w:t>
                        </w:r>
                        <w:r w:rsidRPr="00B53F1A">
                          <w:t>Comparison of SBM implementation between cluster model and satellite schools (</w:t>
                        </w:r>
                        <w:proofErr w:type="spellStart"/>
                        <w:r w:rsidRPr="00B53F1A">
                          <w:t>Manokwari</w:t>
                        </w:r>
                        <w:proofErr w:type="spellEnd"/>
                        <w:r w:rsidRPr="00B53F1A">
                          <w:t>)</w:t>
                        </w:r>
                        <w:bookmarkEnd w:id="44"/>
                      </w:p>
                    </w:txbxContent>
                  </v:textbox>
                </v:shape>
                <w10:wrap type="topAndBottom"/>
              </v:group>
            </w:pict>
          </mc:Fallback>
        </mc:AlternateContent>
      </w:r>
      <w:r w:rsidRPr="000A7545">
        <w:t>and lead the teachers working group meetings as shown below (example from Manokwari):</w:t>
      </w:r>
    </w:p>
    <w:p w14:paraId="13B55C3D" w14:textId="77777777" w:rsidR="000B6F5F" w:rsidRPr="000A7545" w:rsidRDefault="000B6F5F" w:rsidP="00B53F1A">
      <w:pPr>
        <w:jc w:val="center"/>
        <w:rPr>
          <w:rFonts w:cs="Arial"/>
          <w:sz w:val="18"/>
        </w:rPr>
      </w:pPr>
      <w:r w:rsidRPr="000A7545">
        <w:rPr>
          <w:rFonts w:cs="Arial"/>
          <w:sz w:val="18"/>
        </w:rPr>
        <w:t>1= not good, 2=average, 3=good, 4=very good</w:t>
      </w:r>
    </w:p>
    <w:p w14:paraId="13B55C3E" w14:textId="77777777" w:rsidR="000B6F5F" w:rsidRPr="000A7545" w:rsidRDefault="000B6F5F" w:rsidP="000B6F5F"/>
    <w:p w14:paraId="13B55C3F" w14:textId="77777777" w:rsidR="000B6F5F" w:rsidRPr="000A7545" w:rsidRDefault="000B6F5F" w:rsidP="000B6F5F">
      <w:r w:rsidRPr="000A7545">
        <w:t>Model schools perform significantly better across all three pillars of SBM when compared to satellite schools</w:t>
      </w:r>
      <w:r w:rsidRPr="000A7545">
        <w:rPr>
          <w:b/>
        </w:rPr>
        <w:t xml:space="preserve"> </w:t>
      </w:r>
      <w:r w:rsidRPr="000537E2">
        <w:t>but still perform relatively poorly for teaching and learning processes in classrooms.</w:t>
      </w:r>
      <w:r w:rsidR="000537E2">
        <w:t xml:space="preserve"> </w:t>
      </w:r>
      <w:r w:rsidRPr="000A7545">
        <w:t>It can be seen that model schools have much to improve as their overall performance is between ‘not good a</w:t>
      </w:r>
      <w:r w:rsidR="000537E2">
        <w:t>nd ‘average (overall 1.5).</w:t>
      </w:r>
      <w:r w:rsidRPr="000A7545">
        <w:t xml:space="preserve"> However, the model school still perform </w:t>
      </w:r>
      <w:r w:rsidR="000537E2" w:rsidRPr="000A7545">
        <w:t>significantly</w:t>
      </w:r>
      <w:r w:rsidRPr="000A7545">
        <w:t xml:space="preserve"> higher than satellite schools, with satellite schools scoring poorly across all SBM pilla</w:t>
      </w:r>
      <w:r w:rsidR="000537E2">
        <w:t xml:space="preserve">rs and very low overall (.03). </w:t>
      </w:r>
      <w:r w:rsidRPr="000A7545">
        <w:t>Nevertheless, schools have demonstrated improved performance with model schools increasing mentoring to satellite schools through school cluster mechanisms.  This has been most visible in topics such as lesson planning, usage of visual aids in classrooms, and the establishment of reading corners for children in classrooms.</w:t>
      </w:r>
      <w:r w:rsidRPr="000A7545">
        <w:rPr>
          <w:rStyle w:val="FootnoteReference"/>
          <w:rFonts w:asciiTheme="majorHAnsi" w:hAnsiTheme="majorHAnsi" w:cstheme="majorHAnsi"/>
          <w:b/>
        </w:rPr>
        <w:footnoteReference w:id="9"/>
      </w:r>
    </w:p>
    <w:p w14:paraId="13B55C40" w14:textId="77777777" w:rsidR="000B6F5F" w:rsidRPr="000A7545" w:rsidRDefault="000B6F5F" w:rsidP="00B53F1A"/>
    <w:p w14:paraId="13B55C41" w14:textId="77777777" w:rsidR="000B6F5F" w:rsidRPr="000A7545" w:rsidRDefault="000B6F5F" w:rsidP="000B6F5F">
      <w:pPr>
        <w:pStyle w:val="IntenseQuote"/>
        <w:rPr>
          <w:rStyle w:val="Emphasis"/>
          <w:bCs w:val="0"/>
          <w:i w:val="0"/>
          <w:u w:val="none"/>
        </w:rPr>
      </w:pPr>
      <w:r w:rsidRPr="000A7545">
        <w:rPr>
          <w:rStyle w:val="Emphasis"/>
          <w:bCs w:val="0"/>
          <w:i w:val="0"/>
          <w:u w:val="none"/>
        </w:rPr>
        <w:t>1.2.1d. Quarterly coordination meetings on CLCC/SBM established</w:t>
      </w:r>
    </w:p>
    <w:p w14:paraId="13B55C42" w14:textId="77777777" w:rsidR="000B6F5F" w:rsidRPr="000A7545" w:rsidRDefault="000B6F5F" w:rsidP="000B6F5F">
      <w:r w:rsidRPr="000A7545">
        <w:t>To ensure sustainability of support for SBM implementation, the programme has put much effort to strengthening local human resources through refresher ToT and district quarterly capacity building for master trainers; and to creating an enabling environment through linking SBM efforts to supervisors’ role, and revitalizing provincial and district SBM teams.</w:t>
      </w:r>
    </w:p>
    <w:p w14:paraId="13B55C43" w14:textId="77777777" w:rsidR="000B6F5F" w:rsidRPr="000A7545" w:rsidRDefault="000B6F5F" w:rsidP="000B6F5F">
      <w:r w:rsidRPr="000A7545">
        <w:t>A major obstacle to ensuring sustainable support to schools in Papua and West Papua is a lack of qualified local trainers. To address this challenge, the programme has worked to strengthen local human resource capacities by developing a pool of loca</w:t>
      </w:r>
      <w:r w:rsidR="003D39E1" w:rsidRPr="000A7545">
        <w:t xml:space="preserve">lly qualified master trainers. </w:t>
      </w:r>
      <w:r w:rsidRPr="000A7545">
        <w:t>These trainers have received several rounds of training as well as support from provincial level SBM teams.  From 25-29 July 2011, 54 district level SBM trainers from both Papua and West Papua Provinces drawn from each target district gathered in Jayapura to receive training from provincial level master trainers.</w:t>
      </w:r>
    </w:p>
    <w:p w14:paraId="13B55C44" w14:textId="77777777" w:rsidR="000B6F5F" w:rsidRPr="000A7545" w:rsidRDefault="000B6F5F" w:rsidP="000B6F5F">
      <w:r w:rsidRPr="000A7545">
        <w:t>As can be seen from blue line in the figure, the participants’ had positive perception regarding the ToT facilitators/trainers and content of training. They also had an even more positive assessment of their own improvement in terms of knowledge of SBM content and facilitation skills, and this is confirmed by the result of pre and post-tests. The training report has also been used by the provincial education offices to conduct follow-up activities planning for trainers and a mapping of capacity development needs for district trainers across Papua.</w:t>
      </w:r>
    </w:p>
    <w:p w14:paraId="13B55C45" w14:textId="77777777" w:rsidR="00B53F1A" w:rsidRPr="000A7545" w:rsidRDefault="00B53F1A" w:rsidP="00B53F1A">
      <w:pPr>
        <w:pStyle w:val="Caption"/>
        <w:keepNext/>
        <w:spacing w:after="200"/>
        <w:jc w:val="center"/>
      </w:pPr>
      <w:bookmarkStart w:id="44" w:name="_Toc322710098"/>
      <w:r w:rsidRPr="000A7545">
        <w:t xml:space="preserve">Figure </w:t>
      </w:r>
      <w:fldSimple w:instr=" SEQ Figure \* ARABIC ">
        <w:r w:rsidR="009B4D84">
          <w:rPr>
            <w:noProof/>
          </w:rPr>
          <w:t>7</w:t>
        </w:r>
      </w:fldSimple>
      <w:r w:rsidRPr="000A7545">
        <w:t>: SBM – Enhanced skills and confidence, Papua</w:t>
      </w:r>
      <w:bookmarkEnd w:id="44"/>
    </w:p>
    <w:p w14:paraId="13B55C46" w14:textId="77777777" w:rsidR="000B6F5F" w:rsidRPr="000A7545" w:rsidRDefault="000B6F5F" w:rsidP="000B6F5F">
      <w:pPr>
        <w:pStyle w:val="ListParagraph"/>
        <w:spacing w:after="0" w:line="240" w:lineRule="auto"/>
        <w:ind w:left="360"/>
        <w:jc w:val="center"/>
        <w:rPr>
          <w:rFonts w:asciiTheme="majorHAnsi" w:hAnsiTheme="majorHAnsi" w:cstheme="majorHAnsi"/>
        </w:rPr>
      </w:pPr>
      <w:r w:rsidRPr="000A7545">
        <w:rPr>
          <w:rFonts w:asciiTheme="majorHAnsi" w:hAnsiTheme="majorHAnsi" w:cstheme="majorHAnsi"/>
          <w:b/>
          <w:noProof/>
          <w:lang w:val="en-AU" w:eastAsia="en-AU"/>
        </w:rPr>
        <w:drawing>
          <wp:inline distT="0" distB="0" distL="0" distR="0" wp14:anchorId="13B565E5" wp14:editId="13B565E6">
            <wp:extent cx="3496666" cy="2340864"/>
            <wp:effectExtent l="0" t="0" r="27940" b="21590"/>
            <wp:docPr id="3696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B55C47" w14:textId="77777777" w:rsidR="000B6F5F" w:rsidRPr="000A7545" w:rsidRDefault="000B6F5F" w:rsidP="000B6F5F">
      <w:pPr>
        <w:pStyle w:val="ListParagraph"/>
        <w:spacing w:after="0" w:line="240" w:lineRule="auto"/>
        <w:ind w:left="360"/>
        <w:jc w:val="center"/>
        <w:rPr>
          <w:rFonts w:asciiTheme="majorHAnsi" w:hAnsiTheme="majorHAnsi" w:cstheme="majorHAnsi"/>
        </w:rPr>
      </w:pPr>
    </w:p>
    <w:p w14:paraId="13B55C48" w14:textId="77777777" w:rsidR="00927DDA" w:rsidRDefault="00927DDA" w:rsidP="000B6F5F"/>
    <w:p w14:paraId="13B55C49" w14:textId="77777777" w:rsidR="000B6F5F" w:rsidRPr="000A7545" w:rsidRDefault="000B6F5F" w:rsidP="000B6F5F">
      <w:r w:rsidRPr="000A7545">
        <w:t>Using the same approach and producing similar results, the West Papua Province provincial education office held a SBM refresher training for district master trainer from 22-25 February 2012 involving 30 trainers from 2 target districts in We</w:t>
      </w:r>
      <w:r w:rsidR="00B53F1A" w:rsidRPr="000A7545">
        <w:t>st Papua, Manokwari and Sorong.</w:t>
      </w:r>
    </w:p>
    <w:p w14:paraId="13B55C4A" w14:textId="77777777" w:rsidR="000B6F5F" w:rsidRPr="000A7545" w:rsidRDefault="000B6F5F" w:rsidP="000B6F5F">
      <w:pPr>
        <w:rPr>
          <w:i/>
        </w:rPr>
      </w:pPr>
      <w:r w:rsidRPr="000A7545">
        <w:rPr>
          <w:i/>
        </w:rPr>
        <w:t>District Quarterly Workshops to Improve Capacity of Trainers</w:t>
      </w:r>
    </w:p>
    <w:p w14:paraId="13B55C4B" w14:textId="77777777" w:rsidR="000B6F5F" w:rsidRDefault="000B6F5F" w:rsidP="000B6F5F">
      <w:r w:rsidRPr="000A7545">
        <w:t xml:space="preserve">As follow up of the refresher ToT conducted at the provincial level, to improve coordination and to maintain the mastery in relevant topics, the programme organizes district level quarterly workshop for SBM, </w:t>
      </w:r>
      <w:r w:rsidR="00E377B2">
        <w:t>early-grade</w:t>
      </w:r>
      <w:r w:rsidRPr="000A7545">
        <w:t xml:space="preserve"> trainers, and leadership trainers. Target districts did not select new trainers on multi-grade until early 2012. The workshops</w:t>
      </w:r>
      <w:r w:rsidR="00623FE6" w:rsidRPr="000A7545">
        <w:t xml:space="preserve"> are</w:t>
      </w:r>
      <w:r w:rsidRPr="000A7545">
        <w:t xml:space="preserve"> organized </w:t>
      </w:r>
      <w:r w:rsidR="00403721" w:rsidRPr="000A7545">
        <w:t xml:space="preserve">on </w:t>
      </w:r>
      <w:r w:rsidRPr="000A7545">
        <w:t xml:space="preserve">2-3 days per quarter </w:t>
      </w:r>
      <w:r w:rsidR="00403721" w:rsidRPr="000A7545">
        <w:t xml:space="preserve">where </w:t>
      </w:r>
      <w:r w:rsidRPr="000A7545">
        <w:t>progress of each area</w:t>
      </w:r>
      <w:r w:rsidR="00403721" w:rsidRPr="000A7545">
        <w:t xml:space="preserve"> is </w:t>
      </w:r>
      <w:r w:rsidR="000537E2" w:rsidRPr="000A7545">
        <w:t>discussed</w:t>
      </w:r>
      <w:r w:rsidRPr="000A7545">
        <w:t xml:space="preserve">, lessons </w:t>
      </w:r>
      <w:r w:rsidR="00403721" w:rsidRPr="000A7545">
        <w:t>shared</w:t>
      </w:r>
      <w:r w:rsidRPr="000A7545">
        <w:t xml:space="preserve"> from training and mentoring at school level, </w:t>
      </w:r>
      <w:r w:rsidR="00403721" w:rsidRPr="000A7545">
        <w:t xml:space="preserve">areas </w:t>
      </w:r>
      <w:r w:rsidRPr="000A7545">
        <w:t>for convergence</w:t>
      </w:r>
      <w:r w:rsidR="00403721" w:rsidRPr="000A7545">
        <w:t xml:space="preserve"> </w:t>
      </w:r>
      <w:r w:rsidR="000537E2">
        <w:t>explored,</w:t>
      </w:r>
      <w:r w:rsidRPr="000A7545">
        <w:t xml:space="preserve"> and good practices to be included in the </w:t>
      </w:r>
      <w:r w:rsidR="00403721" w:rsidRPr="000A7545">
        <w:t>g</w:t>
      </w:r>
      <w:r w:rsidRPr="000A7545">
        <w:t>ood practice bulletin at the provincial level</w:t>
      </w:r>
      <w:r w:rsidR="00403721" w:rsidRPr="000A7545">
        <w:t xml:space="preserve"> collected.</w:t>
      </w:r>
    </w:p>
    <w:p w14:paraId="13B55C4C" w14:textId="77777777" w:rsidR="000B6F5F" w:rsidRPr="000A7545" w:rsidRDefault="000B6F5F" w:rsidP="000B6F5F">
      <w:pPr>
        <w:rPr>
          <w:i/>
        </w:rPr>
      </w:pPr>
      <w:r w:rsidRPr="000A7545">
        <w:rPr>
          <w:i/>
          <w:noProof/>
        </w:rPr>
        <w:t>Revitalization of</w:t>
      </w:r>
      <w:r w:rsidRPr="000A7545">
        <w:rPr>
          <w:i/>
        </w:rPr>
        <w:t xml:space="preserve"> SBM Teams</w:t>
      </w:r>
    </w:p>
    <w:p w14:paraId="13B55C4D" w14:textId="77777777" w:rsidR="000B6F5F" w:rsidRPr="000A7545" w:rsidRDefault="000B6F5F" w:rsidP="000B6F5F">
      <w:r w:rsidRPr="000A7545">
        <w:t>Through April 2011 to February 2012 each district organized quarterly meetings with the SBM team to design SBM activities (funded both by AusAID and the government) and review detailed scheduling and implementation plan. In Biak Numfor, a specific District Level SBM Team Work Plan has been developed and approved by the education office and has been useful in guiding the teams work through to June 2012.</w:t>
      </w:r>
    </w:p>
    <w:p w14:paraId="13B55C4E" w14:textId="77777777" w:rsidR="000B6F5F" w:rsidRPr="000A7545" w:rsidRDefault="000B6F5F" w:rsidP="000B6F5F">
      <w:r w:rsidRPr="000A7545">
        <w:t>One outcome of quarterly meetings in Manokwari resulted in SBM team developed mentoring guidelines to support school level mentoring and supervisors. These guidelines will be further used to support strengthened mentoring processes at school level.</w:t>
      </w:r>
    </w:p>
    <w:p w14:paraId="13B55C4F" w14:textId="77777777" w:rsidR="000B6F5F" w:rsidRPr="000A7545" w:rsidRDefault="000B6F5F" w:rsidP="000B6F5F">
      <w:r w:rsidRPr="000A7545">
        <w:t xml:space="preserve">As a result of district revitalization SMB teams being </w:t>
      </w:r>
      <w:r w:rsidR="00403721" w:rsidRPr="000A7545">
        <w:t>established members</w:t>
      </w:r>
      <w:r w:rsidRPr="000A7545">
        <w:t xml:space="preserve"> report better understanding of their roles in SBM roll out, both at the school and district levels</w:t>
      </w:r>
      <w:r w:rsidRPr="000A7545">
        <w:rPr>
          <w:rStyle w:val="FootnoteReference"/>
          <w:rFonts w:asciiTheme="majorHAnsi" w:hAnsiTheme="majorHAnsi" w:cstheme="majorHAnsi"/>
        </w:rPr>
        <w:footnoteReference w:id="10"/>
      </w:r>
      <w:r w:rsidRPr="000A7545">
        <w:t>.</w:t>
      </w:r>
    </w:p>
    <w:p w14:paraId="13B55C50" w14:textId="77777777" w:rsidR="000B6F5F" w:rsidRPr="000A7545" w:rsidRDefault="000B6F5F" w:rsidP="000B6F5F">
      <w:r w:rsidRPr="000A7545">
        <w:t xml:space="preserve">SMB teams have been institutionalized into district system through education office decrees in Jayapura, Biak Numfor, Sorong and Manokwari. Papua Province education offices have issued a formal decree for these teams. In Jayawijaya and Mimika efforts to adopt a decree are continuing currently under </w:t>
      </w:r>
      <w:r w:rsidR="000537E2">
        <w:t>review by the local government.</w:t>
      </w:r>
      <w:r w:rsidRPr="000A7545">
        <w:t xml:space="preserve"> In Biak Numfor case, </w:t>
      </w:r>
      <w:r w:rsidR="00E377B2">
        <w:t>IDR</w:t>
      </w:r>
      <w:r w:rsidRPr="000A7545">
        <w:t xml:space="preserve"> 80 million has been approved for 2012 to be allocated for SBM team to monitor the implementation of SBM in model and satellite schools.</w:t>
      </w:r>
    </w:p>
    <w:p w14:paraId="13B55C51" w14:textId="77777777" w:rsidR="000B6F5F" w:rsidRPr="000A7545" w:rsidRDefault="000B6F5F" w:rsidP="000B6F5F">
      <w:r w:rsidRPr="000A7545">
        <w:t xml:space="preserve">The SBM programme has influenced the </w:t>
      </w:r>
      <w:r w:rsidR="000537E2" w:rsidRPr="000A7545">
        <w:t>utilization</w:t>
      </w:r>
      <w:r w:rsidRPr="000A7545">
        <w:t xml:space="preserve"> of school BOS funding to support tea</w:t>
      </w:r>
      <w:r w:rsidR="00411E08">
        <w:t xml:space="preserve">cher training at school level. </w:t>
      </w:r>
      <w:r w:rsidRPr="000A7545">
        <w:t>These are funds direct</w:t>
      </w:r>
      <w:r w:rsidR="00927DDA">
        <w:t>ly under the control of schools</w:t>
      </w:r>
      <w:r w:rsidRPr="000A7545">
        <w:t xml:space="preserve"> that can be used to support teacher quality impro</w:t>
      </w:r>
      <w:r w:rsidR="00927DDA">
        <w:t>vement or in-service trainings.</w:t>
      </w:r>
      <w:r w:rsidRPr="000A7545">
        <w:t xml:space="preserve"> In the second semester of 2011 school level BOS allocation for strengthening SBM implementation were marked.</w:t>
      </w:r>
    </w:p>
    <w:p w14:paraId="13B55C52" w14:textId="77777777" w:rsidR="000B6F5F" w:rsidRPr="000A7545" w:rsidRDefault="000B6F5F" w:rsidP="000B6F5F">
      <w:r w:rsidRPr="000A7545">
        <w:t xml:space="preserve">Through SBM trainers, the </w:t>
      </w:r>
      <w:r w:rsidR="00E377B2">
        <w:t>programme</w:t>
      </w:r>
      <w:r w:rsidR="000537E2">
        <w:t xml:space="preserve"> </w:t>
      </w:r>
      <w:r w:rsidRPr="000A7545">
        <w:t>has encouraged satellite schools to use their own BOS allocation to implement School Based Management. It has been reported that some trainers across target districts have received requests and provided services to satellite schools to support their SBM implementation. The programme</w:t>
      </w:r>
      <w:r w:rsidR="00B05D52">
        <w:t>,</w:t>
      </w:r>
      <w:r w:rsidRPr="000A7545">
        <w:t xml:space="preserve"> through advocacy with education partners</w:t>
      </w:r>
      <w:r w:rsidR="00B05D52">
        <w:t>,</w:t>
      </w:r>
      <w:r w:rsidRPr="000A7545">
        <w:t xml:space="preserve"> will seek a formal decree from district education offices, particularly in relation the planning of use of BOS funds for quality improvement.</w:t>
      </w:r>
    </w:p>
    <w:p w14:paraId="13B55C53" w14:textId="77777777" w:rsidR="000B6F5F" w:rsidRPr="000A7545" w:rsidRDefault="000B6F5F" w:rsidP="000B6F5F">
      <w:r w:rsidRPr="000A7545">
        <w:t>By end of October 2011, a training of key officials (including head of Basic Education Section, head of Curriculum section, and District Supervisors Coordinator) from 29 districts was organized to support the establishment of district-level SBM teams that will continue to strengthen the SBM model schools supported by provincial education office.  Additional follow-up with non-target districts is being conducted by the provincial SBM team to institutionalize SBM into district system of planning and budgeting.</w:t>
      </w:r>
    </w:p>
    <w:p w14:paraId="13B55C54" w14:textId="77777777" w:rsidR="003D25B8" w:rsidRPr="000A7545" w:rsidRDefault="003D25B8" w:rsidP="00F65A13"/>
    <w:p w14:paraId="13B55C55" w14:textId="77777777" w:rsidR="003D39E1" w:rsidRPr="000A7545" w:rsidRDefault="003D39E1" w:rsidP="003D39E1">
      <w:pPr>
        <w:pStyle w:val="Heading3"/>
        <w:rPr>
          <w:lang w:val="en-GB"/>
        </w:rPr>
      </w:pPr>
      <w:bookmarkStart w:id="45" w:name="_Toc322702767"/>
      <w:r w:rsidRPr="000A7545">
        <w:rPr>
          <w:lang w:val="en-GB"/>
        </w:rPr>
        <w:t>Output 1.2.2: Education personnel improve capacity to teach multi-grades in target schools</w:t>
      </w:r>
      <w:r w:rsidR="00F279B1">
        <w:rPr>
          <w:lang w:val="en-GB"/>
        </w:rPr>
        <w:t xml:space="preserve"> (AusAID)</w:t>
      </w:r>
      <w:bookmarkEnd w:id="45"/>
    </w:p>
    <w:p w14:paraId="13B55C56" w14:textId="77777777" w:rsidR="003D39E1" w:rsidRPr="000A7545" w:rsidRDefault="003D39E1" w:rsidP="003D39E1">
      <w:pPr>
        <w:pStyle w:val="IntenseQuote"/>
        <w:rPr>
          <w:rStyle w:val="Emphasis"/>
          <w:b/>
          <w:bCs w:val="0"/>
          <w:i w:val="0"/>
          <w:u w:val="none"/>
        </w:rPr>
      </w:pPr>
      <w:r w:rsidRPr="000A7545">
        <w:rPr>
          <w:rStyle w:val="Emphasis"/>
          <w:b/>
          <w:bCs w:val="0"/>
          <w:i w:val="0"/>
          <w:u w:val="none"/>
        </w:rPr>
        <w:t>1.2.2a. ToT trainers trained in multi-grade teaching</w:t>
      </w:r>
    </w:p>
    <w:p w14:paraId="13B55C57" w14:textId="77777777" w:rsidR="003D39E1" w:rsidRPr="000A7545" w:rsidRDefault="003D39E1" w:rsidP="003D39E1">
      <w:pPr>
        <w:rPr>
          <w:b/>
          <w:i/>
        </w:rPr>
      </w:pPr>
      <w:r w:rsidRPr="000A7545">
        <w:t>LPMP organized the</w:t>
      </w:r>
      <w:r w:rsidRPr="000A7545">
        <w:rPr>
          <w:i/>
        </w:rPr>
        <w:t xml:space="preserve"> </w:t>
      </w:r>
      <w:r w:rsidR="00E377B2">
        <w:t>Provincial Multi-</w:t>
      </w:r>
      <w:r w:rsidRPr="000A7545">
        <w:t>Grade</w:t>
      </w:r>
      <w:r w:rsidRPr="000A7545">
        <w:rPr>
          <w:i/>
        </w:rPr>
        <w:t xml:space="preserve"> </w:t>
      </w:r>
      <w:r w:rsidRPr="000A7545">
        <w:t>Training of in February 2012 in Jayapura with a total of 46 participants from both provinces and all six target districts (21 male, 25 female). The trainers included 3 representatives from LPMP, 1 Dikpora official, 1 official from each of the provincial universities, 1 SIL staff member and one national trainer from Boalemo District in Gorontalo Province. Training evaluation showed that district level multi-grade master trainers had increased self-confidence to act as ‘agents of change’ for multi-grade schools as the training progressed, so that by the fourth and fifth days of training their self-confidence was very high.</w:t>
      </w:r>
      <w:r w:rsidRPr="000A7545">
        <w:rPr>
          <w:b/>
          <w:i/>
        </w:rPr>
        <w:t xml:space="preserve"> </w:t>
      </w:r>
      <w:r w:rsidRPr="000A7545">
        <w:t>Additionally, all participants reported that the training materials and resource packets to support multi-grade teaching were highly useful.</w:t>
      </w:r>
    </w:p>
    <w:p w14:paraId="13B55C58" w14:textId="77777777" w:rsidR="003D39E1" w:rsidRPr="000A7545" w:rsidRDefault="00B53F1A" w:rsidP="00B53F1A">
      <w:pPr>
        <w:pStyle w:val="Caption"/>
        <w:keepNext/>
        <w:spacing w:after="200"/>
        <w:jc w:val="center"/>
      </w:pPr>
      <w:bookmarkStart w:id="46" w:name="_Toc322710099"/>
      <w:r w:rsidRPr="000A7545">
        <w:t xml:space="preserve">Figure </w:t>
      </w:r>
      <w:fldSimple w:instr=" SEQ Figure \* ARABIC ">
        <w:r w:rsidR="009B4D84">
          <w:rPr>
            <w:noProof/>
          </w:rPr>
          <w:t>8</w:t>
        </w:r>
      </w:fldSimple>
      <w:r w:rsidRPr="000A7545">
        <w:t>: Multi-grade Tot – Results with enhanced skills and confidence</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476"/>
      </w:tblGrid>
      <w:tr w:rsidR="003D39E1" w:rsidRPr="000A7545" w14:paraId="13B55C5B" w14:textId="77777777" w:rsidTr="00AB06AB">
        <w:tc>
          <w:tcPr>
            <w:tcW w:w="4897" w:type="dxa"/>
          </w:tcPr>
          <w:p w14:paraId="13B55C59" w14:textId="77777777" w:rsidR="003D39E1" w:rsidRPr="000A7545" w:rsidRDefault="003D39E1" w:rsidP="00AB06AB">
            <w:pPr>
              <w:contextualSpacing/>
              <w:jc w:val="center"/>
              <w:rPr>
                <w:rFonts w:asciiTheme="majorHAnsi" w:hAnsiTheme="majorHAnsi" w:cstheme="majorHAnsi"/>
                <w:sz w:val="22"/>
                <w:szCs w:val="22"/>
                <w:lang w:val="en-GB"/>
              </w:rPr>
            </w:pPr>
            <w:r w:rsidRPr="000A7545">
              <w:rPr>
                <w:rFonts w:asciiTheme="majorHAnsi" w:hAnsiTheme="majorHAnsi" w:cstheme="majorHAnsi"/>
                <w:noProof/>
                <w:lang w:val="en-AU" w:eastAsia="en-AU"/>
              </w:rPr>
              <w:drawing>
                <wp:inline distT="0" distB="0" distL="0" distR="0" wp14:anchorId="13B565E7" wp14:editId="13B565E8">
                  <wp:extent cx="2852928" cy="2165299"/>
                  <wp:effectExtent l="0" t="0" r="24130" b="26035"/>
                  <wp:docPr id="36962"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345" w:type="dxa"/>
          </w:tcPr>
          <w:p w14:paraId="13B55C5A" w14:textId="77777777" w:rsidR="003D39E1" w:rsidRPr="000A7545" w:rsidRDefault="003D39E1" w:rsidP="00AB06AB">
            <w:pPr>
              <w:contextualSpacing/>
              <w:jc w:val="center"/>
              <w:rPr>
                <w:rFonts w:asciiTheme="majorHAnsi" w:hAnsiTheme="majorHAnsi" w:cstheme="majorHAnsi"/>
                <w:sz w:val="22"/>
                <w:szCs w:val="22"/>
                <w:lang w:val="en-GB"/>
              </w:rPr>
            </w:pPr>
            <w:r w:rsidRPr="000A7545">
              <w:rPr>
                <w:rFonts w:asciiTheme="majorHAnsi" w:hAnsiTheme="majorHAnsi" w:cstheme="majorHAnsi"/>
                <w:noProof/>
                <w:lang w:val="en-AU" w:eastAsia="en-AU"/>
              </w:rPr>
              <w:drawing>
                <wp:inline distT="0" distB="0" distL="0" distR="0" wp14:anchorId="13B565E9" wp14:editId="13B565EA">
                  <wp:extent cx="2695492" cy="2170706"/>
                  <wp:effectExtent l="0" t="0" r="10160" b="20320"/>
                  <wp:docPr id="36963" name="Chart 369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13B55C5C" w14:textId="77777777" w:rsidR="003D39E1" w:rsidRDefault="003D39E1" w:rsidP="003D39E1">
      <w:pPr>
        <w:contextualSpacing/>
        <w:jc w:val="center"/>
        <w:rPr>
          <w:rFonts w:asciiTheme="majorHAnsi" w:hAnsiTheme="majorHAnsi" w:cstheme="majorHAnsi"/>
        </w:rPr>
      </w:pPr>
    </w:p>
    <w:p w14:paraId="13B55C5D" w14:textId="77777777" w:rsidR="00F279B1" w:rsidRDefault="00F279B1" w:rsidP="00725D89">
      <w:r>
        <w:t xml:space="preserve">Additional </w:t>
      </w:r>
      <w:r w:rsidR="00725D89">
        <w:t>activities</w:t>
      </w:r>
      <w:r>
        <w:t xml:space="preserve"> related to the accomplishment of other indicators of improved multi-grade teaching will be rolled out in Q2 and Q3 of 2012.</w:t>
      </w:r>
    </w:p>
    <w:p w14:paraId="13B55C5E" w14:textId="77777777" w:rsidR="00F279B1" w:rsidRPr="000A7545" w:rsidRDefault="00F279B1" w:rsidP="00725D89">
      <w:pPr>
        <w:contextualSpacing/>
        <w:rPr>
          <w:rFonts w:asciiTheme="majorHAnsi" w:hAnsiTheme="majorHAnsi" w:cstheme="majorHAnsi"/>
        </w:rPr>
      </w:pPr>
    </w:p>
    <w:p w14:paraId="13B55C5F" w14:textId="77777777" w:rsidR="003D39E1" w:rsidRPr="000A7545" w:rsidRDefault="003D39E1" w:rsidP="003D39E1"/>
    <w:p w14:paraId="13B55C60" w14:textId="77777777" w:rsidR="00297112" w:rsidRPr="000A7545" w:rsidRDefault="00297112" w:rsidP="009D2810">
      <w:pPr>
        <w:pStyle w:val="Heading3"/>
        <w:ind w:left="630" w:hanging="630"/>
        <w:rPr>
          <w:lang w:val="en-GB"/>
        </w:rPr>
      </w:pPr>
      <w:bookmarkStart w:id="47" w:name="_Toc322702768"/>
      <w:r w:rsidRPr="000A7545">
        <w:rPr>
          <w:lang w:val="en-GB"/>
        </w:rPr>
        <w:t xml:space="preserve">Output 1.2.3: Education personnel improve capacity in </w:t>
      </w:r>
      <w:r w:rsidR="00E377B2">
        <w:rPr>
          <w:lang w:val="en-GB"/>
        </w:rPr>
        <w:t>early-grade</w:t>
      </w:r>
      <w:r w:rsidRPr="000A7545">
        <w:rPr>
          <w:lang w:val="en-GB"/>
        </w:rPr>
        <w:t xml:space="preserve"> teaching in the classroom in target schools</w:t>
      </w:r>
      <w:r w:rsidR="00D92BF5">
        <w:rPr>
          <w:lang w:val="en-GB"/>
        </w:rPr>
        <w:t xml:space="preserve"> (AusAID)</w:t>
      </w:r>
      <w:bookmarkEnd w:id="47"/>
    </w:p>
    <w:p w14:paraId="13B55C61" w14:textId="77777777" w:rsidR="00297112" w:rsidRPr="000A7545" w:rsidRDefault="00297112" w:rsidP="00297112">
      <w:pPr>
        <w:pStyle w:val="IntenseQuote"/>
        <w:rPr>
          <w:rStyle w:val="Emphasis"/>
          <w:bCs w:val="0"/>
          <w:i w:val="0"/>
          <w:u w:val="none"/>
        </w:rPr>
      </w:pPr>
      <w:r w:rsidRPr="000A7545">
        <w:rPr>
          <w:rStyle w:val="Emphasis"/>
          <w:bCs w:val="0"/>
          <w:i w:val="0"/>
          <w:u w:val="none"/>
        </w:rPr>
        <w:t xml:space="preserve">1.2.3a. </w:t>
      </w:r>
      <w:r w:rsidR="00613D1F">
        <w:rPr>
          <w:rStyle w:val="Emphasis"/>
          <w:bCs w:val="0"/>
          <w:i w:val="0"/>
          <w:u w:val="none"/>
        </w:rPr>
        <w:t>M</w:t>
      </w:r>
      <w:r w:rsidRPr="000A7545">
        <w:rPr>
          <w:rStyle w:val="Emphasis"/>
          <w:bCs w:val="0"/>
          <w:i w:val="0"/>
          <w:u w:val="none"/>
        </w:rPr>
        <w:t xml:space="preserve">aster trainers, teachers, principals, supervisors, and community leaders trained in </w:t>
      </w:r>
      <w:r w:rsidR="00E377B2">
        <w:rPr>
          <w:rStyle w:val="Emphasis"/>
          <w:bCs w:val="0"/>
          <w:i w:val="0"/>
          <w:u w:val="none"/>
        </w:rPr>
        <w:t>early-grade</w:t>
      </w:r>
      <w:r w:rsidRPr="000A7545">
        <w:rPr>
          <w:rStyle w:val="Emphasis"/>
          <w:bCs w:val="0"/>
          <w:i w:val="0"/>
          <w:u w:val="none"/>
        </w:rPr>
        <w:t xml:space="preserve"> teaching</w:t>
      </w:r>
    </w:p>
    <w:p w14:paraId="13B55C62" w14:textId="77777777" w:rsidR="00297112" w:rsidRPr="000A7545" w:rsidRDefault="00297112" w:rsidP="00297112">
      <w:r w:rsidRPr="000A7545">
        <w:t xml:space="preserve">TOT for </w:t>
      </w:r>
      <w:r w:rsidR="00E377B2">
        <w:t>early-grade</w:t>
      </w:r>
      <w:r w:rsidRPr="000A7545">
        <w:t xml:space="preserve"> master trainers was conducted in Pa</w:t>
      </w:r>
      <w:r w:rsidR="000537E2">
        <w:t>pua province during early July.</w:t>
      </w:r>
      <w:r w:rsidRPr="000A7545">
        <w:t xml:space="preserve"> This training included some 32 master trainers</w:t>
      </w:r>
      <w:r w:rsidR="006961D7">
        <w:t xml:space="preserve"> (13 male, 19 female)</w:t>
      </w:r>
      <w:r w:rsidRPr="000A7545">
        <w:t xml:space="preserve"> representing Principals, teacher, school supervisor, from all districts in West Papua and Papua Province, LPMP trainer, and University lecturers. The agreed upon criteria for the selection of candidates for district level master trainers (see annex) was geared toward ensuring that a local pool of trainers with sufficient experience, motivation and energy to travel to remote schools, would be available in target districts to provide regular mentoring support to model schools, school cluster mechanisms, and routine mentoring of schools.</w:t>
      </w:r>
      <w:r w:rsidRPr="000A7545">
        <w:rPr>
          <w:rStyle w:val="FootnoteReference"/>
          <w:rFonts w:asciiTheme="majorHAnsi" w:hAnsiTheme="majorHAnsi" w:cstheme="majorHAnsi"/>
        </w:rPr>
        <w:footnoteReference w:id="11"/>
      </w:r>
    </w:p>
    <w:p w14:paraId="13B55C63" w14:textId="77777777" w:rsidR="00297112" w:rsidRPr="000A7545" w:rsidRDefault="00297112" w:rsidP="00297112">
      <w:r w:rsidRPr="000A7545">
        <w:t xml:space="preserve">All district trainers were required to sign ‘learning contracts’ to ensure commitment to full participation </w:t>
      </w:r>
      <w:r w:rsidR="000537E2">
        <w:t>in all</w:t>
      </w:r>
      <w:r w:rsidRPr="000A7545">
        <w:t xml:space="preserve"> training sessions and, more importantly, to conduct follow-up training and mentoring to model </w:t>
      </w:r>
      <w:r w:rsidR="00E377B2">
        <w:t>early-grade</w:t>
      </w:r>
      <w:r w:rsidRPr="000A7545">
        <w:t xml:space="preserve"> schools in remote areas of their respective districts. The ToT’s included ‘pre-</w:t>
      </w:r>
      <w:r w:rsidR="000537E2" w:rsidRPr="000A7545">
        <w:t>‘</w:t>
      </w:r>
      <w:r w:rsidR="000537E2">
        <w:t xml:space="preserve"> </w:t>
      </w:r>
      <w:r w:rsidR="000537E2" w:rsidRPr="000A7545">
        <w:t>and</w:t>
      </w:r>
      <w:r w:rsidRPr="000A7545">
        <w:t xml:space="preserve"> ‘post-test’ training evaluations to measure the increase of knowledge transferred during the trainings and to measure increased confidence. Participants were also required to complete a ‘daily journal’ for self-review and evaluation.</w:t>
      </w:r>
    </w:p>
    <w:p w14:paraId="13B55C64" w14:textId="77777777" w:rsidR="006961D7" w:rsidRDefault="00297112" w:rsidP="00297112">
      <w:r w:rsidRPr="000A7545">
        <w:t xml:space="preserve">At the end </w:t>
      </w:r>
      <w:r w:rsidR="00403721" w:rsidRPr="000A7545">
        <w:t xml:space="preserve">of </w:t>
      </w:r>
      <w:r w:rsidRPr="000A7545">
        <w:t xml:space="preserve">the provincial ToT, each team of district master trainers was required to develop follow-up action plans </w:t>
      </w:r>
      <w:r w:rsidR="00613D1F">
        <w:t>on</w:t>
      </w:r>
      <w:r w:rsidRPr="000A7545">
        <w:t xml:space="preserve"> how best to implement early-grade training in their respective districts based on local conditions and needs and identify how district trainers could most effectively act as agents of behavioural change at school level (first through model schools and then through school cluster mechanisms).</w:t>
      </w:r>
    </w:p>
    <w:p w14:paraId="13B55C65" w14:textId="77777777" w:rsidR="00241AB0" w:rsidRDefault="00241AB0" w:rsidP="00297112">
      <w:r>
        <w:t>In addition to Master Trainers, 942 teachers (572 males, 370 female) as well as 240 principals (186 male, 54 female) were trained in early-grade teaching via school clusters/KKGs.</w:t>
      </w:r>
    </w:p>
    <w:p w14:paraId="13B55C66" w14:textId="77777777" w:rsidR="00297112" w:rsidRPr="000A7545" w:rsidRDefault="00297112" w:rsidP="00297112">
      <w:r w:rsidRPr="000A7545">
        <w:t>During 2011 a key weakness identified among teachers in schools, both in urban and remote areas, was the extent to which they are ill prepared to take on teaching duties when beginning their careers. To overcome this challenge and in support of government pre-service training and teacher certification programmes via local universities, the programme has explored methods for mainstreaming teacher suppo</w:t>
      </w:r>
      <w:r w:rsidR="00E377B2">
        <w:t>rt materials (SBM, Early-</w:t>
      </w:r>
      <w:r w:rsidRPr="000A7545">
        <w:t>Grade and Multi-Grade) via local universities.</w:t>
      </w:r>
    </w:p>
    <w:p w14:paraId="13B55C67" w14:textId="77777777" w:rsidR="00297112" w:rsidRPr="000A7545" w:rsidRDefault="00297112" w:rsidP="00297112">
      <w:r w:rsidRPr="000A7545">
        <w:t>This work has been done together with local partners and universities in West Papua and Papua (UNIPA and STKIP Muham</w:t>
      </w:r>
      <w:r w:rsidR="00185221" w:rsidRPr="000A7545">
        <w:t xml:space="preserve">madiyah Manokwari, and UNCEN). </w:t>
      </w:r>
      <w:r w:rsidRPr="000A7545">
        <w:t>An initial mainstreaming workshop was conducted in West Papua toward the end of 2011 over a period of four days with over 25 participants from local universi</w:t>
      </w:r>
      <w:r w:rsidR="00185221" w:rsidRPr="000A7545">
        <w:t xml:space="preserve">ties in the education faculty. </w:t>
      </w:r>
      <w:r w:rsidRPr="000A7545">
        <w:t>Participant evaluation of the workshop showed that participants felt the materials introduced are very relevant to improving the preparedness of teachers before beginning work in schools and commitments to begin integrating teacher quality improvement materials into the teacher curriculum in university. A similar approach was followed in Papua Province in UNCEN with 22 participants hosted by t</w:t>
      </w:r>
      <w:r w:rsidR="00185221" w:rsidRPr="000A7545">
        <w:t xml:space="preserve">he LPMP (28-30 November 2011). </w:t>
      </w:r>
      <w:r w:rsidRPr="000A7545">
        <w:t>Evaluations conducted of the workshop in Papua showed that participants gained a str</w:t>
      </w:r>
      <w:r w:rsidR="00E377B2">
        <w:t>ong understanding of SBM, Early-</w:t>
      </w:r>
      <w:r w:rsidRPr="000A7545">
        <w:t>Grade and Multi-Grade (increasing from a score of 42 to 86 for SBM, from 1</w:t>
      </w:r>
      <w:r w:rsidR="00E377B2">
        <w:t>5 to 76 for early-g</w:t>
      </w:r>
      <w:r w:rsidRPr="000A7545">
        <w:t xml:space="preserve">rades, and from 8 to 70 for multi-grades).  Additionally, ‘willingness’ to institutionalize SBM, </w:t>
      </w:r>
      <w:r w:rsidR="00E377B2">
        <w:t>Early-grade</w:t>
      </w:r>
      <w:r w:rsidRPr="000A7545">
        <w:t>, and multi-grade materials into university teacher training curriculums rose dramatically across all materials (as low as 3% for multi-grade materials) to 100% of participants for all materials.</w:t>
      </w:r>
    </w:p>
    <w:p w14:paraId="13B55C68" w14:textId="77777777" w:rsidR="00297112" w:rsidRPr="000A7545" w:rsidRDefault="00297112" w:rsidP="00297112"/>
    <w:p w14:paraId="13B55C69" w14:textId="77777777" w:rsidR="009D2810" w:rsidRPr="000A7545" w:rsidRDefault="009D2810" w:rsidP="009D2810">
      <w:pPr>
        <w:pStyle w:val="Caption"/>
        <w:spacing w:after="200"/>
      </w:pPr>
      <w:bookmarkStart w:id="48" w:name="_Toc322710100"/>
      <w:r w:rsidRPr="000A7545">
        <w:t xml:space="preserve">Figure </w:t>
      </w:r>
      <w:fldSimple w:instr=" SEQ Figure \* ARABIC ">
        <w:r w:rsidR="009B4D84">
          <w:rPr>
            <w:noProof/>
          </w:rPr>
          <w:t>9</w:t>
        </w:r>
      </w:fldSimple>
      <w:r w:rsidRPr="000A7545">
        <w:t>: Mainstreaming SBM, EG and MG to University Teacher Programmes</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31"/>
      </w:tblGrid>
      <w:tr w:rsidR="00297112" w:rsidRPr="000A7545" w14:paraId="13B55C6C" w14:textId="77777777" w:rsidTr="00AB06AB">
        <w:tc>
          <w:tcPr>
            <w:tcW w:w="4431" w:type="dxa"/>
          </w:tcPr>
          <w:p w14:paraId="13B55C6A" w14:textId="77777777" w:rsidR="00297112" w:rsidRPr="000A7545" w:rsidRDefault="00297112" w:rsidP="00AB06AB">
            <w:pPr>
              <w:rPr>
                <w:rFonts w:asciiTheme="majorHAnsi" w:hAnsiTheme="majorHAnsi" w:cstheme="majorHAnsi"/>
                <w:sz w:val="22"/>
                <w:szCs w:val="22"/>
                <w:lang w:val="en-GB"/>
              </w:rPr>
            </w:pPr>
            <w:r w:rsidRPr="000A7545">
              <w:rPr>
                <w:rFonts w:asciiTheme="majorHAnsi" w:hAnsiTheme="majorHAnsi" w:cstheme="majorHAnsi"/>
                <w:noProof/>
                <w:color w:val="4F81BD" w:themeColor="accent1"/>
                <w:lang w:val="en-AU" w:eastAsia="en-AU"/>
              </w:rPr>
              <w:drawing>
                <wp:anchor distT="0" distB="0" distL="114300" distR="114300" simplePos="0" relativeHeight="251676672" behindDoc="0" locked="0" layoutInCell="1" allowOverlap="1" wp14:anchorId="13B565EB" wp14:editId="13B565EC">
                  <wp:simplePos x="0" y="0"/>
                  <wp:positionH relativeFrom="column">
                    <wp:posOffset>6985</wp:posOffset>
                  </wp:positionH>
                  <wp:positionV relativeFrom="paragraph">
                    <wp:posOffset>46990</wp:posOffset>
                  </wp:positionV>
                  <wp:extent cx="2698750" cy="2172335"/>
                  <wp:effectExtent l="0" t="0" r="25400" b="18415"/>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c>
        <w:tc>
          <w:tcPr>
            <w:tcW w:w="4431" w:type="dxa"/>
          </w:tcPr>
          <w:p w14:paraId="13B55C6B" w14:textId="77777777" w:rsidR="00297112" w:rsidRPr="000A7545" w:rsidRDefault="00297112" w:rsidP="00AB06AB">
            <w:pPr>
              <w:rPr>
                <w:rFonts w:asciiTheme="majorHAnsi" w:hAnsiTheme="majorHAnsi" w:cstheme="majorHAnsi"/>
                <w:sz w:val="22"/>
                <w:szCs w:val="22"/>
                <w:lang w:val="en-GB"/>
              </w:rPr>
            </w:pPr>
            <w:r w:rsidRPr="000A7545">
              <w:rPr>
                <w:rFonts w:asciiTheme="majorHAnsi" w:hAnsiTheme="majorHAnsi" w:cstheme="majorHAnsi"/>
                <w:noProof/>
                <w:color w:val="4F81BD" w:themeColor="accent1"/>
                <w:lang w:val="en-AU" w:eastAsia="en-AU"/>
              </w:rPr>
              <w:drawing>
                <wp:inline distT="0" distB="0" distL="0" distR="0" wp14:anchorId="13B565ED" wp14:editId="13B565EE">
                  <wp:extent cx="2596896" cy="2216505"/>
                  <wp:effectExtent l="0" t="0" r="13335"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13B55C6D" w14:textId="77777777" w:rsidR="00297112" w:rsidRPr="000A7545" w:rsidRDefault="00297112" w:rsidP="00297112">
      <w:r w:rsidRPr="000A7545">
        <w:t>Participants in UNCEN also agreed to a clear strategy for mainstreaming materials into university curriculum so that: 1) all students w</w:t>
      </w:r>
      <w:r w:rsidR="00F75548">
        <w:t>ho</w:t>
      </w:r>
      <w:r w:rsidRPr="000A7545">
        <w:t xml:space="preserve"> conduct field practice, must practice the concept of SBM, 2) The concept of MBS can be integrated in the curriculum of 13 study departments of FKIP, 3) that EGT and MGT will be introduced into teaching education programs and a one-year field practice component required to obtain certification as a teacher, and 4) all three approaches of SBM, EG and MG will be introduced to teacher certification trainings.</w:t>
      </w:r>
    </w:p>
    <w:p w14:paraId="13B55C6E" w14:textId="77777777" w:rsidR="00297112" w:rsidRPr="000A7545" w:rsidRDefault="00297112" w:rsidP="00297112"/>
    <w:p w14:paraId="13B55C6F" w14:textId="77777777" w:rsidR="00297112" w:rsidRPr="000A7545" w:rsidRDefault="00297112" w:rsidP="00297112">
      <w:pPr>
        <w:pStyle w:val="IntenseQuote"/>
        <w:rPr>
          <w:rStyle w:val="Emphasis"/>
          <w:i w:val="0"/>
          <w:u w:val="none"/>
        </w:rPr>
      </w:pPr>
      <w:r w:rsidRPr="000A7545">
        <w:rPr>
          <w:rStyle w:val="Emphasis"/>
          <w:i w:val="0"/>
          <w:u w:val="none"/>
        </w:rPr>
        <w:t xml:space="preserve">1.2.3b. </w:t>
      </w:r>
      <w:r w:rsidR="00F75548">
        <w:rPr>
          <w:rStyle w:val="Emphasis"/>
          <w:i w:val="0"/>
          <w:u w:val="none"/>
        </w:rPr>
        <w:t>T</w:t>
      </w:r>
      <w:r w:rsidRPr="000A7545">
        <w:rPr>
          <w:rStyle w:val="Emphasis"/>
          <w:i w:val="0"/>
          <w:u w:val="none"/>
        </w:rPr>
        <w:t xml:space="preserve">eachers applying improved </w:t>
      </w:r>
      <w:r w:rsidR="00E377B2">
        <w:rPr>
          <w:rStyle w:val="Emphasis"/>
          <w:i w:val="0"/>
          <w:u w:val="none"/>
        </w:rPr>
        <w:t>early-grade</w:t>
      </w:r>
      <w:r w:rsidRPr="000A7545">
        <w:rPr>
          <w:rStyle w:val="Emphasis"/>
          <w:i w:val="0"/>
          <w:u w:val="none"/>
        </w:rPr>
        <w:t xml:space="preserve"> teaching in the classroom</w:t>
      </w:r>
    </w:p>
    <w:p w14:paraId="13B55C70" w14:textId="77777777" w:rsidR="00297112" w:rsidRPr="000A7545" w:rsidRDefault="00297112" w:rsidP="00297112">
      <w:r w:rsidRPr="000A7545">
        <w:t xml:space="preserve">District level training for </w:t>
      </w:r>
      <w:r w:rsidR="00E377B2">
        <w:t>early-grade</w:t>
      </w:r>
      <w:r w:rsidRPr="000A7545">
        <w:t xml:space="preserve"> model school only began roll-out during November 2011 across target districts. This delay was caused by the several revisions of early-grade materials that were underway from June to October 2011. As a result, it was January 2012 when early-grade support to model schools began. Support to satellite schools via school clusters had literally begun on a limited basis during January of 2012 across all locations. Considering how recently these activities have been launched at school and cluster level, it is premature to seek significant changes at school and classroom levels. Such programme effects will be reported on in the final assessment.</w:t>
      </w:r>
    </w:p>
    <w:p w14:paraId="13B55C71" w14:textId="77777777" w:rsidR="00297112" w:rsidRPr="000A7545" w:rsidRDefault="00297112" w:rsidP="00297112">
      <w:r w:rsidRPr="000A7545">
        <w:t xml:space="preserve">During the period December 2011 </w:t>
      </w:r>
      <w:r w:rsidR="00FA2BE9">
        <w:t xml:space="preserve">to </w:t>
      </w:r>
      <w:r w:rsidRPr="000A7545">
        <w:t>February 2012</w:t>
      </w:r>
      <w:r w:rsidR="00403721" w:rsidRPr="000A7545">
        <w:t>, a</w:t>
      </w:r>
      <w:r w:rsidRPr="000A7545">
        <w:t xml:space="preserve"> period of two months, 28 model </w:t>
      </w:r>
      <w:r w:rsidR="00E377B2">
        <w:t>early-grade</w:t>
      </w:r>
      <w:r w:rsidRPr="000A7545">
        <w:t xml:space="preserve"> schools in Sorong and Manokwari received a first round of mentoring. This round targeted 93 teachers (61 male</w:t>
      </w:r>
      <w:r w:rsidR="00FA2BE9">
        <w:t>,</w:t>
      </w:r>
      <w:r w:rsidRPr="000A7545">
        <w:t xml:space="preserve"> 32 female), while some 103 satellite schools sent a total of 422 teachers (186 male, 236 female) to attend training via school cluster mechanisms. Via the school cluster mechanisms in West Papua, this represents school coverage that is 4 times greater than direct intervention via model schools and a teacher coverage 4 times greater over a period of two months.</w:t>
      </w:r>
      <w:r w:rsidRPr="000A7545">
        <w:rPr>
          <w:rStyle w:val="FootnoteReference"/>
          <w:rFonts w:asciiTheme="majorHAnsi" w:hAnsiTheme="majorHAnsi" w:cstheme="majorHAnsi"/>
        </w:rPr>
        <w:footnoteReference w:id="12"/>
      </w:r>
      <w:r w:rsidRPr="000A7545">
        <w:t xml:space="preserve"> However, significant follow-up is required to ensure that the quality of cluster level training provided leads to the desired results of enhanced teacher confidence and skills and the actual putting this training into practice in </w:t>
      </w:r>
      <w:r w:rsidR="00E377B2">
        <w:t>early-grade</w:t>
      </w:r>
      <w:r w:rsidRPr="000A7545">
        <w:t xml:space="preserve"> classrooms.</w:t>
      </w:r>
    </w:p>
    <w:p w14:paraId="13B55C72" w14:textId="77777777" w:rsidR="00297112" w:rsidRPr="000A7545" w:rsidRDefault="00297112" w:rsidP="00297112">
      <w:pPr>
        <w:rPr>
          <w:i/>
        </w:rPr>
      </w:pPr>
      <w:r w:rsidRPr="000A7545">
        <w:rPr>
          <w:i/>
        </w:rPr>
        <w:t>Promising innovations for improved KKGs/KKKs in remote areas</w:t>
      </w:r>
    </w:p>
    <w:p w14:paraId="13B55C73" w14:textId="77777777" w:rsidR="00297112" w:rsidRPr="000A7545" w:rsidRDefault="00297112" w:rsidP="00297112">
      <w:r w:rsidRPr="000A7545">
        <w:t>Promising innovations for providing support to rural and remote schools has also emerged in Papua and West Papua. For example, in Sorong District, schools supervisors have been using a ‘buddy system’ to overcome concerns of an undersupply of trainers in remote areas. As another example, in Biak Numfor, during Renstra development process, the programme identified sub-district education branches as key to reach out to remote schools and encourage regular implementation of teacher working group meetings in rural/remote areas. There are currently sub-district education offices albeit without clear structure or job description. The Biak District Education Office has submitted a formal request in September 2011 to the Head of District to formalize the ad hoc institution of sub-district education offices, and provide clear job descriptions as well as an annual budget allocation.</w:t>
      </w:r>
    </w:p>
    <w:p w14:paraId="13B55C74" w14:textId="77777777" w:rsidR="00297112" w:rsidRPr="000A7545" w:rsidRDefault="00297112" w:rsidP="00297112">
      <w:pPr>
        <w:rPr>
          <w:rFonts w:asciiTheme="majorHAnsi" w:hAnsiTheme="majorHAnsi" w:cstheme="majorHAnsi"/>
        </w:rPr>
      </w:pPr>
    </w:p>
    <w:tbl>
      <w:tblPr>
        <w:tblStyle w:val="TableGrid"/>
        <w:tblW w:w="8937" w:type="dxa"/>
        <w:shd w:val="clear" w:color="auto" w:fill="FABF8F" w:themeFill="accent6" w:themeFillTint="99"/>
        <w:tblLook w:val="04A0" w:firstRow="1" w:lastRow="0" w:firstColumn="1" w:lastColumn="0" w:noHBand="0" w:noVBand="1"/>
      </w:tblPr>
      <w:tblGrid>
        <w:gridCol w:w="8937"/>
      </w:tblGrid>
      <w:tr w:rsidR="00297112" w:rsidRPr="000A7545" w14:paraId="13B55C77" w14:textId="77777777" w:rsidTr="00F94699">
        <w:trPr>
          <w:trHeight w:val="4913"/>
        </w:trPr>
        <w:tc>
          <w:tcPr>
            <w:tcW w:w="8937" w:type="dxa"/>
            <w:shd w:val="clear" w:color="auto" w:fill="FABF8F" w:themeFill="accent6" w:themeFillTint="99"/>
          </w:tcPr>
          <w:p w14:paraId="13B55C75" w14:textId="77777777" w:rsidR="00297112" w:rsidRPr="000A7545" w:rsidRDefault="00297112" w:rsidP="00AB06AB">
            <w:pPr>
              <w:jc w:val="center"/>
              <w:rPr>
                <w:rFonts w:cs="Arial"/>
                <w:b/>
                <w:sz w:val="22"/>
                <w:szCs w:val="22"/>
                <w:lang w:val="en-GB"/>
              </w:rPr>
            </w:pPr>
            <w:r w:rsidRPr="000A7545">
              <w:rPr>
                <w:rFonts w:cs="Arial"/>
                <w:b/>
                <w:sz w:val="22"/>
                <w:szCs w:val="22"/>
                <w:lang w:val="en-GB"/>
              </w:rPr>
              <w:t xml:space="preserve">Support to Rural Areas through Sub-district Mechanisms – </w:t>
            </w:r>
          </w:p>
          <w:p w14:paraId="13B55C76" w14:textId="77777777" w:rsidR="00297112" w:rsidRPr="000A7545" w:rsidRDefault="00F94699" w:rsidP="00AB06AB">
            <w:pPr>
              <w:jc w:val="center"/>
              <w:rPr>
                <w:rFonts w:asciiTheme="majorHAnsi" w:hAnsiTheme="majorHAnsi" w:cstheme="majorHAnsi"/>
                <w:b/>
                <w:sz w:val="22"/>
                <w:szCs w:val="22"/>
                <w:lang w:val="en-GB"/>
              </w:rPr>
            </w:pPr>
            <w:r w:rsidRPr="000A7545">
              <w:rPr>
                <w:rFonts w:cs="Arial"/>
                <w:noProof/>
                <w:lang w:val="en-AU" w:eastAsia="en-AU"/>
              </w:rPr>
              <w:drawing>
                <wp:anchor distT="0" distB="0" distL="114300" distR="114300" simplePos="0" relativeHeight="251673600" behindDoc="0" locked="0" layoutInCell="1" allowOverlap="1" wp14:anchorId="13B565EF" wp14:editId="13B565F0">
                  <wp:simplePos x="0" y="0"/>
                  <wp:positionH relativeFrom="margin">
                    <wp:posOffset>921385</wp:posOffset>
                  </wp:positionH>
                  <wp:positionV relativeFrom="margin">
                    <wp:posOffset>604520</wp:posOffset>
                  </wp:positionV>
                  <wp:extent cx="3578860" cy="2377440"/>
                  <wp:effectExtent l="0" t="0" r="2540" b="3810"/>
                  <wp:wrapSquare wrapText="bothSides"/>
                  <wp:docPr id="36965" name="Picture 19" descr="Z:\PUBLIC\PICTURES\EAD\Education\MBS Jayawijaya\DSC_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PICTURES\EAD\Education\MBS Jayawijaya\DSC_010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78860" cy="2377440"/>
                          </a:xfrm>
                          <a:prstGeom prst="rect">
                            <a:avLst/>
                          </a:prstGeom>
                          <a:noFill/>
                          <a:ln>
                            <a:noFill/>
                          </a:ln>
                        </pic:spPr>
                      </pic:pic>
                    </a:graphicData>
                  </a:graphic>
                </wp:anchor>
              </w:drawing>
            </w:r>
            <w:r w:rsidR="00297112" w:rsidRPr="000A7545">
              <w:rPr>
                <w:rFonts w:cs="Arial"/>
                <w:b/>
                <w:sz w:val="22"/>
                <w:szCs w:val="22"/>
                <w:lang w:val="en-GB"/>
              </w:rPr>
              <w:t>A model for Supporting Change at School Level</w:t>
            </w:r>
          </w:p>
        </w:tc>
      </w:tr>
      <w:tr w:rsidR="00297112" w:rsidRPr="000A7545" w14:paraId="13B55C7B" w14:textId="77777777" w:rsidTr="00AB06AB">
        <w:trPr>
          <w:trHeight w:val="3485"/>
        </w:trPr>
        <w:tc>
          <w:tcPr>
            <w:tcW w:w="8937" w:type="dxa"/>
            <w:shd w:val="clear" w:color="auto" w:fill="FABF8F" w:themeFill="accent6" w:themeFillTint="99"/>
          </w:tcPr>
          <w:p w14:paraId="13B55C78" w14:textId="77777777" w:rsidR="00297112" w:rsidRPr="000A7545" w:rsidRDefault="00297112" w:rsidP="00AB06AB">
            <w:pPr>
              <w:rPr>
                <w:rFonts w:cs="Arial"/>
                <w:sz w:val="22"/>
                <w:szCs w:val="22"/>
                <w:lang w:val="en-GB"/>
              </w:rPr>
            </w:pPr>
          </w:p>
          <w:p w14:paraId="13B55C79" w14:textId="77777777" w:rsidR="00297112" w:rsidRPr="000A7545" w:rsidRDefault="00297112" w:rsidP="00AB06AB">
            <w:pPr>
              <w:rPr>
                <w:rFonts w:cs="Arial"/>
                <w:sz w:val="22"/>
                <w:szCs w:val="22"/>
                <w:lang w:val="en-GB"/>
              </w:rPr>
            </w:pPr>
            <w:r w:rsidRPr="000A7545">
              <w:rPr>
                <w:rFonts w:cs="Arial"/>
                <w:sz w:val="22"/>
                <w:szCs w:val="22"/>
                <w:lang w:val="en-GB"/>
              </w:rPr>
              <w:t xml:space="preserve">The head of the sub-district education office pictured above participated in leadership and </w:t>
            </w:r>
            <w:r w:rsidR="00E377B2">
              <w:rPr>
                <w:rFonts w:cs="Arial"/>
                <w:sz w:val="22"/>
                <w:szCs w:val="22"/>
                <w:lang w:val="en-GB"/>
              </w:rPr>
              <w:t>early-grade</w:t>
            </w:r>
            <w:r w:rsidRPr="000A7545">
              <w:rPr>
                <w:rFonts w:cs="Arial"/>
                <w:sz w:val="22"/>
                <w:szCs w:val="22"/>
                <w:lang w:val="en-GB"/>
              </w:rPr>
              <w:t xml:space="preserve"> trainings conducted by district education office in November, and has visited each satellite school every other week, bringing one </w:t>
            </w:r>
            <w:r w:rsidR="00E377B2">
              <w:rPr>
                <w:rFonts w:cs="Arial"/>
                <w:sz w:val="22"/>
                <w:szCs w:val="22"/>
                <w:lang w:val="en-GB"/>
              </w:rPr>
              <w:t>early-grade</w:t>
            </w:r>
            <w:r w:rsidRPr="000A7545">
              <w:rPr>
                <w:rFonts w:cs="Arial"/>
                <w:sz w:val="22"/>
                <w:szCs w:val="22"/>
                <w:lang w:val="en-GB"/>
              </w:rPr>
              <w:t xml:space="preserve"> teacher from the model school to accompany him and train satellite school teachers. Inspired by this leadership, the principals of model and satellite schools, who previously meet once at the district, have met twice at the cluster level between November 2011 and January 2012. The meetings resulted in schools’ commitment to allocate funds for cluster level meetings via BOS.</w:t>
            </w:r>
          </w:p>
          <w:p w14:paraId="13B55C7A" w14:textId="77777777" w:rsidR="00297112" w:rsidRPr="000A7545" w:rsidRDefault="00297112" w:rsidP="00AB06AB">
            <w:pPr>
              <w:rPr>
                <w:rFonts w:asciiTheme="majorHAnsi" w:hAnsiTheme="majorHAnsi" w:cstheme="majorHAnsi"/>
                <w:sz w:val="22"/>
                <w:szCs w:val="22"/>
                <w:lang w:val="en-GB"/>
              </w:rPr>
            </w:pPr>
            <w:r w:rsidRPr="000A7545">
              <w:rPr>
                <w:rFonts w:cs="Arial"/>
                <w:sz w:val="22"/>
                <w:szCs w:val="22"/>
                <w:lang w:val="en-GB"/>
              </w:rPr>
              <w:t xml:space="preserve">The cluster agenda has been to share experiences for </w:t>
            </w:r>
            <w:r w:rsidR="00E377B2">
              <w:rPr>
                <w:rFonts w:cs="Arial"/>
                <w:sz w:val="22"/>
                <w:szCs w:val="22"/>
                <w:lang w:val="en-GB"/>
              </w:rPr>
              <w:t>early-grade</w:t>
            </w:r>
            <w:r w:rsidRPr="000A7545">
              <w:rPr>
                <w:rFonts w:cs="Arial"/>
                <w:sz w:val="22"/>
                <w:szCs w:val="22"/>
                <w:lang w:val="en-GB"/>
              </w:rPr>
              <w:t xml:space="preserve"> teaching. Although the changes in teaching practices have yet to be demonstrated clearly, 16 </w:t>
            </w:r>
            <w:r w:rsidR="00E377B2">
              <w:rPr>
                <w:rFonts w:cs="Arial"/>
                <w:sz w:val="22"/>
                <w:szCs w:val="22"/>
                <w:lang w:val="en-GB"/>
              </w:rPr>
              <w:t>early-grade</w:t>
            </w:r>
            <w:r w:rsidRPr="000A7545">
              <w:rPr>
                <w:rFonts w:cs="Arial"/>
                <w:sz w:val="22"/>
                <w:szCs w:val="22"/>
                <w:lang w:val="en-GB"/>
              </w:rPr>
              <w:t xml:space="preserve"> teachers in that cluster are now equipped with </w:t>
            </w:r>
            <w:r w:rsidR="00E377B2">
              <w:rPr>
                <w:rFonts w:cs="Arial"/>
                <w:sz w:val="22"/>
                <w:szCs w:val="22"/>
                <w:lang w:val="en-GB"/>
              </w:rPr>
              <w:t>early-grade</w:t>
            </w:r>
            <w:r w:rsidRPr="000A7545">
              <w:rPr>
                <w:rFonts w:cs="Arial"/>
                <w:sz w:val="22"/>
                <w:szCs w:val="22"/>
                <w:lang w:val="en-GB"/>
              </w:rPr>
              <w:t xml:space="preserve"> syllabi and lesson plans using thematic approaches as a result of the cluster meetings.</w:t>
            </w:r>
          </w:p>
        </w:tc>
      </w:tr>
    </w:tbl>
    <w:p w14:paraId="13B55C7C" w14:textId="77777777" w:rsidR="00297112" w:rsidRPr="000A7545" w:rsidRDefault="00297112" w:rsidP="00297112">
      <w:pPr>
        <w:rPr>
          <w:rFonts w:asciiTheme="majorHAnsi" w:hAnsiTheme="majorHAnsi" w:cstheme="majorHAnsi"/>
        </w:rPr>
      </w:pPr>
    </w:p>
    <w:p w14:paraId="13B55C7D" w14:textId="77777777" w:rsidR="003D39E1" w:rsidRPr="000A7545" w:rsidRDefault="003D39E1" w:rsidP="003D39E1">
      <w:pPr>
        <w:rPr>
          <w:rFonts w:asciiTheme="majorHAnsi" w:hAnsiTheme="majorHAnsi" w:cstheme="majorHAnsi"/>
        </w:rPr>
      </w:pPr>
    </w:p>
    <w:p w14:paraId="13B55C7E" w14:textId="77777777" w:rsidR="002B53B2" w:rsidRPr="000A7545" w:rsidRDefault="002B53B2" w:rsidP="00185221">
      <w:pPr>
        <w:pStyle w:val="Heading3"/>
        <w:numPr>
          <w:ilvl w:val="0"/>
          <w:numId w:val="0"/>
        </w:numPr>
        <w:ind w:left="360" w:hanging="360"/>
        <w:rPr>
          <w:lang w:val="en-GB"/>
        </w:rPr>
      </w:pPr>
      <w:bookmarkStart w:id="49" w:name="_Toc322702769"/>
      <w:r w:rsidRPr="000A7545">
        <w:rPr>
          <w:lang w:val="en-GB"/>
        </w:rPr>
        <w:t>Output 1.2.4: Schools use AJEL, multi-grade and early-grade teacher resource kits and materials</w:t>
      </w:r>
      <w:r w:rsidR="00D92BF5">
        <w:rPr>
          <w:lang w:val="en-GB"/>
        </w:rPr>
        <w:t xml:space="preserve"> (AusAID)</w:t>
      </w:r>
      <w:bookmarkEnd w:id="49"/>
    </w:p>
    <w:p w14:paraId="13B55C7F" w14:textId="77777777" w:rsidR="002B53B2" w:rsidRDefault="002B53B2" w:rsidP="002B53B2">
      <w:r w:rsidRPr="000A7545">
        <w:t>During the reporting period, UNICEF worked with a number of government and non-government counterparts to finalize the development and distribution of the following AJEL, multi</w:t>
      </w:r>
      <w:r w:rsidR="006E1B73" w:rsidRPr="000A7545">
        <w:t>-</w:t>
      </w:r>
      <w:r w:rsidRPr="000A7545">
        <w:t xml:space="preserve">grade and </w:t>
      </w:r>
      <w:r w:rsidR="00E377B2">
        <w:t>early-grade</w:t>
      </w:r>
      <w:r w:rsidRPr="000A7545">
        <w:t xml:space="preserve"> teaching resource kits and materials.</w:t>
      </w:r>
    </w:p>
    <w:p w14:paraId="13B55C80" w14:textId="77777777" w:rsidR="00A73970" w:rsidRPr="000A7545" w:rsidRDefault="00A73970" w:rsidP="002B53B2"/>
    <w:p w14:paraId="13B55C81" w14:textId="77777777" w:rsidR="00A73970" w:rsidRPr="000A7545" w:rsidRDefault="00237116" w:rsidP="00A73970">
      <w:pPr>
        <w:pStyle w:val="IntenseQuote"/>
        <w:rPr>
          <w:rStyle w:val="Emphasis"/>
          <w:i w:val="0"/>
          <w:u w:val="none"/>
        </w:rPr>
      </w:pPr>
      <w:r>
        <w:t>1.2.4a.</w:t>
      </w:r>
      <w:r w:rsidR="00A73970">
        <w:t>, 1.2.4b., 1.2.4c., 1.2.4d.</w:t>
      </w:r>
      <w:r>
        <w:t xml:space="preserve"> Schools have access to multi-grade and early-grade </w:t>
      </w:r>
      <w:r w:rsidR="00A73970">
        <w:t xml:space="preserve">teacher </w:t>
      </w:r>
      <w:r>
        <w:t>resource kits as well as literacy and numeracy toolkits</w:t>
      </w:r>
      <w:r w:rsidR="00A73970">
        <w:rPr>
          <w:rStyle w:val="Emphasis"/>
          <w:i w:val="0"/>
          <w:u w:val="none"/>
        </w:rPr>
        <w:t>, and AJEL teacher resource kits</w:t>
      </w:r>
    </w:p>
    <w:p w14:paraId="13B55C82" w14:textId="77777777" w:rsidR="00A73970" w:rsidRPr="000A7545" w:rsidRDefault="00A73970" w:rsidP="00A73970">
      <w:r w:rsidRPr="000A7545">
        <w:t xml:space="preserve">260 of 260 rural and remote target schools have access to </w:t>
      </w:r>
      <w:r>
        <w:t>early-grade</w:t>
      </w:r>
      <w:r w:rsidRPr="000A7545">
        <w:t xml:space="preserve"> teacher resource kits. (material no.1). 260 of 260 rural/remote target schools have received the literacy and numeracy kits,</w:t>
      </w:r>
      <w:r w:rsidR="00411E08">
        <w:t xml:space="preserve"> as well as children storybooks</w:t>
      </w:r>
      <w:r w:rsidRPr="000A7545">
        <w:t xml:space="preserve"> (material no. 2 and 3)</w:t>
      </w:r>
      <w:r w:rsidR="00411E08">
        <w:t>.</w:t>
      </w:r>
    </w:p>
    <w:p w14:paraId="13B55C83" w14:textId="77777777" w:rsidR="00A73970" w:rsidRPr="000A7545" w:rsidRDefault="00A73970" w:rsidP="00A73970">
      <w:r w:rsidRPr="000A7545">
        <w:t>53 SBM model schools in urban and peri-urban areas have received the teacher resource kits (material no. 2 and 3)</w:t>
      </w:r>
      <w:r>
        <w:t xml:space="preserve"> for AJEL.</w:t>
      </w:r>
    </w:p>
    <w:p w14:paraId="13B55C84" w14:textId="77777777" w:rsidR="002B53B2" w:rsidRPr="000A7545" w:rsidRDefault="00E377B2" w:rsidP="00FA09D3">
      <w:pPr>
        <w:pStyle w:val="ListParagraph"/>
        <w:numPr>
          <w:ilvl w:val="0"/>
          <w:numId w:val="11"/>
        </w:numPr>
        <w:rPr>
          <w:u w:val="single"/>
        </w:rPr>
      </w:pPr>
      <w:r>
        <w:rPr>
          <w:u w:val="single"/>
        </w:rPr>
        <w:t>Early-g</w:t>
      </w:r>
      <w:r w:rsidR="002B53B2" w:rsidRPr="000A7545">
        <w:rPr>
          <w:u w:val="single"/>
        </w:rPr>
        <w:t>rade and Multi-grade Training Module</w:t>
      </w:r>
    </w:p>
    <w:p w14:paraId="13B55C85" w14:textId="77777777" w:rsidR="002B53B2" w:rsidRPr="000A7545" w:rsidRDefault="00E377B2" w:rsidP="002B53B2">
      <w:r>
        <w:t>The process of Early-g</w:t>
      </w:r>
      <w:r w:rsidR="002B53B2" w:rsidRPr="000A7545">
        <w:t xml:space="preserve">rade and Multi-grade Teaching Training Module development commenced in 2010 and underwent several revisions in 2011 to adjust the content to the conditions and needs of small children in rural areas of Papua and West Papua.  Revisions also included inputs provided by an international consultant who had been requested to review materials and provide technical input for their strengthening.  This revision process followed the completion of a draft module that had been completed by the </w:t>
      </w:r>
      <w:r>
        <w:t>early-grade</w:t>
      </w:r>
      <w:r w:rsidR="002B53B2" w:rsidRPr="000A7545">
        <w:t xml:space="preserve"> curriculum development team that was originally established in September 2010.</w:t>
      </w:r>
      <w:r w:rsidR="002B53B2" w:rsidRPr="000A7545">
        <w:rPr>
          <w:rStyle w:val="FootnoteReference"/>
          <w:rFonts w:asciiTheme="majorHAnsi" w:hAnsiTheme="majorHAnsi" w:cstheme="majorHAnsi"/>
        </w:rPr>
        <w:footnoteReference w:id="13"/>
      </w:r>
      <w:r>
        <w:t xml:space="preserve">  The revisions </w:t>
      </w:r>
      <w:r w:rsidR="00F75548">
        <w:t>to</w:t>
      </w:r>
      <w:r>
        <w:t xml:space="preserve"> Early-</w:t>
      </w:r>
      <w:r w:rsidR="002B53B2" w:rsidRPr="000A7545">
        <w:t>Grade Training Module were finalised in October 2011 in Sorong after which the modules were pr</w:t>
      </w:r>
      <w:r>
        <w:t>epared to support a first early-</w:t>
      </w:r>
      <w:r w:rsidR="002B53B2" w:rsidRPr="000A7545">
        <w:t>grade ToT, w</w:t>
      </w:r>
      <w:r>
        <w:t>hich was conducted only in Nove</w:t>
      </w:r>
      <w:r w:rsidR="002B53B2" w:rsidRPr="000A7545">
        <w:t>mber 2011. The revised content of the Multi-grade Training Module placed greater focus on issues of literacy, numeracy and arithmetic basic learning around student needs and a range of other topics Materials were finalised and prepared to support multi-grade ToT by January 2012.</w:t>
      </w:r>
    </w:p>
    <w:p w14:paraId="13B55C86" w14:textId="77777777" w:rsidR="002B53B2" w:rsidRPr="000A7545" w:rsidRDefault="002B53B2" w:rsidP="00FA09D3">
      <w:pPr>
        <w:pStyle w:val="ListParagraph"/>
        <w:numPr>
          <w:ilvl w:val="0"/>
          <w:numId w:val="11"/>
        </w:numPr>
        <w:rPr>
          <w:u w:val="single"/>
        </w:rPr>
      </w:pPr>
      <w:r w:rsidRPr="000A7545">
        <w:rPr>
          <w:u w:val="single"/>
        </w:rPr>
        <w:t>Papua Children Storybooks</w:t>
      </w:r>
    </w:p>
    <w:p w14:paraId="13B55C87" w14:textId="77777777" w:rsidR="002B53B2" w:rsidRPr="000A7545" w:rsidRDefault="002B53B2" w:rsidP="002B53B2">
      <w:r w:rsidRPr="000A7545">
        <w:t xml:space="preserve">From May – August 2011, UNICEF supported LPMP and </w:t>
      </w:r>
      <w:r w:rsidRPr="000A7545">
        <w:rPr>
          <w:i/>
        </w:rPr>
        <w:t>Sekolah Tinggi Seni</w:t>
      </w:r>
      <w:r w:rsidRPr="000A7545">
        <w:t xml:space="preserve"> </w:t>
      </w:r>
      <w:r w:rsidRPr="000A7545">
        <w:rPr>
          <w:i/>
        </w:rPr>
        <w:t>Papua</w:t>
      </w:r>
      <w:r w:rsidRPr="000A7545">
        <w:t xml:space="preserve"> in leading the development of 18 Papuan traditional story books for children</w:t>
      </w:r>
      <w:r w:rsidRPr="000A7545">
        <w:rPr>
          <w:rStyle w:val="FootnoteReference"/>
          <w:rFonts w:asciiTheme="majorHAnsi" w:hAnsiTheme="majorHAnsi" w:cstheme="majorHAnsi"/>
        </w:rPr>
        <w:footnoteReference w:id="14"/>
      </w:r>
      <w:r w:rsidRPr="000A7545">
        <w:t xml:space="preserve">. The process included consultative workshops with key stakeholders including the Provincial Adat Council, Museum Papua and West Papua, Education offices at district and provincial levels, The Papuan People’s Congress, UNCEN anthropologists and linguists, SIL, Taman Budaya, Tourism and Culture office, community figures, and </w:t>
      </w:r>
      <w:r w:rsidR="00E377B2">
        <w:t>early-grade</w:t>
      </w:r>
      <w:r w:rsidRPr="000A7545">
        <w:t xml:space="preserve"> school teachers.</w:t>
      </w:r>
    </w:p>
    <w:p w14:paraId="13B55C88" w14:textId="77777777" w:rsidR="002B53B2" w:rsidRPr="000A7545" w:rsidRDefault="002B53B2" w:rsidP="002B53B2">
      <w:pPr>
        <w:rPr>
          <w:b/>
        </w:rPr>
      </w:pPr>
      <w:r w:rsidRPr="000A7545">
        <w:t>The storybooks aim to strengthen the development of early literacy skills and love for reading using local context/culture that children are familiar with and to promote children’s life skills development (each story teaches a morale that will help children develop some basic and essential life skills – e.g. team work, confidence, and importance of friendship).  500 copies of each book (</w:t>
      </w:r>
      <w:r w:rsidR="000537E2" w:rsidRPr="000A7545">
        <w:t>totalling</w:t>
      </w:r>
      <w:r w:rsidRPr="000A7545">
        <w:t xml:space="preserve"> 9,000) were printed for distribution to rural/remote schools in Q1 2012.</w:t>
      </w:r>
      <w:r w:rsidRPr="000A7545">
        <w:rPr>
          <w:b/>
        </w:rPr>
        <w:t xml:space="preserve"> </w:t>
      </w:r>
      <w:r w:rsidRPr="000A7545">
        <w:t>Prior to and during development process, stakeholders expressed appreciation for the idea of producing such materials and hope that despite some imperfections these materials will contribute to building a sense of pride and identity of among Papuan children and create positive momentum for other institutions to develop more similar materials. Similar views have been expressed by teachers, supervisors, and education officials from target districts after having initially received the materials. By end of March 2012 all target districts will have received the storybook sets and will dis</w:t>
      </w:r>
      <w:r w:rsidR="00E377B2">
        <w:t>tribute them to all early/multi-</w:t>
      </w:r>
      <w:r w:rsidRPr="000A7545">
        <w:t>grade target schools.</w:t>
      </w:r>
    </w:p>
    <w:p w14:paraId="13B55C89" w14:textId="77777777" w:rsidR="002B53B2" w:rsidRPr="000A7545" w:rsidRDefault="002B53B2" w:rsidP="00FA09D3">
      <w:pPr>
        <w:pStyle w:val="ListParagraph"/>
        <w:numPr>
          <w:ilvl w:val="0"/>
          <w:numId w:val="11"/>
        </w:numPr>
        <w:rPr>
          <w:u w:val="single"/>
        </w:rPr>
      </w:pPr>
      <w:r w:rsidRPr="000A7545">
        <w:rPr>
          <w:u w:val="single"/>
        </w:rPr>
        <w:t>Literacy and numeracy toolkit</w:t>
      </w:r>
    </w:p>
    <w:p w14:paraId="13B55C8A" w14:textId="77777777" w:rsidR="002B53B2" w:rsidRPr="000A7545" w:rsidRDefault="002B53B2" w:rsidP="002B53B2">
      <w:r w:rsidRPr="000A7545">
        <w:t>UNICEF also provided literacy and numeracy toolkit to support literacy and numeracy competency development for early-grade children in rural and remote schools. The toolkits contain 40 learning materials and aids e.g. spelling cards, wooden clock, educational posters, snake and ladder counting game, and student workbooks. Counterparts in Papua and West Papua Provinces have received the materials at the end of December 2011 and have distributed them to rural/remote target schools beginning in January 2012.</w:t>
      </w:r>
    </w:p>
    <w:p w14:paraId="13B55C8B" w14:textId="77777777" w:rsidR="002B53B2" w:rsidRPr="000A7545" w:rsidRDefault="002B53B2" w:rsidP="00FA09D3">
      <w:pPr>
        <w:pStyle w:val="ListParagraph"/>
        <w:numPr>
          <w:ilvl w:val="0"/>
          <w:numId w:val="11"/>
        </w:numPr>
        <w:rPr>
          <w:u w:val="single"/>
        </w:rPr>
      </w:pPr>
      <w:r w:rsidRPr="000A7545">
        <w:rPr>
          <w:u w:val="single"/>
        </w:rPr>
        <w:t>Early</w:t>
      </w:r>
      <w:r w:rsidR="006E1B73" w:rsidRPr="000A7545">
        <w:rPr>
          <w:u w:val="single"/>
        </w:rPr>
        <w:t>-</w:t>
      </w:r>
      <w:r w:rsidRPr="000A7545">
        <w:rPr>
          <w:u w:val="single"/>
        </w:rPr>
        <w:t>Grade Literacy and Numeracy Student Kit</w:t>
      </w:r>
    </w:p>
    <w:p w14:paraId="13B55C8C" w14:textId="77777777" w:rsidR="002B53B2" w:rsidRPr="000A7545" w:rsidRDefault="002B53B2" w:rsidP="002B53B2">
      <w:r w:rsidRPr="000A7545">
        <w:t xml:space="preserve">To further support literacy and numeracy development among </w:t>
      </w:r>
      <w:r w:rsidR="00E377B2">
        <w:t>early-grade</w:t>
      </w:r>
      <w:r w:rsidRPr="000A7545">
        <w:t xml:space="preserve"> children in Papua and West Papua, UNICEF and SIL (Summer Institute of Linguistics)</w:t>
      </w:r>
      <w:r w:rsidRPr="000A7545">
        <w:rPr>
          <w:rStyle w:val="FootnoteReference"/>
          <w:rFonts w:asciiTheme="majorHAnsi" w:hAnsiTheme="majorHAnsi" w:cstheme="majorHAnsi"/>
          <w:b/>
        </w:rPr>
        <w:footnoteReference w:id="15"/>
      </w:r>
      <w:r w:rsidRPr="000A7545">
        <w:t xml:space="preserve">  have been developing series of short literacy and numeracy student kit. The student kit contains: 1) </w:t>
      </w:r>
      <w:r w:rsidRPr="000A7545">
        <w:rPr>
          <w:i/>
        </w:rPr>
        <w:t>Membaca Permulaan</w:t>
      </w:r>
      <w:r w:rsidRPr="000A7545">
        <w:t xml:space="preserve"> (Early Reading Student Work Book), which </w:t>
      </w:r>
      <w:r w:rsidR="000537E2" w:rsidRPr="000A7545">
        <w:t>focuses</w:t>
      </w:r>
      <w:r w:rsidRPr="000A7545">
        <w:t xml:space="preserve"> on pre-reading skills; 2. </w:t>
      </w:r>
      <w:r w:rsidRPr="000A7545">
        <w:rPr>
          <w:i/>
        </w:rPr>
        <w:t>Menulis Permulaan</w:t>
      </w:r>
      <w:r w:rsidRPr="000A7545">
        <w:t xml:space="preserve"> (Early Writing Student Work Book), which covers pre-writing skills, and; 3. </w:t>
      </w:r>
      <w:r w:rsidRPr="000A7545">
        <w:rPr>
          <w:i/>
        </w:rPr>
        <w:t>Berhitung Permulaan</w:t>
      </w:r>
      <w:r w:rsidRPr="000A7545">
        <w:t xml:space="preserve"> (Early Arithmetic Student Work Book), which covers basic introduction to numeracy using indigenous knowledge and simpl</w:t>
      </w:r>
      <w:r w:rsidR="006E1B73" w:rsidRPr="000A7545">
        <w:t>e story association to numbers.</w:t>
      </w:r>
      <w:r w:rsidRPr="000A7545">
        <w:t xml:space="preserve"> It is expected that these modules will be ready for distribution by the end of June 2012 to all early-grade schools.</w:t>
      </w:r>
    </w:p>
    <w:p w14:paraId="13B55C8D" w14:textId="77777777" w:rsidR="00DD78ED" w:rsidRPr="000A7545" w:rsidRDefault="00DD78ED" w:rsidP="0010522D"/>
    <w:p w14:paraId="13B55C8E" w14:textId="77777777" w:rsidR="00DD78ED" w:rsidRPr="000A7545" w:rsidRDefault="00DD78ED" w:rsidP="00DD78ED">
      <w:pPr>
        <w:pStyle w:val="Heading2"/>
        <w:rPr>
          <w:noProof/>
          <w:lang w:val="en-GB"/>
        </w:rPr>
      </w:pPr>
      <w:bookmarkStart w:id="50" w:name="_Toc321303366"/>
      <w:bookmarkStart w:id="51" w:name="_Toc321304870"/>
      <w:bookmarkStart w:id="52" w:name="_Toc322702770"/>
      <w:r w:rsidRPr="000A7545">
        <w:rPr>
          <w:lang w:val="en-GB"/>
        </w:rPr>
        <w:t>Outcome 1.3</w:t>
      </w:r>
      <w:r w:rsidRPr="000A7545">
        <w:rPr>
          <w:noProof/>
          <w:lang w:val="en-GB"/>
        </w:rPr>
        <w:t>: Strengthened leadership and management skills of principals, supervisors and school committees (AusAID and USAID)</w:t>
      </w:r>
      <w:bookmarkEnd w:id="50"/>
      <w:bookmarkEnd w:id="51"/>
      <w:bookmarkEnd w:id="52"/>
    </w:p>
    <w:p w14:paraId="13B55C8F" w14:textId="77777777" w:rsidR="00DD78ED" w:rsidRPr="000A7545" w:rsidRDefault="00DD78ED" w:rsidP="00DD78ED">
      <w:r w:rsidRPr="000A7545">
        <w:t xml:space="preserve">A programmatic weakness identified during early 2011 was </w:t>
      </w:r>
      <w:r w:rsidR="00003C07">
        <w:t xml:space="preserve">the insufficient level </w:t>
      </w:r>
      <w:r w:rsidRPr="000A7545">
        <w:t>of effective school management and leadership demonstrated by school principals in rural and remote areas, and also in many schools located in urban and semi-urban areas. Moreover, UNICEF programme staff also identified a weakness in materials being developed for schools in rural and remote areas via the programme. Namely, none of the materials were geared toward improving school management, building community participation, and motivating teachers</w:t>
      </w:r>
      <w:r w:rsidR="00146EBC">
        <w:t>.</w:t>
      </w:r>
      <w:r w:rsidRPr="000A7545">
        <w:t xml:space="preserve">  To address this, an important adjustment was made to strengthen management and leadership of schools and strengthen SBM in rural and remote areas via improved principal leadership.</w:t>
      </w:r>
    </w:p>
    <w:p w14:paraId="13B55C90" w14:textId="77777777" w:rsidR="00DA2EA0" w:rsidRPr="000A7545" w:rsidRDefault="00DA2EA0" w:rsidP="00DD78ED"/>
    <w:p w14:paraId="13B55C91" w14:textId="77777777" w:rsidR="00DA2EA0" w:rsidRPr="000A7545" w:rsidRDefault="00DA2EA0" w:rsidP="00DA2EA0">
      <w:pPr>
        <w:pStyle w:val="Heading3"/>
        <w:ind w:left="630" w:hanging="630"/>
        <w:rPr>
          <w:lang w:val="en-GB"/>
        </w:rPr>
      </w:pPr>
      <w:bookmarkStart w:id="53" w:name="_Toc322702771"/>
      <w:r w:rsidRPr="000A7545">
        <w:rPr>
          <w:lang w:val="en-GB"/>
        </w:rPr>
        <w:t>Output 1.3.1: Principals and school supervisors have improved leadership skills (AusAID and USAID)</w:t>
      </w:r>
      <w:bookmarkEnd w:id="53"/>
    </w:p>
    <w:p w14:paraId="13B55C92" w14:textId="77777777" w:rsidR="00DA2EA0" w:rsidRPr="000A7545" w:rsidRDefault="00DA2EA0" w:rsidP="00DA2EA0">
      <w:pPr>
        <w:pStyle w:val="IntenseQuote"/>
        <w:rPr>
          <w:rStyle w:val="Emphasis"/>
          <w:b/>
          <w:i w:val="0"/>
          <w:u w:val="none"/>
        </w:rPr>
      </w:pPr>
      <w:r w:rsidRPr="000A7545">
        <w:rPr>
          <w:rStyle w:val="Emphasis"/>
          <w:b/>
          <w:i w:val="0"/>
          <w:u w:val="none"/>
        </w:rPr>
        <w:t>1.3.1a. Principals and supervisors from target schools/ districts trained in leadership (by gender)</w:t>
      </w:r>
    </w:p>
    <w:p w14:paraId="13B55C93" w14:textId="77777777" w:rsidR="00DA2EA0" w:rsidRPr="000A7545" w:rsidRDefault="00DA2EA0" w:rsidP="00DA2EA0">
      <w:r w:rsidRPr="000A7545">
        <w:t>Under the AusAID-funded programme, leadership training modules available from several national programmes were reviewed and adapted to local conditions of Papua and West Papua, especially in relation to differences found between urban and remote schools.  The writing team consisted of experienced local master trainers, academics</w:t>
      </w:r>
      <w:r w:rsidR="00403721" w:rsidRPr="000A7545">
        <w:t>,</w:t>
      </w:r>
      <w:r w:rsidRPr="000A7545">
        <w:t xml:space="preserve"> school principals and school supervisors drawn from several different target districts and different geographic locations.</w:t>
      </w:r>
    </w:p>
    <w:p w14:paraId="13B55C94" w14:textId="77777777" w:rsidR="00DA2EA0" w:rsidRPr="000A7545" w:rsidRDefault="00DA2EA0" w:rsidP="00DA2EA0">
      <w:pPr>
        <w:rPr>
          <w:highlight w:val="yellow"/>
        </w:rPr>
      </w:pPr>
      <w:r w:rsidRPr="000A7545">
        <w:t>Revised materials were piloted and then socialized with education office officials at provincial and district levels to gain government support for the materials and to explore methods of mainstreaming leadership module materials broadly across both provinces. As a result, the module has been used in school principal leadership training conducted in Papua Province during July 2011 (funded by government budget).</w:t>
      </w:r>
      <w:r w:rsidR="000537E2">
        <w:t xml:space="preserve"> There were participants coming</w:t>
      </w:r>
      <w:r w:rsidRPr="000A7545">
        <w:t xml:space="preserve"> from non-UNICEF focus districts and the training was conducted in </w:t>
      </w:r>
      <w:r w:rsidR="0065354D">
        <w:t>four</w:t>
      </w:r>
      <w:r w:rsidRPr="000A7545">
        <w:t xml:space="preserve"> locations: Biak, Wamena, Merauke and Mimika. From the report prepared by the Trainers, the trainings were considered to be ‘very useful’ by almost 100% of school principals for better managing their schools – especially in relation to improving accountability of the usage of BOS funds and strengthening community participation in school management.</w:t>
      </w:r>
    </w:p>
    <w:p w14:paraId="13B55C95" w14:textId="77777777" w:rsidR="00DA2EA0" w:rsidRPr="000A7545" w:rsidRDefault="00DA2EA0" w:rsidP="00DA2EA0">
      <w:r w:rsidRPr="000A7545">
        <w:t xml:space="preserve">A training of trainers was subsequently organized with 20 participants (M= 13; F=7) from six districts and two provinces. In each district there were </w:t>
      </w:r>
      <w:r w:rsidR="00C01F96">
        <w:t>three</w:t>
      </w:r>
      <w:r w:rsidRPr="000A7545">
        <w:t xml:space="preserve"> master trainers who facilitated the training at district level. Master Trainers at provincial level were also used as resource persons for trainers in the training at provincial level and to support the training and provide quality assurance at district level. Provincial Master Trainers were also the focal points for the developing strategies and </w:t>
      </w:r>
      <w:r w:rsidR="00E377B2">
        <w:t>programme</w:t>
      </w:r>
      <w:r w:rsidR="000537E2">
        <w:t xml:space="preserve"> </w:t>
      </w:r>
      <w:r w:rsidRPr="000A7545">
        <w:t>implementation funded by government budget.</w:t>
      </w:r>
    </w:p>
    <w:p w14:paraId="13B55C96" w14:textId="77777777" w:rsidR="00C01F96" w:rsidRDefault="00DA2EA0" w:rsidP="00DA2EA0">
      <w:r w:rsidRPr="000A7545">
        <w:t>Results of the initial district level training were very promising and suggest that the current strategy is very relevant in addressing the needs of children at schools in rural and remote areas. Participants especially noted “Changed behaviour leading to improved attitudes toward community members and teachers (i.e. more polite and respectful of different roles)” and “satisfaction that principal module materials were continuously improved with inputs from district level participants based on realities in rural and remote areas”. Each district also conducted evaluation of results at school level.</w:t>
      </w:r>
    </w:p>
    <w:p w14:paraId="13B55C97" w14:textId="77777777" w:rsidR="00CC260A" w:rsidRDefault="00C01F96" w:rsidP="00DA2EA0">
      <w:r>
        <w:t>In addition, 202 principals (154 male, 48 female) participated in the leadership training at district level across five target districts (Mimika not included). Further, Manokwari used their own funds to replicate to all schools.</w:t>
      </w:r>
    </w:p>
    <w:p w14:paraId="13B55C98" w14:textId="77777777" w:rsidR="00DA2EA0" w:rsidRPr="000A7545" w:rsidRDefault="00CC260A" w:rsidP="00DA2EA0">
      <w:r>
        <w:t>At endline evaluation, the programme will measure proportion of schools being monitored by supervisors on a monthly basis, proportion of schools</w:t>
      </w:r>
      <w:r w:rsidR="00A65319">
        <w:t xml:space="preserve"> with clearly defined record keeping system, proportion of principals sending teachers to training, giving materials for reading and money to teachers to buy books on a regular basis.</w:t>
      </w:r>
    </w:p>
    <w:p w14:paraId="13B55C99" w14:textId="77777777" w:rsidR="00DA2EA0" w:rsidRPr="000A7545" w:rsidRDefault="00DA2EA0" w:rsidP="00DA2EA0"/>
    <w:p w14:paraId="13B55C9A" w14:textId="77777777" w:rsidR="00DA2EA0" w:rsidRPr="000A7545" w:rsidRDefault="00DA2EA0" w:rsidP="00DA2EA0">
      <w:pPr>
        <w:pStyle w:val="Heading3"/>
        <w:numPr>
          <w:ilvl w:val="0"/>
          <w:numId w:val="0"/>
        </w:numPr>
        <w:ind w:left="360" w:hanging="360"/>
        <w:rPr>
          <w:lang w:val="en-GB"/>
        </w:rPr>
      </w:pPr>
      <w:bookmarkStart w:id="54" w:name="_Toc322702772"/>
      <w:r w:rsidRPr="000A7545">
        <w:rPr>
          <w:lang w:val="en-GB"/>
        </w:rPr>
        <w:t>Output 1.3.2: Government development partners and school committees have improved capacity in strategic planning and annual work plan preparation (AusAID and USAID)</w:t>
      </w:r>
      <w:bookmarkEnd w:id="54"/>
    </w:p>
    <w:p w14:paraId="13B55C9B" w14:textId="77777777" w:rsidR="00767EA3" w:rsidRDefault="00767EA3" w:rsidP="00081404">
      <w:pPr>
        <w:rPr>
          <w:lang w:val="en-US"/>
        </w:rPr>
      </w:pPr>
      <w:r>
        <w:t xml:space="preserve">Under this outcome, the programme is monitoring two inter-related output indicators: </w:t>
      </w:r>
      <w:r w:rsidRPr="000A7545">
        <w:rPr>
          <w:lang w:val="id-ID"/>
        </w:rPr>
        <w:t xml:space="preserve">Proportion </w:t>
      </w:r>
      <w:r w:rsidRPr="000A7545">
        <w:rPr>
          <w:lang w:val="en-US"/>
        </w:rPr>
        <w:t xml:space="preserve">of </w:t>
      </w:r>
      <w:r w:rsidRPr="000A7545">
        <w:rPr>
          <w:lang w:val="id-ID"/>
        </w:rPr>
        <w:t>school committee members (</w:t>
      </w:r>
      <w:r w:rsidRPr="000A7545">
        <w:rPr>
          <w:lang w:val="en-US"/>
        </w:rPr>
        <w:t>by gender</w:t>
      </w:r>
      <w:r w:rsidRPr="000A7545">
        <w:rPr>
          <w:lang w:val="id-ID"/>
        </w:rPr>
        <w:t xml:space="preserve">) in target districts </w:t>
      </w:r>
      <w:r w:rsidRPr="000A7545">
        <w:rPr>
          <w:lang w:val="en-US"/>
        </w:rPr>
        <w:t>trained</w:t>
      </w:r>
      <w:r w:rsidRPr="000A7545">
        <w:rPr>
          <w:lang w:val="id-ID"/>
        </w:rPr>
        <w:t xml:space="preserve">  in school management </w:t>
      </w:r>
      <w:r>
        <w:rPr>
          <w:lang w:val="en-US"/>
        </w:rPr>
        <w:t xml:space="preserve">(AusAID supported) a) </w:t>
      </w:r>
      <w:r w:rsidRPr="000A7545">
        <w:rPr>
          <w:rFonts w:eastAsia="Times New Roman"/>
          <w:lang w:val="en-US"/>
        </w:rPr>
        <w:t>In model schools</w:t>
      </w:r>
      <w:r>
        <w:rPr>
          <w:rFonts w:eastAsia="Times New Roman"/>
          <w:lang w:val="en-US"/>
        </w:rPr>
        <w:t xml:space="preserve">; and b) </w:t>
      </w:r>
      <w:r w:rsidRPr="00767EA3">
        <w:rPr>
          <w:rFonts w:eastAsia="Times New Roman"/>
          <w:lang w:val="en-US"/>
        </w:rPr>
        <w:t>In non-model schools</w:t>
      </w:r>
      <w:r>
        <w:rPr>
          <w:rFonts w:eastAsia="Times New Roman"/>
          <w:lang w:val="en-US"/>
        </w:rPr>
        <w:t>; as well as percentage</w:t>
      </w:r>
      <w:r w:rsidRPr="000A7545">
        <w:rPr>
          <w:lang w:val="id-ID"/>
        </w:rPr>
        <w:t xml:space="preserve"> of schools that develop medium development plans (RKS) </w:t>
      </w:r>
      <w:r w:rsidRPr="000A7545">
        <w:rPr>
          <w:lang w:val="en-US"/>
        </w:rPr>
        <w:t>and budgets (RKAS) (USAID</w:t>
      </w:r>
      <w:r>
        <w:rPr>
          <w:lang w:val="en-US"/>
        </w:rPr>
        <w:t xml:space="preserve"> supported</w:t>
      </w:r>
      <w:r w:rsidRPr="000A7545">
        <w:rPr>
          <w:lang w:val="en-US"/>
        </w:rPr>
        <w:t>)</w:t>
      </w:r>
      <w:r w:rsidR="00081404">
        <w:rPr>
          <w:lang w:val="en-US"/>
        </w:rPr>
        <w:t>.</w:t>
      </w:r>
    </w:p>
    <w:p w14:paraId="13B55C9C" w14:textId="77777777" w:rsidR="00767EA3" w:rsidRDefault="00767EA3" w:rsidP="00767EA3">
      <w:pPr>
        <w:spacing w:after="0" w:line="240" w:lineRule="auto"/>
        <w:rPr>
          <w:rFonts w:asciiTheme="minorHAnsi" w:eastAsia="Symbol" w:hAnsiTheme="minorHAnsi" w:cstheme="minorHAnsi"/>
          <w:color w:val="000000"/>
          <w:sz w:val="20"/>
          <w:szCs w:val="20"/>
          <w:lang w:val="en-US"/>
        </w:rPr>
      </w:pPr>
    </w:p>
    <w:p w14:paraId="13B55C9D" w14:textId="77777777" w:rsidR="00767EA3" w:rsidRDefault="00767EA3" w:rsidP="00767EA3">
      <w:pPr>
        <w:spacing w:after="0" w:line="240" w:lineRule="auto"/>
        <w:rPr>
          <w:lang w:val="en-US"/>
        </w:rPr>
      </w:pPr>
      <w:r>
        <w:rPr>
          <w:lang w:val="en-US"/>
        </w:rPr>
        <w:t>At the time of writing this report, data on these indicators is not yet available.</w:t>
      </w:r>
    </w:p>
    <w:p w14:paraId="13B55C9E" w14:textId="77777777" w:rsidR="00081404" w:rsidRDefault="00081404" w:rsidP="00767EA3">
      <w:pPr>
        <w:spacing w:after="0" w:line="240" w:lineRule="auto"/>
        <w:rPr>
          <w:lang w:val="en-US"/>
        </w:rPr>
      </w:pPr>
    </w:p>
    <w:p w14:paraId="13B55C9F" w14:textId="77777777" w:rsidR="00081404" w:rsidRDefault="00081404" w:rsidP="00767EA3">
      <w:pPr>
        <w:spacing w:after="0" w:line="240" w:lineRule="auto"/>
        <w:rPr>
          <w:lang w:val="en-US"/>
        </w:rPr>
      </w:pPr>
    </w:p>
    <w:p w14:paraId="13B55CA0" w14:textId="77777777" w:rsidR="00FC4A17" w:rsidRPr="000A7545" w:rsidRDefault="00185221" w:rsidP="00FC4A17">
      <w:pPr>
        <w:pStyle w:val="Heading3"/>
        <w:ind w:left="630" w:hanging="630"/>
        <w:rPr>
          <w:lang w:val="en-GB"/>
        </w:rPr>
      </w:pPr>
      <w:bookmarkStart w:id="55" w:name="_Toc322702773"/>
      <w:r w:rsidRPr="000A7545">
        <w:rPr>
          <w:lang w:val="en-GB"/>
        </w:rPr>
        <w:t>Output 1.3.3: Principals, teachers and s</w:t>
      </w:r>
      <w:r w:rsidR="00FC4A17" w:rsidRPr="000A7545">
        <w:rPr>
          <w:lang w:val="en-GB"/>
        </w:rPr>
        <w:t>chool committee members receive financial management training including asset management (USA</w:t>
      </w:r>
      <w:r w:rsidRPr="000A7545">
        <w:rPr>
          <w:lang w:val="en-GB"/>
        </w:rPr>
        <w:t>ID)</w:t>
      </w:r>
      <w:bookmarkEnd w:id="55"/>
    </w:p>
    <w:p w14:paraId="13B55CA1" w14:textId="77777777" w:rsidR="00FC4A17" w:rsidRPr="000A7545" w:rsidRDefault="00FC4A17" w:rsidP="00FC4A17">
      <w:pPr>
        <w:pStyle w:val="IntenseQuote"/>
        <w:rPr>
          <w:rStyle w:val="Emphasis"/>
          <w:b/>
          <w:i w:val="0"/>
          <w:u w:val="none"/>
        </w:rPr>
      </w:pPr>
      <w:r w:rsidRPr="000A7545">
        <w:rPr>
          <w:rStyle w:val="Emphasis"/>
          <w:b/>
          <w:i w:val="0"/>
          <w:u w:val="none"/>
        </w:rPr>
        <w:t xml:space="preserve">1.3.3a. </w:t>
      </w:r>
      <w:r w:rsidR="00081404">
        <w:rPr>
          <w:rStyle w:val="Emphasis"/>
          <w:b/>
          <w:i w:val="0"/>
          <w:u w:val="none"/>
        </w:rPr>
        <w:t>S</w:t>
      </w:r>
      <w:r w:rsidRPr="000A7545">
        <w:rPr>
          <w:rStyle w:val="Emphasis"/>
          <w:b/>
          <w:i w:val="0"/>
          <w:u w:val="none"/>
        </w:rPr>
        <w:t>chool committee members trained in asset management and ha</w:t>
      </w:r>
      <w:r w:rsidR="00081404">
        <w:rPr>
          <w:rStyle w:val="Emphasis"/>
          <w:b/>
          <w:i w:val="0"/>
          <w:u w:val="none"/>
        </w:rPr>
        <w:t>ving</w:t>
      </w:r>
      <w:r w:rsidRPr="000A7545">
        <w:rPr>
          <w:rStyle w:val="Emphasis"/>
          <w:b/>
          <w:i w:val="0"/>
          <w:u w:val="none"/>
        </w:rPr>
        <w:t xml:space="preserve"> access to financial information</w:t>
      </w:r>
      <w:r w:rsidR="00081404">
        <w:rPr>
          <w:rStyle w:val="Emphasis"/>
          <w:b/>
          <w:i w:val="0"/>
          <w:u w:val="none"/>
        </w:rPr>
        <w:t xml:space="preserve"> (USAID)</w:t>
      </w:r>
    </w:p>
    <w:p w14:paraId="13B55CA2" w14:textId="77777777" w:rsidR="00FC4A17" w:rsidRPr="000A7545" w:rsidRDefault="00FC4A17" w:rsidP="00081404">
      <w:pPr>
        <w:rPr>
          <w:u w:val="single"/>
        </w:rPr>
      </w:pPr>
      <w:r w:rsidRPr="000A7545">
        <w:t>Education finance modules were adapted mid-year during 2011 to suit the Tanah Papua context and subsequently socialised to 96 partners to ensure a strong understanding of data management and improved education finance management to ensure that improved education services are delivered for children.</w:t>
      </w:r>
    </w:p>
    <w:p w14:paraId="13B55CA3" w14:textId="77777777" w:rsidR="00FC4A17" w:rsidRPr="000A7545" w:rsidRDefault="00FC4A17" w:rsidP="00FC4A17">
      <w:pPr>
        <w:pStyle w:val="Caption"/>
        <w:keepNext/>
        <w:spacing w:after="200"/>
        <w:jc w:val="center"/>
      </w:pPr>
      <w:bookmarkStart w:id="56" w:name="_Toc322710101"/>
      <w:r w:rsidRPr="000A7545">
        <w:t xml:space="preserve">Figure </w:t>
      </w:r>
      <w:fldSimple w:instr=" SEQ Figure \* ARABIC ">
        <w:r w:rsidR="009B4D84">
          <w:rPr>
            <w:noProof/>
          </w:rPr>
          <w:t>10</w:t>
        </w:r>
      </w:fldSimple>
      <w:r w:rsidRPr="000A7545">
        <w:t>: Module Socialization Workshop Participants</w:t>
      </w:r>
      <w:bookmarkEnd w:id="56"/>
    </w:p>
    <w:tbl>
      <w:tblPr>
        <w:tblW w:w="4730"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0"/>
        <w:gridCol w:w="1170"/>
        <w:gridCol w:w="960"/>
        <w:gridCol w:w="960"/>
      </w:tblGrid>
      <w:tr w:rsidR="00FC4A17" w:rsidRPr="000A7545" w14:paraId="13B55CA8" w14:textId="77777777" w:rsidTr="00411E08">
        <w:trPr>
          <w:trHeight w:val="315"/>
          <w:jc w:val="center"/>
        </w:trPr>
        <w:tc>
          <w:tcPr>
            <w:tcW w:w="1640" w:type="dxa"/>
            <w:shd w:val="clear" w:color="auto" w:fill="C6D9F1" w:themeFill="text2" w:themeFillTint="33"/>
            <w:vAlign w:val="center"/>
          </w:tcPr>
          <w:p w14:paraId="13B55CA4" w14:textId="77777777" w:rsidR="00FC4A17" w:rsidRPr="000A7545" w:rsidRDefault="00FC4A17" w:rsidP="00FC4A17">
            <w:pPr>
              <w:spacing w:before="120" w:line="240" w:lineRule="auto"/>
              <w:jc w:val="center"/>
              <w:rPr>
                <w:rFonts w:cs="Arial"/>
                <w:b/>
                <w:bCs/>
                <w:color w:val="000000"/>
                <w:sz w:val="20"/>
                <w:lang w:eastAsia="en-GB"/>
              </w:rPr>
            </w:pPr>
          </w:p>
        </w:tc>
        <w:tc>
          <w:tcPr>
            <w:tcW w:w="1170" w:type="dxa"/>
            <w:shd w:val="clear" w:color="auto" w:fill="C6D9F1" w:themeFill="text2" w:themeFillTint="33"/>
            <w:vAlign w:val="center"/>
            <w:hideMark/>
          </w:tcPr>
          <w:p w14:paraId="13B55CA5" w14:textId="77777777" w:rsidR="00FC4A17" w:rsidRPr="000A7545" w:rsidRDefault="00411E08" w:rsidP="00FC4A17">
            <w:pPr>
              <w:spacing w:before="120" w:line="240" w:lineRule="auto"/>
              <w:jc w:val="center"/>
              <w:rPr>
                <w:rFonts w:cs="Arial"/>
                <w:bCs/>
                <w:color w:val="000000"/>
                <w:sz w:val="20"/>
                <w:lang w:eastAsia="en-GB"/>
              </w:rPr>
            </w:pPr>
            <w:r>
              <w:rPr>
                <w:rFonts w:cs="Arial"/>
                <w:color w:val="000000"/>
                <w:sz w:val="20"/>
                <w:lang w:eastAsia="en-GB"/>
              </w:rPr>
              <w:t>Male</w:t>
            </w:r>
          </w:p>
        </w:tc>
        <w:tc>
          <w:tcPr>
            <w:tcW w:w="960" w:type="dxa"/>
            <w:shd w:val="clear" w:color="auto" w:fill="C6D9F1" w:themeFill="text2" w:themeFillTint="33"/>
            <w:vAlign w:val="center"/>
            <w:hideMark/>
          </w:tcPr>
          <w:p w14:paraId="13B55CA6" w14:textId="77777777" w:rsidR="00FC4A17" w:rsidRPr="000A7545" w:rsidRDefault="00FC4A17" w:rsidP="00FC4A17">
            <w:pPr>
              <w:spacing w:before="120" w:line="240" w:lineRule="auto"/>
              <w:jc w:val="center"/>
              <w:rPr>
                <w:rFonts w:cs="Arial"/>
                <w:bCs/>
                <w:color w:val="000000"/>
                <w:sz w:val="20"/>
                <w:lang w:eastAsia="en-GB"/>
              </w:rPr>
            </w:pPr>
            <w:r w:rsidRPr="000A7545">
              <w:rPr>
                <w:rFonts w:cs="Arial"/>
                <w:color w:val="000000"/>
                <w:sz w:val="20"/>
                <w:lang w:eastAsia="en-GB"/>
              </w:rPr>
              <w:t xml:space="preserve">Female </w:t>
            </w:r>
          </w:p>
        </w:tc>
        <w:tc>
          <w:tcPr>
            <w:tcW w:w="960" w:type="dxa"/>
            <w:shd w:val="clear" w:color="auto" w:fill="C6D9F1" w:themeFill="text2" w:themeFillTint="33"/>
            <w:vAlign w:val="center"/>
            <w:hideMark/>
          </w:tcPr>
          <w:p w14:paraId="13B55CA7" w14:textId="77777777" w:rsidR="00FC4A17" w:rsidRPr="000A7545" w:rsidRDefault="00FC4A17" w:rsidP="00FC4A17">
            <w:pPr>
              <w:spacing w:before="120" w:line="240" w:lineRule="auto"/>
              <w:jc w:val="center"/>
              <w:rPr>
                <w:rFonts w:cs="Arial"/>
                <w:bCs/>
                <w:color w:val="000000"/>
                <w:sz w:val="20"/>
                <w:lang w:eastAsia="en-GB"/>
              </w:rPr>
            </w:pPr>
            <w:r w:rsidRPr="000A7545">
              <w:rPr>
                <w:rFonts w:cs="Arial"/>
                <w:color w:val="000000"/>
                <w:sz w:val="20"/>
                <w:lang w:eastAsia="en-GB"/>
              </w:rPr>
              <w:t>Total</w:t>
            </w:r>
          </w:p>
        </w:tc>
      </w:tr>
      <w:tr w:rsidR="00FC4A17" w:rsidRPr="000A7545" w14:paraId="13B55CAD" w14:textId="77777777" w:rsidTr="0019597A">
        <w:trPr>
          <w:trHeight w:val="46"/>
          <w:jc w:val="center"/>
        </w:trPr>
        <w:tc>
          <w:tcPr>
            <w:tcW w:w="1640" w:type="dxa"/>
            <w:shd w:val="clear" w:color="auto" w:fill="auto"/>
            <w:vAlign w:val="center"/>
            <w:hideMark/>
          </w:tcPr>
          <w:p w14:paraId="13B55CA9" w14:textId="77777777" w:rsidR="00FC4A17" w:rsidRPr="000A7545" w:rsidRDefault="00FC4A17" w:rsidP="00FC4A17">
            <w:pPr>
              <w:spacing w:before="120" w:line="240" w:lineRule="auto"/>
              <w:rPr>
                <w:rFonts w:cs="Arial"/>
                <w:b/>
                <w:color w:val="000000"/>
                <w:sz w:val="20"/>
                <w:lang w:eastAsia="en-GB"/>
              </w:rPr>
            </w:pPr>
            <w:r w:rsidRPr="000A7545">
              <w:rPr>
                <w:rFonts w:cs="Arial"/>
                <w:color w:val="000000"/>
                <w:sz w:val="20"/>
                <w:lang w:eastAsia="en-GB"/>
              </w:rPr>
              <w:t>Provincial</w:t>
            </w:r>
          </w:p>
        </w:tc>
        <w:tc>
          <w:tcPr>
            <w:tcW w:w="1170" w:type="dxa"/>
            <w:shd w:val="clear" w:color="auto" w:fill="auto"/>
            <w:vAlign w:val="center"/>
            <w:hideMark/>
          </w:tcPr>
          <w:p w14:paraId="13B55CAA"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17</w:t>
            </w:r>
          </w:p>
        </w:tc>
        <w:tc>
          <w:tcPr>
            <w:tcW w:w="960" w:type="dxa"/>
            <w:shd w:val="clear" w:color="auto" w:fill="auto"/>
            <w:vAlign w:val="center"/>
            <w:hideMark/>
          </w:tcPr>
          <w:p w14:paraId="13B55CAB"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1</w:t>
            </w:r>
          </w:p>
        </w:tc>
        <w:tc>
          <w:tcPr>
            <w:tcW w:w="960" w:type="dxa"/>
            <w:shd w:val="clear" w:color="auto" w:fill="auto"/>
            <w:vAlign w:val="center"/>
            <w:hideMark/>
          </w:tcPr>
          <w:p w14:paraId="13B55CAC" w14:textId="77777777" w:rsidR="00FC4A17" w:rsidRPr="000A7545" w:rsidRDefault="00FC4A17" w:rsidP="00FC4A17">
            <w:pPr>
              <w:spacing w:before="120" w:line="240" w:lineRule="auto"/>
              <w:jc w:val="center"/>
              <w:rPr>
                <w:rFonts w:cs="Arial"/>
                <w:b/>
                <w:bCs/>
                <w:color w:val="000000"/>
                <w:sz w:val="20"/>
                <w:lang w:eastAsia="en-GB"/>
              </w:rPr>
            </w:pPr>
            <w:r w:rsidRPr="000A7545">
              <w:rPr>
                <w:rFonts w:cs="Arial"/>
                <w:color w:val="000000"/>
                <w:sz w:val="20"/>
                <w:lang w:eastAsia="en-GB"/>
              </w:rPr>
              <w:t>18</w:t>
            </w:r>
          </w:p>
        </w:tc>
      </w:tr>
      <w:tr w:rsidR="00FC4A17" w:rsidRPr="000A7545" w14:paraId="13B55CB2" w14:textId="77777777" w:rsidTr="0019597A">
        <w:trPr>
          <w:trHeight w:val="115"/>
          <w:jc w:val="center"/>
        </w:trPr>
        <w:tc>
          <w:tcPr>
            <w:tcW w:w="1640" w:type="dxa"/>
            <w:shd w:val="clear" w:color="auto" w:fill="auto"/>
            <w:vAlign w:val="center"/>
            <w:hideMark/>
          </w:tcPr>
          <w:p w14:paraId="13B55CAE" w14:textId="77777777" w:rsidR="00FC4A17" w:rsidRPr="000A7545" w:rsidRDefault="00FC4A17" w:rsidP="00FC4A17">
            <w:pPr>
              <w:spacing w:before="120" w:line="240" w:lineRule="auto"/>
              <w:rPr>
                <w:rFonts w:cs="Arial"/>
                <w:b/>
                <w:color w:val="000000"/>
                <w:sz w:val="20"/>
                <w:lang w:eastAsia="en-GB"/>
              </w:rPr>
            </w:pPr>
            <w:r w:rsidRPr="000A7545">
              <w:rPr>
                <w:rFonts w:cs="Arial"/>
                <w:color w:val="000000"/>
                <w:sz w:val="20"/>
                <w:lang w:eastAsia="en-GB"/>
              </w:rPr>
              <w:t>Biak</w:t>
            </w:r>
          </w:p>
        </w:tc>
        <w:tc>
          <w:tcPr>
            <w:tcW w:w="1170" w:type="dxa"/>
            <w:shd w:val="clear" w:color="auto" w:fill="auto"/>
            <w:vAlign w:val="center"/>
            <w:hideMark/>
          </w:tcPr>
          <w:p w14:paraId="13B55CAF"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19</w:t>
            </w:r>
          </w:p>
        </w:tc>
        <w:tc>
          <w:tcPr>
            <w:tcW w:w="960" w:type="dxa"/>
            <w:shd w:val="clear" w:color="auto" w:fill="auto"/>
            <w:vAlign w:val="center"/>
            <w:hideMark/>
          </w:tcPr>
          <w:p w14:paraId="13B55CB0"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6</w:t>
            </w:r>
          </w:p>
        </w:tc>
        <w:tc>
          <w:tcPr>
            <w:tcW w:w="960" w:type="dxa"/>
            <w:shd w:val="clear" w:color="auto" w:fill="auto"/>
            <w:vAlign w:val="center"/>
            <w:hideMark/>
          </w:tcPr>
          <w:p w14:paraId="13B55CB1" w14:textId="77777777" w:rsidR="00FC4A17" w:rsidRPr="000A7545" w:rsidRDefault="00FC4A17" w:rsidP="00FC4A17">
            <w:pPr>
              <w:spacing w:before="120" w:line="240" w:lineRule="auto"/>
              <w:jc w:val="center"/>
              <w:rPr>
                <w:rFonts w:cs="Arial"/>
                <w:b/>
                <w:bCs/>
                <w:color w:val="000000"/>
                <w:sz w:val="20"/>
                <w:lang w:eastAsia="en-GB"/>
              </w:rPr>
            </w:pPr>
            <w:r w:rsidRPr="000A7545">
              <w:rPr>
                <w:rFonts w:cs="Arial"/>
                <w:color w:val="000000"/>
                <w:sz w:val="20"/>
                <w:lang w:eastAsia="en-GB"/>
              </w:rPr>
              <w:t>25</w:t>
            </w:r>
          </w:p>
        </w:tc>
      </w:tr>
      <w:tr w:rsidR="00FC4A17" w:rsidRPr="000A7545" w14:paraId="13B55CB7" w14:textId="77777777" w:rsidTr="0019597A">
        <w:trPr>
          <w:trHeight w:val="52"/>
          <w:jc w:val="center"/>
        </w:trPr>
        <w:tc>
          <w:tcPr>
            <w:tcW w:w="1640" w:type="dxa"/>
            <w:shd w:val="clear" w:color="auto" w:fill="auto"/>
            <w:vAlign w:val="center"/>
            <w:hideMark/>
          </w:tcPr>
          <w:p w14:paraId="13B55CB3" w14:textId="77777777" w:rsidR="00FC4A17" w:rsidRPr="000A7545" w:rsidRDefault="00FC4A17" w:rsidP="00FC4A17">
            <w:pPr>
              <w:spacing w:before="120" w:line="240" w:lineRule="auto"/>
              <w:rPr>
                <w:rFonts w:cs="Arial"/>
                <w:b/>
                <w:color w:val="000000"/>
                <w:sz w:val="20"/>
                <w:lang w:eastAsia="en-GB"/>
              </w:rPr>
            </w:pPr>
            <w:r w:rsidRPr="000A7545">
              <w:rPr>
                <w:rFonts w:cs="Arial"/>
                <w:color w:val="000000"/>
                <w:sz w:val="20"/>
                <w:lang w:eastAsia="en-GB"/>
              </w:rPr>
              <w:t>Jayapura</w:t>
            </w:r>
          </w:p>
        </w:tc>
        <w:tc>
          <w:tcPr>
            <w:tcW w:w="1170" w:type="dxa"/>
            <w:shd w:val="clear" w:color="auto" w:fill="auto"/>
            <w:vAlign w:val="center"/>
            <w:hideMark/>
          </w:tcPr>
          <w:p w14:paraId="13B55CB4"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11</w:t>
            </w:r>
          </w:p>
        </w:tc>
        <w:tc>
          <w:tcPr>
            <w:tcW w:w="960" w:type="dxa"/>
            <w:shd w:val="clear" w:color="auto" w:fill="auto"/>
            <w:vAlign w:val="center"/>
            <w:hideMark/>
          </w:tcPr>
          <w:p w14:paraId="13B55CB5"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4</w:t>
            </w:r>
          </w:p>
        </w:tc>
        <w:tc>
          <w:tcPr>
            <w:tcW w:w="960" w:type="dxa"/>
            <w:shd w:val="clear" w:color="auto" w:fill="auto"/>
            <w:vAlign w:val="center"/>
            <w:hideMark/>
          </w:tcPr>
          <w:p w14:paraId="13B55CB6" w14:textId="77777777" w:rsidR="00FC4A17" w:rsidRPr="000A7545" w:rsidRDefault="00FC4A17" w:rsidP="00FC4A17">
            <w:pPr>
              <w:spacing w:before="120" w:line="240" w:lineRule="auto"/>
              <w:jc w:val="center"/>
              <w:rPr>
                <w:rFonts w:cs="Arial"/>
                <w:b/>
                <w:bCs/>
                <w:color w:val="000000"/>
                <w:sz w:val="20"/>
                <w:lang w:eastAsia="en-GB"/>
              </w:rPr>
            </w:pPr>
            <w:r w:rsidRPr="000A7545">
              <w:rPr>
                <w:rFonts w:cs="Arial"/>
                <w:color w:val="000000"/>
                <w:sz w:val="20"/>
                <w:lang w:eastAsia="en-GB"/>
              </w:rPr>
              <w:t>15</w:t>
            </w:r>
          </w:p>
        </w:tc>
      </w:tr>
      <w:tr w:rsidR="00FC4A17" w:rsidRPr="000A7545" w14:paraId="13B55CBC" w14:textId="77777777" w:rsidTr="0019597A">
        <w:trPr>
          <w:trHeight w:val="46"/>
          <w:jc w:val="center"/>
        </w:trPr>
        <w:tc>
          <w:tcPr>
            <w:tcW w:w="1640" w:type="dxa"/>
            <w:shd w:val="clear" w:color="auto" w:fill="auto"/>
            <w:vAlign w:val="center"/>
            <w:hideMark/>
          </w:tcPr>
          <w:p w14:paraId="13B55CB8" w14:textId="77777777" w:rsidR="00FC4A17" w:rsidRPr="000A7545" w:rsidRDefault="00FC4A17" w:rsidP="00FC4A17">
            <w:pPr>
              <w:spacing w:before="120" w:line="240" w:lineRule="auto"/>
              <w:rPr>
                <w:rFonts w:cs="Arial"/>
                <w:b/>
                <w:color w:val="000000"/>
                <w:sz w:val="20"/>
                <w:lang w:eastAsia="en-GB"/>
              </w:rPr>
            </w:pPr>
            <w:r w:rsidRPr="000A7545">
              <w:rPr>
                <w:rFonts w:cs="Arial"/>
                <w:color w:val="000000"/>
                <w:sz w:val="20"/>
                <w:lang w:eastAsia="en-GB"/>
              </w:rPr>
              <w:t>Jayawijaya</w:t>
            </w:r>
          </w:p>
        </w:tc>
        <w:tc>
          <w:tcPr>
            <w:tcW w:w="1170" w:type="dxa"/>
            <w:shd w:val="clear" w:color="auto" w:fill="auto"/>
            <w:vAlign w:val="center"/>
            <w:hideMark/>
          </w:tcPr>
          <w:p w14:paraId="13B55CB9"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14</w:t>
            </w:r>
          </w:p>
        </w:tc>
        <w:tc>
          <w:tcPr>
            <w:tcW w:w="960" w:type="dxa"/>
            <w:shd w:val="clear" w:color="auto" w:fill="auto"/>
            <w:vAlign w:val="center"/>
            <w:hideMark/>
          </w:tcPr>
          <w:p w14:paraId="13B55CBA"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3</w:t>
            </w:r>
          </w:p>
        </w:tc>
        <w:tc>
          <w:tcPr>
            <w:tcW w:w="960" w:type="dxa"/>
            <w:shd w:val="clear" w:color="auto" w:fill="auto"/>
            <w:vAlign w:val="center"/>
            <w:hideMark/>
          </w:tcPr>
          <w:p w14:paraId="13B55CBB" w14:textId="77777777" w:rsidR="00FC4A17" w:rsidRPr="000A7545" w:rsidRDefault="00FC4A17" w:rsidP="00FC4A17">
            <w:pPr>
              <w:spacing w:before="120" w:line="240" w:lineRule="auto"/>
              <w:jc w:val="center"/>
              <w:rPr>
                <w:rFonts w:cs="Arial"/>
                <w:b/>
                <w:bCs/>
                <w:color w:val="000000"/>
                <w:sz w:val="20"/>
                <w:lang w:eastAsia="en-GB"/>
              </w:rPr>
            </w:pPr>
            <w:r w:rsidRPr="000A7545">
              <w:rPr>
                <w:rFonts w:cs="Arial"/>
                <w:color w:val="000000"/>
                <w:sz w:val="20"/>
                <w:lang w:eastAsia="en-GB"/>
              </w:rPr>
              <w:t>17</w:t>
            </w:r>
          </w:p>
        </w:tc>
      </w:tr>
      <w:tr w:rsidR="00FC4A17" w:rsidRPr="000A7545" w14:paraId="13B55CC1" w14:textId="77777777" w:rsidTr="0019597A">
        <w:trPr>
          <w:trHeight w:val="88"/>
          <w:jc w:val="center"/>
        </w:trPr>
        <w:tc>
          <w:tcPr>
            <w:tcW w:w="1640" w:type="dxa"/>
            <w:shd w:val="clear" w:color="auto" w:fill="auto"/>
            <w:vAlign w:val="center"/>
            <w:hideMark/>
          </w:tcPr>
          <w:p w14:paraId="13B55CBD" w14:textId="77777777" w:rsidR="00FC4A17" w:rsidRPr="000A7545" w:rsidRDefault="00FC4A17" w:rsidP="00FC4A17">
            <w:pPr>
              <w:spacing w:before="120" w:line="240" w:lineRule="auto"/>
              <w:rPr>
                <w:rFonts w:cs="Arial"/>
                <w:b/>
                <w:color w:val="000000"/>
                <w:sz w:val="20"/>
                <w:lang w:eastAsia="en-GB"/>
              </w:rPr>
            </w:pPr>
            <w:r w:rsidRPr="000A7545">
              <w:rPr>
                <w:rFonts w:cs="Arial"/>
                <w:color w:val="000000"/>
                <w:sz w:val="20"/>
                <w:lang w:eastAsia="en-GB"/>
              </w:rPr>
              <w:t>Sorong</w:t>
            </w:r>
          </w:p>
        </w:tc>
        <w:tc>
          <w:tcPr>
            <w:tcW w:w="1170" w:type="dxa"/>
            <w:shd w:val="clear" w:color="auto" w:fill="auto"/>
            <w:vAlign w:val="center"/>
            <w:hideMark/>
          </w:tcPr>
          <w:p w14:paraId="13B55CBE"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12</w:t>
            </w:r>
          </w:p>
        </w:tc>
        <w:tc>
          <w:tcPr>
            <w:tcW w:w="960" w:type="dxa"/>
            <w:shd w:val="clear" w:color="auto" w:fill="auto"/>
            <w:vAlign w:val="center"/>
            <w:hideMark/>
          </w:tcPr>
          <w:p w14:paraId="13B55CBF" w14:textId="77777777" w:rsidR="00FC4A17" w:rsidRPr="000A7545" w:rsidRDefault="00FC4A17" w:rsidP="00FC4A17">
            <w:pPr>
              <w:spacing w:before="120" w:line="240" w:lineRule="auto"/>
              <w:jc w:val="center"/>
              <w:rPr>
                <w:rFonts w:cs="Arial"/>
                <w:b/>
                <w:color w:val="000000"/>
                <w:sz w:val="20"/>
                <w:lang w:eastAsia="en-GB"/>
              </w:rPr>
            </w:pPr>
            <w:r w:rsidRPr="000A7545">
              <w:rPr>
                <w:rFonts w:cs="Arial"/>
                <w:color w:val="000000"/>
                <w:sz w:val="20"/>
                <w:lang w:eastAsia="en-GB"/>
              </w:rPr>
              <w:t>9</w:t>
            </w:r>
          </w:p>
        </w:tc>
        <w:tc>
          <w:tcPr>
            <w:tcW w:w="960" w:type="dxa"/>
            <w:shd w:val="clear" w:color="auto" w:fill="auto"/>
            <w:vAlign w:val="center"/>
            <w:hideMark/>
          </w:tcPr>
          <w:p w14:paraId="13B55CC0" w14:textId="77777777" w:rsidR="00FC4A17" w:rsidRPr="000A7545" w:rsidRDefault="00FC4A17" w:rsidP="00FC4A17">
            <w:pPr>
              <w:spacing w:before="120" w:line="240" w:lineRule="auto"/>
              <w:jc w:val="center"/>
              <w:rPr>
                <w:rFonts w:cs="Arial"/>
                <w:b/>
                <w:bCs/>
                <w:color w:val="000000"/>
                <w:sz w:val="20"/>
                <w:lang w:eastAsia="en-GB"/>
              </w:rPr>
            </w:pPr>
            <w:r w:rsidRPr="000A7545">
              <w:rPr>
                <w:rFonts w:cs="Arial"/>
                <w:color w:val="000000"/>
                <w:sz w:val="20"/>
                <w:lang w:eastAsia="en-GB"/>
              </w:rPr>
              <w:t>21</w:t>
            </w:r>
          </w:p>
        </w:tc>
      </w:tr>
      <w:tr w:rsidR="00FC4A17" w:rsidRPr="000A7545" w14:paraId="13B55CC6" w14:textId="77777777" w:rsidTr="0019597A">
        <w:trPr>
          <w:trHeight w:val="115"/>
          <w:jc w:val="center"/>
        </w:trPr>
        <w:tc>
          <w:tcPr>
            <w:tcW w:w="1640" w:type="dxa"/>
            <w:shd w:val="clear" w:color="auto" w:fill="auto"/>
            <w:vAlign w:val="center"/>
            <w:hideMark/>
          </w:tcPr>
          <w:p w14:paraId="13B55CC2" w14:textId="77777777" w:rsidR="00FC4A17" w:rsidRPr="000A7545" w:rsidRDefault="00FC4A17" w:rsidP="00FC4A17">
            <w:pPr>
              <w:spacing w:before="120" w:line="240" w:lineRule="auto"/>
              <w:jc w:val="right"/>
              <w:rPr>
                <w:rFonts w:cs="Arial"/>
                <w:bCs/>
                <w:color w:val="000000"/>
                <w:sz w:val="20"/>
                <w:lang w:eastAsia="en-GB"/>
              </w:rPr>
            </w:pPr>
            <w:r w:rsidRPr="000A7545">
              <w:rPr>
                <w:rFonts w:cs="Arial"/>
                <w:color w:val="000000"/>
                <w:sz w:val="20"/>
                <w:lang w:eastAsia="en-GB"/>
              </w:rPr>
              <w:t>Total</w:t>
            </w:r>
          </w:p>
        </w:tc>
        <w:tc>
          <w:tcPr>
            <w:tcW w:w="1170" w:type="dxa"/>
            <w:shd w:val="clear" w:color="auto" w:fill="auto"/>
            <w:vAlign w:val="center"/>
            <w:hideMark/>
          </w:tcPr>
          <w:p w14:paraId="13B55CC3" w14:textId="77777777" w:rsidR="00FC4A17" w:rsidRPr="000A7545" w:rsidRDefault="00FC4A17" w:rsidP="00FC4A17">
            <w:pPr>
              <w:spacing w:before="120" w:line="240" w:lineRule="auto"/>
              <w:jc w:val="center"/>
              <w:rPr>
                <w:rFonts w:cs="Arial"/>
                <w:b/>
                <w:bCs/>
                <w:color w:val="000000"/>
                <w:sz w:val="20"/>
                <w:lang w:eastAsia="en-GB"/>
              </w:rPr>
            </w:pPr>
            <w:r w:rsidRPr="000A7545">
              <w:rPr>
                <w:rFonts w:cs="Arial"/>
                <w:color w:val="000000"/>
                <w:sz w:val="20"/>
                <w:lang w:eastAsia="en-GB"/>
              </w:rPr>
              <w:t>73</w:t>
            </w:r>
          </w:p>
        </w:tc>
        <w:tc>
          <w:tcPr>
            <w:tcW w:w="960" w:type="dxa"/>
            <w:shd w:val="clear" w:color="auto" w:fill="auto"/>
            <w:vAlign w:val="center"/>
            <w:hideMark/>
          </w:tcPr>
          <w:p w14:paraId="13B55CC4" w14:textId="77777777" w:rsidR="00FC4A17" w:rsidRPr="000A7545" w:rsidRDefault="00FC4A17" w:rsidP="00FC4A17">
            <w:pPr>
              <w:spacing w:before="120" w:line="240" w:lineRule="auto"/>
              <w:jc w:val="center"/>
              <w:rPr>
                <w:rFonts w:cs="Arial"/>
                <w:b/>
                <w:bCs/>
                <w:color w:val="000000"/>
                <w:sz w:val="20"/>
                <w:lang w:eastAsia="en-GB"/>
              </w:rPr>
            </w:pPr>
            <w:r w:rsidRPr="000A7545">
              <w:rPr>
                <w:rFonts w:cs="Arial"/>
                <w:color w:val="000000"/>
                <w:sz w:val="20"/>
                <w:lang w:eastAsia="en-GB"/>
              </w:rPr>
              <w:t>23</w:t>
            </w:r>
          </w:p>
        </w:tc>
        <w:tc>
          <w:tcPr>
            <w:tcW w:w="960" w:type="dxa"/>
            <w:shd w:val="clear" w:color="auto" w:fill="auto"/>
            <w:vAlign w:val="center"/>
            <w:hideMark/>
          </w:tcPr>
          <w:p w14:paraId="13B55CC5" w14:textId="77777777" w:rsidR="00FC4A17" w:rsidRPr="000A7545" w:rsidRDefault="00FC4A17" w:rsidP="00FC4A17">
            <w:pPr>
              <w:spacing w:before="120" w:line="240" w:lineRule="auto"/>
              <w:jc w:val="center"/>
              <w:rPr>
                <w:rFonts w:cs="Arial"/>
                <w:b/>
                <w:bCs/>
                <w:color w:val="000000"/>
                <w:sz w:val="20"/>
                <w:lang w:eastAsia="en-GB"/>
              </w:rPr>
            </w:pPr>
            <w:r w:rsidRPr="000A7545">
              <w:rPr>
                <w:rFonts w:cs="Arial"/>
                <w:color w:val="000000"/>
                <w:sz w:val="20"/>
                <w:lang w:eastAsia="en-GB"/>
              </w:rPr>
              <w:t>96</w:t>
            </w:r>
          </w:p>
        </w:tc>
      </w:tr>
    </w:tbl>
    <w:p w14:paraId="13B55CC7" w14:textId="77777777" w:rsidR="00FC4A17" w:rsidRPr="000A7545" w:rsidRDefault="00FC4A17" w:rsidP="00185221"/>
    <w:p w14:paraId="13B55CC8" w14:textId="77777777" w:rsidR="00FC4A17" w:rsidRPr="000A7545" w:rsidRDefault="00FC4A17" w:rsidP="00FC4A17">
      <w:r w:rsidRPr="000A7545">
        <w:t>The BOSP training aimed to ensure that accurate budgeting is conducted by target districts, and local governments are able to provide additional funding using local government budgets in cases where BOS funding from the central Government remains insufficient to support school operational costs.</w:t>
      </w:r>
    </w:p>
    <w:p w14:paraId="13B55CC9" w14:textId="77777777" w:rsidR="00FC4A17" w:rsidRPr="000A7545" w:rsidRDefault="00FC4A17" w:rsidP="00FC4A17">
      <w:r w:rsidRPr="000A7545">
        <w:t>A series of training on BOSP was organised in the four target districts with 145 participants trained (65 males and 24 females from civil society with an additional 56 school participants).</w:t>
      </w:r>
    </w:p>
    <w:p w14:paraId="13B55CCA" w14:textId="77777777" w:rsidR="00FC4A17" w:rsidRPr="000A7545" w:rsidRDefault="00FC4A17" w:rsidP="00FA09D3">
      <w:pPr>
        <w:pStyle w:val="ListParagraph"/>
        <w:numPr>
          <w:ilvl w:val="0"/>
          <w:numId w:val="16"/>
        </w:numPr>
        <w:rPr>
          <w:b/>
        </w:rPr>
      </w:pPr>
      <w:r w:rsidRPr="000A7545">
        <w:t>Each target district and provincial level has completed a full report on</w:t>
      </w:r>
      <w:r w:rsidRPr="000A7545">
        <w:rPr>
          <w:b/>
        </w:rPr>
        <w:t xml:space="preserve"> </w:t>
      </w:r>
      <w:r w:rsidRPr="000A7545">
        <w:t>BOS funding need</w:t>
      </w:r>
      <w:r w:rsidR="00F75548">
        <w:t>ed</w:t>
      </w:r>
      <w:r w:rsidRPr="000A7545">
        <w:t xml:space="preserve"> for schools</w:t>
      </w:r>
      <w:r w:rsidR="00F75548">
        <w:t>. These reports</w:t>
      </w:r>
      <w:r w:rsidRPr="000A7545">
        <w:t xml:space="preserve"> have now been published and are being used to inform government policy in Sorong, Manokwari, Biak, Jayawijaya and Jayapura Districts.</w:t>
      </w:r>
    </w:p>
    <w:p w14:paraId="13B55CCB" w14:textId="77777777" w:rsidR="00FC4A17" w:rsidRPr="000A7545" w:rsidRDefault="00FC4A17" w:rsidP="00FA09D3">
      <w:pPr>
        <w:pStyle w:val="ListParagraph"/>
        <w:numPr>
          <w:ilvl w:val="0"/>
          <w:numId w:val="16"/>
        </w:numPr>
        <w:rPr>
          <w:rFonts w:cs="Arial"/>
        </w:rPr>
      </w:pPr>
      <w:r w:rsidRPr="000A7545">
        <w:t xml:space="preserve">Initial mini-policy dialogues were also subsequently organised at district level and it is hoped that local government policies will ensure that supplementary budget is made available from local budgets focusing on equitable access to a quality education. Public consultations conducted in Sorong District received very </w:t>
      </w:r>
      <w:r w:rsidRPr="000A7545">
        <w:rPr>
          <w:rFonts w:cstheme="minorHAnsi"/>
        </w:rPr>
        <w:t xml:space="preserve">positive feedback from local government and District House Representatives (DPRD). Local government confirmed that it will use findings as the basis for future local government budget allocations. The DPRD also requested the District Education Office to formalise the findings by submitting a </w:t>
      </w:r>
      <w:r w:rsidRPr="000A7545">
        <w:rPr>
          <w:rFonts w:cstheme="minorHAnsi"/>
          <w:i/>
        </w:rPr>
        <w:t>Rancangan Peraturan Daerah Pelayanan Pendidikan</w:t>
      </w:r>
      <w:r w:rsidRPr="000A7545">
        <w:rPr>
          <w:rFonts w:cstheme="minorHAnsi"/>
        </w:rPr>
        <w:t xml:space="preserve"> (Draft Local Law in Education Services) as an umbrella for strengthening district education public policy. Based on the findings of this work the district government has also allocated funds for Senior High School (SMA) operational costs in the amount of </w:t>
      </w:r>
      <w:r w:rsidR="00E377B2">
        <w:rPr>
          <w:rFonts w:cstheme="minorHAnsi"/>
        </w:rPr>
        <w:t>IDR</w:t>
      </w:r>
      <w:r w:rsidRPr="000A7545">
        <w:rPr>
          <w:rFonts w:cstheme="minorHAnsi"/>
        </w:rPr>
        <w:t xml:space="preserve"> 221,029,608 (school needs of </w:t>
      </w:r>
      <w:r w:rsidR="00E377B2">
        <w:rPr>
          <w:rFonts w:cstheme="minorHAnsi"/>
        </w:rPr>
        <w:t>IDR</w:t>
      </w:r>
      <w:r w:rsidRPr="000A7545">
        <w:rPr>
          <w:rFonts w:cstheme="minorHAnsi"/>
        </w:rPr>
        <w:t xml:space="preserve"> 117,444/student/year). Moreover, district government agreed to commit further funds in 2013 and beyond to support operational costs for basic education at primary and junior secondary school levels once passing a local regulation (</w:t>
      </w:r>
      <w:r w:rsidRPr="000A7545">
        <w:rPr>
          <w:rFonts w:cstheme="minorHAnsi"/>
          <w:i/>
        </w:rPr>
        <w:t>Peraturan Daerah/Perda</w:t>
      </w:r>
      <w:r w:rsidRPr="000A7545">
        <w:rPr>
          <w:rFonts w:cstheme="minorHAnsi"/>
        </w:rPr>
        <w:t>).</w:t>
      </w:r>
    </w:p>
    <w:p w14:paraId="13B55CCC" w14:textId="77777777" w:rsidR="00FC4A17" w:rsidRPr="000A7545" w:rsidRDefault="00FC4A17" w:rsidP="00FA09D3">
      <w:pPr>
        <w:pStyle w:val="ListParagraph"/>
        <w:numPr>
          <w:ilvl w:val="0"/>
          <w:numId w:val="16"/>
        </w:numPr>
        <w:rPr>
          <w:rFonts w:cs="Arial"/>
        </w:rPr>
      </w:pPr>
      <w:r w:rsidRPr="000A7545">
        <w:rPr>
          <w:rFonts w:cs="Arial"/>
          <w:color w:val="000000"/>
        </w:rPr>
        <w:t>In Biak Numfor, the result of BOSP calculation became an important topic during discussion in district parliamentary meetings for 2012 budget allocation from October to December 2011. As a result, Biak Numfor parliament has now allocated 3.5 billion rupiah to match BOS funds for indigenous Papuan children in all levels of schooling to free them of all personal and operational costs of education. This highly significant achievement is informed by the result of BOSP calculation facilitated by STEP, and influenced by advocacy efforts conducted by education officials, Bappeda, and civil society who have developed a strong awareness of education budgeting processes and calculations.</w:t>
      </w:r>
    </w:p>
    <w:p w14:paraId="13B55CCD" w14:textId="77777777" w:rsidR="00FC4A17" w:rsidRPr="000A7545" w:rsidRDefault="00FC4A17" w:rsidP="00FA09D3">
      <w:pPr>
        <w:pStyle w:val="ListParagraph"/>
        <w:numPr>
          <w:ilvl w:val="0"/>
          <w:numId w:val="16"/>
        </w:numPr>
        <w:rPr>
          <w:rFonts w:cs="Arial"/>
        </w:rPr>
      </w:pPr>
      <w:r w:rsidRPr="000A7545">
        <w:rPr>
          <w:rFonts w:cstheme="minorHAnsi"/>
        </w:rPr>
        <w:t>Similar results are being achieved across all target districts.</w:t>
      </w:r>
    </w:p>
    <w:p w14:paraId="13B55CCE" w14:textId="77777777" w:rsidR="00FC4A17" w:rsidRPr="000A7545" w:rsidRDefault="00FC4A17" w:rsidP="00FC4A17"/>
    <w:p w14:paraId="13B55CCF" w14:textId="77777777" w:rsidR="00FC4A17" w:rsidRPr="000A7545" w:rsidRDefault="00FC4A17" w:rsidP="00FC4A17">
      <w:pPr>
        <w:pStyle w:val="Caption"/>
        <w:spacing w:after="200"/>
        <w:rPr>
          <w:b w:val="0"/>
          <w:i/>
          <w:highlight w:val="yellow"/>
        </w:rPr>
      </w:pPr>
      <w:bookmarkStart w:id="57" w:name="_Toc322710102"/>
      <w:r w:rsidRPr="000A7545">
        <w:t xml:space="preserve">Figure </w:t>
      </w:r>
      <w:fldSimple w:instr=" SEQ Figure \* ARABIC ">
        <w:r w:rsidR="009B4D84">
          <w:rPr>
            <w:noProof/>
          </w:rPr>
          <w:t>11</w:t>
        </w:r>
      </w:fldSimple>
      <w:r w:rsidRPr="000A7545">
        <w:t>: BOSP training participants</w:t>
      </w:r>
      <w:bookmarkEnd w:id="57"/>
    </w:p>
    <w:tbl>
      <w:tblPr>
        <w:tblW w:w="8560" w:type="dxa"/>
        <w:tblInd w:w="93" w:type="dxa"/>
        <w:tblLook w:val="04A0" w:firstRow="1" w:lastRow="0" w:firstColumn="1" w:lastColumn="0" w:noHBand="0" w:noVBand="1"/>
      </w:tblPr>
      <w:tblGrid>
        <w:gridCol w:w="1194"/>
        <w:gridCol w:w="1071"/>
        <w:gridCol w:w="1170"/>
        <w:gridCol w:w="1238"/>
        <w:gridCol w:w="942"/>
        <w:gridCol w:w="942"/>
        <w:gridCol w:w="951"/>
        <w:gridCol w:w="1052"/>
      </w:tblGrid>
      <w:tr w:rsidR="00FC4A17" w:rsidRPr="000A7545" w14:paraId="13B55CD4" w14:textId="77777777" w:rsidTr="00411E08">
        <w:trPr>
          <w:trHeight w:val="450"/>
        </w:trPr>
        <w:tc>
          <w:tcPr>
            <w:tcW w:w="119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14:paraId="13B55CD0"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District</w:t>
            </w:r>
          </w:p>
        </w:tc>
        <w:tc>
          <w:tcPr>
            <w:tcW w:w="3479" w:type="dxa"/>
            <w:gridSpan w:val="3"/>
            <w:tcBorders>
              <w:top w:val="single" w:sz="8" w:space="0" w:color="auto"/>
              <w:left w:val="nil"/>
              <w:right w:val="single" w:sz="8" w:space="0" w:color="000000"/>
            </w:tcBorders>
            <w:shd w:val="clear" w:color="auto" w:fill="C6D9F1" w:themeFill="text2" w:themeFillTint="33"/>
            <w:vAlign w:val="center"/>
            <w:hideMark/>
          </w:tcPr>
          <w:p w14:paraId="13B55CD1"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School Participants by Type of School</w:t>
            </w:r>
          </w:p>
        </w:tc>
        <w:tc>
          <w:tcPr>
            <w:tcW w:w="2835" w:type="dxa"/>
            <w:gridSpan w:val="3"/>
            <w:tcBorders>
              <w:top w:val="single" w:sz="8" w:space="0" w:color="auto"/>
              <w:left w:val="nil"/>
              <w:right w:val="single" w:sz="8" w:space="0" w:color="000000"/>
            </w:tcBorders>
            <w:shd w:val="clear" w:color="auto" w:fill="C6D9F1" w:themeFill="text2" w:themeFillTint="33"/>
            <w:vAlign w:val="center"/>
            <w:hideMark/>
          </w:tcPr>
          <w:p w14:paraId="13B55CD2"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Civil society and Government Participants</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14:paraId="13B55CD3"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Total Number of Participants</w:t>
            </w:r>
          </w:p>
        </w:tc>
      </w:tr>
      <w:tr w:rsidR="00FC4A17" w:rsidRPr="000A7545" w14:paraId="13B55CDD" w14:textId="77777777" w:rsidTr="00411E08">
        <w:trPr>
          <w:trHeight w:val="375"/>
        </w:trPr>
        <w:tc>
          <w:tcPr>
            <w:tcW w:w="1194" w:type="dxa"/>
            <w:vMerge/>
            <w:tcBorders>
              <w:top w:val="single" w:sz="8" w:space="0" w:color="auto"/>
              <w:left w:val="single" w:sz="8" w:space="0" w:color="auto"/>
              <w:bottom w:val="single" w:sz="8" w:space="0" w:color="000000"/>
              <w:right w:val="single" w:sz="8" w:space="0" w:color="auto"/>
            </w:tcBorders>
            <w:vAlign w:val="center"/>
            <w:hideMark/>
          </w:tcPr>
          <w:p w14:paraId="13B55CD5" w14:textId="77777777" w:rsidR="00FC4A17" w:rsidRPr="000A7545" w:rsidRDefault="00FC4A17" w:rsidP="00E0443B">
            <w:pPr>
              <w:spacing w:before="120" w:line="240" w:lineRule="auto"/>
              <w:rPr>
                <w:rFonts w:eastAsia="Times New Roman" w:cs="Arial"/>
                <w:color w:val="000000"/>
                <w:sz w:val="16"/>
                <w:szCs w:val="16"/>
                <w:lang w:eastAsia="en-GB"/>
              </w:rPr>
            </w:pPr>
          </w:p>
        </w:tc>
        <w:tc>
          <w:tcPr>
            <w:tcW w:w="1071" w:type="dxa"/>
            <w:tcBorders>
              <w:top w:val="nil"/>
              <w:left w:val="nil"/>
              <w:bottom w:val="single" w:sz="8" w:space="0" w:color="auto"/>
              <w:right w:val="single" w:sz="8" w:space="0" w:color="auto"/>
            </w:tcBorders>
            <w:shd w:val="clear" w:color="auto" w:fill="C6D9F1" w:themeFill="text2" w:themeFillTint="33"/>
            <w:vAlign w:val="center"/>
            <w:hideMark/>
          </w:tcPr>
          <w:p w14:paraId="13B55CD6" w14:textId="77777777" w:rsidR="00FC4A17" w:rsidRPr="000A7545" w:rsidRDefault="008E2CA6" w:rsidP="00E0443B">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 xml:space="preserve">State </w:t>
            </w:r>
            <w:r w:rsidR="00FC4A17" w:rsidRPr="000A7545">
              <w:rPr>
                <w:rFonts w:eastAsia="Times New Roman" w:cs="Arial"/>
                <w:color w:val="000000"/>
                <w:sz w:val="16"/>
                <w:szCs w:val="16"/>
                <w:lang w:eastAsia="en-GB"/>
              </w:rPr>
              <w:t>school</w:t>
            </w:r>
          </w:p>
        </w:tc>
        <w:tc>
          <w:tcPr>
            <w:tcW w:w="1170" w:type="dxa"/>
            <w:tcBorders>
              <w:top w:val="nil"/>
              <w:left w:val="nil"/>
              <w:bottom w:val="single" w:sz="8" w:space="0" w:color="auto"/>
              <w:right w:val="single" w:sz="8" w:space="0" w:color="auto"/>
            </w:tcBorders>
            <w:shd w:val="clear" w:color="auto" w:fill="C6D9F1" w:themeFill="text2" w:themeFillTint="33"/>
            <w:vAlign w:val="center"/>
            <w:hideMark/>
          </w:tcPr>
          <w:p w14:paraId="13B55CD7" w14:textId="77777777" w:rsidR="00FC4A17" w:rsidRPr="000A7545" w:rsidRDefault="008E2CA6" w:rsidP="00E0443B">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Private s</w:t>
            </w:r>
            <w:r w:rsidR="00FC4A17" w:rsidRPr="000A7545">
              <w:rPr>
                <w:rFonts w:eastAsia="Times New Roman" w:cs="Arial"/>
                <w:color w:val="000000"/>
                <w:sz w:val="16"/>
                <w:szCs w:val="16"/>
                <w:lang w:eastAsia="en-GB"/>
              </w:rPr>
              <w:t>chool</w:t>
            </w:r>
          </w:p>
        </w:tc>
        <w:tc>
          <w:tcPr>
            <w:tcW w:w="1238" w:type="dxa"/>
            <w:tcBorders>
              <w:top w:val="nil"/>
              <w:left w:val="nil"/>
              <w:bottom w:val="single" w:sz="8" w:space="0" w:color="auto"/>
              <w:right w:val="single" w:sz="8" w:space="0" w:color="auto"/>
            </w:tcBorders>
            <w:shd w:val="clear" w:color="auto" w:fill="C6D9F1" w:themeFill="text2" w:themeFillTint="33"/>
            <w:vAlign w:val="center"/>
            <w:hideMark/>
          </w:tcPr>
          <w:p w14:paraId="13B55CD8" w14:textId="77777777" w:rsidR="00FC4A17" w:rsidRPr="000A7545" w:rsidRDefault="00FC4A17" w:rsidP="00E0443B">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Total School Participants</w:t>
            </w:r>
          </w:p>
        </w:tc>
        <w:tc>
          <w:tcPr>
            <w:tcW w:w="942" w:type="dxa"/>
            <w:tcBorders>
              <w:top w:val="nil"/>
              <w:left w:val="nil"/>
              <w:bottom w:val="single" w:sz="8" w:space="0" w:color="auto"/>
              <w:right w:val="single" w:sz="8" w:space="0" w:color="auto"/>
            </w:tcBorders>
            <w:shd w:val="clear" w:color="auto" w:fill="C6D9F1" w:themeFill="text2" w:themeFillTint="33"/>
            <w:vAlign w:val="center"/>
            <w:hideMark/>
          </w:tcPr>
          <w:p w14:paraId="13B55CD9" w14:textId="77777777" w:rsidR="00FC4A17" w:rsidRPr="000A7545" w:rsidRDefault="00FC4A17" w:rsidP="00E0443B">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M</w:t>
            </w:r>
          </w:p>
        </w:tc>
        <w:tc>
          <w:tcPr>
            <w:tcW w:w="942" w:type="dxa"/>
            <w:tcBorders>
              <w:top w:val="nil"/>
              <w:left w:val="nil"/>
              <w:bottom w:val="single" w:sz="8" w:space="0" w:color="auto"/>
              <w:right w:val="single" w:sz="8" w:space="0" w:color="auto"/>
            </w:tcBorders>
            <w:shd w:val="clear" w:color="auto" w:fill="C6D9F1" w:themeFill="text2" w:themeFillTint="33"/>
            <w:vAlign w:val="center"/>
            <w:hideMark/>
          </w:tcPr>
          <w:p w14:paraId="13B55CDA" w14:textId="77777777" w:rsidR="00FC4A17" w:rsidRPr="000A7545" w:rsidRDefault="00FC4A17" w:rsidP="00E0443B">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F</w:t>
            </w:r>
          </w:p>
        </w:tc>
        <w:tc>
          <w:tcPr>
            <w:tcW w:w="951" w:type="dxa"/>
            <w:tcBorders>
              <w:top w:val="nil"/>
              <w:left w:val="nil"/>
              <w:bottom w:val="single" w:sz="8" w:space="0" w:color="auto"/>
              <w:right w:val="single" w:sz="8" w:space="0" w:color="auto"/>
            </w:tcBorders>
            <w:shd w:val="clear" w:color="auto" w:fill="C6D9F1" w:themeFill="text2" w:themeFillTint="33"/>
            <w:vAlign w:val="center"/>
            <w:hideMark/>
          </w:tcPr>
          <w:p w14:paraId="13B55CDB" w14:textId="77777777" w:rsidR="00FC4A17" w:rsidRPr="000A7545" w:rsidRDefault="00FC4A17" w:rsidP="00E0443B">
            <w:pPr>
              <w:spacing w:before="120" w:line="240" w:lineRule="auto"/>
              <w:rPr>
                <w:rFonts w:eastAsia="Times New Roman" w:cs="Arial"/>
                <w:color w:val="000000"/>
                <w:sz w:val="16"/>
                <w:szCs w:val="16"/>
                <w:lang w:eastAsia="en-GB"/>
              </w:rPr>
            </w:pPr>
            <w:r w:rsidRPr="000A7545">
              <w:rPr>
                <w:rFonts w:eastAsia="Times New Roman" w:cs="Arial"/>
                <w:color w:val="000000"/>
                <w:sz w:val="16"/>
                <w:szCs w:val="16"/>
                <w:lang w:eastAsia="en-GB"/>
              </w:rPr>
              <w:t>Total by Gender</w:t>
            </w:r>
          </w:p>
        </w:tc>
        <w:tc>
          <w:tcPr>
            <w:tcW w:w="1052" w:type="dxa"/>
            <w:vMerge/>
            <w:tcBorders>
              <w:top w:val="single" w:sz="8" w:space="0" w:color="auto"/>
              <w:left w:val="single" w:sz="8" w:space="0" w:color="auto"/>
              <w:bottom w:val="single" w:sz="8" w:space="0" w:color="000000"/>
              <w:right w:val="single" w:sz="8" w:space="0" w:color="auto"/>
            </w:tcBorders>
            <w:vAlign w:val="center"/>
            <w:hideMark/>
          </w:tcPr>
          <w:p w14:paraId="13B55CDC" w14:textId="77777777" w:rsidR="00FC4A17" w:rsidRPr="000A7545" w:rsidRDefault="00FC4A17" w:rsidP="00E0443B">
            <w:pPr>
              <w:spacing w:before="120" w:line="240" w:lineRule="auto"/>
              <w:rPr>
                <w:rFonts w:eastAsia="Times New Roman" w:cs="Arial"/>
                <w:color w:val="000000"/>
                <w:sz w:val="16"/>
                <w:szCs w:val="16"/>
                <w:lang w:eastAsia="en-GB"/>
              </w:rPr>
            </w:pPr>
          </w:p>
        </w:tc>
      </w:tr>
      <w:tr w:rsidR="00FC4A17" w:rsidRPr="000A7545" w14:paraId="13B55CE6" w14:textId="77777777" w:rsidTr="008E2CA6">
        <w:trPr>
          <w:trHeight w:val="255"/>
        </w:trPr>
        <w:tc>
          <w:tcPr>
            <w:tcW w:w="1194" w:type="dxa"/>
            <w:tcBorders>
              <w:top w:val="nil"/>
              <w:left w:val="single" w:sz="8" w:space="0" w:color="auto"/>
              <w:bottom w:val="single" w:sz="8" w:space="0" w:color="auto"/>
              <w:right w:val="single" w:sz="8" w:space="0" w:color="auto"/>
            </w:tcBorders>
            <w:shd w:val="clear" w:color="auto" w:fill="auto"/>
            <w:vAlign w:val="center"/>
            <w:hideMark/>
          </w:tcPr>
          <w:p w14:paraId="13B55CDE" w14:textId="77777777" w:rsidR="00FC4A17" w:rsidRPr="000A7545" w:rsidRDefault="00FC4A17" w:rsidP="00FC4A17">
            <w:pPr>
              <w:spacing w:before="120" w:line="240" w:lineRule="auto"/>
              <w:rPr>
                <w:rFonts w:eastAsia="Times New Roman" w:cs="Arial"/>
                <w:color w:val="000000"/>
                <w:sz w:val="16"/>
                <w:szCs w:val="16"/>
                <w:lang w:eastAsia="en-GB"/>
              </w:rPr>
            </w:pPr>
            <w:r w:rsidRPr="000A7545">
              <w:rPr>
                <w:rFonts w:eastAsia="Times New Roman" w:cs="Arial"/>
                <w:color w:val="000000"/>
                <w:sz w:val="16"/>
                <w:szCs w:val="16"/>
                <w:lang w:eastAsia="en-GB"/>
              </w:rPr>
              <w:t>Biak</w:t>
            </w:r>
          </w:p>
        </w:tc>
        <w:tc>
          <w:tcPr>
            <w:tcW w:w="1071" w:type="dxa"/>
            <w:tcBorders>
              <w:top w:val="nil"/>
              <w:left w:val="nil"/>
              <w:bottom w:val="single" w:sz="8" w:space="0" w:color="auto"/>
              <w:right w:val="single" w:sz="8" w:space="0" w:color="auto"/>
            </w:tcBorders>
            <w:shd w:val="clear" w:color="auto" w:fill="auto"/>
            <w:vAlign w:val="center"/>
            <w:hideMark/>
          </w:tcPr>
          <w:p w14:paraId="13B55CDF"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8</w:t>
            </w:r>
          </w:p>
        </w:tc>
        <w:tc>
          <w:tcPr>
            <w:tcW w:w="1170" w:type="dxa"/>
            <w:tcBorders>
              <w:top w:val="nil"/>
              <w:left w:val="nil"/>
              <w:bottom w:val="single" w:sz="8" w:space="0" w:color="auto"/>
              <w:right w:val="single" w:sz="8" w:space="0" w:color="auto"/>
            </w:tcBorders>
            <w:shd w:val="clear" w:color="auto" w:fill="auto"/>
            <w:vAlign w:val="center"/>
            <w:hideMark/>
          </w:tcPr>
          <w:p w14:paraId="13B55CE0"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9</w:t>
            </w:r>
          </w:p>
        </w:tc>
        <w:tc>
          <w:tcPr>
            <w:tcW w:w="1238" w:type="dxa"/>
            <w:tcBorders>
              <w:top w:val="nil"/>
              <w:left w:val="nil"/>
              <w:bottom w:val="single" w:sz="8" w:space="0" w:color="auto"/>
              <w:right w:val="single" w:sz="8" w:space="0" w:color="auto"/>
            </w:tcBorders>
            <w:shd w:val="clear" w:color="auto" w:fill="auto"/>
            <w:vAlign w:val="center"/>
            <w:hideMark/>
          </w:tcPr>
          <w:p w14:paraId="13B55CE1"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17</w:t>
            </w:r>
          </w:p>
        </w:tc>
        <w:tc>
          <w:tcPr>
            <w:tcW w:w="942" w:type="dxa"/>
            <w:tcBorders>
              <w:top w:val="nil"/>
              <w:left w:val="nil"/>
              <w:bottom w:val="single" w:sz="8" w:space="0" w:color="auto"/>
              <w:right w:val="single" w:sz="8" w:space="0" w:color="auto"/>
            </w:tcBorders>
            <w:shd w:val="clear" w:color="auto" w:fill="auto"/>
            <w:vAlign w:val="center"/>
            <w:hideMark/>
          </w:tcPr>
          <w:p w14:paraId="13B55CE2"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10</w:t>
            </w:r>
          </w:p>
        </w:tc>
        <w:tc>
          <w:tcPr>
            <w:tcW w:w="942" w:type="dxa"/>
            <w:tcBorders>
              <w:top w:val="nil"/>
              <w:left w:val="nil"/>
              <w:bottom w:val="single" w:sz="8" w:space="0" w:color="auto"/>
              <w:right w:val="single" w:sz="8" w:space="0" w:color="auto"/>
            </w:tcBorders>
            <w:shd w:val="clear" w:color="auto" w:fill="auto"/>
            <w:vAlign w:val="center"/>
            <w:hideMark/>
          </w:tcPr>
          <w:p w14:paraId="13B55CE3"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3</w:t>
            </w:r>
          </w:p>
        </w:tc>
        <w:tc>
          <w:tcPr>
            <w:tcW w:w="951" w:type="dxa"/>
            <w:tcBorders>
              <w:top w:val="nil"/>
              <w:left w:val="nil"/>
              <w:bottom w:val="single" w:sz="8" w:space="0" w:color="auto"/>
              <w:right w:val="single" w:sz="8" w:space="0" w:color="auto"/>
            </w:tcBorders>
            <w:shd w:val="clear" w:color="auto" w:fill="auto"/>
            <w:vAlign w:val="center"/>
            <w:hideMark/>
          </w:tcPr>
          <w:p w14:paraId="13B55CE4"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13</w:t>
            </w:r>
          </w:p>
        </w:tc>
        <w:tc>
          <w:tcPr>
            <w:tcW w:w="1052" w:type="dxa"/>
            <w:tcBorders>
              <w:top w:val="nil"/>
              <w:left w:val="nil"/>
              <w:bottom w:val="single" w:sz="8" w:space="0" w:color="auto"/>
              <w:right w:val="single" w:sz="8" w:space="0" w:color="auto"/>
            </w:tcBorders>
            <w:shd w:val="clear" w:color="auto" w:fill="auto"/>
            <w:vAlign w:val="center"/>
            <w:hideMark/>
          </w:tcPr>
          <w:p w14:paraId="13B55CE5"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30</w:t>
            </w:r>
          </w:p>
        </w:tc>
      </w:tr>
      <w:tr w:rsidR="00FC4A17" w:rsidRPr="000A7545" w14:paraId="13B55CEF" w14:textId="77777777" w:rsidTr="008E2CA6">
        <w:trPr>
          <w:trHeight w:val="255"/>
        </w:trPr>
        <w:tc>
          <w:tcPr>
            <w:tcW w:w="1194" w:type="dxa"/>
            <w:tcBorders>
              <w:top w:val="nil"/>
              <w:left w:val="single" w:sz="8" w:space="0" w:color="auto"/>
              <w:bottom w:val="single" w:sz="8" w:space="0" w:color="auto"/>
              <w:right w:val="single" w:sz="8" w:space="0" w:color="auto"/>
            </w:tcBorders>
            <w:shd w:val="clear" w:color="auto" w:fill="auto"/>
            <w:vAlign w:val="center"/>
            <w:hideMark/>
          </w:tcPr>
          <w:p w14:paraId="13B55CE7" w14:textId="77777777" w:rsidR="00FC4A17" w:rsidRPr="000A7545" w:rsidRDefault="00FC4A17" w:rsidP="00FC4A17">
            <w:pPr>
              <w:spacing w:before="120" w:line="240" w:lineRule="auto"/>
              <w:rPr>
                <w:rFonts w:eastAsia="Times New Roman" w:cs="Arial"/>
                <w:color w:val="000000"/>
                <w:sz w:val="16"/>
                <w:szCs w:val="16"/>
                <w:lang w:eastAsia="en-GB"/>
              </w:rPr>
            </w:pPr>
            <w:r w:rsidRPr="000A7545">
              <w:rPr>
                <w:rFonts w:eastAsia="Times New Roman" w:cs="Arial"/>
                <w:color w:val="000000"/>
                <w:sz w:val="16"/>
                <w:szCs w:val="16"/>
                <w:lang w:eastAsia="en-GB"/>
              </w:rPr>
              <w:t>Jayapura</w:t>
            </w:r>
          </w:p>
        </w:tc>
        <w:tc>
          <w:tcPr>
            <w:tcW w:w="1071" w:type="dxa"/>
            <w:tcBorders>
              <w:top w:val="nil"/>
              <w:left w:val="nil"/>
              <w:bottom w:val="single" w:sz="8" w:space="0" w:color="auto"/>
              <w:right w:val="single" w:sz="8" w:space="0" w:color="auto"/>
            </w:tcBorders>
            <w:shd w:val="clear" w:color="auto" w:fill="auto"/>
            <w:vAlign w:val="center"/>
            <w:hideMark/>
          </w:tcPr>
          <w:p w14:paraId="13B55CE8"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6</w:t>
            </w:r>
          </w:p>
        </w:tc>
        <w:tc>
          <w:tcPr>
            <w:tcW w:w="1170" w:type="dxa"/>
            <w:tcBorders>
              <w:top w:val="nil"/>
              <w:left w:val="nil"/>
              <w:bottom w:val="single" w:sz="8" w:space="0" w:color="auto"/>
              <w:right w:val="single" w:sz="8" w:space="0" w:color="auto"/>
            </w:tcBorders>
            <w:shd w:val="clear" w:color="auto" w:fill="auto"/>
            <w:vAlign w:val="center"/>
            <w:hideMark/>
          </w:tcPr>
          <w:p w14:paraId="13B55CE9"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5</w:t>
            </w:r>
          </w:p>
        </w:tc>
        <w:tc>
          <w:tcPr>
            <w:tcW w:w="1238" w:type="dxa"/>
            <w:tcBorders>
              <w:top w:val="nil"/>
              <w:left w:val="nil"/>
              <w:bottom w:val="single" w:sz="8" w:space="0" w:color="auto"/>
              <w:right w:val="single" w:sz="8" w:space="0" w:color="auto"/>
            </w:tcBorders>
            <w:shd w:val="clear" w:color="auto" w:fill="auto"/>
            <w:vAlign w:val="center"/>
            <w:hideMark/>
          </w:tcPr>
          <w:p w14:paraId="13B55CEA"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11</w:t>
            </w:r>
          </w:p>
        </w:tc>
        <w:tc>
          <w:tcPr>
            <w:tcW w:w="942" w:type="dxa"/>
            <w:tcBorders>
              <w:top w:val="nil"/>
              <w:left w:val="nil"/>
              <w:bottom w:val="single" w:sz="8" w:space="0" w:color="auto"/>
              <w:right w:val="single" w:sz="8" w:space="0" w:color="auto"/>
            </w:tcBorders>
            <w:shd w:val="clear" w:color="auto" w:fill="auto"/>
            <w:vAlign w:val="center"/>
            <w:hideMark/>
          </w:tcPr>
          <w:p w14:paraId="13B55CEB"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18</w:t>
            </w:r>
          </w:p>
        </w:tc>
        <w:tc>
          <w:tcPr>
            <w:tcW w:w="942" w:type="dxa"/>
            <w:tcBorders>
              <w:top w:val="nil"/>
              <w:left w:val="nil"/>
              <w:bottom w:val="single" w:sz="8" w:space="0" w:color="auto"/>
              <w:right w:val="single" w:sz="8" w:space="0" w:color="auto"/>
            </w:tcBorders>
            <w:shd w:val="clear" w:color="auto" w:fill="auto"/>
            <w:vAlign w:val="center"/>
            <w:hideMark/>
          </w:tcPr>
          <w:p w14:paraId="13B55CEC"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10</w:t>
            </w:r>
          </w:p>
        </w:tc>
        <w:tc>
          <w:tcPr>
            <w:tcW w:w="951" w:type="dxa"/>
            <w:tcBorders>
              <w:top w:val="nil"/>
              <w:left w:val="nil"/>
              <w:bottom w:val="single" w:sz="8" w:space="0" w:color="auto"/>
              <w:right w:val="single" w:sz="8" w:space="0" w:color="auto"/>
            </w:tcBorders>
            <w:shd w:val="clear" w:color="auto" w:fill="auto"/>
            <w:vAlign w:val="center"/>
            <w:hideMark/>
          </w:tcPr>
          <w:p w14:paraId="13B55CED"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28</w:t>
            </w:r>
          </w:p>
        </w:tc>
        <w:tc>
          <w:tcPr>
            <w:tcW w:w="1052" w:type="dxa"/>
            <w:tcBorders>
              <w:top w:val="nil"/>
              <w:left w:val="nil"/>
              <w:bottom w:val="single" w:sz="8" w:space="0" w:color="auto"/>
              <w:right w:val="single" w:sz="8" w:space="0" w:color="auto"/>
            </w:tcBorders>
            <w:shd w:val="clear" w:color="auto" w:fill="auto"/>
            <w:vAlign w:val="center"/>
            <w:hideMark/>
          </w:tcPr>
          <w:p w14:paraId="13B55CEE"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39</w:t>
            </w:r>
          </w:p>
        </w:tc>
      </w:tr>
      <w:tr w:rsidR="00FC4A17" w:rsidRPr="000A7545" w14:paraId="13B55CF8" w14:textId="77777777" w:rsidTr="008E2CA6">
        <w:trPr>
          <w:trHeight w:val="255"/>
        </w:trPr>
        <w:tc>
          <w:tcPr>
            <w:tcW w:w="1194" w:type="dxa"/>
            <w:tcBorders>
              <w:top w:val="nil"/>
              <w:left w:val="single" w:sz="8" w:space="0" w:color="auto"/>
              <w:bottom w:val="single" w:sz="8" w:space="0" w:color="auto"/>
              <w:right w:val="single" w:sz="8" w:space="0" w:color="auto"/>
            </w:tcBorders>
            <w:shd w:val="clear" w:color="auto" w:fill="auto"/>
            <w:vAlign w:val="center"/>
            <w:hideMark/>
          </w:tcPr>
          <w:p w14:paraId="13B55CF0" w14:textId="77777777" w:rsidR="00FC4A17" w:rsidRPr="000A7545" w:rsidRDefault="00FC4A17" w:rsidP="00FC4A17">
            <w:pPr>
              <w:spacing w:before="120" w:line="240" w:lineRule="auto"/>
              <w:rPr>
                <w:rFonts w:eastAsia="Times New Roman" w:cs="Arial"/>
                <w:color w:val="000000"/>
                <w:sz w:val="16"/>
                <w:szCs w:val="16"/>
                <w:lang w:eastAsia="en-GB"/>
              </w:rPr>
            </w:pPr>
            <w:r w:rsidRPr="000A7545">
              <w:rPr>
                <w:rFonts w:eastAsia="Times New Roman" w:cs="Arial"/>
                <w:color w:val="000000"/>
                <w:sz w:val="16"/>
                <w:szCs w:val="16"/>
                <w:lang w:eastAsia="en-GB"/>
              </w:rPr>
              <w:t>Jayawijaya</w:t>
            </w:r>
          </w:p>
        </w:tc>
        <w:tc>
          <w:tcPr>
            <w:tcW w:w="1071" w:type="dxa"/>
            <w:tcBorders>
              <w:top w:val="nil"/>
              <w:left w:val="nil"/>
              <w:bottom w:val="single" w:sz="8" w:space="0" w:color="auto"/>
              <w:right w:val="single" w:sz="8" w:space="0" w:color="auto"/>
            </w:tcBorders>
            <w:shd w:val="clear" w:color="auto" w:fill="auto"/>
            <w:vAlign w:val="center"/>
            <w:hideMark/>
          </w:tcPr>
          <w:p w14:paraId="13B55CF1"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3</w:t>
            </w:r>
          </w:p>
        </w:tc>
        <w:tc>
          <w:tcPr>
            <w:tcW w:w="1170" w:type="dxa"/>
            <w:tcBorders>
              <w:top w:val="nil"/>
              <w:left w:val="nil"/>
              <w:bottom w:val="single" w:sz="8" w:space="0" w:color="auto"/>
              <w:right w:val="single" w:sz="8" w:space="0" w:color="auto"/>
            </w:tcBorders>
            <w:shd w:val="clear" w:color="auto" w:fill="auto"/>
            <w:vAlign w:val="center"/>
            <w:hideMark/>
          </w:tcPr>
          <w:p w14:paraId="13B55CF2"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9</w:t>
            </w:r>
          </w:p>
        </w:tc>
        <w:tc>
          <w:tcPr>
            <w:tcW w:w="1238" w:type="dxa"/>
            <w:tcBorders>
              <w:top w:val="nil"/>
              <w:left w:val="nil"/>
              <w:bottom w:val="single" w:sz="8" w:space="0" w:color="auto"/>
              <w:right w:val="single" w:sz="8" w:space="0" w:color="auto"/>
            </w:tcBorders>
            <w:shd w:val="clear" w:color="auto" w:fill="auto"/>
            <w:vAlign w:val="center"/>
            <w:hideMark/>
          </w:tcPr>
          <w:p w14:paraId="13B55CF3"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12</w:t>
            </w:r>
          </w:p>
        </w:tc>
        <w:tc>
          <w:tcPr>
            <w:tcW w:w="942" w:type="dxa"/>
            <w:tcBorders>
              <w:top w:val="nil"/>
              <w:left w:val="nil"/>
              <w:bottom w:val="single" w:sz="8" w:space="0" w:color="auto"/>
              <w:right w:val="single" w:sz="8" w:space="0" w:color="auto"/>
            </w:tcBorders>
            <w:shd w:val="clear" w:color="auto" w:fill="auto"/>
            <w:vAlign w:val="center"/>
            <w:hideMark/>
          </w:tcPr>
          <w:p w14:paraId="13B55CF4"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17</w:t>
            </w:r>
          </w:p>
        </w:tc>
        <w:tc>
          <w:tcPr>
            <w:tcW w:w="942" w:type="dxa"/>
            <w:tcBorders>
              <w:top w:val="nil"/>
              <w:left w:val="nil"/>
              <w:bottom w:val="single" w:sz="8" w:space="0" w:color="auto"/>
              <w:right w:val="single" w:sz="8" w:space="0" w:color="auto"/>
            </w:tcBorders>
            <w:shd w:val="clear" w:color="auto" w:fill="auto"/>
            <w:vAlign w:val="center"/>
            <w:hideMark/>
          </w:tcPr>
          <w:p w14:paraId="13B55CF5"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5</w:t>
            </w:r>
          </w:p>
        </w:tc>
        <w:tc>
          <w:tcPr>
            <w:tcW w:w="951" w:type="dxa"/>
            <w:tcBorders>
              <w:top w:val="nil"/>
              <w:left w:val="nil"/>
              <w:bottom w:val="single" w:sz="8" w:space="0" w:color="auto"/>
              <w:right w:val="single" w:sz="8" w:space="0" w:color="auto"/>
            </w:tcBorders>
            <w:shd w:val="clear" w:color="auto" w:fill="auto"/>
            <w:vAlign w:val="center"/>
            <w:hideMark/>
          </w:tcPr>
          <w:p w14:paraId="13B55CF6"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22</w:t>
            </w:r>
          </w:p>
        </w:tc>
        <w:tc>
          <w:tcPr>
            <w:tcW w:w="1052" w:type="dxa"/>
            <w:tcBorders>
              <w:top w:val="nil"/>
              <w:left w:val="nil"/>
              <w:bottom w:val="single" w:sz="8" w:space="0" w:color="auto"/>
              <w:right w:val="single" w:sz="8" w:space="0" w:color="auto"/>
            </w:tcBorders>
            <w:shd w:val="clear" w:color="auto" w:fill="auto"/>
            <w:vAlign w:val="center"/>
            <w:hideMark/>
          </w:tcPr>
          <w:p w14:paraId="13B55CF7"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34</w:t>
            </w:r>
          </w:p>
        </w:tc>
      </w:tr>
      <w:tr w:rsidR="00FC4A17" w:rsidRPr="000A7545" w14:paraId="13B55D01" w14:textId="77777777" w:rsidTr="008E2CA6">
        <w:trPr>
          <w:trHeight w:val="255"/>
        </w:trPr>
        <w:tc>
          <w:tcPr>
            <w:tcW w:w="1194" w:type="dxa"/>
            <w:tcBorders>
              <w:top w:val="nil"/>
              <w:left w:val="single" w:sz="8" w:space="0" w:color="auto"/>
              <w:bottom w:val="single" w:sz="8" w:space="0" w:color="auto"/>
              <w:right w:val="single" w:sz="8" w:space="0" w:color="auto"/>
            </w:tcBorders>
            <w:shd w:val="clear" w:color="auto" w:fill="auto"/>
            <w:vAlign w:val="center"/>
            <w:hideMark/>
          </w:tcPr>
          <w:p w14:paraId="13B55CF9" w14:textId="77777777" w:rsidR="00FC4A17" w:rsidRPr="000A7545" w:rsidRDefault="00FC4A17" w:rsidP="00FC4A17">
            <w:pPr>
              <w:spacing w:before="120" w:line="240" w:lineRule="auto"/>
              <w:rPr>
                <w:rFonts w:eastAsia="Times New Roman" w:cs="Arial"/>
                <w:color w:val="000000"/>
                <w:sz w:val="16"/>
                <w:szCs w:val="16"/>
                <w:lang w:eastAsia="en-GB"/>
              </w:rPr>
            </w:pPr>
            <w:r w:rsidRPr="000A7545">
              <w:rPr>
                <w:rFonts w:eastAsia="Times New Roman" w:cs="Arial"/>
                <w:color w:val="000000"/>
                <w:sz w:val="16"/>
                <w:szCs w:val="16"/>
                <w:lang w:eastAsia="en-GB"/>
              </w:rPr>
              <w:t>Sorong</w:t>
            </w:r>
          </w:p>
        </w:tc>
        <w:tc>
          <w:tcPr>
            <w:tcW w:w="1071" w:type="dxa"/>
            <w:tcBorders>
              <w:top w:val="nil"/>
              <w:left w:val="nil"/>
              <w:bottom w:val="single" w:sz="8" w:space="0" w:color="auto"/>
              <w:right w:val="single" w:sz="8" w:space="0" w:color="auto"/>
            </w:tcBorders>
            <w:shd w:val="clear" w:color="auto" w:fill="auto"/>
            <w:vAlign w:val="center"/>
            <w:hideMark/>
          </w:tcPr>
          <w:p w14:paraId="13B55CFA"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9</w:t>
            </w:r>
          </w:p>
        </w:tc>
        <w:tc>
          <w:tcPr>
            <w:tcW w:w="1170" w:type="dxa"/>
            <w:tcBorders>
              <w:top w:val="nil"/>
              <w:left w:val="nil"/>
              <w:bottom w:val="single" w:sz="8" w:space="0" w:color="auto"/>
              <w:right w:val="single" w:sz="8" w:space="0" w:color="auto"/>
            </w:tcBorders>
            <w:shd w:val="clear" w:color="auto" w:fill="auto"/>
            <w:vAlign w:val="center"/>
            <w:hideMark/>
          </w:tcPr>
          <w:p w14:paraId="13B55CFB"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7</w:t>
            </w:r>
          </w:p>
        </w:tc>
        <w:tc>
          <w:tcPr>
            <w:tcW w:w="1238" w:type="dxa"/>
            <w:tcBorders>
              <w:top w:val="nil"/>
              <w:left w:val="nil"/>
              <w:bottom w:val="single" w:sz="8" w:space="0" w:color="auto"/>
              <w:right w:val="single" w:sz="8" w:space="0" w:color="auto"/>
            </w:tcBorders>
            <w:shd w:val="clear" w:color="auto" w:fill="auto"/>
            <w:vAlign w:val="center"/>
            <w:hideMark/>
          </w:tcPr>
          <w:p w14:paraId="13B55CFC"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16</w:t>
            </w:r>
          </w:p>
        </w:tc>
        <w:tc>
          <w:tcPr>
            <w:tcW w:w="942" w:type="dxa"/>
            <w:tcBorders>
              <w:top w:val="nil"/>
              <w:left w:val="nil"/>
              <w:bottom w:val="single" w:sz="8" w:space="0" w:color="auto"/>
              <w:right w:val="single" w:sz="8" w:space="0" w:color="auto"/>
            </w:tcBorders>
            <w:shd w:val="clear" w:color="auto" w:fill="auto"/>
            <w:vAlign w:val="center"/>
            <w:hideMark/>
          </w:tcPr>
          <w:p w14:paraId="13B55CFD"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20</w:t>
            </w:r>
          </w:p>
        </w:tc>
        <w:tc>
          <w:tcPr>
            <w:tcW w:w="942" w:type="dxa"/>
            <w:tcBorders>
              <w:top w:val="nil"/>
              <w:left w:val="nil"/>
              <w:bottom w:val="single" w:sz="8" w:space="0" w:color="auto"/>
              <w:right w:val="single" w:sz="8" w:space="0" w:color="auto"/>
            </w:tcBorders>
            <w:shd w:val="clear" w:color="auto" w:fill="auto"/>
            <w:vAlign w:val="center"/>
            <w:hideMark/>
          </w:tcPr>
          <w:p w14:paraId="13B55CFE"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6</w:t>
            </w:r>
          </w:p>
        </w:tc>
        <w:tc>
          <w:tcPr>
            <w:tcW w:w="951" w:type="dxa"/>
            <w:tcBorders>
              <w:top w:val="nil"/>
              <w:left w:val="nil"/>
              <w:bottom w:val="single" w:sz="8" w:space="0" w:color="auto"/>
              <w:right w:val="single" w:sz="8" w:space="0" w:color="auto"/>
            </w:tcBorders>
            <w:shd w:val="clear" w:color="auto" w:fill="auto"/>
            <w:vAlign w:val="center"/>
            <w:hideMark/>
          </w:tcPr>
          <w:p w14:paraId="13B55CFF" w14:textId="77777777" w:rsidR="00FC4A17" w:rsidRPr="000A7545" w:rsidRDefault="00FC4A17" w:rsidP="00FC4A17">
            <w:pPr>
              <w:spacing w:before="120" w:line="240" w:lineRule="auto"/>
              <w:jc w:val="center"/>
              <w:rPr>
                <w:rFonts w:eastAsia="Times New Roman" w:cs="Arial"/>
                <w:i/>
                <w:iCs/>
                <w:color w:val="000000"/>
                <w:sz w:val="16"/>
                <w:szCs w:val="16"/>
                <w:lang w:eastAsia="en-GB"/>
              </w:rPr>
            </w:pPr>
            <w:r w:rsidRPr="000A7545">
              <w:rPr>
                <w:rFonts w:eastAsia="Times New Roman" w:cs="Arial"/>
                <w:i/>
                <w:iCs/>
                <w:color w:val="000000"/>
                <w:sz w:val="16"/>
                <w:szCs w:val="16"/>
                <w:lang w:eastAsia="en-GB"/>
              </w:rPr>
              <w:t>26</w:t>
            </w:r>
          </w:p>
        </w:tc>
        <w:tc>
          <w:tcPr>
            <w:tcW w:w="1052" w:type="dxa"/>
            <w:tcBorders>
              <w:top w:val="nil"/>
              <w:left w:val="nil"/>
              <w:bottom w:val="single" w:sz="8" w:space="0" w:color="auto"/>
              <w:right w:val="single" w:sz="8" w:space="0" w:color="auto"/>
            </w:tcBorders>
            <w:shd w:val="clear" w:color="auto" w:fill="auto"/>
            <w:vAlign w:val="center"/>
            <w:hideMark/>
          </w:tcPr>
          <w:p w14:paraId="13B55D00"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42</w:t>
            </w:r>
          </w:p>
        </w:tc>
      </w:tr>
      <w:tr w:rsidR="00FC4A17" w:rsidRPr="000A7545" w14:paraId="13B55D0A" w14:textId="77777777" w:rsidTr="008E2CA6">
        <w:trPr>
          <w:trHeight w:val="255"/>
        </w:trPr>
        <w:tc>
          <w:tcPr>
            <w:tcW w:w="1194" w:type="dxa"/>
            <w:tcBorders>
              <w:top w:val="nil"/>
              <w:left w:val="single" w:sz="8" w:space="0" w:color="auto"/>
              <w:bottom w:val="single" w:sz="8" w:space="0" w:color="auto"/>
              <w:right w:val="single" w:sz="8" w:space="0" w:color="auto"/>
            </w:tcBorders>
            <w:shd w:val="clear" w:color="auto" w:fill="auto"/>
            <w:vAlign w:val="center"/>
            <w:hideMark/>
          </w:tcPr>
          <w:p w14:paraId="13B55D02" w14:textId="77777777" w:rsidR="00FC4A17" w:rsidRPr="000A7545" w:rsidRDefault="00FC4A17" w:rsidP="00FC4A17">
            <w:pPr>
              <w:spacing w:before="120" w:line="240" w:lineRule="auto"/>
              <w:rPr>
                <w:rFonts w:eastAsia="Times New Roman" w:cs="Arial"/>
                <w:color w:val="000000"/>
                <w:sz w:val="16"/>
                <w:szCs w:val="16"/>
                <w:lang w:eastAsia="en-GB"/>
              </w:rPr>
            </w:pPr>
            <w:r w:rsidRPr="000A7545">
              <w:rPr>
                <w:rFonts w:eastAsia="Times New Roman" w:cs="Arial"/>
                <w:color w:val="000000"/>
                <w:sz w:val="16"/>
                <w:szCs w:val="16"/>
                <w:lang w:eastAsia="en-GB"/>
              </w:rPr>
              <w:t>Total</w:t>
            </w:r>
          </w:p>
        </w:tc>
        <w:tc>
          <w:tcPr>
            <w:tcW w:w="1071" w:type="dxa"/>
            <w:tcBorders>
              <w:top w:val="nil"/>
              <w:left w:val="nil"/>
              <w:bottom w:val="single" w:sz="8" w:space="0" w:color="auto"/>
              <w:right w:val="single" w:sz="8" w:space="0" w:color="auto"/>
            </w:tcBorders>
            <w:shd w:val="clear" w:color="auto" w:fill="auto"/>
            <w:vAlign w:val="center"/>
            <w:hideMark/>
          </w:tcPr>
          <w:p w14:paraId="13B55D03"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26</w:t>
            </w:r>
          </w:p>
        </w:tc>
        <w:tc>
          <w:tcPr>
            <w:tcW w:w="1170" w:type="dxa"/>
            <w:tcBorders>
              <w:top w:val="nil"/>
              <w:left w:val="nil"/>
              <w:bottom w:val="single" w:sz="8" w:space="0" w:color="auto"/>
              <w:right w:val="single" w:sz="8" w:space="0" w:color="auto"/>
            </w:tcBorders>
            <w:shd w:val="clear" w:color="auto" w:fill="auto"/>
            <w:vAlign w:val="center"/>
            <w:hideMark/>
          </w:tcPr>
          <w:p w14:paraId="13B55D04"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30</w:t>
            </w:r>
          </w:p>
        </w:tc>
        <w:tc>
          <w:tcPr>
            <w:tcW w:w="1238" w:type="dxa"/>
            <w:tcBorders>
              <w:top w:val="nil"/>
              <w:left w:val="nil"/>
              <w:bottom w:val="single" w:sz="8" w:space="0" w:color="auto"/>
              <w:right w:val="single" w:sz="8" w:space="0" w:color="auto"/>
            </w:tcBorders>
            <w:shd w:val="clear" w:color="auto" w:fill="auto"/>
            <w:vAlign w:val="center"/>
            <w:hideMark/>
          </w:tcPr>
          <w:p w14:paraId="13B55D05"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56</w:t>
            </w:r>
          </w:p>
        </w:tc>
        <w:tc>
          <w:tcPr>
            <w:tcW w:w="942" w:type="dxa"/>
            <w:tcBorders>
              <w:top w:val="nil"/>
              <w:left w:val="nil"/>
              <w:bottom w:val="single" w:sz="8" w:space="0" w:color="auto"/>
              <w:right w:val="single" w:sz="8" w:space="0" w:color="auto"/>
            </w:tcBorders>
            <w:shd w:val="clear" w:color="auto" w:fill="auto"/>
            <w:vAlign w:val="center"/>
            <w:hideMark/>
          </w:tcPr>
          <w:p w14:paraId="13B55D06"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65</w:t>
            </w:r>
          </w:p>
        </w:tc>
        <w:tc>
          <w:tcPr>
            <w:tcW w:w="942" w:type="dxa"/>
            <w:tcBorders>
              <w:top w:val="nil"/>
              <w:left w:val="nil"/>
              <w:bottom w:val="single" w:sz="8" w:space="0" w:color="auto"/>
              <w:right w:val="single" w:sz="8" w:space="0" w:color="auto"/>
            </w:tcBorders>
            <w:shd w:val="clear" w:color="auto" w:fill="auto"/>
            <w:vAlign w:val="center"/>
            <w:hideMark/>
          </w:tcPr>
          <w:p w14:paraId="13B55D07"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24</w:t>
            </w:r>
          </w:p>
        </w:tc>
        <w:tc>
          <w:tcPr>
            <w:tcW w:w="951" w:type="dxa"/>
            <w:tcBorders>
              <w:top w:val="nil"/>
              <w:left w:val="nil"/>
              <w:bottom w:val="single" w:sz="8" w:space="0" w:color="auto"/>
              <w:right w:val="single" w:sz="8" w:space="0" w:color="auto"/>
            </w:tcBorders>
            <w:shd w:val="clear" w:color="auto" w:fill="auto"/>
            <w:vAlign w:val="center"/>
            <w:hideMark/>
          </w:tcPr>
          <w:p w14:paraId="13B55D08"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89</w:t>
            </w:r>
          </w:p>
        </w:tc>
        <w:tc>
          <w:tcPr>
            <w:tcW w:w="1052" w:type="dxa"/>
            <w:tcBorders>
              <w:top w:val="nil"/>
              <w:left w:val="nil"/>
              <w:bottom w:val="single" w:sz="8" w:space="0" w:color="auto"/>
              <w:right w:val="single" w:sz="8" w:space="0" w:color="auto"/>
            </w:tcBorders>
            <w:shd w:val="clear" w:color="auto" w:fill="auto"/>
            <w:vAlign w:val="center"/>
            <w:hideMark/>
          </w:tcPr>
          <w:p w14:paraId="13B55D09" w14:textId="77777777" w:rsidR="00FC4A17" w:rsidRPr="000A7545" w:rsidRDefault="00FC4A17" w:rsidP="00FC4A17">
            <w:pPr>
              <w:spacing w:before="120" w:line="240" w:lineRule="auto"/>
              <w:jc w:val="center"/>
              <w:rPr>
                <w:rFonts w:eastAsia="Times New Roman" w:cs="Arial"/>
                <w:color w:val="000000"/>
                <w:sz w:val="16"/>
                <w:szCs w:val="16"/>
                <w:lang w:eastAsia="en-GB"/>
              </w:rPr>
            </w:pPr>
            <w:r w:rsidRPr="000A7545">
              <w:rPr>
                <w:rFonts w:eastAsia="Times New Roman" w:cs="Arial"/>
                <w:color w:val="000000"/>
                <w:sz w:val="16"/>
                <w:szCs w:val="16"/>
                <w:lang w:eastAsia="en-GB"/>
              </w:rPr>
              <w:t>145</w:t>
            </w:r>
          </w:p>
        </w:tc>
      </w:tr>
    </w:tbl>
    <w:p w14:paraId="13B55D0B" w14:textId="77777777" w:rsidR="00FC4A17" w:rsidRPr="000A7545" w:rsidRDefault="00FC4A17" w:rsidP="00FC4A17"/>
    <w:p w14:paraId="13B55D0C" w14:textId="77777777" w:rsidR="00FC4A17" w:rsidRPr="000A7545" w:rsidRDefault="00FC4A17" w:rsidP="00FC4A17">
      <w:pPr>
        <w:rPr>
          <w:b/>
        </w:rPr>
      </w:pPr>
      <w:r w:rsidRPr="000A7545">
        <w:rPr>
          <w:b/>
        </w:rPr>
        <w:t>Integrated Financial Report (LKT)</w:t>
      </w:r>
    </w:p>
    <w:p w14:paraId="13B55D0D" w14:textId="77777777" w:rsidR="00FC4A17" w:rsidRPr="000A7545" w:rsidRDefault="00FC4A17" w:rsidP="00FC4A17">
      <w:pPr>
        <w:rPr>
          <w:rFonts w:cs="Arial"/>
        </w:rPr>
      </w:pPr>
      <w:r w:rsidRPr="000A7545">
        <w:t>Integrated financial reporting is an integral part of school reports to meet the Minimum Service Standards (MSS). One indicator of MSS states that each school should apply ‘principles’ of School-</w:t>
      </w:r>
      <w:r w:rsidRPr="000A7545">
        <w:rPr>
          <w:rFonts w:cs="Arial"/>
        </w:rPr>
        <w:t xml:space="preserve">Based Management (SBM), as such schools must provide regular report submitted to district education office. </w:t>
      </w:r>
      <w:r w:rsidR="009D7FD5" w:rsidRPr="000A7545">
        <w:rPr>
          <w:rFonts w:cs="Arial"/>
        </w:rPr>
        <w:t>However most</w:t>
      </w:r>
      <w:r w:rsidRPr="000A7545">
        <w:rPr>
          <w:rFonts w:cs="Arial"/>
        </w:rPr>
        <w:t xml:space="preserve"> schools typically only provide reports on BOS funding usage, while other sources of funding tend to either be reported separately or not at all.</w:t>
      </w:r>
    </w:p>
    <w:p w14:paraId="13B55D0E" w14:textId="77777777" w:rsidR="00FC4A17" w:rsidRPr="000A7545" w:rsidRDefault="00FC4A17" w:rsidP="00FC4A17">
      <w:pPr>
        <w:rPr>
          <w:rFonts w:cs="Arial"/>
          <w:bCs/>
        </w:rPr>
      </w:pPr>
      <w:r w:rsidRPr="000A7545">
        <w:rPr>
          <w:rFonts w:cs="Arial"/>
        </w:rPr>
        <w:t xml:space="preserve">The LKT workshops were attended by participants from 56 model schools </w:t>
      </w:r>
      <w:r w:rsidRPr="000A7545">
        <w:rPr>
          <w:rFonts w:cs="Arial"/>
          <w:bCs/>
        </w:rPr>
        <w:t xml:space="preserve">and 84 target schools </w:t>
      </w:r>
      <w:r w:rsidRPr="000A7545">
        <w:rPr>
          <w:rFonts w:cs="Arial"/>
        </w:rPr>
        <w:t>supported by AusAID and USAID.  Participants include school principals, teachers, school treasurers from elementary school (SD model), with a small number of junior secondary schools also participating in the trainings to support district government policy and accountability measures for primary level schools</w:t>
      </w:r>
      <w:r w:rsidRPr="000A7545">
        <w:rPr>
          <w:rFonts w:cs="Arial"/>
          <w:bCs/>
        </w:rPr>
        <w:t>. The training supports the improvement of education services for 11,444 students directly consisting of 6,001 boys and 5,443 girls. However, much broader impacts are being achieved via government efforts to mainstream and replicate technical modules being introduced to strengthen education service delivery.</w:t>
      </w:r>
    </w:p>
    <w:p w14:paraId="13B55D0F" w14:textId="77777777" w:rsidR="00FC4A17" w:rsidRPr="00C6336A" w:rsidRDefault="00FC4A17" w:rsidP="00FC4A17">
      <w:r w:rsidRPr="000A7545">
        <w:t xml:space="preserve">In each district the LKT training was facilitated by 4 local facilitators and supported by 2 education finance consultants. The training divided into 2 parallel classes, 1 class was trained in developing computerised LKT and the other class for developing LKT manually. This was done to ensure schools across all geographic types </w:t>
      </w:r>
      <w:r w:rsidRPr="00C6336A">
        <w:t>will receive support in improving financial management procedures – not only those from urban areas.</w:t>
      </w:r>
    </w:p>
    <w:p w14:paraId="13B55D10" w14:textId="77777777" w:rsidR="00FC4A17" w:rsidRPr="000A7545" w:rsidRDefault="00FC4A17" w:rsidP="00FC4A17">
      <w:r w:rsidRPr="000A7545">
        <w:t xml:space="preserve">Districts are now moving to replicate this training to non-target schools. For example, the Education Office in Soring District has allocated </w:t>
      </w:r>
      <w:r w:rsidR="00E377B2">
        <w:t>IDR</w:t>
      </w:r>
      <w:r w:rsidRPr="000A7545">
        <w:t xml:space="preserve"> 180</w:t>
      </w:r>
      <w:r w:rsidR="00E377B2">
        <w:t xml:space="preserve"> million</w:t>
      </w:r>
      <w:r w:rsidRPr="000A7545">
        <w:t xml:space="preserve"> (consisting of ABPD funds </w:t>
      </w:r>
      <w:r w:rsidR="00E377B2">
        <w:t xml:space="preserve">IDR </w:t>
      </w:r>
      <w:r w:rsidRPr="000A7545">
        <w:t>20</w:t>
      </w:r>
      <w:r w:rsidR="00E377B2">
        <w:t xml:space="preserve"> million</w:t>
      </w:r>
      <w:r w:rsidRPr="000A7545">
        <w:t xml:space="preserve">) and BOS funds </w:t>
      </w:r>
      <w:r w:rsidR="00E377B2">
        <w:t>IDR</w:t>
      </w:r>
      <w:r w:rsidRPr="000A7545">
        <w:t xml:space="preserve"> 160</w:t>
      </w:r>
      <w:r w:rsidR="00E377B2">
        <w:t xml:space="preserve"> million</w:t>
      </w:r>
      <w:r w:rsidRPr="000A7545">
        <w:t xml:space="preserve">). The replication training was done in </w:t>
      </w:r>
      <w:r w:rsidR="00656FE3">
        <w:t>two</w:t>
      </w:r>
      <w:r w:rsidRPr="000A7545">
        <w:t xml:space="preserve"> batches in November 2011 conducted by local service providers (trainers) who had participated in USAID-supported trainings. The participants came from 119 elementary schools (SD) and 25 junior high schools (SMP).  Participants include School Principals and BOS/school treasurers with a total 174 participants (M: 134, F: 40). An interesting comment comes from one of the school principals, Mr. Johan Manam of SD YPK Klamono, was that “this is the first training that I attended that has a useful benefit for me and my school during my 20 years of service”.</w:t>
      </w:r>
    </w:p>
    <w:p w14:paraId="13B55D11" w14:textId="77777777" w:rsidR="00FC4A17" w:rsidRPr="000A7545" w:rsidRDefault="00FC4A17" w:rsidP="00FA09D3">
      <w:pPr>
        <w:pStyle w:val="ListParagraph"/>
        <w:numPr>
          <w:ilvl w:val="0"/>
          <w:numId w:val="17"/>
        </w:numPr>
      </w:pPr>
      <w:r w:rsidRPr="000A7545">
        <w:t>Starting on 24 November and going up to 10 December 2011, Biak Numfor Education Office organized 9 batches of trainings to replicate the Integrated Financial Reporting manual to all 119 non-target elementary schools and 47 junior high schools in the district (</w:t>
      </w:r>
      <w:r w:rsidR="00656FE3" w:rsidRPr="000A7545">
        <w:t>totalling</w:t>
      </w:r>
      <w:r w:rsidRPr="000A7545">
        <w:t xml:space="preserve"> 636 participants consisting school principals and treasurers). The budget amounting to </w:t>
      </w:r>
      <w:r w:rsidR="00E377B2">
        <w:t>IDR</w:t>
      </w:r>
      <w:r w:rsidRPr="000A7545">
        <w:t xml:space="preserve"> 278,925,000 was originally allocated for BOS reporting workshops, but influenced by LKT, the government redirected the allocated funds for replication of LKT. The replication training was facilitated by BOS teams who were trained by STEP consultants and personnel. The district education office noted that follow-up trainings might be required in 2012 due to some anticipated changes with regards to BOS mechanisms and has requested follow-up technica</w:t>
      </w:r>
      <w:r w:rsidR="00E377B2">
        <w:t>l support from UNICEF in 2012.</w:t>
      </w:r>
    </w:p>
    <w:p w14:paraId="13B55D12" w14:textId="77777777" w:rsidR="00FC4A17" w:rsidRPr="000A7545" w:rsidRDefault="00FC4A17" w:rsidP="00FA09D3">
      <w:pPr>
        <w:pStyle w:val="ListParagraph"/>
        <w:numPr>
          <w:ilvl w:val="0"/>
          <w:numId w:val="17"/>
        </w:numPr>
      </w:pPr>
      <w:r w:rsidRPr="000A7545">
        <w:t>Additionally, Jayawaija District in the highlands has also planned to replicate LKT training to all non-target schools using BEC-TF funds with technical support provided by UNICEF and STEP consultants.</w:t>
      </w:r>
    </w:p>
    <w:p w14:paraId="13B55D13" w14:textId="77777777" w:rsidR="00411E08" w:rsidRDefault="00FC4A17" w:rsidP="00FA09D3">
      <w:pPr>
        <w:pStyle w:val="ListParagraph"/>
        <w:numPr>
          <w:ilvl w:val="0"/>
          <w:numId w:val="17"/>
        </w:numPr>
      </w:pPr>
      <w:r w:rsidRPr="000A7545">
        <w:t>Provincial governments in both Papua and West Papua are also now planning to replicate Integrated Financial Reporting materials to non-target districts to support the strengthening of transparency and accountability of school level funds management.</w:t>
      </w:r>
      <w:r w:rsidR="00411E08">
        <w:br w:type="page"/>
      </w:r>
    </w:p>
    <w:p w14:paraId="13B55D14" w14:textId="77777777" w:rsidR="00FC4A17" w:rsidRPr="000A7545" w:rsidRDefault="00FC4A17" w:rsidP="00FC4A17">
      <w:pPr>
        <w:pStyle w:val="Caption"/>
        <w:spacing w:after="200"/>
        <w:jc w:val="center"/>
        <w:rPr>
          <w:bCs w:val="0"/>
        </w:rPr>
      </w:pPr>
      <w:bookmarkStart w:id="58" w:name="_Toc322710103"/>
      <w:r w:rsidRPr="000A7545">
        <w:t xml:space="preserve">Figure </w:t>
      </w:r>
      <w:fldSimple w:instr=" SEQ Figure \* ARABIC ">
        <w:r w:rsidR="009B4D84">
          <w:rPr>
            <w:noProof/>
          </w:rPr>
          <w:t>12</w:t>
        </w:r>
      </w:fldSimple>
      <w:r w:rsidRPr="000A7545">
        <w:t>: LKT Training – Schools supported and number of students</w:t>
      </w:r>
      <w:bookmarkEnd w:id="58"/>
    </w:p>
    <w:tbl>
      <w:tblPr>
        <w:tblW w:w="8978" w:type="dxa"/>
        <w:jc w:val="center"/>
        <w:tblInd w:w="-28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46"/>
        <w:gridCol w:w="2070"/>
        <w:gridCol w:w="1350"/>
        <w:gridCol w:w="990"/>
        <w:gridCol w:w="900"/>
        <w:gridCol w:w="1622"/>
      </w:tblGrid>
      <w:tr w:rsidR="00FC4A17" w:rsidRPr="000A7545" w14:paraId="13B55D1A" w14:textId="77777777" w:rsidTr="00411E08">
        <w:trPr>
          <w:trHeight w:val="160"/>
          <w:jc w:val="center"/>
        </w:trPr>
        <w:tc>
          <w:tcPr>
            <w:tcW w:w="2046" w:type="dxa"/>
            <w:vMerge w:val="restart"/>
            <w:shd w:val="clear" w:color="auto" w:fill="C6D9F1" w:themeFill="text2" w:themeFillTint="33"/>
            <w:vAlign w:val="center"/>
            <w:hideMark/>
          </w:tcPr>
          <w:p w14:paraId="13B55D15" w14:textId="77777777" w:rsidR="00FC4A17" w:rsidRPr="000537E2" w:rsidRDefault="00FC4A17" w:rsidP="00FC4A17">
            <w:pPr>
              <w:spacing w:before="120" w:line="240" w:lineRule="auto"/>
              <w:jc w:val="center"/>
              <w:rPr>
                <w:rFonts w:cs="Arial"/>
                <w:b/>
                <w:sz w:val="20"/>
                <w:szCs w:val="20"/>
                <w:lang w:eastAsia="en-GB"/>
              </w:rPr>
            </w:pPr>
            <w:r w:rsidRPr="000537E2">
              <w:rPr>
                <w:rFonts w:cs="Arial"/>
                <w:b/>
                <w:sz w:val="20"/>
                <w:szCs w:val="20"/>
                <w:lang w:eastAsia="en-GB"/>
              </w:rPr>
              <w:t>Name of District</w:t>
            </w:r>
          </w:p>
        </w:tc>
        <w:tc>
          <w:tcPr>
            <w:tcW w:w="2070" w:type="dxa"/>
            <w:vMerge w:val="restart"/>
            <w:shd w:val="clear" w:color="auto" w:fill="C6D9F1" w:themeFill="text2" w:themeFillTint="33"/>
            <w:vAlign w:val="center"/>
            <w:hideMark/>
          </w:tcPr>
          <w:p w14:paraId="13B55D16" w14:textId="77777777" w:rsidR="00FC4A17" w:rsidRPr="000537E2" w:rsidRDefault="00FC4A17" w:rsidP="00FC4A17">
            <w:pPr>
              <w:spacing w:before="120" w:line="240" w:lineRule="auto"/>
              <w:jc w:val="center"/>
              <w:rPr>
                <w:rFonts w:cs="Arial"/>
                <w:b/>
                <w:sz w:val="20"/>
                <w:szCs w:val="20"/>
                <w:lang w:eastAsia="en-GB"/>
              </w:rPr>
            </w:pPr>
            <w:r w:rsidRPr="000537E2">
              <w:rPr>
                <w:rFonts w:cs="Arial"/>
                <w:b/>
                <w:sz w:val="20"/>
                <w:szCs w:val="20"/>
                <w:lang w:eastAsia="en-GB"/>
              </w:rPr>
              <w:t>Total Target Schools (model ++)</w:t>
            </w:r>
          </w:p>
        </w:tc>
        <w:tc>
          <w:tcPr>
            <w:tcW w:w="1350" w:type="dxa"/>
            <w:vMerge w:val="restart"/>
            <w:shd w:val="clear" w:color="auto" w:fill="C6D9F1" w:themeFill="text2" w:themeFillTint="33"/>
            <w:vAlign w:val="center"/>
            <w:hideMark/>
          </w:tcPr>
          <w:p w14:paraId="13B55D17" w14:textId="77777777" w:rsidR="00FC4A17" w:rsidRPr="000537E2" w:rsidRDefault="00FC4A17" w:rsidP="00FC4A17">
            <w:pPr>
              <w:spacing w:before="120" w:line="240" w:lineRule="auto"/>
              <w:jc w:val="center"/>
              <w:rPr>
                <w:rFonts w:cs="Arial"/>
                <w:b/>
                <w:sz w:val="20"/>
                <w:szCs w:val="20"/>
                <w:lang w:eastAsia="en-GB"/>
              </w:rPr>
            </w:pPr>
            <w:r w:rsidRPr="000537E2">
              <w:rPr>
                <w:rFonts w:cs="Arial"/>
                <w:b/>
                <w:sz w:val="20"/>
                <w:szCs w:val="20"/>
                <w:lang w:eastAsia="en-GB"/>
              </w:rPr>
              <w:t>Schools Already Trained</w:t>
            </w:r>
          </w:p>
        </w:tc>
        <w:tc>
          <w:tcPr>
            <w:tcW w:w="1890" w:type="dxa"/>
            <w:gridSpan w:val="2"/>
            <w:shd w:val="clear" w:color="auto" w:fill="C6D9F1" w:themeFill="text2" w:themeFillTint="33"/>
            <w:vAlign w:val="center"/>
            <w:hideMark/>
          </w:tcPr>
          <w:p w14:paraId="13B55D18" w14:textId="77777777" w:rsidR="00FC4A17" w:rsidRPr="000537E2" w:rsidRDefault="00FC4A17" w:rsidP="00FC4A17">
            <w:pPr>
              <w:spacing w:before="120" w:line="240" w:lineRule="auto"/>
              <w:jc w:val="center"/>
              <w:rPr>
                <w:rFonts w:cs="Arial"/>
                <w:b/>
                <w:sz w:val="20"/>
                <w:szCs w:val="20"/>
                <w:lang w:eastAsia="en-GB"/>
              </w:rPr>
            </w:pPr>
            <w:r w:rsidRPr="000537E2">
              <w:rPr>
                <w:rFonts w:cs="Arial"/>
                <w:b/>
                <w:sz w:val="20"/>
                <w:szCs w:val="20"/>
                <w:lang w:eastAsia="en-GB"/>
              </w:rPr>
              <w:t>Beneficiaries (students)</w:t>
            </w:r>
          </w:p>
        </w:tc>
        <w:tc>
          <w:tcPr>
            <w:tcW w:w="1622" w:type="dxa"/>
            <w:vMerge w:val="restart"/>
            <w:shd w:val="clear" w:color="auto" w:fill="C6D9F1" w:themeFill="text2" w:themeFillTint="33"/>
            <w:vAlign w:val="center"/>
            <w:hideMark/>
          </w:tcPr>
          <w:p w14:paraId="13B55D19" w14:textId="77777777" w:rsidR="00FC4A17" w:rsidRPr="000537E2" w:rsidRDefault="00FC4A17" w:rsidP="00FC4A17">
            <w:pPr>
              <w:spacing w:before="120" w:line="240" w:lineRule="auto"/>
              <w:jc w:val="center"/>
              <w:rPr>
                <w:rFonts w:cs="Arial"/>
                <w:b/>
                <w:sz w:val="20"/>
                <w:szCs w:val="20"/>
                <w:lang w:eastAsia="en-GB"/>
              </w:rPr>
            </w:pPr>
            <w:r w:rsidRPr="000537E2">
              <w:rPr>
                <w:rFonts w:cs="Arial"/>
                <w:b/>
                <w:sz w:val="20"/>
                <w:szCs w:val="20"/>
                <w:lang w:eastAsia="en-GB"/>
              </w:rPr>
              <w:t>Total Beneficiaries</w:t>
            </w:r>
          </w:p>
        </w:tc>
      </w:tr>
      <w:tr w:rsidR="00FC4A17" w:rsidRPr="000A7545" w14:paraId="13B55D20" w14:textId="77777777" w:rsidTr="00411E08">
        <w:trPr>
          <w:trHeight w:val="133"/>
          <w:jc w:val="center"/>
        </w:trPr>
        <w:tc>
          <w:tcPr>
            <w:tcW w:w="2046" w:type="dxa"/>
            <w:vMerge/>
            <w:shd w:val="clear" w:color="auto" w:fill="C6D9F1" w:themeFill="text2" w:themeFillTint="33"/>
            <w:vAlign w:val="center"/>
            <w:hideMark/>
          </w:tcPr>
          <w:p w14:paraId="13B55D1B" w14:textId="77777777" w:rsidR="00FC4A17" w:rsidRPr="000537E2" w:rsidRDefault="00FC4A17" w:rsidP="00E0443B">
            <w:pPr>
              <w:spacing w:before="120" w:line="240" w:lineRule="auto"/>
              <w:rPr>
                <w:rFonts w:cs="Arial"/>
                <w:b/>
                <w:sz w:val="20"/>
                <w:szCs w:val="20"/>
                <w:lang w:eastAsia="en-GB"/>
              </w:rPr>
            </w:pPr>
          </w:p>
        </w:tc>
        <w:tc>
          <w:tcPr>
            <w:tcW w:w="2070" w:type="dxa"/>
            <w:vMerge/>
            <w:shd w:val="clear" w:color="auto" w:fill="C6D9F1" w:themeFill="text2" w:themeFillTint="33"/>
            <w:vAlign w:val="center"/>
            <w:hideMark/>
          </w:tcPr>
          <w:p w14:paraId="13B55D1C" w14:textId="77777777" w:rsidR="00FC4A17" w:rsidRPr="000537E2" w:rsidRDefault="00FC4A17" w:rsidP="00E0443B">
            <w:pPr>
              <w:spacing w:before="120" w:line="240" w:lineRule="auto"/>
              <w:rPr>
                <w:rFonts w:cs="Arial"/>
                <w:b/>
                <w:sz w:val="20"/>
                <w:szCs w:val="20"/>
                <w:lang w:eastAsia="en-GB"/>
              </w:rPr>
            </w:pPr>
          </w:p>
        </w:tc>
        <w:tc>
          <w:tcPr>
            <w:tcW w:w="1350" w:type="dxa"/>
            <w:vMerge/>
            <w:shd w:val="clear" w:color="auto" w:fill="C6D9F1" w:themeFill="text2" w:themeFillTint="33"/>
            <w:vAlign w:val="center"/>
            <w:hideMark/>
          </w:tcPr>
          <w:p w14:paraId="13B55D1D" w14:textId="77777777" w:rsidR="00FC4A17" w:rsidRPr="000537E2" w:rsidRDefault="00FC4A17" w:rsidP="00E0443B">
            <w:pPr>
              <w:spacing w:before="120" w:line="240" w:lineRule="auto"/>
              <w:rPr>
                <w:rFonts w:cs="Arial"/>
                <w:b/>
                <w:sz w:val="20"/>
                <w:szCs w:val="20"/>
                <w:lang w:eastAsia="en-GB"/>
              </w:rPr>
            </w:pPr>
          </w:p>
        </w:tc>
        <w:tc>
          <w:tcPr>
            <w:tcW w:w="1890" w:type="dxa"/>
            <w:gridSpan w:val="2"/>
            <w:shd w:val="clear" w:color="auto" w:fill="C6D9F1" w:themeFill="text2" w:themeFillTint="33"/>
            <w:vAlign w:val="center"/>
            <w:hideMark/>
          </w:tcPr>
          <w:p w14:paraId="13B55D1E" w14:textId="77777777" w:rsidR="00FC4A17" w:rsidRPr="000537E2" w:rsidRDefault="00FC4A17" w:rsidP="00E0443B">
            <w:pPr>
              <w:spacing w:before="120" w:line="240" w:lineRule="auto"/>
              <w:jc w:val="center"/>
              <w:rPr>
                <w:rFonts w:cs="Arial"/>
                <w:b/>
                <w:sz w:val="20"/>
                <w:szCs w:val="20"/>
                <w:lang w:eastAsia="en-GB"/>
              </w:rPr>
            </w:pPr>
            <w:r w:rsidRPr="000537E2">
              <w:rPr>
                <w:rFonts w:cs="Arial"/>
                <w:b/>
                <w:sz w:val="20"/>
                <w:szCs w:val="20"/>
                <w:lang w:eastAsia="en-GB"/>
              </w:rPr>
              <w:t>by gender</w:t>
            </w:r>
          </w:p>
        </w:tc>
        <w:tc>
          <w:tcPr>
            <w:tcW w:w="1622" w:type="dxa"/>
            <w:vMerge/>
            <w:shd w:val="clear" w:color="auto" w:fill="C6D9F1" w:themeFill="text2" w:themeFillTint="33"/>
            <w:vAlign w:val="center"/>
            <w:hideMark/>
          </w:tcPr>
          <w:p w14:paraId="13B55D1F" w14:textId="77777777" w:rsidR="00FC4A17" w:rsidRPr="000537E2" w:rsidRDefault="00FC4A17" w:rsidP="00E0443B">
            <w:pPr>
              <w:spacing w:before="120" w:line="240" w:lineRule="auto"/>
              <w:rPr>
                <w:rFonts w:cs="Arial"/>
                <w:b/>
                <w:sz w:val="20"/>
                <w:szCs w:val="20"/>
                <w:lang w:eastAsia="en-GB"/>
              </w:rPr>
            </w:pPr>
          </w:p>
        </w:tc>
      </w:tr>
      <w:tr w:rsidR="00903516" w:rsidRPr="000A7545" w14:paraId="13B55D27" w14:textId="77777777" w:rsidTr="00411E08">
        <w:trPr>
          <w:trHeight w:val="160"/>
          <w:jc w:val="center"/>
        </w:trPr>
        <w:tc>
          <w:tcPr>
            <w:tcW w:w="2046" w:type="dxa"/>
            <w:vMerge/>
            <w:shd w:val="clear" w:color="auto" w:fill="C6D9F1" w:themeFill="text2" w:themeFillTint="33"/>
            <w:vAlign w:val="center"/>
            <w:hideMark/>
          </w:tcPr>
          <w:p w14:paraId="13B55D21" w14:textId="77777777" w:rsidR="00FC4A17" w:rsidRPr="000537E2" w:rsidRDefault="00FC4A17" w:rsidP="00E0443B">
            <w:pPr>
              <w:spacing w:before="120" w:line="240" w:lineRule="auto"/>
              <w:rPr>
                <w:rFonts w:cs="Arial"/>
                <w:b/>
                <w:sz w:val="20"/>
                <w:szCs w:val="20"/>
                <w:lang w:eastAsia="en-GB"/>
              </w:rPr>
            </w:pPr>
          </w:p>
        </w:tc>
        <w:tc>
          <w:tcPr>
            <w:tcW w:w="2070" w:type="dxa"/>
            <w:vMerge/>
            <w:shd w:val="clear" w:color="auto" w:fill="C6D9F1" w:themeFill="text2" w:themeFillTint="33"/>
            <w:vAlign w:val="center"/>
            <w:hideMark/>
          </w:tcPr>
          <w:p w14:paraId="13B55D22" w14:textId="77777777" w:rsidR="00FC4A17" w:rsidRPr="000537E2" w:rsidRDefault="00FC4A17" w:rsidP="00E0443B">
            <w:pPr>
              <w:spacing w:before="120" w:line="240" w:lineRule="auto"/>
              <w:rPr>
                <w:rFonts w:cs="Arial"/>
                <w:b/>
                <w:sz w:val="20"/>
                <w:szCs w:val="20"/>
                <w:lang w:eastAsia="en-GB"/>
              </w:rPr>
            </w:pPr>
          </w:p>
        </w:tc>
        <w:tc>
          <w:tcPr>
            <w:tcW w:w="1350" w:type="dxa"/>
            <w:vMerge/>
            <w:shd w:val="clear" w:color="auto" w:fill="C6D9F1" w:themeFill="text2" w:themeFillTint="33"/>
            <w:vAlign w:val="center"/>
            <w:hideMark/>
          </w:tcPr>
          <w:p w14:paraId="13B55D23" w14:textId="77777777" w:rsidR="00FC4A17" w:rsidRPr="000537E2" w:rsidRDefault="00FC4A17" w:rsidP="00E0443B">
            <w:pPr>
              <w:spacing w:before="120" w:line="240" w:lineRule="auto"/>
              <w:rPr>
                <w:rFonts w:cs="Arial"/>
                <w:b/>
                <w:sz w:val="20"/>
                <w:szCs w:val="20"/>
                <w:lang w:eastAsia="en-GB"/>
              </w:rPr>
            </w:pPr>
          </w:p>
        </w:tc>
        <w:tc>
          <w:tcPr>
            <w:tcW w:w="990" w:type="dxa"/>
            <w:shd w:val="clear" w:color="auto" w:fill="C6D9F1" w:themeFill="text2" w:themeFillTint="33"/>
            <w:vAlign w:val="center"/>
            <w:hideMark/>
          </w:tcPr>
          <w:p w14:paraId="13B55D24" w14:textId="77777777" w:rsidR="00FC4A17" w:rsidRPr="000537E2" w:rsidRDefault="00FC4A17" w:rsidP="00E0443B">
            <w:pPr>
              <w:spacing w:before="120" w:line="240" w:lineRule="auto"/>
              <w:jc w:val="center"/>
              <w:rPr>
                <w:rFonts w:cs="Arial"/>
                <w:b/>
                <w:sz w:val="20"/>
                <w:szCs w:val="20"/>
                <w:lang w:eastAsia="en-GB"/>
              </w:rPr>
            </w:pPr>
            <w:r w:rsidRPr="000537E2">
              <w:rPr>
                <w:rFonts w:cs="Arial"/>
                <w:b/>
                <w:sz w:val="20"/>
                <w:szCs w:val="20"/>
                <w:lang w:eastAsia="en-GB"/>
              </w:rPr>
              <w:t>Boys</w:t>
            </w:r>
          </w:p>
        </w:tc>
        <w:tc>
          <w:tcPr>
            <w:tcW w:w="900" w:type="dxa"/>
            <w:shd w:val="clear" w:color="auto" w:fill="C6D9F1" w:themeFill="text2" w:themeFillTint="33"/>
            <w:vAlign w:val="center"/>
            <w:hideMark/>
          </w:tcPr>
          <w:p w14:paraId="13B55D25" w14:textId="77777777" w:rsidR="00FC4A17" w:rsidRPr="000537E2" w:rsidRDefault="00FC4A17" w:rsidP="00E0443B">
            <w:pPr>
              <w:spacing w:before="120" w:line="240" w:lineRule="auto"/>
              <w:jc w:val="center"/>
              <w:rPr>
                <w:rFonts w:cs="Arial"/>
                <w:b/>
                <w:sz w:val="20"/>
                <w:szCs w:val="20"/>
                <w:lang w:eastAsia="en-GB"/>
              </w:rPr>
            </w:pPr>
            <w:r w:rsidRPr="000537E2">
              <w:rPr>
                <w:rFonts w:cs="Arial"/>
                <w:b/>
                <w:sz w:val="20"/>
                <w:szCs w:val="20"/>
                <w:lang w:eastAsia="en-GB"/>
              </w:rPr>
              <w:t>Girls</w:t>
            </w:r>
          </w:p>
        </w:tc>
        <w:tc>
          <w:tcPr>
            <w:tcW w:w="1622" w:type="dxa"/>
            <w:shd w:val="clear" w:color="auto" w:fill="C6D9F1" w:themeFill="text2" w:themeFillTint="33"/>
            <w:vAlign w:val="center"/>
            <w:hideMark/>
          </w:tcPr>
          <w:p w14:paraId="13B55D26" w14:textId="77777777" w:rsidR="00FC4A17" w:rsidRPr="000537E2" w:rsidRDefault="00FC4A17" w:rsidP="00E0443B">
            <w:pPr>
              <w:spacing w:before="120" w:line="240" w:lineRule="auto"/>
              <w:rPr>
                <w:rFonts w:cs="Arial"/>
                <w:b/>
                <w:sz w:val="20"/>
                <w:szCs w:val="20"/>
                <w:lang w:eastAsia="en-GB"/>
              </w:rPr>
            </w:pPr>
          </w:p>
        </w:tc>
      </w:tr>
      <w:tr w:rsidR="00FC4A17" w:rsidRPr="000A7545" w14:paraId="13B55D2E" w14:textId="77777777" w:rsidTr="00411E08">
        <w:trPr>
          <w:trHeight w:val="160"/>
          <w:jc w:val="center"/>
        </w:trPr>
        <w:tc>
          <w:tcPr>
            <w:tcW w:w="2046" w:type="dxa"/>
            <w:shd w:val="clear" w:color="auto" w:fill="auto"/>
            <w:vAlign w:val="center"/>
            <w:hideMark/>
          </w:tcPr>
          <w:p w14:paraId="13B55D28" w14:textId="77777777" w:rsidR="00FC4A17" w:rsidRPr="000A7545" w:rsidRDefault="00FC4A17" w:rsidP="00FC4A17">
            <w:pPr>
              <w:spacing w:before="120" w:line="240" w:lineRule="auto"/>
              <w:rPr>
                <w:rFonts w:cs="Arial"/>
                <w:b/>
                <w:bCs/>
                <w:sz w:val="20"/>
                <w:szCs w:val="20"/>
                <w:lang w:eastAsia="en-GB"/>
              </w:rPr>
            </w:pPr>
            <w:r w:rsidRPr="000A7545">
              <w:rPr>
                <w:rFonts w:cs="Arial"/>
                <w:noProof/>
                <w:sz w:val="20"/>
                <w:szCs w:val="20"/>
                <w:lang w:eastAsia="en-GB"/>
              </w:rPr>
              <w:t>Biak</w:t>
            </w:r>
          </w:p>
        </w:tc>
        <w:tc>
          <w:tcPr>
            <w:tcW w:w="2070" w:type="dxa"/>
            <w:shd w:val="clear" w:color="auto" w:fill="auto"/>
            <w:vAlign w:val="center"/>
            <w:hideMark/>
          </w:tcPr>
          <w:p w14:paraId="13B55D29"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26</w:t>
            </w:r>
          </w:p>
        </w:tc>
        <w:tc>
          <w:tcPr>
            <w:tcW w:w="1350" w:type="dxa"/>
            <w:shd w:val="clear" w:color="auto" w:fill="auto"/>
            <w:vAlign w:val="center"/>
            <w:hideMark/>
          </w:tcPr>
          <w:p w14:paraId="13B55D2A"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26</w:t>
            </w:r>
          </w:p>
        </w:tc>
        <w:tc>
          <w:tcPr>
            <w:tcW w:w="990" w:type="dxa"/>
            <w:shd w:val="clear" w:color="auto" w:fill="auto"/>
            <w:vAlign w:val="center"/>
            <w:hideMark/>
          </w:tcPr>
          <w:p w14:paraId="13B55D2B" w14:textId="77777777" w:rsidR="00FC4A17" w:rsidRPr="000A7545" w:rsidRDefault="00FC4A17" w:rsidP="00FC4A17">
            <w:pPr>
              <w:spacing w:before="120" w:line="240" w:lineRule="auto"/>
              <w:jc w:val="center"/>
              <w:rPr>
                <w:rFonts w:cs="Arial"/>
                <w:b/>
                <w:bCs/>
                <w:sz w:val="20"/>
                <w:szCs w:val="20"/>
                <w:lang w:eastAsia="en-GB"/>
              </w:rPr>
            </w:pPr>
            <w:r w:rsidRPr="000A7545">
              <w:rPr>
                <w:rFonts w:cs="Arial"/>
                <w:sz w:val="20"/>
                <w:szCs w:val="20"/>
                <w:lang w:eastAsia="en-GB"/>
              </w:rPr>
              <w:t>2,973</w:t>
            </w:r>
          </w:p>
        </w:tc>
        <w:tc>
          <w:tcPr>
            <w:tcW w:w="900" w:type="dxa"/>
            <w:shd w:val="clear" w:color="auto" w:fill="auto"/>
            <w:vAlign w:val="center"/>
            <w:hideMark/>
          </w:tcPr>
          <w:p w14:paraId="13B55D2C" w14:textId="77777777" w:rsidR="00FC4A17" w:rsidRPr="000A7545" w:rsidRDefault="00FC4A17" w:rsidP="00FC4A17">
            <w:pPr>
              <w:spacing w:before="120" w:line="240" w:lineRule="auto"/>
              <w:jc w:val="center"/>
              <w:rPr>
                <w:rFonts w:cs="Arial"/>
                <w:b/>
                <w:bCs/>
                <w:sz w:val="20"/>
                <w:szCs w:val="20"/>
                <w:lang w:eastAsia="en-GB"/>
              </w:rPr>
            </w:pPr>
            <w:r w:rsidRPr="000A7545">
              <w:rPr>
                <w:rFonts w:cs="Arial"/>
                <w:sz w:val="20"/>
                <w:szCs w:val="20"/>
                <w:lang w:eastAsia="en-GB"/>
              </w:rPr>
              <w:t>2,808</w:t>
            </w:r>
          </w:p>
        </w:tc>
        <w:tc>
          <w:tcPr>
            <w:tcW w:w="1622" w:type="dxa"/>
            <w:shd w:val="clear" w:color="auto" w:fill="auto"/>
            <w:vAlign w:val="center"/>
            <w:hideMark/>
          </w:tcPr>
          <w:p w14:paraId="13B55D2D" w14:textId="77777777" w:rsidR="00FC4A17" w:rsidRPr="000A7545" w:rsidRDefault="00FC4A17" w:rsidP="00FC4A17">
            <w:pPr>
              <w:spacing w:before="120" w:line="240" w:lineRule="auto"/>
              <w:jc w:val="center"/>
              <w:rPr>
                <w:rFonts w:cs="Arial"/>
                <w:b/>
                <w:bCs/>
                <w:sz w:val="20"/>
                <w:szCs w:val="20"/>
                <w:lang w:eastAsia="en-GB"/>
              </w:rPr>
            </w:pPr>
            <w:r w:rsidRPr="000A7545">
              <w:rPr>
                <w:rFonts w:cs="Arial"/>
                <w:sz w:val="20"/>
                <w:szCs w:val="20"/>
                <w:lang w:eastAsia="en-GB"/>
              </w:rPr>
              <w:t>5,781</w:t>
            </w:r>
          </w:p>
        </w:tc>
      </w:tr>
      <w:tr w:rsidR="00FC4A17" w:rsidRPr="000A7545" w14:paraId="13B55D35" w14:textId="77777777" w:rsidTr="00411E08">
        <w:trPr>
          <w:trHeight w:val="160"/>
          <w:jc w:val="center"/>
        </w:trPr>
        <w:tc>
          <w:tcPr>
            <w:tcW w:w="2046" w:type="dxa"/>
            <w:shd w:val="clear" w:color="auto" w:fill="auto"/>
            <w:vAlign w:val="center"/>
            <w:hideMark/>
          </w:tcPr>
          <w:p w14:paraId="13B55D2F" w14:textId="77777777" w:rsidR="00FC4A17" w:rsidRPr="000A7545" w:rsidRDefault="00FC4A17" w:rsidP="00FC4A17">
            <w:pPr>
              <w:spacing w:before="120" w:line="240" w:lineRule="auto"/>
              <w:rPr>
                <w:rFonts w:cs="Arial"/>
                <w:b/>
                <w:bCs/>
                <w:sz w:val="20"/>
                <w:szCs w:val="20"/>
                <w:lang w:eastAsia="en-GB"/>
              </w:rPr>
            </w:pPr>
            <w:r w:rsidRPr="000A7545">
              <w:rPr>
                <w:rFonts w:cs="Arial"/>
                <w:noProof/>
                <w:sz w:val="20"/>
                <w:szCs w:val="20"/>
                <w:lang w:eastAsia="en-GB"/>
              </w:rPr>
              <w:t>Jayawijaya</w:t>
            </w:r>
          </w:p>
        </w:tc>
        <w:tc>
          <w:tcPr>
            <w:tcW w:w="2070" w:type="dxa"/>
            <w:shd w:val="clear" w:color="auto" w:fill="auto"/>
            <w:vAlign w:val="center"/>
            <w:hideMark/>
          </w:tcPr>
          <w:p w14:paraId="13B55D30"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16</w:t>
            </w:r>
          </w:p>
        </w:tc>
        <w:tc>
          <w:tcPr>
            <w:tcW w:w="1350" w:type="dxa"/>
            <w:shd w:val="clear" w:color="auto" w:fill="auto"/>
            <w:vAlign w:val="center"/>
            <w:hideMark/>
          </w:tcPr>
          <w:p w14:paraId="13B55D31"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9</w:t>
            </w:r>
          </w:p>
        </w:tc>
        <w:tc>
          <w:tcPr>
            <w:tcW w:w="990" w:type="dxa"/>
            <w:shd w:val="clear" w:color="auto" w:fill="auto"/>
            <w:vAlign w:val="center"/>
            <w:hideMark/>
          </w:tcPr>
          <w:p w14:paraId="13B55D32" w14:textId="77777777" w:rsidR="00FC4A17" w:rsidRPr="000A7545" w:rsidRDefault="00FC4A17" w:rsidP="00FC4A17">
            <w:pPr>
              <w:spacing w:before="120" w:line="240" w:lineRule="auto"/>
              <w:jc w:val="center"/>
              <w:rPr>
                <w:rFonts w:cs="Arial"/>
                <w:b/>
                <w:sz w:val="20"/>
                <w:szCs w:val="20"/>
                <w:lang w:eastAsia="en-GB"/>
              </w:rPr>
            </w:pPr>
            <w:r w:rsidRPr="000A7545">
              <w:rPr>
                <w:rFonts w:cs="Arial"/>
                <w:sz w:val="20"/>
                <w:szCs w:val="20"/>
                <w:lang w:eastAsia="en-GB"/>
              </w:rPr>
              <w:t>1,565</w:t>
            </w:r>
          </w:p>
        </w:tc>
        <w:tc>
          <w:tcPr>
            <w:tcW w:w="900" w:type="dxa"/>
            <w:shd w:val="clear" w:color="auto" w:fill="auto"/>
            <w:vAlign w:val="center"/>
            <w:hideMark/>
          </w:tcPr>
          <w:p w14:paraId="13B55D33" w14:textId="77777777" w:rsidR="00FC4A17" w:rsidRPr="000A7545" w:rsidRDefault="00FC4A17" w:rsidP="00FC4A17">
            <w:pPr>
              <w:spacing w:before="120" w:line="240" w:lineRule="auto"/>
              <w:jc w:val="center"/>
              <w:rPr>
                <w:rFonts w:cs="Arial"/>
                <w:b/>
                <w:sz w:val="20"/>
                <w:szCs w:val="20"/>
                <w:lang w:eastAsia="en-GB"/>
              </w:rPr>
            </w:pPr>
            <w:r w:rsidRPr="000A7545">
              <w:rPr>
                <w:rFonts w:cs="Arial"/>
                <w:sz w:val="20"/>
                <w:szCs w:val="20"/>
                <w:lang w:eastAsia="en-GB"/>
              </w:rPr>
              <w:t>1,323</w:t>
            </w:r>
          </w:p>
        </w:tc>
        <w:tc>
          <w:tcPr>
            <w:tcW w:w="1622" w:type="dxa"/>
            <w:shd w:val="clear" w:color="auto" w:fill="auto"/>
            <w:vAlign w:val="center"/>
            <w:hideMark/>
          </w:tcPr>
          <w:p w14:paraId="13B55D34" w14:textId="77777777" w:rsidR="00FC4A17" w:rsidRPr="000A7545" w:rsidRDefault="00FC4A17" w:rsidP="00FC4A17">
            <w:pPr>
              <w:spacing w:before="120" w:line="240" w:lineRule="auto"/>
              <w:jc w:val="center"/>
              <w:rPr>
                <w:rFonts w:cs="Arial"/>
                <w:b/>
                <w:sz w:val="20"/>
                <w:szCs w:val="20"/>
                <w:lang w:eastAsia="en-GB"/>
              </w:rPr>
            </w:pPr>
            <w:r w:rsidRPr="000A7545">
              <w:rPr>
                <w:rFonts w:cs="Arial"/>
                <w:sz w:val="20"/>
                <w:szCs w:val="20"/>
                <w:lang w:eastAsia="en-GB"/>
              </w:rPr>
              <w:t>2,888</w:t>
            </w:r>
          </w:p>
        </w:tc>
      </w:tr>
      <w:tr w:rsidR="00FC4A17" w:rsidRPr="000A7545" w14:paraId="13B55D3C" w14:textId="77777777" w:rsidTr="00411E08">
        <w:trPr>
          <w:trHeight w:val="88"/>
          <w:jc w:val="center"/>
        </w:trPr>
        <w:tc>
          <w:tcPr>
            <w:tcW w:w="2046" w:type="dxa"/>
            <w:shd w:val="clear" w:color="auto" w:fill="auto"/>
            <w:vAlign w:val="center"/>
            <w:hideMark/>
          </w:tcPr>
          <w:p w14:paraId="13B55D36" w14:textId="77777777" w:rsidR="00FC4A17" w:rsidRPr="000A7545" w:rsidRDefault="00FC4A17" w:rsidP="00FC4A17">
            <w:pPr>
              <w:spacing w:before="120" w:line="240" w:lineRule="auto"/>
              <w:rPr>
                <w:rFonts w:cs="Arial"/>
                <w:b/>
                <w:bCs/>
                <w:sz w:val="20"/>
                <w:szCs w:val="20"/>
                <w:lang w:eastAsia="en-GB"/>
              </w:rPr>
            </w:pPr>
            <w:r w:rsidRPr="000A7545">
              <w:rPr>
                <w:rFonts w:cs="Arial"/>
                <w:noProof/>
                <w:sz w:val="20"/>
                <w:szCs w:val="20"/>
                <w:lang w:eastAsia="en-GB"/>
              </w:rPr>
              <w:t>Jayapura</w:t>
            </w:r>
          </w:p>
        </w:tc>
        <w:tc>
          <w:tcPr>
            <w:tcW w:w="2070" w:type="dxa"/>
            <w:shd w:val="clear" w:color="auto" w:fill="auto"/>
            <w:vAlign w:val="center"/>
            <w:hideMark/>
          </w:tcPr>
          <w:p w14:paraId="13B55D37"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22</w:t>
            </w:r>
          </w:p>
        </w:tc>
        <w:tc>
          <w:tcPr>
            <w:tcW w:w="1350" w:type="dxa"/>
            <w:shd w:val="clear" w:color="auto" w:fill="auto"/>
            <w:vAlign w:val="center"/>
            <w:hideMark/>
          </w:tcPr>
          <w:p w14:paraId="13B55D38"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4</w:t>
            </w:r>
          </w:p>
        </w:tc>
        <w:tc>
          <w:tcPr>
            <w:tcW w:w="990" w:type="dxa"/>
            <w:shd w:val="clear" w:color="auto" w:fill="auto"/>
            <w:vAlign w:val="center"/>
            <w:hideMark/>
          </w:tcPr>
          <w:p w14:paraId="13B55D39"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261</w:t>
            </w:r>
          </w:p>
        </w:tc>
        <w:tc>
          <w:tcPr>
            <w:tcW w:w="900" w:type="dxa"/>
            <w:shd w:val="clear" w:color="auto" w:fill="auto"/>
            <w:vAlign w:val="center"/>
            <w:hideMark/>
          </w:tcPr>
          <w:p w14:paraId="13B55D3A"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261</w:t>
            </w:r>
          </w:p>
        </w:tc>
        <w:tc>
          <w:tcPr>
            <w:tcW w:w="1622" w:type="dxa"/>
            <w:shd w:val="clear" w:color="auto" w:fill="auto"/>
            <w:vAlign w:val="center"/>
            <w:hideMark/>
          </w:tcPr>
          <w:p w14:paraId="13B55D3B"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522</w:t>
            </w:r>
          </w:p>
        </w:tc>
      </w:tr>
      <w:tr w:rsidR="00FC4A17" w:rsidRPr="000A7545" w14:paraId="13B55D43" w14:textId="77777777" w:rsidTr="00411E08">
        <w:trPr>
          <w:trHeight w:val="115"/>
          <w:jc w:val="center"/>
        </w:trPr>
        <w:tc>
          <w:tcPr>
            <w:tcW w:w="2046" w:type="dxa"/>
            <w:shd w:val="clear" w:color="auto" w:fill="auto"/>
            <w:vAlign w:val="center"/>
            <w:hideMark/>
          </w:tcPr>
          <w:p w14:paraId="13B55D3D" w14:textId="77777777" w:rsidR="00FC4A17" w:rsidRPr="000A7545" w:rsidRDefault="00FC4A17" w:rsidP="00FC4A17">
            <w:pPr>
              <w:spacing w:before="120" w:line="240" w:lineRule="auto"/>
              <w:rPr>
                <w:rFonts w:cs="Arial"/>
                <w:b/>
                <w:bCs/>
                <w:sz w:val="20"/>
                <w:szCs w:val="20"/>
                <w:lang w:eastAsia="en-GB"/>
              </w:rPr>
            </w:pPr>
            <w:r w:rsidRPr="000A7545">
              <w:rPr>
                <w:rFonts w:cs="Arial"/>
                <w:noProof/>
                <w:sz w:val="20"/>
                <w:szCs w:val="20"/>
                <w:lang w:eastAsia="en-GB"/>
              </w:rPr>
              <w:t>Sorong</w:t>
            </w:r>
          </w:p>
        </w:tc>
        <w:tc>
          <w:tcPr>
            <w:tcW w:w="2070" w:type="dxa"/>
            <w:shd w:val="clear" w:color="auto" w:fill="auto"/>
            <w:vAlign w:val="center"/>
            <w:hideMark/>
          </w:tcPr>
          <w:p w14:paraId="13B55D3E"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20</w:t>
            </w:r>
          </w:p>
        </w:tc>
        <w:tc>
          <w:tcPr>
            <w:tcW w:w="1350" w:type="dxa"/>
            <w:shd w:val="clear" w:color="auto" w:fill="auto"/>
            <w:vAlign w:val="center"/>
            <w:hideMark/>
          </w:tcPr>
          <w:p w14:paraId="13B55D3F"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14</w:t>
            </w:r>
          </w:p>
        </w:tc>
        <w:tc>
          <w:tcPr>
            <w:tcW w:w="990" w:type="dxa"/>
            <w:shd w:val="clear" w:color="auto" w:fill="auto"/>
            <w:vAlign w:val="center"/>
            <w:hideMark/>
          </w:tcPr>
          <w:p w14:paraId="13B55D40" w14:textId="77777777" w:rsidR="00FC4A17" w:rsidRPr="000A7545" w:rsidRDefault="00FC4A17" w:rsidP="00FC4A17">
            <w:pPr>
              <w:spacing w:before="120" w:line="240" w:lineRule="auto"/>
              <w:jc w:val="center"/>
              <w:rPr>
                <w:rFonts w:cs="Arial"/>
                <w:b/>
                <w:bCs/>
                <w:sz w:val="20"/>
                <w:szCs w:val="20"/>
                <w:lang w:eastAsia="en-GB"/>
              </w:rPr>
            </w:pPr>
            <w:r w:rsidRPr="000A7545">
              <w:rPr>
                <w:rFonts w:cs="Arial"/>
                <w:sz w:val="20"/>
                <w:szCs w:val="20"/>
                <w:lang w:eastAsia="en-GB"/>
              </w:rPr>
              <w:t>1202</w:t>
            </w:r>
          </w:p>
        </w:tc>
        <w:tc>
          <w:tcPr>
            <w:tcW w:w="900" w:type="dxa"/>
            <w:shd w:val="clear" w:color="auto" w:fill="auto"/>
            <w:vAlign w:val="center"/>
            <w:hideMark/>
          </w:tcPr>
          <w:p w14:paraId="13B55D41" w14:textId="77777777" w:rsidR="00FC4A17" w:rsidRPr="000A7545" w:rsidRDefault="00FC4A17" w:rsidP="00FC4A17">
            <w:pPr>
              <w:spacing w:before="120" w:line="240" w:lineRule="auto"/>
              <w:jc w:val="center"/>
              <w:rPr>
                <w:rFonts w:cs="Arial"/>
                <w:b/>
                <w:bCs/>
                <w:sz w:val="20"/>
                <w:szCs w:val="20"/>
                <w:lang w:eastAsia="en-GB"/>
              </w:rPr>
            </w:pPr>
            <w:r w:rsidRPr="000A7545">
              <w:rPr>
                <w:rFonts w:cs="Arial"/>
                <w:sz w:val="20"/>
                <w:szCs w:val="20"/>
                <w:lang w:eastAsia="en-GB"/>
              </w:rPr>
              <w:t>1051</w:t>
            </w:r>
          </w:p>
        </w:tc>
        <w:tc>
          <w:tcPr>
            <w:tcW w:w="1622" w:type="dxa"/>
            <w:shd w:val="clear" w:color="auto" w:fill="auto"/>
            <w:vAlign w:val="center"/>
            <w:hideMark/>
          </w:tcPr>
          <w:p w14:paraId="13B55D42" w14:textId="77777777" w:rsidR="00FC4A17" w:rsidRPr="000A7545" w:rsidRDefault="00FC4A17" w:rsidP="00FC4A17">
            <w:pPr>
              <w:spacing w:before="120" w:line="240" w:lineRule="auto"/>
              <w:jc w:val="center"/>
              <w:rPr>
                <w:rFonts w:cs="Arial"/>
                <w:b/>
                <w:sz w:val="20"/>
                <w:szCs w:val="20"/>
                <w:lang w:eastAsia="en-GB"/>
              </w:rPr>
            </w:pPr>
            <w:r w:rsidRPr="000A7545">
              <w:rPr>
                <w:rFonts w:cs="Arial"/>
                <w:sz w:val="20"/>
                <w:szCs w:val="20"/>
                <w:lang w:eastAsia="en-GB"/>
              </w:rPr>
              <w:t>2,253</w:t>
            </w:r>
          </w:p>
        </w:tc>
      </w:tr>
      <w:tr w:rsidR="00FC4A17" w:rsidRPr="000A7545" w14:paraId="13B55D4A" w14:textId="77777777" w:rsidTr="00411E08">
        <w:trPr>
          <w:trHeight w:val="133"/>
          <w:jc w:val="center"/>
        </w:trPr>
        <w:tc>
          <w:tcPr>
            <w:tcW w:w="2046" w:type="dxa"/>
            <w:shd w:val="clear" w:color="auto" w:fill="auto"/>
            <w:vAlign w:val="center"/>
            <w:hideMark/>
          </w:tcPr>
          <w:p w14:paraId="13B55D44" w14:textId="77777777" w:rsidR="00FC4A17" w:rsidRPr="000A7545" w:rsidRDefault="00FC4A17" w:rsidP="00FC4A17">
            <w:pPr>
              <w:spacing w:before="120" w:line="240" w:lineRule="auto"/>
              <w:rPr>
                <w:rFonts w:cs="Arial"/>
                <w:bCs/>
                <w:sz w:val="20"/>
                <w:szCs w:val="20"/>
                <w:lang w:eastAsia="en-GB"/>
              </w:rPr>
            </w:pPr>
            <w:r w:rsidRPr="000A7545">
              <w:rPr>
                <w:rFonts w:cs="Arial"/>
                <w:noProof/>
                <w:sz w:val="20"/>
                <w:szCs w:val="20"/>
                <w:lang w:eastAsia="en-GB"/>
              </w:rPr>
              <w:t>TOTAL</w:t>
            </w:r>
          </w:p>
        </w:tc>
        <w:tc>
          <w:tcPr>
            <w:tcW w:w="2070" w:type="dxa"/>
            <w:shd w:val="clear" w:color="auto" w:fill="auto"/>
            <w:vAlign w:val="center"/>
            <w:hideMark/>
          </w:tcPr>
          <w:p w14:paraId="13B55D45"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84</w:t>
            </w:r>
          </w:p>
        </w:tc>
        <w:tc>
          <w:tcPr>
            <w:tcW w:w="1350" w:type="dxa"/>
            <w:shd w:val="clear" w:color="auto" w:fill="auto"/>
            <w:vAlign w:val="center"/>
            <w:hideMark/>
          </w:tcPr>
          <w:p w14:paraId="13B55D46" w14:textId="77777777" w:rsidR="00FC4A17" w:rsidRPr="000A7545" w:rsidRDefault="00FC4A17" w:rsidP="00FC4A17">
            <w:pPr>
              <w:spacing w:before="120" w:line="240" w:lineRule="auto"/>
              <w:jc w:val="center"/>
              <w:rPr>
                <w:rFonts w:cs="Arial"/>
                <w:b/>
                <w:bCs/>
                <w:sz w:val="20"/>
                <w:szCs w:val="20"/>
                <w:lang w:eastAsia="en-GB"/>
              </w:rPr>
            </w:pPr>
            <w:r w:rsidRPr="000A7545">
              <w:rPr>
                <w:rFonts w:cs="Arial"/>
                <w:noProof/>
                <w:sz w:val="20"/>
                <w:szCs w:val="20"/>
                <w:lang w:eastAsia="en-GB"/>
              </w:rPr>
              <w:t>53</w:t>
            </w:r>
          </w:p>
        </w:tc>
        <w:tc>
          <w:tcPr>
            <w:tcW w:w="990" w:type="dxa"/>
            <w:shd w:val="clear" w:color="auto" w:fill="auto"/>
            <w:vAlign w:val="center"/>
            <w:hideMark/>
          </w:tcPr>
          <w:p w14:paraId="13B55D47" w14:textId="77777777" w:rsidR="00FC4A17" w:rsidRPr="000A7545" w:rsidRDefault="00FC4A17" w:rsidP="00FC4A17">
            <w:pPr>
              <w:spacing w:before="120" w:line="240" w:lineRule="auto"/>
              <w:jc w:val="center"/>
              <w:rPr>
                <w:rFonts w:cs="Arial"/>
                <w:b/>
                <w:bCs/>
                <w:sz w:val="20"/>
                <w:szCs w:val="20"/>
                <w:lang w:eastAsia="en-GB"/>
              </w:rPr>
            </w:pPr>
            <w:r w:rsidRPr="000A7545">
              <w:rPr>
                <w:rFonts w:cs="Arial"/>
                <w:sz w:val="20"/>
                <w:szCs w:val="20"/>
                <w:lang w:eastAsia="en-GB"/>
              </w:rPr>
              <w:t>6,001</w:t>
            </w:r>
          </w:p>
        </w:tc>
        <w:tc>
          <w:tcPr>
            <w:tcW w:w="900" w:type="dxa"/>
            <w:shd w:val="clear" w:color="auto" w:fill="auto"/>
            <w:vAlign w:val="center"/>
            <w:hideMark/>
          </w:tcPr>
          <w:p w14:paraId="13B55D48" w14:textId="77777777" w:rsidR="00FC4A17" w:rsidRPr="000A7545" w:rsidRDefault="00FC4A17" w:rsidP="00FC4A17">
            <w:pPr>
              <w:spacing w:before="120" w:line="240" w:lineRule="auto"/>
              <w:jc w:val="center"/>
              <w:rPr>
                <w:rFonts w:cs="Arial"/>
                <w:b/>
                <w:bCs/>
                <w:sz w:val="20"/>
                <w:szCs w:val="20"/>
                <w:lang w:eastAsia="en-GB"/>
              </w:rPr>
            </w:pPr>
            <w:r w:rsidRPr="000A7545">
              <w:rPr>
                <w:rFonts w:cs="Arial"/>
                <w:sz w:val="20"/>
                <w:szCs w:val="20"/>
                <w:lang w:eastAsia="en-GB"/>
              </w:rPr>
              <w:t>5,443</w:t>
            </w:r>
          </w:p>
        </w:tc>
        <w:tc>
          <w:tcPr>
            <w:tcW w:w="1622" w:type="dxa"/>
            <w:shd w:val="clear" w:color="auto" w:fill="auto"/>
            <w:vAlign w:val="center"/>
            <w:hideMark/>
          </w:tcPr>
          <w:p w14:paraId="13B55D49" w14:textId="77777777" w:rsidR="00FC4A17" w:rsidRPr="000A7545" w:rsidRDefault="00FC4A17" w:rsidP="00FC4A17">
            <w:pPr>
              <w:spacing w:before="120" w:line="240" w:lineRule="auto"/>
              <w:jc w:val="center"/>
              <w:rPr>
                <w:rFonts w:cs="Arial"/>
                <w:b/>
                <w:sz w:val="20"/>
                <w:szCs w:val="20"/>
                <w:lang w:eastAsia="en-GB"/>
              </w:rPr>
            </w:pPr>
            <w:r w:rsidRPr="000A7545">
              <w:rPr>
                <w:rFonts w:cs="Arial"/>
                <w:sz w:val="20"/>
                <w:szCs w:val="20"/>
                <w:lang w:eastAsia="en-GB"/>
              </w:rPr>
              <w:t>11,444</w:t>
            </w:r>
          </w:p>
        </w:tc>
      </w:tr>
    </w:tbl>
    <w:p w14:paraId="13B55D4B" w14:textId="77777777" w:rsidR="00FC4A17" w:rsidRPr="000A7545" w:rsidRDefault="00FC4A17" w:rsidP="00FC4A17">
      <w:pPr>
        <w:rPr>
          <w:u w:val="single"/>
        </w:rPr>
      </w:pPr>
    </w:p>
    <w:p w14:paraId="13B55D4C" w14:textId="77777777" w:rsidR="00FC4A17" w:rsidRPr="000A7545" w:rsidRDefault="00FC4A17" w:rsidP="00FC4A17">
      <w:pPr>
        <w:rPr>
          <w:b/>
          <w:u w:val="single"/>
        </w:rPr>
      </w:pPr>
      <w:r w:rsidRPr="000A7545">
        <w:rPr>
          <w:b/>
          <w:u w:val="single"/>
        </w:rPr>
        <w:t>Strengthening Data Management Processes</w:t>
      </w:r>
    </w:p>
    <w:p w14:paraId="13B55D4D" w14:textId="77777777" w:rsidR="00FC4A17" w:rsidRPr="000A7545" w:rsidRDefault="00FC4A17" w:rsidP="00FC4A17">
      <w:pPr>
        <w:rPr>
          <w:b/>
        </w:rPr>
      </w:pPr>
      <w:r w:rsidRPr="000A7545">
        <w:t>The overall purpose of the M&amp;E capacity development strategy is to contribute to strengthening the capacity of Education Offices, both in terms of human resources as well as system strengthening. This will enable them to effectively gather and manage education related information, as well as to monitor the wider education context, i.e. the achievement of expected results as outlined in national and provincial laws, policies and regulations.</w:t>
      </w:r>
    </w:p>
    <w:p w14:paraId="13B55D4E" w14:textId="77777777" w:rsidR="00FC4A17" w:rsidRPr="000A7545" w:rsidRDefault="00FC4A17" w:rsidP="00FC4A17">
      <w:pPr>
        <w:rPr>
          <w:b/>
        </w:rPr>
      </w:pPr>
      <w:r w:rsidRPr="000A7545">
        <w:t xml:space="preserve">The monitoring and evaluation capacity development strategy involves inputs at all three levels – provincial, district and school – and has two main areas of focus: </w:t>
      </w:r>
      <w:r w:rsidRPr="000A7545">
        <w:rPr>
          <w:i/>
        </w:rPr>
        <w:t>strengthening information management</w:t>
      </w:r>
      <w:r w:rsidRPr="000A7545">
        <w:t xml:space="preserve"> and </w:t>
      </w:r>
      <w:r w:rsidRPr="000A7545">
        <w:rPr>
          <w:i/>
        </w:rPr>
        <w:t>developing and implementing monitoring and evaluation</w:t>
      </w:r>
      <w:r w:rsidRPr="000A7545">
        <w:t>.</w:t>
      </w:r>
    </w:p>
    <w:p w14:paraId="13B55D4F" w14:textId="77777777" w:rsidR="00FC4A17" w:rsidRPr="000A7545" w:rsidRDefault="00FC4A17" w:rsidP="00FC4A17">
      <w:pPr>
        <w:rPr>
          <w:b/>
        </w:rPr>
      </w:pPr>
      <w:r w:rsidRPr="000A7545">
        <w:t>The table below summarises the two core areas of the M&amp;E capacity development strategy and highlights the levels at which each core area of the strategy focuses:</w:t>
      </w:r>
    </w:p>
    <w:p w14:paraId="13B55D50" w14:textId="77777777" w:rsidR="00FC4A17" w:rsidRPr="000A7545" w:rsidRDefault="00FC4A17" w:rsidP="00DA2EA0"/>
    <w:p w14:paraId="13B55D51" w14:textId="77777777" w:rsidR="00FC4A17" w:rsidRPr="000A7545" w:rsidRDefault="00FC4A17" w:rsidP="00DA2EA0">
      <w:pPr>
        <w:pStyle w:val="Caption"/>
        <w:keepNext/>
        <w:spacing w:after="200"/>
      </w:pPr>
      <w:bookmarkStart w:id="59" w:name="_Toc322710104"/>
      <w:r w:rsidRPr="000A7545">
        <w:t xml:space="preserve">Figure </w:t>
      </w:r>
      <w:fldSimple w:instr=" SEQ Figure \* ARABIC ">
        <w:r w:rsidR="009B4D84">
          <w:rPr>
            <w:noProof/>
          </w:rPr>
          <w:t>13</w:t>
        </w:r>
      </w:fldSimple>
      <w:r w:rsidRPr="000A7545">
        <w:t>: Monitoring and Evaluation Capacity Development Strategy</w:t>
      </w:r>
      <w:bookmarkEnd w:id="59"/>
    </w:p>
    <w:tbl>
      <w:tblPr>
        <w:tblW w:w="8819" w:type="dxa"/>
        <w:jc w:val="center"/>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3203"/>
        <w:gridCol w:w="2982"/>
      </w:tblGrid>
      <w:tr w:rsidR="00FC4A17" w:rsidRPr="000A7545" w14:paraId="13B55D54" w14:textId="77777777" w:rsidTr="0019597A">
        <w:trPr>
          <w:jc w:val="center"/>
        </w:trPr>
        <w:tc>
          <w:tcPr>
            <w:tcW w:w="2634" w:type="dxa"/>
            <w:shd w:val="clear" w:color="auto" w:fill="C6D9F1" w:themeFill="text2" w:themeFillTint="33"/>
          </w:tcPr>
          <w:p w14:paraId="13B55D52" w14:textId="77777777" w:rsidR="00FC4A17" w:rsidRPr="000A7545" w:rsidRDefault="00FC4A17" w:rsidP="00FC4A17">
            <w:pPr>
              <w:spacing w:before="120" w:line="240" w:lineRule="auto"/>
              <w:jc w:val="center"/>
              <w:rPr>
                <w:rFonts w:ascii="Arial Narrow" w:hAnsi="Arial Narrow" w:cs="Arial"/>
                <w:b/>
                <w:sz w:val="20"/>
                <w:szCs w:val="20"/>
              </w:rPr>
            </w:pPr>
            <w:r w:rsidRPr="000A7545">
              <w:rPr>
                <w:rFonts w:ascii="Arial Narrow" w:hAnsi="Arial Narrow" w:cs="Arial"/>
                <w:b/>
                <w:sz w:val="20"/>
                <w:szCs w:val="20"/>
              </w:rPr>
              <w:t>Level</w:t>
            </w:r>
          </w:p>
        </w:tc>
        <w:tc>
          <w:tcPr>
            <w:tcW w:w="6185" w:type="dxa"/>
            <w:gridSpan w:val="2"/>
            <w:shd w:val="clear" w:color="auto" w:fill="C6D9F1" w:themeFill="text2" w:themeFillTint="33"/>
          </w:tcPr>
          <w:p w14:paraId="13B55D53" w14:textId="77777777" w:rsidR="00FC4A17" w:rsidRPr="000A7545" w:rsidRDefault="00FC4A17" w:rsidP="00FC4A17">
            <w:pPr>
              <w:spacing w:before="120" w:line="240" w:lineRule="auto"/>
              <w:jc w:val="center"/>
              <w:rPr>
                <w:rFonts w:ascii="Arial Narrow" w:hAnsi="Arial Narrow" w:cs="Arial"/>
                <w:b/>
                <w:sz w:val="20"/>
                <w:szCs w:val="20"/>
              </w:rPr>
            </w:pPr>
            <w:r w:rsidRPr="000A7545">
              <w:rPr>
                <w:rFonts w:ascii="Arial Narrow" w:hAnsi="Arial Narrow" w:cs="Arial"/>
                <w:b/>
                <w:sz w:val="20"/>
                <w:szCs w:val="20"/>
              </w:rPr>
              <w:t>Areas of Focus</w:t>
            </w:r>
          </w:p>
        </w:tc>
      </w:tr>
      <w:tr w:rsidR="00FC4A17" w:rsidRPr="000A7545" w14:paraId="13B55D58" w14:textId="77777777" w:rsidTr="0019597A">
        <w:trPr>
          <w:jc w:val="center"/>
        </w:trPr>
        <w:tc>
          <w:tcPr>
            <w:tcW w:w="2634" w:type="dxa"/>
            <w:shd w:val="clear" w:color="auto" w:fill="C6D9F1" w:themeFill="text2" w:themeFillTint="33"/>
          </w:tcPr>
          <w:p w14:paraId="13B55D55" w14:textId="77777777" w:rsidR="00FC4A17" w:rsidRPr="000A7545" w:rsidRDefault="00FC4A17" w:rsidP="00FC4A17">
            <w:pPr>
              <w:spacing w:before="120" w:line="240" w:lineRule="auto"/>
              <w:rPr>
                <w:rFonts w:ascii="Arial Narrow" w:hAnsi="Arial Narrow" w:cs="Arial"/>
                <w:b/>
                <w:sz w:val="20"/>
                <w:szCs w:val="20"/>
              </w:rPr>
            </w:pPr>
          </w:p>
        </w:tc>
        <w:tc>
          <w:tcPr>
            <w:tcW w:w="3203" w:type="dxa"/>
            <w:shd w:val="clear" w:color="auto" w:fill="C6D9F1" w:themeFill="text2" w:themeFillTint="33"/>
          </w:tcPr>
          <w:p w14:paraId="13B55D56" w14:textId="77777777" w:rsidR="00FC4A17" w:rsidRPr="000A7545" w:rsidRDefault="00FC4A17" w:rsidP="00FC4A17">
            <w:pPr>
              <w:spacing w:before="120" w:line="240" w:lineRule="auto"/>
              <w:jc w:val="center"/>
              <w:rPr>
                <w:rFonts w:ascii="Arial Narrow" w:hAnsi="Arial Narrow" w:cs="Arial"/>
                <w:b/>
                <w:sz w:val="20"/>
                <w:szCs w:val="20"/>
              </w:rPr>
            </w:pPr>
            <w:r w:rsidRPr="000A7545">
              <w:rPr>
                <w:rFonts w:ascii="Arial Narrow" w:hAnsi="Arial Narrow" w:cs="Arial"/>
                <w:b/>
                <w:sz w:val="20"/>
                <w:szCs w:val="20"/>
              </w:rPr>
              <w:t>Strengthening Information management</w:t>
            </w:r>
          </w:p>
        </w:tc>
        <w:tc>
          <w:tcPr>
            <w:tcW w:w="2982" w:type="dxa"/>
            <w:shd w:val="clear" w:color="auto" w:fill="C6D9F1" w:themeFill="text2" w:themeFillTint="33"/>
          </w:tcPr>
          <w:p w14:paraId="13B55D57" w14:textId="77777777" w:rsidR="00FC4A17" w:rsidRPr="000A7545" w:rsidRDefault="00FC4A17" w:rsidP="00FC4A17">
            <w:pPr>
              <w:spacing w:before="120" w:line="240" w:lineRule="auto"/>
              <w:jc w:val="center"/>
              <w:rPr>
                <w:rFonts w:ascii="Arial Narrow" w:hAnsi="Arial Narrow" w:cs="Arial"/>
                <w:b/>
                <w:sz w:val="20"/>
                <w:szCs w:val="20"/>
              </w:rPr>
            </w:pPr>
            <w:r w:rsidRPr="000A7545">
              <w:rPr>
                <w:rFonts w:ascii="Arial Narrow" w:hAnsi="Arial Narrow" w:cs="Arial"/>
                <w:b/>
                <w:sz w:val="20"/>
                <w:szCs w:val="20"/>
              </w:rPr>
              <w:t>Developing and implementing M&amp;E plans</w:t>
            </w:r>
          </w:p>
        </w:tc>
      </w:tr>
      <w:tr w:rsidR="00FC4A17" w:rsidRPr="000A7545" w14:paraId="13B55D5C" w14:textId="77777777" w:rsidTr="0019597A">
        <w:trPr>
          <w:jc w:val="center"/>
        </w:trPr>
        <w:tc>
          <w:tcPr>
            <w:tcW w:w="2634" w:type="dxa"/>
            <w:shd w:val="clear" w:color="auto" w:fill="auto"/>
          </w:tcPr>
          <w:p w14:paraId="13B55D59" w14:textId="77777777" w:rsidR="00FC4A17" w:rsidRPr="000A7545" w:rsidRDefault="00FC4A17" w:rsidP="00FC4A17">
            <w:pPr>
              <w:spacing w:before="120" w:line="240" w:lineRule="auto"/>
              <w:rPr>
                <w:rFonts w:ascii="Arial Narrow" w:hAnsi="Arial Narrow" w:cs="Arial"/>
                <w:b/>
                <w:sz w:val="20"/>
                <w:szCs w:val="20"/>
              </w:rPr>
            </w:pPr>
            <w:r w:rsidRPr="000A7545">
              <w:rPr>
                <w:rFonts w:ascii="Arial Narrow" w:hAnsi="Arial Narrow" w:cs="Arial"/>
                <w:b/>
                <w:sz w:val="20"/>
                <w:szCs w:val="20"/>
              </w:rPr>
              <w:t>Province</w:t>
            </w:r>
          </w:p>
        </w:tc>
        <w:tc>
          <w:tcPr>
            <w:tcW w:w="3203" w:type="dxa"/>
            <w:shd w:val="clear" w:color="auto" w:fill="auto"/>
          </w:tcPr>
          <w:p w14:paraId="13B55D5A" w14:textId="77777777" w:rsidR="00FC4A17" w:rsidRPr="000A7545" w:rsidRDefault="00FC4A17" w:rsidP="00FC4A17">
            <w:pPr>
              <w:spacing w:before="120" w:line="240" w:lineRule="auto"/>
              <w:jc w:val="center"/>
              <w:rPr>
                <w:rFonts w:ascii="Arial Narrow" w:hAnsi="Arial Narrow" w:cs="Arial"/>
                <w:sz w:val="20"/>
                <w:szCs w:val="20"/>
              </w:rPr>
            </w:pPr>
            <w:r w:rsidRPr="000A7545">
              <w:rPr>
                <w:rFonts w:ascii="Arial Narrow" w:hAnsi="Arial Narrow" w:cs="Arial"/>
                <w:sz w:val="20"/>
                <w:szCs w:val="20"/>
              </w:rPr>
              <w:t>Strong focus</w:t>
            </w:r>
          </w:p>
        </w:tc>
        <w:tc>
          <w:tcPr>
            <w:tcW w:w="2982" w:type="dxa"/>
            <w:shd w:val="clear" w:color="auto" w:fill="auto"/>
          </w:tcPr>
          <w:p w14:paraId="13B55D5B" w14:textId="77777777" w:rsidR="00FC4A17" w:rsidRPr="000A7545" w:rsidRDefault="00FC4A17" w:rsidP="00FC4A17">
            <w:pPr>
              <w:spacing w:before="120" w:line="240" w:lineRule="auto"/>
              <w:jc w:val="center"/>
              <w:rPr>
                <w:rFonts w:ascii="Arial Narrow" w:hAnsi="Arial Narrow" w:cs="Arial"/>
                <w:sz w:val="20"/>
                <w:szCs w:val="20"/>
              </w:rPr>
            </w:pPr>
            <w:r w:rsidRPr="000A7545">
              <w:rPr>
                <w:rFonts w:ascii="Arial Narrow" w:hAnsi="Arial Narrow" w:cs="Arial"/>
                <w:sz w:val="20"/>
                <w:szCs w:val="20"/>
              </w:rPr>
              <w:t>Strong focus</w:t>
            </w:r>
          </w:p>
        </w:tc>
      </w:tr>
      <w:tr w:rsidR="00FC4A17" w:rsidRPr="000A7545" w14:paraId="13B55D60" w14:textId="77777777" w:rsidTr="0019597A">
        <w:trPr>
          <w:jc w:val="center"/>
        </w:trPr>
        <w:tc>
          <w:tcPr>
            <w:tcW w:w="2634" w:type="dxa"/>
            <w:shd w:val="clear" w:color="auto" w:fill="auto"/>
          </w:tcPr>
          <w:p w14:paraId="13B55D5D" w14:textId="77777777" w:rsidR="00FC4A17" w:rsidRPr="000A7545" w:rsidRDefault="00FC4A17" w:rsidP="00FC4A17">
            <w:pPr>
              <w:spacing w:before="120" w:line="240" w:lineRule="auto"/>
              <w:rPr>
                <w:rFonts w:ascii="Arial Narrow" w:hAnsi="Arial Narrow" w:cs="Arial"/>
                <w:b/>
                <w:sz w:val="20"/>
                <w:szCs w:val="20"/>
              </w:rPr>
            </w:pPr>
            <w:r w:rsidRPr="000A7545">
              <w:rPr>
                <w:rFonts w:ascii="Arial Narrow" w:hAnsi="Arial Narrow" w:cs="Arial"/>
                <w:b/>
                <w:sz w:val="20"/>
                <w:szCs w:val="20"/>
              </w:rPr>
              <w:t>District</w:t>
            </w:r>
          </w:p>
        </w:tc>
        <w:tc>
          <w:tcPr>
            <w:tcW w:w="3203" w:type="dxa"/>
            <w:shd w:val="clear" w:color="auto" w:fill="auto"/>
          </w:tcPr>
          <w:p w14:paraId="13B55D5E" w14:textId="77777777" w:rsidR="00FC4A17" w:rsidRPr="000A7545" w:rsidRDefault="00FC4A17" w:rsidP="00FC4A17">
            <w:pPr>
              <w:spacing w:before="120" w:line="240" w:lineRule="auto"/>
              <w:jc w:val="center"/>
              <w:rPr>
                <w:rFonts w:ascii="Arial Narrow" w:hAnsi="Arial Narrow" w:cs="Arial"/>
                <w:sz w:val="20"/>
                <w:szCs w:val="20"/>
              </w:rPr>
            </w:pPr>
            <w:r w:rsidRPr="000A7545">
              <w:rPr>
                <w:rFonts w:ascii="Arial Narrow" w:hAnsi="Arial Narrow" w:cs="Arial"/>
                <w:sz w:val="20"/>
                <w:szCs w:val="20"/>
              </w:rPr>
              <w:t>Main focus</w:t>
            </w:r>
          </w:p>
        </w:tc>
        <w:tc>
          <w:tcPr>
            <w:tcW w:w="2982" w:type="dxa"/>
            <w:shd w:val="clear" w:color="auto" w:fill="auto"/>
          </w:tcPr>
          <w:p w14:paraId="13B55D5F" w14:textId="77777777" w:rsidR="00FC4A17" w:rsidRPr="000A7545" w:rsidRDefault="00FC4A17" w:rsidP="00FC4A17">
            <w:pPr>
              <w:spacing w:before="120" w:line="240" w:lineRule="auto"/>
              <w:jc w:val="center"/>
              <w:rPr>
                <w:rFonts w:ascii="Arial Narrow" w:hAnsi="Arial Narrow" w:cs="Arial"/>
                <w:sz w:val="20"/>
                <w:szCs w:val="20"/>
              </w:rPr>
            </w:pPr>
            <w:r w:rsidRPr="000A7545">
              <w:rPr>
                <w:rFonts w:ascii="Arial Narrow" w:hAnsi="Arial Narrow" w:cs="Arial"/>
                <w:sz w:val="20"/>
                <w:szCs w:val="20"/>
              </w:rPr>
              <w:t>Main focus</w:t>
            </w:r>
          </w:p>
        </w:tc>
      </w:tr>
      <w:tr w:rsidR="00FC4A17" w:rsidRPr="000A7545" w14:paraId="13B55D64" w14:textId="77777777" w:rsidTr="0019597A">
        <w:trPr>
          <w:jc w:val="center"/>
        </w:trPr>
        <w:tc>
          <w:tcPr>
            <w:tcW w:w="2634" w:type="dxa"/>
            <w:shd w:val="clear" w:color="auto" w:fill="auto"/>
          </w:tcPr>
          <w:p w14:paraId="13B55D61" w14:textId="77777777" w:rsidR="00FC4A17" w:rsidRPr="000A7545" w:rsidRDefault="00FC4A17" w:rsidP="00FC4A17">
            <w:pPr>
              <w:spacing w:before="120" w:line="240" w:lineRule="auto"/>
              <w:rPr>
                <w:rFonts w:ascii="Arial Narrow" w:hAnsi="Arial Narrow" w:cs="Arial"/>
                <w:b/>
                <w:sz w:val="20"/>
                <w:szCs w:val="20"/>
              </w:rPr>
            </w:pPr>
            <w:r w:rsidRPr="000A7545">
              <w:rPr>
                <w:rFonts w:ascii="Arial Narrow" w:hAnsi="Arial Narrow" w:cs="Arial"/>
                <w:b/>
                <w:sz w:val="20"/>
                <w:szCs w:val="20"/>
              </w:rPr>
              <w:t>School</w:t>
            </w:r>
          </w:p>
        </w:tc>
        <w:tc>
          <w:tcPr>
            <w:tcW w:w="3203" w:type="dxa"/>
            <w:shd w:val="clear" w:color="auto" w:fill="auto"/>
          </w:tcPr>
          <w:p w14:paraId="13B55D62" w14:textId="77777777" w:rsidR="00FC4A17" w:rsidRPr="000A7545" w:rsidRDefault="00FC4A17" w:rsidP="00FC4A17">
            <w:pPr>
              <w:spacing w:before="120" w:line="240" w:lineRule="auto"/>
              <w:jc w:val="center"/>
              <w:rPr>
                <w:rFonts w:ascii="Arial Narrow" w:hAnsi="Arial Narrow" w:cs="Arial"/>
                <w:sz w:val="20"/>
                <w:szCs w:val="20"/>
              </w:rPr>
            </w:pPr>
            <w:r w:rsidRPr="000A7545">
              <w:rPr>
                <w:rFonts w:ascii="Arial Narrow" w:hAnsi="Arial Narrow" w:cs="Arial"/>
                <w:sz w:val="20"/>
                <w:szCs w:val="20"/>
              </w:rPr>
              <w:t>Main focus</w:t>
            </w:r>
          </w:p>
        </w:tc>
        <w:tc>
          <w:tcPr>
            <w:tcW w:w="2982" w:type="dxa"/>
            <w:shd w:val="clear" w:color="auto" w:fill="auto"/>
          </w:tcPr>
          <w:p w14:paraId="13B55D63" w14:textId="77777777" w:rsidR="00FC4A17" w:rsidRPr="000A7545" w:rsidRDefault="00FC4A17" w:rsidP="00FC4A17">
            <w:pPr>
              <w:spacing w:before="120" w:line="240" w:lineRule="auto"/>
              <w:jc w:val="center"/>
              <w:rPr>
                <w:rFonts w:ascii="Arial Narrow" w:hAnsi="Arial Narrow" w:cs="Arial"/>
                <w:sz w:val="20"/>
                <w:szCs w:val="20"/>
              </w:rPr>
            </w:pPr>
            <w:r w:rsidRPr="000A7545">
              <w:rPr>
                <w:rFonts w:ascii="Arial Narrow" w:hAnsi="Arial Narrow" w:cs="Arial"/>
                <w:sz w:val="20"/>
                <w:szCs w:val="20"/>
              </w:rPr>
              <w:t>Limited Focus</w:t>
            </w:r>
          </w:p>
        </w:tc>
      </w:tr>
    </w:tbl>
    <w:p w14:paraId="13B55D65" w14:textId="77777777" w:rsidR="00FC4A17" w:rsidRPr="000A7545" w:rsidRDefault="00FC4A17" w:rsidP="00FC4A17"/>
    <w:p w14:paraId="13B55D66" w14:textId="77777777" w:rsidR="00FC4A17" w:rsidRPr="000A7545" w:rsidRDefault="00FC4A17" w:rsidP="00FC4A17">
      <w:pPr>
        <w:rPr>
          <w:b/>
        </w:rPr>
      </w:pPr>
      <w:bookmarkStart w:id="60" w:name="_Toc315949545"/>
      <w:r w:rsidRPr="000A7545">
        <w:rPr>
          <w:b/>
        </w:rPr>
        <w:t>LAKIP training</w:t>
      </w:r>
      <w:bookmarkEnd w:id="60"/>
    </w:p>
    <w:p w14:paraId="13B55D67" w14:textId="77777777" w:rsidR="00FC4A17" w:rsidRPr="000A7545" w:rsidRDefault="00FC4A17" w:rsidP="00FC4A17">
      <w:r w:rsidRPr="000A7545">
        <w:t>LAKIP training, geared toward strengthening the transparency and accountability of education offices, was launched during 18</w:t>
      </w:r>
      <w:r w:rsidR="00903516">
        <w:t>-</w:t>
      </w:r>
      <w:r w:rsidRPr="000A7545">
        <w:t>20 October 2011 in West Papua. This initial training, which is planned to be rolled out over three stages across all districts and province levels, included 32 participants 32 (M=22 and F= 10). The main objective of this first training was to develop participants’ awareness and understanding of LAKIP legal basis, methodology, mechanism, and required data. Training was supported by 2 DBE facilitators.</w:t>
      </w:r>
    </w:p>
    <w:p w14:paraId="13B55D68" w14:textId="77777777" w:rsidR="00FC4A17" w:rsidRPr="000A7545" w:rsidRDefault="00FC4A17" w:rsidP="00FC4A17">
      <w:r w:rsidRPr="000A7545">
        <w:t>This initial training will be followed by district level capacity development in Sorong District with education office officials.  The training focussed on 1) compiling of strategic plan and annual work plan, 2) determining targets including measuring performance, 3) narrative report writing and 4) reporting of education progress linked to strategic development objectives. The Sorong LAKIP team consisted of 10 people who succeeded in completing the Strategic Planning Form (RS and RKT forms). Other districts have delayed LAKIP mentoring workshops to early 2012 due to high workloads of government counterparts at the end of last year.</w:t>
      </w:r>
    </w:p>
    <w:p w14:paraId="13B55D69" w14:textId="77777777" w:rsidR="00FC4A17" w:rsidRPr="00903516" w:rsidRDefault="00903516" w:rsidP="00FC4A17">
      <w:bookmarkStart w:id="61" w:name="_Toc315949546"/>
      <w:r>
        <w:t>USAID-</w:t>
      </w:r>
      <w:r w:rsidR="009D7FD5" w:rsidRPr="000A7545">
        <w:t xml:space="preserve">targeted activity of </w:t>
      </w:r>
      <w:r w:rsidR="00FC4A17" w:rsidRPr="00903516">
        <w:t>School Level: Strengthened leadership and managerial skills of school principals, monitoring capacity of school supervisors, and participatory roles of school committees, parents, and community at large in monitoring school planning and budgeting.</w:t>
      </w:r>
      <w:bookmarkEnd w:id="61"/>
    </w:p>
    <w:p w14:paraId="13B55D6A" w14:textId="77777777" w:rsidR="00FC4A17" w:rsidRDefault="00FC4A17" w:rsidP="00FC4A17">
      <w:r w:rsidRPr="000A7545">
        <w:t>The programme has so far directly targeted 56 model schools, many of which are model primary schools also supported by the AusAID funded programme, thus allowing for stronger convergence and optimizing technical support. The number of model primary schools will be increased as additional education finance component activities are rolled out. Furthermore, each model school services a number of satellite schools within its cluster. On average some 15 additional schools are thus indirectly supported by the programme.</w:t>
      </w:r>
    </w:p>
    <w:p w14:paraId="13B55D6B" w14:textId="77777777" w:rsidR="00937C6F" w:rsidRPr="000A7545" w:rsidRDefault="00937C6F" w:rsidP="00FC4A17">
      <w:r>
        <w:t>This year the programme will monitor schools in which school committees have access to financial information as a result of these trainings.</w:t>
      </w:r>
    </w:p>
    <w:p w14:paraId="13B55D6C" w14:textId="77777777" w:rsidR="00937C6F" w:rsidRPr="000A7545" w:rsidRDefault="006800CF" w:rsidP="00937C6F">
      <w:r w:rsidRPr="000A7545">
        <w:br w:type="page"/>
      </w:r>
    </w:p>
    <w:p w14:paraId="13B55D6D" w14:textId="77777777" w:rsidR="00314D97" w:rsidRPr="000A7545" w:rsidRDefault="00314D97" w:rsidP="007C578C">
      <w:pPr>
        <w:pStyle w:val="Heading1"/>
      </w:pPr>
      <w:bookmarkStart w:id="62" w:name="_Toc322702774"/>
      <w:bookmarkStart w:id="63" w:name="_Toc301438810"/>
      <w:bookmarkStart w:id="64" w:name="_Toc303330154"/>
      <w:bookmarkStart w:id="65" w:name="_Toc322507189"/>
      <w:r w:rsidRPr="000A7545">
        <w:t xml:space="preserve">Promoting </w:t>
      </w:r>
      <w:r w:rsidR="0051275D" w:rsidRPr="000A7545">
        <w:t>g</w:t>
      </w:r>
      <w:r w:rsidRPr="000A7545">
        <w:t xml:space="preserve">ender </w:t>
      </w:r>
      <w:r w:rsidR="0051275D" w:rsidRPr="000A7545">
        <w:t>E</w:t>
      </w:r>
      <w:r w:rsidRPr="000A7545">
        <w:t>quity</w:t>
      </w:r>
      <w:bookmarkEnd w:id="62"/>
    </w:p>
    <w:p w14:paraId="13B55D6E" w14:textId="77777777" w:rsidR="00314D97" w:rsidRPr="000A7545" w:rsidRDefault="00314D97" w:rsidP="00314D97">
      <w:r w:rsidRPr="000A7545">
        <w:t>Promoting or advancing gender equity is proving to be a challeng</w:t>
      </w:r>
      <w:r w:rsidR="00D74772" w:rsidRPr="000A7545">
        <w:t xml:space="preserve">e in programme implementation. </w:t>
      </w:r>
      <w:r w:rsidRPr="000A7545">
        <w:t>The Papuan socio</w:t>
      </w:r>
      <w:r w:rsidR="009F61EE" w:rsidRPr="000A7545">
        <w:t>-</w:t>
      </w:r>
      <w:r w:rsidRPr="000A7545">
        <w:t>cultural environment does not model gender equ</w:t>
      </w:r>
      <w:r w:rsidR="00937C6F">
        <w:t>ity</w:t>
      </w:r>
      <w:r w:rsidRPr="000A7545">
        <w:t xml:space="preserve"> as evidenced by the </w:t>
      </w:r>
      <w:r w:rsidR="0065735B" w:rsidRPr="000A7545">
        <w:t>Governors and Bupa</w:t>
      </w:r>
      <w:r w:rsidRPr="000A7545">
        <w:t>ti of both West Papua and Papua and all district Bu</w:t>
      </w:r>
      <w:r w:rsidR="0065735B" w:rsidRPr="000A7545">
        <w:t>pa</w:t>
      </w:r>
      <w:r w:rsidR="00D74772" w:rsidRPr="000A7545">
        <w:t xml:space="preserve">ti being males. </w:t>
      </w:r>
      <w:r w:rsidR="009F61EE" w:rsidRPr="000A7545">
        <w:t>The h</w:t>
      </w:r>
      <w:r w:rsidRPr="000A7545">
        <w:t>ead</w:t>
      </w:r>
      <w:r w:rsidR="009F61EE" w:rsidRPr="000A7545">
        <w:t>s</w:t>
      </w:r>
      <w:r w:rsidRPr="000A7545">
        <w:t xml:space="preserve"> of all implementing partners are also males as well as the majority of </w:t>
      </w:r>
      <w:r w:rsidR="009F61EE" w:rsidRPr="000A7545">
        <w:t>p</w:t>
      </w:r>
      <w:r w:rsidRPr="000A7545">
        <w:t>rincipals and senior people at district</w:t>
      </w:r>
      <w:r w:rsidR="00D74772" w:rsidRPr="000A7545">
        <w:t xml:space="preserve"> level in the </w:t>
      </w:r>
      <w:r w:rsidR="009F61EE" w:rsidRPr="000A7545">
        <w:t>e</w:t>
      </w:r>
      <w:r w:rsidR="00D74772" w:rsidRPr="000A7545">
        <w:t>ducation office.</w:t>
      </w:r>
      <w:r w:rsidRPr="000A7545">
        <w:t xml:space="preserve"> It is against this background that any work on gender must be understood.</w:t>
      </w:r>
    </w:p>
    <w:p w14:paraId="13B55D6F" w14:textId="77777777" w:rsidR="00C0376C" w:rsidRPr="000A7545" w:rsidRDefault="00C0376C" w:rsidP="00314D97">
      <w:r w:rsidRPr="000A7545">
        <w:t>Findings from the work of the gender consultant during 2011 showed that gender sensitive approaches have traditionally not been applied to the Renstra of many districts across both Papua and West Papua. Two reasons identified for this have been 1) limited understanding of gender analysis, and 2) low commitment and weak awareness of mainstreaming gender sensitive approaches.</w:t>
      </w:r>
    </w:p>
    <w:p w14:paraId="13B55D70" w14:textId="77777777" w:rsidR="00C0376C" w:rsidRPr="000A7545" w:rsidRDefault="00C0376C" w:rsidP="00C0376C">
      <w:r w:rsidRPr="000A7545">
        <w:t>In June 2011 UNICEF provided technical assistance to define strategies on how to mainstream gender sensitive approaches into planning, budgeting and monitoring processes supported by the programme as well as at school level training activities. While efforts have been made to assess and address gender inequalities, real change cannot occur without a supportive policy environment. Provincial education offices in both Papua and West Papua have increasingly looked to mainstreaming gender sensitive</w:t>
      </w:r>
      <w:r w:rsidR="00903516">
        <w:t xml:space="preserve"> </w:t>
      </w:r>
      <w:r w:rsidRPr="000A7545">
        <w:t>planning and budgeting processes, as well as to ensuring that gender responsiveness is included in education quality improvements as well as in non-formal and informal education.</w:t>
      </w:r>
    </w:p>
    <w:p w14:paraId="13B55D71" w14:textId="77777777" w:rsidR="00C0376C" w:rsidRPr="000A7545" w:rsidRDefault="00C0376C" w:rsidP="00C0376C">
      <w:r w:rsidRPr="000A7545">
        <w:t xml:space="preserve">A brief KAP study on gender was conducted during September 2011, limited to a homogenous sample of respondents (some 40 respondents) from government civil servants showing that while the perceived value of boys and girls may be the same,  their treatment towards boys and girls is slightly different based, due to socio-cultural and </w:t>
      </w:r>
      <w:r w:rsidR="00903516" w:rsidRPr="000A7545">
        <w:t>economic</w:t>
      </w:r>
      <w:r w:rsidRPr="000A7545">
        <w:t xml:space="preserve"> reasons.</w:t>
      </w:r>
    </w:p>
    <w:p w14:paraId="13B55D72" w14:textId="77777777" w:rsidR="00C0376C" w:rsidRPr="000A7545" w:rsidRDefault="00C0376C" w:rsidP="00C0376C">
      <w:r w:rsidRPr="000A7545">
        <w:t xml:space="preserve">The consultant also conducted a gender review of early-grade teaching and multi-grade modules developed under the AusAID- and USAID-funded programme, and provided technical inputs for strengthening gender sensitivity in the modules and materials. Additionally, the programme is committed to </w:t>
      </w:r>
      <w:r w:rsidR="0076386D" w:rsidRPr="000A7545">
        <w:t xml:space="preserve">reaching </w:t>
      </w:r>
      <w:r w:rsidRPr="000A7545">
        <w:t>a minimum level of female participation (30%) in all training activities</w:t>
      </w:r>
      <w:r w:rsidR="0076386D" w:rsidRPr="000A7545">
        <w:t xml:space="preserve"> however as figures demonstrat</w:t>
      </w:r>
      <w:r w:rsidR="00903516">
        <w:t>es that is not always the case.</w:t>
      </w:r>
    </w:p>
    <w:p w14:paraId="13B55D73" w14:textId="77777777" w:rsidR="002E3B6E" w:rsidRPr="000A7545" w:rsidRDefault="002E3B6E" w:rsidP="002E3B6E">
      <w:r w:rsidRPr="000A7545">
        <w:t>Government officials have generally across all programme activities, increased their awareness of gender issues and are verbally committed to strengthening gender equity in their respective areas of work.</w:t>
      </w:r>
    </w:p>
    <w:p w14:paraId="13B55D74" w14:textId="77777777" w:rsidR="00314D97" w:rsidRPr="000A7545" w:rsidRDefault="00314D97" w:rsidP="00314D97"/>
    <w:p w14:paraId="13B55D75" w14:textId="77777777" w:rsidR="00D74772" w:rsidRPr="000A7545" w:rsidRDefault="00D74772" w:rsidP="00314D97">
      <w:r w:rsidRPr="000A7545">
        <w:br w:type="page"/>
      </w:r>
    </w:p>
    <w:p w14:paraId="13B55D76" w14:textId="77777777" w:rsidR="00314D97" w:rsidRPr="000A7545" w:rsidRDefault="00314D97" w:rsidP="00314D97">
      <w:pPr>
        <w:pStyle w:val="Heading1"/>
      </w:pPr>
      <w:bookmarkStart w:id="66" w:name="_Toc233855823"/>
      <w:bookmarkStart w:id="67" w:name="_Ref235802471"/>
      <w:bookmarkStart w:id="68" w:name="_Toc288396749"/>
      <w:bookmarkStart w:id="69" w:name="_Toc296036023"/>
      <w:bookmarkStart w:id="70" w:name="_Toc316030756"/>
      <w:bookmarkStart w:id="71" w:name="_Toc321303369"/>
      <w:bookmarkStart w:id="72" w:name="_Toc321304873"/>
      <w:bookmarkStart w:id="73" w:name="_Toc322702775"/>
      <w:bookmarkStart w:id="74" w:name="_Toc296036021"/>
      <w:r w:rsidRPr="000A7545">
        <w:t xml:space="preserve">Provincial </w:t>
      </w:r>
      <w:r w:rsidR="0051275D" w:rsidRPr="000A7545">
        <w:t>Steering Committee M</w:t>
      </w:r>
      <w:r w:rsidRPr="000A7545">
        <w:t>eetings</w:t>
      </w:r>
      <w:bookmarkEnd w:id="66"/>
      <w:bookmarkEnd w:id="67"/>
      <w:bookmarkEnd w:id="68"/>
      <w:bookmarkEnd w:id="69"/>
      <w:bookmarkEnd w:id="70"/>
      <w:bookmarkEnd w:id="71"/>
      <w:bookmarkEnd w:id="72"/>
      <w:bookmarkEnd w:id="73"/>
    </w:p>
    <w:p w14:paraId="13B55D77" w14:textId="77777777" w:rsidR="00314D97" w:rsidRPr="00903516" w:rsidRDefault="00314D97" w:rsidP="00314D97">
      <w:r w:rsidRPr="000A7545">
        <w:t xml:space="preserve">AusAID, USAID and UNICEF aim to strengthen government ownership of the current education programmes and institutionalize the results </w:t>
      </w:r>
      <w:r w:rsidR="00D726FA" w:rsidRPr="000A7545">
        <w:t xml:space="preserve">that are </w:t>
      </w:r>
      <w:r w:rsidRPr="000A7545">
        <w:t xml:space="preserve">being achieved. One method for this is ensuring a functional and active </w:t>
      </w:r>
      <w:r w:rsidR="00D726FA" w:rsidRPr="000A7545">
        <w:t>steering committee</w:t>
      </w:r>
      <w:r w:rsidRPr="000A7545">
        <w:t xml:space="preserve"> </w:t>
      </w:r>
      <w:r w:rsidR="00D726FA" w:rsidRPr="000A7545">
        <w:t xml:space="preserve">exists in </w:t>
      </w:r>
      <w:r w:rsidRPr="000A7545">
        <w:t>both province</w:t>
      </w:r>
      <w:r w:rsidR="00D726FA" w:rsidRPr="000A7545">
        <w:t>s</w:t>
      </w:r>
      <w:r w:rsidRPr="000A7545">
        <w:t xml:space="preserve">. </w:t>
      </w:r>
      <w:r w:rsidR="00D726FA" w:rsidRPr="000A7545">
        <w:t>The Provincial Steering Committees</w:t>
      </w:r>
      <w:r w:rsidR="00D74772" w:rsidRPr="000A7545">
        <w:t xml:space="preserve"> </w:t>
      </w:r>
      <w:r w:rsidR="00D726FA" w:rsidRPr="000A7545">
        <w:t xml:space="preserve">(PSC) </w:t>
      </w:r>
      <w:r w:rsidRPr="000A7545">
        <w:t xml:space="preserve">give partners, government officials and local stakeholders an opportunity to provide quality oversight to programme implementation and provide formal </w:t>
      </w:r>
      <w:r w:rsidRPr="00903516">
        <w:t>recommendations for adjusting activities to ensure that programme initiatives are aligned to government priorities and needs of the education sector.</w:t>
      </w:r>
      <w:bookmarkEnd w:id="74"/>
    </w:p>
    <w:p w14:paraId="13B55D78" w14:textId="77777777" w:rsidR="00314D97" w:rsidRPr="00903516" w:rsidRDefault="00314D97" w:rsidP="003F221F">
      <w:r w:rsidRPr="00903516">
        <w:t>In Papua Province a PSC meeting was conducted on 11 November 2011 and attended by 34 key stakeholders drawn from UNCEN, faith-based organizations, Bappeda, the private sector, other government departments, Ministry of National Education and Culture, AIPD, the provincial teachers association, LPMP</w:t>
      </w:r>
      <w:r w:rsidR="00D74772" w:rsidRPr="00903516">
        <w:t xml:space="preserve">, and donor agencies. </w:t>
      </w:r>
      <w:r w:rsidRPr="00903516">
        <w:t>The second PSC meeting for West Papua Province was held on 14 November 2011 and was attended by 22 participants (19</w:t>
      </w:r>
      <w:r w:rsidR="00D726FA" w:rsidRPr="00903516">
        <w:t xml:space="preserve"> men, 3 women</w:t>
      </w:r>
      <w:r w:rsidRPr="00903516">
        <w:t>) representing the Ministry of National Education and Culture, Provincial Parliament, Bappeda, provincial education office, UNIPA, STKIP, AIPD, AusAID, UNDP, local press, and district representatives from Sorong and Manokwar</w:t>
      </w:r>
      <w:r w:rsidR="00D726FA" w:rsidRPr="00903516">
        <w:t>i, as well as UNICEF personnel.</w:t>
      </w:r>
      <w:r w:rsidRPr="00903516">
        <w:t xml:space="preserve"> Demonstrating the full government ownership of the program</w:t>
      </w:r>
      <w:r w:rsidR="00D726FA" w:rsidRPr="00903516">
        <w:t>me</w:t>
      </w:r>
      <w:r w:rsidRPr="00903516">
        <w:t xml:space="preserve">, the heads of the education offices for Papua and West Papua </w:t>
      </w:r>
      <w:r w:rsidR="00D726FA" w:rsidRPr="00903516">
        <w:t>gave presentations outlining</w:t>
      </w:r>
      <w:r w:rsidRPr="00903516">
        <w:t xml:space="preserve"> </w:t>
      </w:r>
      <w:r w:rsidR="003F221F" w:rsidRPr="00903516">
        <w:t>progress</w:t>
      </w:r>
      <w:r w:rsidRPr="00903516">
        <w:t xml:space="preserve"> and challenges as well as recommendations for overcoming challenges (based on inputs from all </w:t>
      </w:r>
      <w:r w:rsidR="00D726FA" w:rsidRPr="00903516">
        <w:t xml:space="preserve">meeting </w:t>
      </w:r>
      <w:r w:rsidRPr="00903516">
        <w:t>participants</w:t>
      </w:r>
      <w:r w:rsidR="00D726FA" w:rsidRPr="00903516">
        <w:t>)</w:t>
      </w:r>
      <w:r w:rsidRPr="00903516">
        <w:t>.</w:t>
      </w:r>
    </w:p>
    <w:p w14:paraId="13B55D79" w14:textId="77777777" w:rsidR="00314D97" w:rsidRPr="00903516" w:rsidRDefault="00314D97" w:rsidP="00314D97">
      <w:r w:rsidRPr="00903516">
        <w:t xml:space="preserve">Key recommendations that emerged from the meeting in </w:t>
      </w:r>
      <w:r w:rsidRPr="00903516">
        <w:rPr>
          <w:b/>
        </w:rPr>
        <w:t>West Papua</w:t>
      </w:r>
      <w:r w:rsidR="00903516" w:rsidRPr="00903516">
        <w:t xml:space="preserve"> include:</w:t>
      </w:r>
    </w:p>
    <w:p w14:paraId="13B55D7A" w14:textId="77777777" w:rsidR="00314D97" w:rsidRPr="00903516" w:rsidRDefault="00D726FA" w:rsidP="00697327">
      <w:pPr>
        <w:pStyle w:val="ListParagraph"/>
        <w:numPr>
          <w:ilvl w:val="0"/>
          <w:numId w:val="6"/>
        </w:numPr>
      </w:pPr>
      <w:r w:rsidRPr="00903516">
        <w:t>Province and d</w:t>
      </w:r>
      <w:r w:rsidR="00314D97" w:rsidRPr="00903516">
        <w:t>istrict</w:t>
      </w:r>
      <w:r w:rsidRPr="00903516">
        <w:t>s</w:t>
      </w:r>
      <w:r w:rsidR="00314D97" w:rsidRPr="00903516">
        <w:t xml:space="preserve"> need to develop education regulation (e.g. Education Perda).</w:t>
      </w:r>
    </w:p>
    <w:p w14:paraId="13B55D7B" w14:textId="77777777" w:rsidR="00314D97" w:rsidRPr="00903516" w:rsidRDefault="00314D97" w:rsidP="00697327">
      <w:pPr>
        <w:pStyle w:val="ListParagraph"/>
        <w:numPr>
          <w:ilvl w:val="0"/>
          <w:numId w:val="6"/>
        </w:numPr>
      </w:pPr>
      <w:r w:rsidRPr="00903516">
        <w:t xml:space="preserve">MOU </w:t>
      </w:r>
      <w:r w:rsidR="00D726FA" w:rsidRPr="00903516">
        <w:t xml:space="preserve">needed </w:t>
      </w:r>
      <w:r w:rsidRPr="00903516">
        <w:t>among the provincial departments a</w:t>
      </w:r>
      <w:r w:rsidR="00D726FA" w:rsidRPr="00903516">
        <w:t>nd university regarding the KKN.</w:t>
      </w:r>
    </w:p>
    <w:p w14:paraId="13B55D7C" w14:textId="77777777" w:rsidR="00314D97" w:rsidRPr="00903516" w:rsidRDefault="00314D97" w:rsidP="00697327">
      <w:pPr>
        <w:pStyle w:val="ListParagraph"/>
        <w:numPr>
          <w:ilvl w:val="0"/>
          <w:numId w:val="6"/>
        </w:numPr>
      </w:pPr>
      <w:r w:rsidRPr="00903516">
        <w:t>Implement a workshop to review findings of the teacher absenteeism study and solicit policy recommendations from stakeholders</w:t>
      </w:r>
      <w:r w:rsidR="00D726FA" w:rsidRPr="00903516">
        <w:t>.</w:t>
      </w:r>
    </w:p>
    <w:p w14:paraId="13B55D7D" w14:textId="77777777" w:rsidR="00314D97" w:rsidRPr="00903516" w:rsidRDefault="00314D97" w:rsidP="00697327">
      <w:pPr>
        <w:pStyle w:val="ListParagraph"/>
        <w:numPr>
          <w:ilvl w:val="0"/>
          <w:numId w:val="6"/>
        </w:numPr>
      </w:pPr>
      <w:r w:rsidRPr="00903516">
        <w:t>Need to strengthen the incentive and sanction syste</w:t>
      </w:r>
      <w:r w:rsidR="00D726FA" w:rsidRPr="00903516">
        <w:t>m for teachers in remote areas.</w:t>
      </w:r>
    </w:p>
    <w:p w14:paraId="13B55D7E" w14:textId="77777777" w:rsidR="00314D97" w:rsidRPr="00903516" w:rsidRDefault="00314D97" w:rsidP="00697327">
      <w:pPr>
        <w:pStyle w:val="ListParagraph"/>
        <w:numPr>
          <w:ilvl w:val="0"/>
          <w:numId w:val="6"/>
        </w:numPr>
      </w:pPr>
      <w:r w:rsidRPr="00903516">
        <w:t>Education funds should focus on non-physical inputs to improve management at school and quality of education processes in classrooms.</w:t>
      </w:r>
    </w:p>
    <w:p w14:paraId="13B55D7F" w14:textId="77777777" w:rsidR="00314D97" w:rsidRPr="00903516" w:rsidRDefault="00314D97" w:rsidP="00697327">
      <w:pPr>
        <w:pStyle w:val="ListParagraph"/>
        <w:numPr>
          <w:ilvl w:val="0"/>
          <w:numId w:val="6"/>
        </w:numPr>
      </w:pPr>
      <w:r w:rsidRPr="00903516">
        <w:t xml:space="preserve">The provincial governments </w:t>
      </w:r>
      <w:r w:rsidR="00D726FA" w:rsidRPr="00903516">
        <w:t>should</w:t>
      </w:r>
      <w:r w:rsidRPr="00903516">
        <w:t xml:space="preserve"> establish</w:t>
      </w:r>
      <w:r w:rsidR="00D726FA" w:rsidRPr="00903516">
        <w:t xml:space="preserve"> an education council.</w:t>
      </w:r>
    </w:p>
    <w:p w14:paraId="13B55D80" w14:textId="77777777" w:rsidR="00314D97" w:rsidRPr="00903516" w:rsidRDefault="00314D97" w:rsidP="00697327">
      <w:pPr>
        <w:pStyle w:val="ListParagraph"/>
        <w:numPr>
          <w:ilvl w:val="0"/>
          <w:numId w:val="6"/>
        </w:numPr>
      </w:pPr>
      <w:r w:rsidRPr="00903516">
        <w:t>A meeting is required among donors and development partners to ensure that support is aligned to government strategic development plans as outlined in its Renstra</w:t>
      </w:r>
      <w:r w:rsidR="00D726FA" w:rsidRPr="00903516">
        <w:t>.</w:t>
      </w:r>
    </w:p>
    <w:p w14:paraId="13B55D81" w14:textId="77777777" w:rsidR="00314D97" w:rsidRPr="00903516" w:rsidRDefault="00314D97" w:rsidP="00697327">
      <w:pPr>
        <w:pStyle w:val="ListParagraph"/>
        <w:numPr>
          <w:ilvl w:val="0"/>
          <w:numId w:val="6"/>
        </w:numPr>
      </w:pPr>
      <w:r w:rsidRPr="00903516">
        <w:t>Program</w:t>
      </w:r>
      <w:r w:rsidR="00D726FA" w:rsidRPr="00903516">
        <w:t>me</w:t>
      </w:r>
      <w:r w:rsidRPr="00903516">
        <w:t xml:space="preserve"> planning should be synchronized</w:t>
      </w:r>
      <w:r w:rsidR="00D726FA" w:rsidRPr="00903516">
        <w:t xml:space="preserve"> among central level and provinces/districts.</w:t>
      </w:r>
    </w:p>
    <w:p w14:paraId="13B55D82" w14:textId="77777777" w:rsidR="00314D97" w:rsidRPr="000A7545" w:rsidRDefault="00314D97" w:rsidP="00697327">
      <w:pPr>
        <w:pStyle w:val="ListParagraph"/>
        <w:numPr>
          <w:ilvl w:val="0"/>
          <w:numId w:val="6"/>
        </w:numPr>
        <w:rPr>
          <w:b/>
        </w:rPr>
      </w:pPr>
      <w:r w:rsidRPr="00903516">
        <w:t>UPTD (or sub-district education offices) should be strengthened to overcome weak support and monitoring to schools in remote</w:t>
      </w:r>
      <w:r w:rsidRPr="000A7545">
        <w:t xml:space="preserve"> areas of West Papua</w:t>
      </w:r>
      <w:r w:rsidR="008F7205" w:rsidRPr="000A7545">
        <w:t>.</w:t>
      </w:r>
    </w:p>
    <w:p w14:paraId="13B55D83" w14:textId="77777777" w:rsidR="00314D97" w:rsidRPr="000A7545" w:rsidRDefault="00314D97" w:rsidP="00697327">
      <w:pPr>
        <w:pStyle w:val="ListParagraph"/>
        <w:numPr>
          <w:ilvl w:val="0"/>
          <w:numId w:val="6"/>
        </w:numPr>
        <w:rPr>
          <w:b/>
        </w:rPr>
      </w:pPr>
      <w:r w:rsidRPr="000A7545">
        <w:t>Early Childhood Development (ECD) must become a priority area for donors to support in upcoming programme cycles.</w:t>
      </w:r>
    </w:p>
    <w:p w14:paraId="13B55D84" w14:textId="77777777" w:rsidR="00314D97" w:rsidRPr="000A7545" w:rsidRDefault="00314D97" w:rsidP="00314D97"/>
    <w:p w14:paraId="13B55D85" w14:textId="77777777" w:rsidR="008F7205" w:rsidRPr="000A7545" w:rsidRDefault="008F7205" w:rsidP="00314D97"/>
    <w:p w14:paraId="13B55D86" w14:textId="77777777" w:rsidR="00314D97" w:rsidRPr="000A7545" w:rsidRDefault="00314D97" w:rsidP="00314D97">
      <w:r w:rsidRPr="000A7545">
        <w:t xml:space="preserve">Key recommendations and future directions emerging from </w:t>
      </w:r>
      <w:r w:rsidRPr="000A7545">
        <w:rPr>
          <w:b/>
        </w:rPr>
        <w:t>Papua</w:t>
      </w:r>
      <w:r w:rsidRPr="000A7545">
        <w:t xml:space="preserve"> Province include:</w:t>
      </w:r>
    </w:p>
    <w:p w14:paraId="13B55D87" w14:textId="77777777" w:rsidR="00314D97" w:rsidRPr="000A7545" w:rsidRDefault="00314D97" w:rsidP="00697327">
      <w:pPr>
        <w:pStyle w:val="ListParagraph"/>
        <w:numPr>
          <w:ilvl w:val="0"/>
          <w:numId w:val="7"/>
        </w:numPr>
        <w:rPr>
          <w:b/>
        </w:rPr>
      </w:pPr>
      <w:r w:rsidRPr="000A7545">
        <w:t>Dikpora will replicate</w:t>
      </w:r>
      <w:r w:rsidR="00966C47" w:rsidRPr="000A7545">
        <w:t xml:space="preserve"> the</w:t>
      </w:r>
      <w:r w:rsidRPr="000A7545">
        <w:t xml:space="preserve"> AusAID supported programme to all non-target districts with a target that by the end of 2012 all districts will have at least one effective ‘model school’ for SBM.</w:t>
      </w:r>
    </w:p>
    <w:p w14:paraId="13B55D88" w14:textId="77777777" w:rsidR="00314D97" w:rsidRPr="000A7545" w:rsidRDefault="00314D97" w:rsidP="00697327">
      <w:pPr>
        <w:pStyle w:val="ListParagraph"/>
        <w:numPr>
          <w:ilvl w:val="0"/>
          <w:numId w:val="7"/>
        </w:numPr>
        <w:rPr>
          <w:b/>
        </w:rPr>
      </w:pPr>
      <w:r w:rsidRPr="000A7545">
        <w:t>Education council as a forum to communicate related efforts to improve education service in Tanah Papua should be established immediately.</w:t>
      </w:r>
    </w:p>
    <w:p w14:paraId="13B55D89" w14:textId="77777777" w:rsidR="00314D97" w:rsidRPr="000A7545" w:rsidRDefault="00314D97" w:rsidP="00697327">
      <w:pPr>
        <w:pStyle w:val="ListParagraph"/>
        <w:numPr>
          <w:ilvl w:val="0"/>
          <w:numId w:val="7"/>
        </w:numPr>
        <w:rPr>
          <w:b/>
        </w:rPr>
      </w:pPr>
      <w:r w:rsidRPr="000A7545">
        <w:t>Budgeting in education sector should be well planned, integrated, and</w:t>
      </w:r>
      <w:r w:rsidR="00966C47" w:rsidRPr="000A7545">
        <w:t xml:space="preserve"> carried out</w:t>
      </w:r>
      <w:r w:rsidRPr="000A7545">
        <w:t xml:space="preserve"> in</w:t>
      </w:r>
      <w:r w:rsidR="00966C47" w:rsidRPr="000A7545">
        <w:t xml:space="preserve"> a</w:t>
      </w:r>
      <w:r w:rsidRPr="000A7545">
        <w:t xml:space="preserve"> targeted manner.</w:t>
      </w:r>
    </w:p>
    <w:p w14:paraId="13B55D8A" w14:textId="77777777" w:rsidR="00314D97" w:rsidRPr="000A7545" w:rsidRDefault="007426DE" w:rsidP="00697327">
      <w:pPr>
        <w:pStyle w:val="ListParagraph"/>
        <w:numPr>
          <w:ilvl w:val="0"/>
          <w:numId w:val="7"/>
        </w:numPr>
      </w:pPr>
      <w:r w:rsidRPr="000A7545">
        <w:t>The Secretary of Dikpora noted</w:t>
      </w:r>
      <w:r w:rsidR="00314D97" w:rsidRPr="000A7545">
        <w:t xml:space="preserve"> the UNICEF-AusAid</w:t>
      </w:r>
      <w:r w:rsidR="00966C47" w:rsidRPr="000A7545">
        <w:t xml:space="preserve"> programme</w:t>
      </w:r>
      <w:r w:rsidR="00314D97" w:rsidRPr="000A7545">
        <w:t xml:space="preserve"> showed significant progress and that the </w:t>
      </w:r>
      <w:r w:rsidR="00966C47" w:rsidRPr="000A7545">
        <w:t xml:space="preserve">applied </w:t>
      </w:r>
      <w:r w:rsidR="00314D97" w:rsidRPr="000A7545">
        <w:t>strategy is appropriate for Papua. He also noted that patience is required as it is unrealistic to expect immediate results over a short p</w:t>
      </w:r>
      <w:r w:rsidRPr="000A7545">
        <w:t xml:space="preserve">eriod in the context of Papua. </w:t>
      </w:r>
      <w:r w:rsidR="00314D97" w:rsidRPr="000A7545">
        <w:t>James Modouw, the Head of Dikpora, also noted that experience shows that no programme can make ‘instant’ impacts in Papua and that the results being achieved currently will be most visible in several years to come.</w:t>
      </w:r>
    </w:p>
    <w:p w14:paraId="13B55D8B" w14:textId="77777777" w:rsidR="00314D97" w:rsidRPr="000A7545" w:rsidRDefault="00314D97" w:rsidP="00697327">
      <w:pPr>
        <w:pStyle w:val="ListParagraph"/>
        <w:numPr>
          <w:ilvl w:val="0"/>
          <w:numId w:val="7"/>
        </w:numPr>
        <w:rPr>
          <w:b/>
        </w:rPr>
      </w:pPr>
      <w:r w:rsidRPr="000A7545">
        <w:t>Early childhood education, literacy eradication and strengthening community learning centre</w:t>
      </w:r>
      <w:r w:rsidR="00966C47" w:rsidRPr="000A7545">
        <w:t>s</w:t>
      </w:r>
      <w:r w:rsidRPr="000A7545">
        <w:t xml:space="preserve"> need to be supported by education stakeholder</w:t>
      </w:r>
      <w:r w:rsidR="00966C47" w:rsidRPr="000A7545">
        <w:t>s</w:t>
      </w:r>
      <w:r w:rsidRPr="000A7545">
        <w:t xml:space="preserve"> as well as UNICEF.</w:t>
      </w:r>
    </w:p>
    <w:p w14:paraId="13B55D8C" w14:textId="77777777" w:rsidR="00314D97" w:rsidRPr="000A7545" w:rsidRDefault="00966C47" w:rsidP="00697327">
      <w:pPr>
        <w:pStyle w:val="ListParagraph"/>
        <w:numPr>
          <w:ilvl w:val="0"/>
          <w:numId w:val="7"/>
        </w:numPr>
        <w:rPr>
          <w:b/>
        </w:rPr>
      </w:pPr>
      <w:r w:rsidRPr="000A7545">
        <w:t>In addition to early-</w:t>
      </w:r>
      <w:r w:rsidR="00314D97" w:rsidRPr="000A7545">
        <w:t>grade teachi</w:t>
      </w:r>
      <w:r w:rsidRPr="000A7545">
        <w:t>ng, higher-grade teaching in one-roof-</w:t>
      </w:r>
      <w:r w:rsidR="00314D97" w:rsidRPr="000A7545">
        <w:t>school</w:t>
      </w:r>
      <w:r w:rsidRPr="000A7545">
        <w:t>s</w:t>
      </w:r>
      <w:r w:rsidR="00314D97" w:rsidRPr="000A7545">
        <w:t xml:space="preserve"> (</w:t>
      </w:r>
      <w:r w:rsidRPr="000A7545">
        <w:t>grade 4 to 9) in every sub-</w:t>
      </w:r>
      <w:r w:rsidR="00314D97" w:rsidRPr="000A7545">
        <w:t>district should also be part of UNICEF</w:t>
      </w:r>
      <w:r w:rsidRPr="000A7545">
        <w:t>’s</w:t>
      </w:r>
      <w:r w:rsidR="00314D97" w:rsidRPr="000A7545">
        <w:t xml:space="preserve"> support.</w:t>
      </w:r>
    </w:p>
    <w:p w14:paraId="13B55D8D" w14:textId="77777777" w:rsidR="00314D97" w:rsidRPr="000A7545" w:rsidRDefault="00314D97" w:rsidP="00314D97">
      <w:r w:rsidRPr="000A7545">
        <w:t xml:space="preserve">Programme staff are currently considering how to address and take </w:t>
      </w:r>
      <w:r w:rsidR="00966C47" w:rsidRPr="000A7545">
        <w:t xml:space="preserve">forward some of these key </w:t>
      </w:r>
      <w:r w:rsidRPr="000A7545">
        <w:t>recommendations</w:t>
      </w:r>
      <w:r w:rsidR="00966C47" w:rsidRPr="000A7545">
        <w:t>,</w:t>
      </w:r>
      <w:r w:rsidRPr="000A7545">
        <w:t xml:space="preserve"> include them in revised plans for 2012</w:t>
      </w:r>
      <w:r w:rsidR="00966C47" w:rsidRPr="000A7545">
        <w:t>,</w:t>
      </w:r>
      <w:r w:rsidRPr="000A7545">
        <w:t xml:space="preserve"> and ensure their inclusion in future plans for education in Papua.</w:t>
      </w:r>
    </w:p>
    <w:p w14:paraId="13B55D8E" w14:textId="77777777" w:rsidR="00D74772" w:rsidRPr="000A7545" w:rsidRDefault="00D74772" w:rsidP="00314D97">
      <w:r w:rsidRPr="000A7545">
        <w:br w:type="page"/>
      </w:r>
    </w:p>
    <w:p w14:paraId="13B55D8F" w14:textId="77777777" w:rsidR="00314D97" w:rsidRPr="000A7545" w:rsidRDefault="00314D97" w:rsidP="00314D97">
      <w:pPr>
        <w:pStyle w:val="Heading1"/>
      </w:pPr>
      <w:bookmarkStart w:id="75" w:name="_Toc296036020"/>
      <w:bookmarkStart w:id="76" w:name="_Toc316030758"/>
      <w:bookmarkStart w:id="77" w:name="_Toc321303370"/>
      <w:bookmarkStart w:id="78" w:name="_Toc321304874"/>
      <w:bookmarkStart w:id="79" w:name="_Toc322702776"/>
      <w:r w:rsidRPr="000A7545">
        <w:rPr>
          <w:rStyle w:val="IntenseEmphasis"/>
          <w:rFonts w:ascii="Arial Bold" w:hAnsi="Arial Bold"/>
          <w:bCs w:val="0"/>
          <w:iCs w:val="0"/>
        </w:rPr>
        <w:t>Challenges</w:t>
      </w:r>
      <w:r w:rsidRPr="000A7545">
        <w:t xml:space="preserve"> and Measures Taken</w:t>
      </w:r>
      <w:bookmarkEnd w:id="75"/>
      <w:bookmarkEnd w:id="76"/>
      <w:bookmarkEnd w:id="77"/>
      <w:bookmarkEnd w:id="78"/>
      <w:bookmarkEnd w:id="79"/>
      <w:r w:rsidRPr="000A7545">
        <w:t xml:space="preserve"> </w:t>
      </w:r>
    </w:p>
    <w:p w14:paraId="13B55D90" w14:textId="77777777" w:rsidR="00314D97" w:rsidRPr="000A7545" w:rsidRDefault="00314D97" w:rsidP="00314D97">
      <w:r w:rsidRPr="000A7545">
        <w:t>The programmes have made progress across all activities in spite of s</w:t>
      </w:r>
      <w:r w:rsidR="00E80674" w:rsidRPr="000A7545">
        <w:t xml:space="preserve">everal challenges encountered. </w:t>
      </w:r>
      <w:r w:rsidRPr="000A7545">
        <w:t>Below is a brief description of</w:t>
      </w:r>
      <w:r w:rsidR="00E80674" w:rsidRPr="000A7545">
        <w:t xml:space="preserve"> challenges and measures taken.</w:t>
      </w:r>
      <w:r w:rsidRPr="000A7545">
        <w:t xml:space="preserve"> Proposed actions are designed to ensure desired programme results will be achieved, especially in relation to early-grade and multi-grade strategies to increase teacher competencies in rural and remote areas.</w:t>
      </w:r>
    </w:p>
    <w:p w14:paraId="13B55D91" w14:textId="77777777" w:rsidR="00314D97" w:rsidRPr="000A7545" w:rsidRDefault="00314D97" w:rsidP="00314D97">
      <w:r w:rsidRPr="000A7545">
        <w:t xml:space="preserve">Also briefly noted below are several recommendations made to UNICEF and the government by an independent team of AusAID consultants, who visited Papua and West Papua during February 2012 to </w:t>
      </w:r>
      <w:r w:rsidR="00E80674" w:rsidRPr="000A7545">
        <w:t xml:space="preserve">assess the programme progress. </w:t>
      </w:r>
      <w:r w:rsidRPr="000A7545">
        <w:t>They met with a range of government partners, education office officials and visited 12 schools covered by the current programme.</w:t>
      </w:r>
    </w:p>
    <w:p w14:paraId="13B55D92" w14:textId="77777777" w:rsidR="00314D97" w:rsidRPr="000A7545" w:rsidRDefault="00314D97" w:rsidP="00314D97">
      <w:r w:rsidRPr="000A7545">
        <w:t>Challenges have required continuous learning and adjus</w:t>
      </w:r>
      <w:r w:rsidR="00E80674" w:rsidRPr="000A7545">
        <w:t>tment</w:t>
      </w:r>
      <w:r w:rsidR="003756FD" w:rsidRPr="000A7545">
        <w:t>s</w:t>
      </w:r>
      <w:r w:rsidR="00E80674" w:rsidRPr="000A7545">
        <w:t xml:space="preserve"> in the program</w:t>
      </w:r>
      <w:r w:rsidR="003756FD" w:rsidRPr="000A7545">
        <w:t>me</w:t>
      </w:r>
      <w:r w:rsidR="00E80674" w:rsidRPr="000A7545">
        <w:t xml:space="preserve"> approach. </w:t>
      </w:r>
      <w:r w:rsidRPr="000A7545">
        <w:t xml:space="preserve">Some of the key challenges are </w:t>
      </w:r>
      <w:r w:rsidR="00E80674" w:rsidRPr="000A7545">
        <w:t>listed below as well as actions</w:t>
      </w:r>
      <w:r w:rsidR="003756FD" w:rsidRPr="000A7545">
        <w:t xml:space="preserve"> already taken or </w:t>
      </w:r>
      <w:r w:rsidRPr="000A7545">
        <w:t>being considered.</w:t>
      </w:r>
    </w:p>
    <w:p w14:paraId="13B55D93" w14:textId="77777777" w:rsidR="002E3B6E" w:rsidRPr="000A7545" w:rsidRDefault="00314D97" w:rsidP="002E3B6E">
      <w:r w:rsidRPr="000A7545">
        <w:rPr>
          <w:b/>
          <w:i/>
        </w:rPr>
        <w:t>Teacher Absenteeism</w:t>
      </w:r>
      <w:r w:rsidRPr="000A7545">
        <w:rPr>
          <w:i/>
        </w:rPr>
        <w:t xml:space="preserve"> from school continues to undermine the effectiveness of school level quality improvement activities</w:t>
      </w:r>
      <w:r w:rsidRPr="000A7545">
        <w:t xml:space="preserve">. </w:t>
      </w:r>
      <w:r w:rsidR="002E3B6E" w:rsidRPr="000A7545">
        <w:t>To overcome this challenge ‘written contracts’ have been introduced for target schools to encourage teachers to attend school on a regular basis. Additionally, the programme is exploring new partnerships with district level education foundations to increase human resources for conducting mobile trainings in remote schools, as a means of supporting teachers in an on-going manner, to help improve their capacity to teach and increase their competencies without removing them for extended periods of time for training held far from their schools. The Teacher Absenteeism Study provides a series of policy recommendations to support government in addressing this problem.</w:t>
      </w:r>
    </w:p>
    <w:p w14:paraId="13B55D94" w14:textId="77777777" w:rsidR="00314D97" w:rsidRPr="000A7545" w:rsidRDefault="00314D97" w:rsidP="00314D97">
      <w:r w:rsidRPr="000A7545">
        <w:rPr>
          <w:b/>
          <w:i/>
        </w:rPr>
        <w:t>Limited supervisors or operational funds are available for monitoring in remote areas</w:t>
      </w:r>
      <w:r w:rsidRPr="000A7545">
        <w:t>. Advocacy for increased funding support and capacity strengthening of sub-district offices in remote areas via Renstra and Renja has occurred and is on-going.</w:t>
      </w:r>
      <w:r w:rsidR="002E3B6E" w:rsidRPr="000A7545">
        <w:t xml:space="preserve"> Strengthening the supervision system is key to helping teachers and principals perform better in their jobs, and the weak supervision system therefore clearly hampers any possibility for increasing accountability from schools for higher quality education for Papuan children, especially in rural and remote areas.</w:t>
      </w:r>
    </w:p>
    <w:p w14:paraId="13B55D95" w14:textId="77777777" w:rsidR="002E3B6E" w:rsidRPr="000A7545" w:rsidRDefault="00314D97" w:rsidP="002E3B6E">
      <w:r w:rsidRPr="000A7545">
        <w:rPr>
          <w:b/>
          <w:i/>
        </w:rPr>
        <w:t>Cluster activities are difficult in rural locations</w:t>
      </w:r>
      <w:r w:rsidRPr="000A7545">
        <w:rPr>
          <w:i/>
        </w:rPr>
        <w:t xml:space="preserve"> where sub-district education offices are weak</w:t>
      </w:r>
      <w:r w:rsidR="002E3B6E" w:rsidRPr="000A7545">
        <w:rPr>
          <w:i/>
        </w:rPr>
        <w:t>, and distances to clusters great</w:t>
      </w:r>
      <w:r w:rsidRPr="000A7545">
        <w:rPr>
          <w:i/>
        </w:rPr>
        <w:t xml:space="preserve">. </w:t>
      </w:r>
      <w:r w:rsidR="002E3B6E" w:rsidRPr="000A7545">
        <w:t>The programme is conducting a</w:t>
      </w:r>
      <w:r w:rsidR="00903516">
        <w:t xml:space="preserve"> </w:t>
      </w:r>
      <w:r w:rsidR="002E3B6E" w:rsidRPr="000A7545">
        <w:t>rapid geographic mapping and bottleneck analysis of remote target schools to identify where and why success is or is not occurring. Other actions already taken to address this challenge have included the launching of more intensified cluster (or sub-cluster) meetings between one or two satellite schools with model schools.</w:t>
      </w:r>
    </w:p>
    <w:p w14:paraId="13B55D96" w14:textId="77777777" w:rsidR="00314D97" w:rsidRPr="000A7545" w:rsidRDefault="00314D97" w:rsidP="00314D97">
      <w:r w:rsidRPr="000A7545">
        <w:rPr>
          <w:b/>
          <w:i/>
        </w:rPr>
        <w:t>Community awareness and participation in remote area schools is relatively low</w:t>
      </w:r>
      <w:r w:rsidRPr="000A7545">
        <w:t xml:space="preserve">. To </w:t>
      </w:r>
      <w:r w:rsidR="00A34295" w:rsidRPr="000A7545">
        <w:t>address</w:t>
      </w:r>
      <w:r w:rsidRPr="000A7545">
        <w:t xml:space="preserve"> this challenge the program</w:t>
      </w:r>
      <w:r w:rsidR="00A34295" w:rsidRPr="000A7545">
        <w:t>me</w:t>
      </w:r>
      <w:r w:rsidRPr="000A7545">
        <w:t xml:space="preserve"> has begun to (and will continue) us</w:t>
      </w:r>
      <w:r w:rsidR="002E3B6E" w:rsidRPr="000A7545">
        <w:t>e</w:t>
      </w:r>
      <w:r w:rsidRPr="000A7545">
        <w:t xml:space="preserve"> local media, community leaders, and social advocacy to encourage community awareness and involvement in education services delivery and quality improvement. The results of the  USAID education sector partnership mapping has identified the possibility of further collaborations with local education foundations and church groups in mobilising and supporting local communities for advancing education.</w:t>
      </w:r>
    </w:p>
    <w:p w14:paraId="13B55D97" w14:textId="77777777" w:rsidR="00314D97" w:rsidRPr="000A7545" w:rsidRDefault="00314D97" w:rsidP="00314D97">
      <w:r w:rsidRPr="000A7545">
        <w:rPr>
          <w:b/>
          <w:i/>
        </w:rPr>
        <w:t>Principal leadership is relatively weak in remote area schools</w:t>
      </w:r>
      <w:r w:rsidRPr="000A7545">
        <w:t>. The program</w:t>
      </w:r>
      <w:r w:rsidR="00267C34" w:rsidRPr="000A7545">
        <w:t>me</w:t>
      </w:r>
      <w:r w:rsidRPr="000A7545">
        <w:t xml:space="preserve"> has already moved to strengthen training support for school principals to increase leadership and management competen</w:t>
      </w:r>
      <w:r w:rsidR="00E80674" w:rsidRPr="000A7545">
        <w:t xml:space="preserve">cies. </w:t>
      </w:r>
      <w:r w:rsidRPr="000A7545">
        <w:t>This work</w:t>
      </w:r>
      <w:r w:rsidR="00267C34" w:rsidRPr="000A7545">
        <w:t xml:space="preserve"> and opportunities for</w:t>
      </w:r>
      <w:r w:rsidRPr="000A7545">
        <w:t xml:space="preserve"> </w:t>
      </w:r>
      <w:r w:rsidR="00E80674" w:rsidRPr="000A7545">
        <w:t>leadership training will be</w:t>
      </w:r>
      <w:r w:rsidRPr="000A7545">
        <w:t xml:space="preserve"> refocused especially for principals and leaders in remote schools</w:t>
      </w:r>
      <w:r w:rsidR="00267C34" w:rsidRPr="000A7545">
        <w:t xml:space="preserve"> including</w:t>
      </w:r>
      <w:r w:rsidRPr="000A7545">
        <w:t xml:space="preserve"> female leaders in remote areas</w:t>
      </w:r>
      <w:r w:rsidR="00E80674" w:rsidRPr="000A7545">
        <w:t>.</w:t>
      </w:r>
    </w:p>
    <w:p w14:paraId="13B55D98" w14:textId="77777777" w:rsidR="00314D97" w:rsidRPr="000A7545" w:rsidRDefault="00314D97" w:rsidP="00314D97">
      <w:r w:rsidRPr="000A7545">
        <w:rPr>
          <w:b/>
          <w:i/>
        </w:rPr>
        <w:t>Limited suitable resources/training materials for the remote Papuan context.</w:t>
      </w:r>
      <w:r w:rsidRPr="000A7545">
        <w:rPr>
          <w:i/>
        </w:rPr>
        <w:t xml:space="preserve"> </w:t>
      </w:r>
      <w:r w:rsidRPr="000A7545">
        <w:t>A range of teacher and student learning materials have bee</w:t>
      </w:r>
      <w:r w:rsidR="00267C34" w:rsidRPr="000A7545">
        <w:t xml:space="preserve">n developed and are being distributed to schools. </w:t>
      </w:r>
      <w:r w:rsidRPr="000A7545">
        <w:t>The program</w:t>
      </w:r>
      <w:r w:rsidR="00267C34" w:rsidRPr="000A7545">
        <w:t>me</w:t>
      </w:r>
      <w:r w:rsidRPr="000A7545">
        <w:t xml:space="preserve"> is keen to ensure that all materials are culturally appropriate for Papua and is already engaged with ethnographic researchers </w:t>
      </w:r>
      <w:r w:rsidR="00267C34" w:rsidRPr="000A7545">
        <w:t xml:space="preserve">at the university as advisors. </w:t>
      </w:r>
      <w:r w:rsidRPr="000A7545">
        <w:t>New materials will ensure the balance between consultation for cultural relevance and efficient development in creating more materials for teachers and students in schools.</w:t>
      </w:r>
    </w:p>
    <w:p w14:paraId="13B55D99" w14:textId="77777777" w:rsidR="00314D97" w:rsidRPr="000A7545" w:rsidRDefault="00314D97" w:rsidP="00314D97">
      <w:r w:rsidRPr="000A7545">
        <w:rPr>
          <w:b/>
          <w:i/>
        </w:rPr>
        <w:t>The level of mentoring support for satellite schools via school cluster mechanisms remains insufficient.</w:t>
      </w:r>
      <w:r w:rsidRPr="000A7545">
        <w:t xml:space="preserve"> To overcome this challenge the programme is exploring additional modalities for building a critical mass of trainers at sub-district level. This includes the possibility of more intensive engage</w:t>
      </w:r>
      <w:r w:rsidR="00267C34" w:rsidRPr="000A7545">
        <w:t>ment</w:t>
      </w:r>
      <w:r w:rsidRPr="000A7545">
        <w:t xml:space="preserve"> with local education foundations or NGOs in remote areas.</w:t>
      </w:r>
    </w:p>
    <w:p w14:paraId="13B55D9A" w14:textId="77777777" w:rsidR="00314D97" w:rsidRPr="000A7545" w:rsidRDefault="00314D97" w:rsidP="00314D97">
      <w:r w:rsidRPr="000A7545">
        <w:rPr>
          <w:b/>
          <w:i/>
        </w:rPr>
        <w:t xml:space="preserve">Telecommunication and ICT </w:t>
      </w:r>
      <w:r w:rsidR="00903516" w:rsidRPr="000A7545">
        <w:rPr>
          <w:b/>
          <w:i/>
        </w:rPr>
        <w:t>facilities</w:t>
      </w:r>
      <w:r w:rsidRPr="000A7545">
        <w:rPr>
          <w:b/>
          <w:i/>
        </w:rPr>
        <w:t xml:space="preserve"> including access to telep</w:t>
      </w:r>
      <w:r w:rsidR="008F6AA5" w:rsidRPr="000A7545">
        <w:rPr>
          <w:b/>
          <w:i/>
        </w:rPr>
        <w:t>h</w:t>
      </w:r>
      <w:r w:rsidRPr="000A7545">
        <w:rPr>
          <w:b/>
          <w:i/>
        </w:rPr>
        <w:t>one signals are a major challenge</w:t>
      </w:r>
      <w:r w:rsidRPr="000A7545">
        <w:rPr>
          <w:i/>
        </w:rPr>
        <w:t xml:space="preserve"> for the most remote communities and or schools currently targeted by the progra</w:t>
      </w:r>
      <w:r w:rsidR="00267C34" w:rsidRPr="000A7545">
        <w:rPr>
          <w:i/>
        </w:rPr>
        <w:t>m</w:t>
      </w:r>
      <w:r w:rsidRPr="000A7545">
        <w:rPr>
          <w:i/>
        </w:rPr>
        <w:t>m</w:t>
      </w:r>
      <w:r w:rsidR="00267C34" w:rsidRPr="000A7545">
        <w:rPr>
          <w:i/>
        </w:rPr>
        <w:t>e</w:t>
      </w:r>
      <w:r w:rsidRPr="000A7545">
        <w:t xml:space="preserve">. The government has </w:t>
      </w:r>
      <w:r w:rsidRPr="00903516">
        <w:t>made available televisions in a range of isolated villages in remote areas through the government RESPECT programme which can be utilised in a fully revised pro</w:t>
      </w:r>
      <w:r w:rsidR="00267C34" w:rsidRPr="00903516">
        <w:t xml:space="preserve">gramme approach in the future. </w:t>
      </w:r>
      <w:r w:rsidRPr="00903516">
        <w:t>Several NGOs have also built VSATs in remote areas to cre</w:t>
      </w:r>
      <w:r w:rsidR="00267C34" w:rsidRPr="00903516">
        <w:t xml:space="preserve">ate communication links. </w:t>
      </w:r>
      <w:r w:rsidRPr="00903516">
        <w:t>The possibility to link to existing communication facilities and channels in satellite school communities is being further explored.</w:t>
      </w:r>
    </w:p>
    <w:p w14:paraId="13B55D9B" w14:textId="77777777" w:rsidR="00314D97" w:rsidRPr="000A7545" w:rsidRDefault="00314D97" w:rsidP="00314D97"/>
    <w:p w14:paraId="13B55D9C" w14:textId="77777777" w:rsidR="00314D97" w:rsidRPr="000A7545" w:rsidRDefault="00314D97" w:rsidP="00314D97">
      <w:pPr>
        <w:pStyle w:val="Heading2"/>
        <w:rPr>
          <w:lang w:val="en-GB"/>
        </w:rPr>
      </w:pPr>
      <w:bookmarkStart w:id="80" w:name="_Toc322702777"/>
      <w:r w:rsidRPr="000A7545">
        <w:rPr>
          <w:lang w:val="en-GB"/>
        </w:rPr>
        <w:t>AusAID Evaluation Recommendations</w:t>
      </w:r>
      <w:bookmarkEnd w:id="80"/>
    </w:p>
    <w:p w14:paraId="13B55D9D" w14:textId="77777777" w:rsidR="00314D97" w:rsidRPr="000A7545" w:rsidRDefault="00314D97" w:rsidP="00314D97">
      <w:r w:rsidRPr="000A7545">
        <w:t>Recommendations provided by the AusAID evaluation mission conducted during February 2012 have provided useful feedback for reflection and action of the UNICEF te</w:t>
      </w:r>
      <w:r w:rsidR="00037A25" w:rsidRPr="000A7545">
        <w:t xml:space="preserve">am and our government partners. The </w:t>
      </w:r>
      <w:r w:rsidRPr="000A7545">
        <w:t xml:space="preserve">key recommendations are listed </w:t>
      </w:r>
      <w:r w:rsidR="00037A25" w:rsidRPr="000A7545">
        <w:t xml:space="preserve">below, including </w:t>
      </w:r>
      <w:r w:rsidRPr="000A7545">
        <w:t>UNICEF’s reflections and actions.</w:t>
      </w:r>
    </w:p>
    <w:p w14:paraId="13B55D9E" w14:textId="77777777" w:rsidR="00314D97" w:rsidRPr="000A7545" w:rsidRDefault="00314D97" w:rsidP="00697327">
      <w:pPr>
        <w:pStyle w:val="ListParagraph"/>
        <w:numPr>
          <w:ilvl w:val="0"/>
          <w:numId w:val="9"/>
        </w:numPr>
        <w:ind w:left="360"/>
        <w:rPr>
          <w:b/>
        </w:rPr>
      </w:pPr>
      <w:r w:rsidRPr="000A7545">
        <w:rPr>
          <w:b/>
        </w:rPr>
        <w:t>Strengthen performance management</w:t>
      </w:r>
      <w:r w:rsidR="00037A25" w:rsidRPr="000A7545">
        <w:t>. I</w:t>
      </w:r>
      <w:r w:rsidRPr="000A7545">
        <w:t>t is recommended that UNICEF strengthen and systematically use the monitoring system to monitor indicators in the agreed performance fram</w:t>
      </w:r>
      <w:r w:rsidR="00037A25" w:rsidRPr="000A7545">
        <w:t>ework as well as conduct an end</w:t>
      </w:r>
      <w:r w:rsidRPr="000A7545">
        <w:t>line evaluation before end of October 2012</w:t>
      </w:r>
      <w:r w:rsidR="000A6A3F" w:rsidRPr="000A7545">
        <w:t>.</w:t>
      </w:r>
    </w:p>
    <w:p w14:paraId="13B55D9F" w14:textId="77777777" w:rsidR="00314D97" w:rsidRPr="000A7545" w:rsidRDefault="00314D97" w:rsidP="0040690F">
      <w:pPr>
        <w:ind w:left="360"/>
      </w:pPr>
      <w:r w:rsidRPr="000A7545">
        <w:rPr>
          <w:b/>
          <w:i/>
        </w:rPr>
        <w:t>Action</w:t>
      </w:r>
      <w:r w:rsidR="000A6A3F" w:rsidRPr="000A7545">
        <w:rPr>
          <w:b/>
          <w:i/>
        </w:rPr>
        <w:t>:</w:t>
      </w:r>
      <w:r w:rsidRPr="000A7545">
        <w:t xml:space="preserve"> </w:t>
      </w:r>
      <w:r w:rsidR="00037A25" w:rsidRPr="000A7545">
        <w:t xml:space="preserve">The </w:t>
      </w:r>
      <w:r w:rsidRPr="000A7545">
        <w:t>UNICEF performance management framework has been adjusted to allow for monitoring of key results on a more regular basis</w:t>
      </w:r>
      <w:r w:rsidR="000A6A3F" w:rsidRPr="000A7545">
        <w:t>.</w:t>
      </w:r>
    </w:p>
    <w:p w14:paraId="13B55DA0" w14:textId="77777777" w:rsidR="00314D97" w:rsidRPr="000A7545" w:rsidRDefault="00314D97" w:rsidP="0040690F">
      <w:pPr>
        <w:rPr>
          <w:rFonts w:asciiTheme="majorHAnsi" w:hAnsiTheme="majorHAnsi" w:cstheme="majorHAnsi"/>
        </w:rPr>
      </w:pPr>
    </w:p>
    <w:p w14:paraId="13B55DA1" w14:textId="77777777" w:rsidR="00314D97" w:rsidRPr="000A7545" w:rsidRDefault="00314D97" w:rsidP="00697327">
      <w:pPr>
        <w:pStyle w:val="ListParagraph"/>
        <w:numPr>
          <w:ilvl w:val="0"/>
          <w:numId w:val="9"/>
        </w:numPr>
        <w:ind w:left="360"/>
      </w:pPr>
      <w:r w:rsidRPr="000A7545">
        <w:rPr>
          <w:b/>
        </w:rPr>
        <w:t>Review stimulus modules to ensure quality and relevance for Papua</w:t>
      </w:r>
      <w:r w:rsidR="00AD15E2" w:rsidRPr="000A7545">
        <w:t>. I</w:t>
      </w:r>
      <w:r w:rsidRPr="000A7545">
        <w:t>t is recommended that UNICEF use available resources in the design for short-term inputs from experts in ea</w:t>
      </w:r>
      <w:r w:rsidR="00AD15E2" w:rsidRPr="000A7545">
        <w:t>rly-</w:t>
      </w:r>
      <w:r w:rsidRPr="000A7545">
        <w:t>grade and multi-grade teaching practices to strengthen stimulus materials for Master Trainers and prepare complementary teaching met</w:t>
      </w:r>
      <w:r w:rsidR="00AD15E2" w:rsidRPr="000A7545">
        <w:t xml:space="preserve">hod resources that support less </w:t>
      </w:r>
      <w:r w:rsidRPr="000A7545">
        <w:t>experienced teachers to implement early</w:t>
      </w:r>
      <w:r w:rsidR="00AD15E2" w:rsidRPr="000A7545">
        <w:t>-</w:t>
      </w:r>
      <w:r w:rsidRPr="000A7545">
        <w:t>grade and multi-grade teaching in practice.</w:t>
      </w:r>
    </w:p>
    <w:p w14:paraId="13B55DA2" w14:textId="77777777" w:rsidR="00314D97" w:rsidRPr="000A7545" w:rsidRDefault="00314D97" w:rsidP="0040690F">
      <w:pPr>
        <w:ind w:left="360"/>
      </w:pPr>
      <w:r w:rsidRPr="000A7545">
        <w:rPr>
          <w:b/>
          <w:i/>
        </w:rPr>
        <w:t>Action</w:t>
      </w:r>
      <w:r w:rsidRPr="000A7545">
        <w:t>: UNICEF has already engaged short-ter</w:t>
      </w:r>
      <w:r w:rsidR="002C0E46" w:rsidRPr="000A7545">
        <w:t>m expert inputs to review early-grade and multi-</w:t>
      </w:r>
      <w:r w:rsidRPr="000A7545">
        <w:t xml:space="preserve">grade materials </w:t>
      </w:r>
      <w:r w:rsidRPr="00903516">
        <w:t>prepared for Papua and West Papua and is recently engaged with local expert partners (</w:t>
      </w:r>
      <w:r w:rsidR="002C0E46" w:rsidRPr="00903516">
        <w:t>including</w:t>
      </w:r>
      <w:r w:rsidRPr="00903516">
        <w:t xml:space="preserve"> SIL) in</w:t>
      </w:r>
      <w:r w:rsidRPr="000A7545">
        <w:t xml:space="preserve"> the development of a range of additional early-gr</w:t>
      </w:r>
      <w:r w:rsidR="002C0E46" w:rsidRPr="000A7545">
        <w:t xml:space="preserve">ade and multi-grade materials. </w:t>
      </w:r>
      <w:r w:rsidRPr="000A7545">
        <w:t>UNICEF also has a network of technical consultants in the field working together with government and local partners to maximize possibilities f</w:t>
      </w:r>
      <w:r w:rsidR="000A6A3F" w:rsidRPr="000A7545">
        <w:t>or locally contextual products.</w:t>
      </w:r>
    </w:p>
    <w:p w14:paraId="13B55DA3" w14:textId="77777777" w:rsidR="0040690F" w:rsidRPr="000A7545" w:rsidRDefault="0040690F" w:rsidP="0040690F">
      <w:pPr>
        <w:ind w:left="360"/>
      </w:pPr>
    </w:p>
    <w:p w14:paraId="13B55DA4" w14:textId="77777777" w:rsidR="00314D97" w:rsidRPr="000A7545" w:rsidRDefault="00314D97" w:rsidP="00697327">
      <w:pPr>
        <w:pStyle w:val="ListParagraph"/>
        <w:numPr>
          <w:ilvl w:val="0"/>
          <w:numId w:val="9"/>
        </w:numPr>
        <w:ind w:left="360"/>
      </w:pPr>
      <w:r w:rsidRPr="000A7545">
        <w:rPr>
          <w:b/>
        </w:rPr>
        <w:t>Strengthen mentoring support approaches in rural and remote areas</w:t>
      </w:r>
      <w:r w:rsidR="002C0E46" w:rsidRPr="000A7545">
        <w:t>. I</w:t>
      </w:r>
      <w:r w:rsidRPr="000A7545">
        <w:t xml:space="preserve">t is recommended that UNICEF use available resources in the design to support district agencies and </w:t>
      </w:r>
      <w:r w:rsidR="00602135" w:rsidRPr="000A7545">
        <w:t>f</w:t>
      </w:r>
      <w:r w:rsidRPr="000A7545">
        <w:t xml:space="preserve">oundations to deliver mentoring support to principals and teachers in rural and remote schools with systematic mentoring visits by selected </w:t>
      </w:r>
      <w:r w:rsidR="00602135" w:rsidRPr="000A7545">
        <w:t>m</w:t>
      </w:r>
      <w:r w:rsidRPr="000A7545">
        <w:t xml:space="preserve">aster </w:t>
      </w:r>
      <w:r w:rsidR="00602135" w:rsidRPr="000A7545">
        <w:t>t</w:t>
      </w:r>
      <w:r w:rsidRPr="000A7545">
        <w:t>rainers.</w:t>
      </w:r>
    </w:p>
    <w:p w14:paraId="13B55DA5" w14:textId="77777777" w:rsidR="00314D97" w:rsidRPr="000A7545" w:rsidRDefault="00314D97" w:rsidP="0040690F">
      <w:pPr>
        <w:ind w:left="360"/>
      </w:pPr>
      <w:r w:rsidRPr="000A7545">
        <w:rPr>
          <w:b/>
          <w:i/>
        </w:rPr>
        <w:t>Action</w:t>
      </w:r>
      <w:r w:rsidR="000A6A3F" w:rsidRPr="000A7545">
        <w:rPr>
          <w:b/>
          <w:i/>
        </w:rPr>
        <w:t>:</w:t>
      </w:r>
      <w:r w:rsidRPr="000A7545">
        <w:t xml:space="preserve"> </w:t>
      </w:r>
      <w:r w:rsidR="008F6AA5" w:rsidRPr="000A7545">
        <w:t xml:space="preserve">This is being addressed by UNICEF. </w:t>
      </w:r>
      <w:r w:rsidRPr="000A7545">
        <w:t xml:space="preserve">See </w:t>
      </w:r>
      <w:r w:rsidR="00602135" w:rsidRPr="000A7545">
        <w:t xml:space="preserve">below </w:t>
      </w:r>
      <w:r w:rsidRPr="000A7545">
        <w:t>the section on Strategies to Strengthen Support for Rural and Remote</w:t>
      </w:r>
      <w:r w:rsidR="00602135" w:rsidRPr="000A7545">
        <w:t xml:space="preserve"> Schools</w:t>
      </w:r>
      <w:r w:rsidR="0040690F" w:rsidRPr="000A7545">
        <w:t>.</w:t>
      </w:r>
    </w:p>
    <w:p w14:paraId="13B55DA6" w14:textId="77777777" w:rsidR="0040690F" w:rsidRPr="000A7545" w:rsidRDefault="0040690F" w:rsidP="0040690F">
      <w:pPr>
        <w:ind w:left="360"/>
        <w:rPr>
          <w:b/>
        </w:rPr>
      </w:pPr>
    </w:p>
    <w:p w14:paraId="13B55DA7" w14:textId="77777777" w:rsidR="00314D97" w:rsidRPr="000A7545" w:rsidRDefault="00314D97" w:rsidP="00697327">
      <w:pPr>
        <w:pStyle w:val="ListParagraph"/>
        <w:numPr>
          <w:ilvl w:val="0"/>
          <w:numId w:val="9"/>
        </w:numPr>
        <w:ind w:left="360"/>
      </w:pPr>
      <w:r w:rsidRPr="000A7545">
        <w:rPr>
          <w:b/>
        </w:rPr>
        <w:t>Acknowledge and promote Australian identity as</w:t>
      </w:r>
      <w:r w:rsidR="000A6A3F" w:rsidRPr="000A7545">
        <w:rPr>
          <w:b/>
        </w:rPr>
        <w:t xml:space="preserve"> agreed</w:t>
      </w:r>
      <w:r w:rsidR="000A6A3F" w:rsidRPr="000A7545">
        <w:t>.</w:t>
      </w:r>
    </w:p>
    <w:p w14:paraId="13B55DA8" w14:textId="77777777" w:rsidR="00314D97" w:rsidRDefault="00314D97" w:rsidP="00937C6F">
      <w:r w:rsidRPr="000A7545">
        <w:rPr>
          <w:b/>
          <w:i/>
        </w:rPr>
        <w:t>Action</w:t>
      </w:r>
      <w:r w:rsidR="000A6A3F" w:rsidRPr="000A7545">
        <w:rPr>
          <w:b/>
          <w:i/>
        </w:rPr>
        <w:t>:</w:t>
      </w:r>
      <w:r w:rsidRPr="000A7545">
        <w:rPr>
          <w:b/>
          <w:i/>
        </w:rPr>
        <w:t xml:space="preserve"> </w:t>
      </w:r>
      <w:r w:rsidRPr="000A7545">
        <w:t>UNICEF actively promoted AusAID</w:t>
      </w:r>
      <w:r w:rsidR="00AE2E09" w:rsidRPr="000A7545">
        <w:t>’s identity</w:t>
      </w:r>
      <w:r w:rsidRPr="000A7545">
        <w:t xml:space="preserve"> during 2011 and will continue to highlight the contributions and support provided by AusAID through all materials, training events and through acknowledging AusAID as a valuable partner. On a recent visit by the Regional Director, Mr Dan Toole</w:t>
      </w:r>
      <w:r w:rsidR="00AE2E09" w:rsidRPr="000A7545">
        <w:t>,</w:t>
      </w:r>
      <w:r w:rsidRPr="000A7545">
        <w:t xml:space="preserve"> a number of UNICEF schools were visited and deliberate photo opportunities explored to ensure AusAID supported schools can be better promoted and profiled through materials and advocacy linked to this education programme during 2012.</w:t>
      </w:r>
    </w:p>
    <w:p w14:paraId="13B55DA9" w14:textId="77777777" w:rsidR="00937C6F" w:rsidRPr="00937C6F" w:rsidRDefault="00937C6F" w:rsidP="00937C6F">
      <w:r w:rsidRPr="00937C6F">
        <w:t>Similar measures are being taken to promote USAID identity as relevant.</w:t>
      </w:r>
    </w:p>
    <w:p w14:paraId="13B55DAA" w14:textId="77777777" w:rsidR="00314D97" w:rsidRPr="000A7545" w:rsidRDefault="00314D97" w:rsidP="00314D97"/>
    <w:p w14:paraId="13B55DAB" w14:textId="77777777" w:rsidR="00314D97" w:rsidRPr="000A7545" w:rsidRDefault="00314D97" w:rsidP="00314D97">
      <w:pPr>
        <w:pStyle w:val="Heading2"/>
        <w:rPr>
          <w:lang w:val="en-GB"/>
        </w:rPr>
      </w:pPr>
      <w:bookmarkStart w:id="81" w:name="_Toc322702778"/>
      <w:r w:rsidRPr="000A7545">
        <w:rPr>
          <w:lang w:val="en-GB"/>
        </w:rPr>
        <w:t>Strategies to Strengthen Support for Rural and Remote Schools</w:t>
      </w:r>
      <w:bookmarkEnd w:id="81"/>
    </w:p>
    <w:p w14:paraId="13B55DAC" w14:textId="77777777" w:rsidR="00314D97" w:rsidRPr="000A7545" w:rsidRDefault="00314D97" w:rsidP="00314D97">
      <w:r w:rsidRPr="000A7545">
        <w:t>Fol</w:t>
      </w:r>
      <w:r w:rsidR="00974298" w:rsidRPr="000A7545">
        <w:t>lowing the feedback through AusAID’s</w:t>
      </w:r>
      <w:r w:rsidRPr="000A7545">
        <w:t xml:space="preserve"> Aide Memoir </w:t>
      </w:r>
      <w:r w:rsidR="00974298" w:rsidRPr="000A7545">
        <w:t xml:space="preserve">the UNICEF Education team supported by management from Jakarta and the field office held </w:t>
      </w:r>
      <w:r w:rsidRPr="000A7545">
        <w:t xml:space="preserve">an intensive review. Specific areas of strategy strengthening have been identified especially focusing on reaching </w:t>
      </w:r>
      <w:r w:rsidR="00974298" w:rsidRPr="000A7545">
        <w:t xml:space="preserve">principals, teachers, </w:t>
      </w:r>
      <w:r w:rsidRPr="000A7545">
        <w:t>students and school communities in rural and remote areas. An implementation plan is being developed and will be discussed for approval and partnership implementation with government partners by end of April</w:t>
      </w:r>
      <w:r w:rsidR="00974298" w:rsidRPr="000A7545">
        <w:t xml:space="preserve"> 2012</w:t>
      </w:r>
      <w:r w:rsidRPr="000A7545">
        <w:t>. Strengthening strategies include:</w:t>
      </w:r>
    </w:p>
    <w:p w14:paraId="13B55DAD" w14:textId="77777777" w:rsidR="008F6AA5" w:rsidRPr="000A7545" w:rsidRDefault="008F6AA5" w:rsidP="008F6AA5">
      <w:pPr>
        <w:rPr>
          <w:b/>
          <w:u w:val="single"/>
        </w:rPr>
      </w:pPr>
      <w:r w:rsidRPr="000A7545">
        <w:rPr>
          <w:b/>
          <w:u w:val="single"/>
        </w:rPr>
        <w:t>Strengthened support for Principals and Supervisors:</w:t>
      </w:r>
    </w:p>
    <w:p w14:paraId="13B55DAE" w14:textId="77777777" w:rsidR="008F6AA5" w:rsidRPr="000A7545" w:rsidRDefault="008F6AA5" w:rsidP="008F6AA5">
      <w:pPr>
        <w:pStyle w:val="ListParagraph"/>
        <w:numPr>
          <w:ilvl w:val="0"/>
          <w:numId w:val="8"/>
        </w:numPr>
        <w:rPr>
          <w:b/>
        </w:rPr>
      </w:pPr>
      <w:r w:rsidRPr="000A7545">
        <w:t>Increasing focus on principals, school supervisors working in remote and rural model schools to support satellite schools.</w:t>
      </w:r>
    </w:p>
    <w:p w14:paraId="13B55DAF" w14:textId="77777777" w:rsidR="008F6AA5" w:rsidRPr="000A7545" w:rsidRDefault="008F6AA5" w:rsidP="008F6AA5">
      <w:pPr>
        <w:pStyle w:val="ListParagraph"/>
        <w:numPr>
          <w:ilvl w:val="0"/>
          <w:numId w:val="8"/>
        </w:numPr>
        <w:rPr>
          <w:b/>
        </w:rPr>
      </w:pPr>
      <w:r w:rsidRPr="000A7545">
        <w:t>Special training sessions to increase the mentoring capacity of newly recruited sub-district trainers to support teachers in remote schools.</w:t>
      </w:r>
    </w:p>
    <w:p w14:paraId="13B55DB0" w14:textId="77777777" w:rsidR="008F6AA5" w:rsidRPr="000A7545" w:rsidRDefault="008F6AA5" w:rsidP="008F6AA5">
      <w:pPr>
        <w:pStyle w:val="ListParagraph"/>
        <w:numPr>
          <w:ilvl w:val="0"/>
          <w:numId w:val="8"/>
        </w:numPr>
        <w:rPr>
          <w:b/>
        </w:rPr>
      </w:pPr>
      <w:r w:rsidRPr="000A7545">
        <w:t xml:space="preserve">USAID-supported leadership training to be re-focussed on </w:t>
      </w:r>
      <w:r w:rsidR="00903516" w:rsidRPr="000A7545">
        <w:t>strengthening</w:t>
      </w:r>
      <w:r w:rsidRPr="000A7545">
        <w:t xml:space="preserve"> principal leadership in remote area schools.</w:t>
      </w:r>
    </w:p>
    <w:p w14:paraId="13B55DB1" w14:textId="77777777" w:rsidR="008F6AA5" w:rsidRPr="000A7545" w:rsidRDefault="008F6AA5" w:rsidP="008F6AA5">
      <w:pPr>
        <w:rPr>
          <w:b/>
        </w:rPr>
      </w:pPr>
    </w:p>
    <w:p w14:paraId="13B55DB2" w14:textId="77777777" w:rsidR="008F6AA5" w:rsidRPr="000A7545" w:rsidRDefault="008F6AA5" w:rsidP="008F6AA5">
      <w:pPr>
        <w:rPr>
          <w:b/>
          <w:u w:val="single"/>
        </w:rPr>
      </w:pPr>
      <w:r w:rsidRPr="000A7545">
        <w:rPr>
          <w:b/>
          <w:u w:val="single"/>
        </w:rPr>
        <w:t>Improved training and support for rural and remote area teachers</w:t>
      </w:r>
    </w:p>
    <w:p w14:paraId="13B55DB3" w14:textId="77777777" w:rsidR="008F6AA5" w:rsidRPr="000A7545" w:rsidRDefault="008F6AA5" w:rsidP="00FA09D3">
      <w:pPr>
        <w:pStyle w:val="ListParagraph"/>
        <w:numPr>
          <w:ilvl w:val="0"/>
          <w:numId w:val="12"/>
        </w:numPr>
        <w:rPr>
          <w:b/>
        </w:rPr>
      </w:pPr>
      <w:r w:rsidRPr="000A7545">
        <w:t>Continued roll-out of training of teachers for early-grade and multi-grade teaching with refinement to strategy in remote areas as required.</w:t>
      </w:r>
    </w:p>
    <w:p w14:paraId="13B55DB4" w14:textId="77777777" w:rsidR="008F6AA5" w:rsidRPr="000A7545" w:rsidRDefault="008F6AA5" w:rsidP="00FA09D3">
      <w:pPr>
        <w:pStyle w:val="ListParagraph"/>
        <w:numPr>
          <w:ilvl w:val="0"/>
          <w:numId w:val="12"/>
        </w:numPr>
        <w:rPr>
          <w:b/>
        </w:rPr>
      </w:pPr>
      <w:r w:rsidRPr="000A7545">
        <w:t>Further explore and support Remote Area Teacher Resource Centres to better reach teachers in very remote areas. To be established in all districts (maximum of two per district). Intensify mentoring support and funds for travel to model schools in remote areas and equip these centres with full sets of teacher resources to support teacher development. This is believed to improve the number of satellite schools reached.</w:t>
      </w:r>
    </w:p>
    <w:p w14:paraId="13B55DB5" w14:textId="77777777" w:rsidR="008F6AA5" w:rsidRPr="000A7545" w:rsidRDefault="008F6AA5" w:rsidP="00FA09D3">
      <w:pPr>
        <w:pStyle w:val="ListParagraph"/>
        <w:numPr>
          <w:ilvl w:val="0"/>
          <w:numId w:val="12"/>
        </w:numPr>
        <w:rPr>
          <w:b/>
        </w:rPr>
      </w:pPr>
      <w:r w:rsidRPr="000A7545">
        <w:t xml:space="preserve">Adopt a more structured training approach for </w:t>
      </w:r>
      <w:r w:rsidRPr="00FE56A7">
        <w:rPr>
          <w:i/>
        </w:rPr>
        <w:t>gugus</w:t>
      </w:r>
      <w:r w:rsidRPr="000A7545">
        <w:t xml:space="preserve"> meetings, including incentivizing teachers’ attendance and capacity development by issuing certificates of completion.</w:t>
      </w:r>
    </w:p>
    <w:p w14:paraId="13B55DB6" w14:textId="77777777" w:rsidR="008F6AA5" w:rsidRPr="000A7545" w:rsidRDefault="008F6AA5" w:rsidP="00FA09D3">
      <w:pPr>
        <w:pStyle w:val="ListParagraph"/>
        <w:numPr>
          <w:ilvl w:val="0"/>
          <w:numId w:val="12"/>
        </w:numPr>
        <w:rPr>
          <w:b/>
        </w:rPr>
      </w:pPr>
      <w:r w:rsidRPr="000A7545">
        <w:t>All larger scale teacher trainings for remote areas to be conducted either in ‘remote area tea</w:t>
      </w:r>
      <w:r w:rsidR="00903516">
        <w:t xml:space="preserve">cher resource centres’ or at </w:t>
      </w:r>
      <w:r w:rsidRPr="000A7545">
        <w:t>sub-district level (highest level) to ensure trainings are easily accessible by teachers in remote areas.</w:t>
      </w:r>
    </w:p>
    <w:p w14:paraId="13B55DB7" w14:textId="77777777" w:rsidR="008F6AA5" w:rsidRPr="000A7545" w:rsidRDefault="008F6AA5" w:rsidP="00FA09D3">
      <w:pPr>
        <w:pStyle w:val="ListParagraph"/>
        <w:numPr>
          <w:ilvl w:val="0"/>
          <w:numId w:val="12"/>
        </w:numPr>
        <w:rPr>
          <w:b/>
        </w:rPr>
      </w:pPr>
      <w:r w:rsidRPr="000A7545">
        <w:t>Develop clear guidelines for training at cluster level and for school level mentoring. Increase the frequency and days of mentoring for schools from remote areas, to be included in district proposals.</w:t>
      </w:r>
    </w:p>
    <w:p w14:paraId="13B55DB8" w14:textId="77777777" w:rsidR="008F6AA5" w:rsidRPr="000A7545" w:rsidRDefault="008F6AA5" w:rsidP="008F6AA5">
      <w:pPr>
        <w:rPr>
          <w:b/>
          <w:u w:val="single"/>
        </w:rPr>
      </w:pPr>
    </w:p>
    <w:p w14:paraId="13B55DB9" w14:textId="77777777" w:rsidR="008F6AA5" w:rsidRPr="000A7545" w:rsidRDefault="008F6AA5" w:rsidP="008F6AA5">
      <w:pPr>
        <w:rPr>
          <w:b/>
          <w:u w:val="single"/>
        </w:rPr>
      </w:pPr>
      <w:r w:rsidRPr="000A7545">
        <w:rPr>
          <w:b/>
          <w:u w:val="single"/>
        </w:rPr>
        <w:t>Quality and availability of relevant materials for teaching and learning</w:t>
      </w:r>
    </w:p>
    <w:p w14:paraId="13B55DBA" w14:textId="77777777" w:rsidR="008F6AA5" w:rsidRPr="000A7545" w:rsidRDefault="008F6AA5" w:rsidP="00FA09D3">
      <w:pPr>
        <w:pStyle w:val="ListParagraph"/>
        <w:numPr>
          <w:ilvl w:val="0"/>
          <w:numId w:val="13"/>
        </w:numPr>
        <w:rPr>
          <w:b/>
        </w:rPr>
      </w:pPr>
      <w:r w:rsidRPr="000A7545">
        <w:t>Accelerate printing and distribution of early- and multi-grade teachers’ and children’s learning materials through model schools and supervisor outreach efforts.</w:t>
      </w:r>
    </w:p>
    <w:p w14:paraId="13B55DBB" w14:textId="77777777" w:rsidR="008F6AA5" w:rsidRPr="000A7545" w:rsidRDefault="008F6AA5" w:rsidP="00FA09D3">
      <w:pPr>
        <w:pStyle w:val="ListParagraph"/>
        <w:numPr>
          <w:ilvl w:val="0"/>
          <w:numId w:val="13"/>
        </w:numPr>
        <w:rPr>
          <w:b/>
        </w:rPr>
      </w:pPr>
      <w:r w:rsidRPr="000A7545">
        <w:t>Strengthen teacher and student resource materials and seek to develop more teacher- and child-friendly materials to support early literacy and numeracy. Finalize teachers’ materials for Multi-Grade Teaching and Early-Grade Teaching. Additional early-grade student literacy kits are being explored including books for reading, writing and arithmetic prepared by SIL and reviewed by UNICEF with government partners.</w:t>
      </w:r>
    </w:p>
    <w:p w14:paraId="13B55DBC" w14:textId="77777777" w:rsidR="008F6AA5" w:rsidRPr="000A7545" w:rsidRDefault="008F6AA5" w:rsidP="00FA09D3">
      <w:pPr>
        <w:pStyle w:val="ListParagraph"/>
        <w:numPr>
          <w:ilvl w:val="0"/>
          <w:numId w:val="13"/>
        </w:numPr>
        <w:rPr>
          <w:b/>
        </w:rPr>
      </w:pPr>
      <w:r w:rsidRPr="000A7545">
        <w:t>User support materials for literacy kits and fiction books are being finalized.</w:t>
      </w:r>
    </w:p>
    <w:p w14:paraId="13B55DBD" w14:textId="77777777" w:rsidR="008F6AA5" w:rsidRPr="000A7545" w:rsidRDefault="008F6AA5" w:rsidP="008F6AA5">
      <w:pPr>
        <w:pStyle w:val="ListParagraph"/>
        <w:ind w:left="360"/>
        <w:rPr>
          <w:b/>
        </w:rPr>
      </w:pPr>
    </w:p>
    <w:p w14:paraId="13B55DBE" w14:textId="77777777" w:rsidR="008F6AA5" w:rsidRPr="000A7545" w:rsidRDefault="008F6AA5" w:rsidP="008F6AA5">
      <w:pPr>
        <w:rPr>
          <w:b/>
          <w:u w:val="single"/>
        </w:rPr>
      </w:pPr>
      <w:r w:rsidRPr="000A7545">
        <w:rPr>
          <w:b/>
          <w:u w:val="single"/>
        </w:rPr>
        <w:t>Stronger partnerships with civil society, communities and other stakeholders</w:t>
      </w:r>
    </w:p>
    <w:p w14:paraId="13B55DBF" w14:textId="77777777" w:rsidR="008F6AA5" w:rsidRPr="000A7545" w:rsidRDefault="008F6AA5" w:rsidP="00FA09D3">
      <w:pPr>
        <w:pStyle w:val="ListParagraph"/>
        <w:numPr>
          <w:ilvl w:val="0"/>
          <w:numId w:val="14"/>
        </w:numPr>
        <w:rPr>
          <w:b/>
        </w:rPr>
      </w:pPr>
      <w:r w:rsidRPr="000A7545">
        <w:t>Establish new relationships and strengthen those existing with church foundations, NGOs, community-based groups, PNPM facilitators and community leaders in remote areas to encourage their direct support for mentoring local schools.</w:t>
      </w:r>
    </w:p>
    <w:p w14:paraId="13B55DC0" w14:textId="77777777" w:rsidR="008F6AA5" w:rsidRPr="000A7545" w:rsidRDefault="008F6AA5" w:rsidP="00FA09D3">
      <w:pPr>
        <w:pStyle w:val="ListParagraph"/>
        <w:numPr>
          <w:ilvl w:val="0"/>
          <w:numId w:val="14"/>
        </w:numPr>
        <w:rPr>
          <w:b/>
        </w:rPr>
      </w:pPr>
      <w:r w:rsidRPr="000A7545">
        <w:t xml:space="preserve">Immediately use results of local partner mapping by UNICEF with master trainers in respective districts to identify potential individuals (village heads, </w:t>
      </w:r>
      <w:r w:rsidR="00903516" w:rsidRPr="000A7545">
        <w:t>religious</w:t>
      </w:r>
      <w:r w:rsidRPr="000A7545">
        <w:t xml:space="preserve"> leaders, retired teachers) or organisations (yayasan, NGOs, community </w:t>
      </w:r>
      <w:r w:rsidR="00903516" w:rsidRPr="000A7545">
        <w:t>self-help</w:t>
      </w:r>
      <w:r w:rsidRPr="000A7545">
        <w:t xml:space="preserve"> or youth groups) to reach schools in remote areas on a regular basis.</w:t>
      </w:r>
    </w:p>
    <w:p w14:paraId="13B55DC1" w14:textId="77777777" w:rsidR="008F6AA5" w:rsidRPr="000A7545" w:rsidRDefault="008F6AA5" w:rsidP="00FA09D3">
      <w:pPr>
        <w:pStyle w:val="ListParagraph"/>
        <w:numPr>
          <w:ilvl w:val="0"/>
          <w:numId w:val="14"/>
        </w:numPr>
      </w:pPr>
      <w:r w:rsidRPr="000A7545">
        <w:t>With local community leaders and district master trainers, strengthen relationship with local PNPM facilitators to increase village level funding for local schools and education needs of children and teachers.</w:t>
      </w:r>
    </w:p>
    <w:p w14:paraId="13B55DC2" w14:textId="77777777" w:rsidR="008F6AA5" w:rsidRPr="000A7545" w:rsidRDefault="008F6AA5" w:rsidP="00FA09D3">
      <w:pPr>
        <w:pStyle w:val="ListParagraph"/>
        <w:numPr>
          <w:ilvl w:val="0"/>
          <w:numId w:val="14"/>
        </w:numPr>
        <w:rPr>
          <w:b/>
        </w:rPr>
      </w:pPr>
      <w:r w:rsidRPr="000A7545">
        <w:t>USAID-supported service provider capacity development activities to be re-focussed on strengthening service provider capacities for remote area schools.</w:t>
      </w:r>
    </w:p>
    <w:p w14:paraId="13B55DC3" w14:textId="77777777" w:rsidR="008F6AA5" w:rsidRPr="000A7545" w:rsidRDefault="008F6AA5" w:rsidP="008F6AA5">
      <w:pPr>
        <w:rPr>
          <w:b/>
        </w:rPr>
      </w:pPr>
    </w:p>
    <w:p w14:paraId="13B55DC4" w14:textId="77777777" w:rsidR="008F6AA5" w:rsidRPr="000A7545" w:rsidRDefault="008F6AA5" w:rsidP="008F6AA5">
      <w:pPr>
        <w:rPr>
          <w:b/>
          <w:u w:val="single"/>
        </w:rPr>
      </w:pPr>
      <w:r w:rsidRPr="000A7545">
        <w:rPr>
          <w:b/>
          <w:u w:val="single"/>
        </w:rPr>
        <w:t>Engaging Government in Policy studies and dialogue to address the needs of rural and remote are education</w:t>
      </w:r>
    </w:p>
    <w:p w14:paraId="13B55DC5" w14:textId="77777777" w:rsidR="008F6AA5" w:rsidRPr="000A7545" w:rsidRDefault="008F6AA5" w:rsidP="00FA09D3">
      <w:pPr>
        <w:pStyle w:val="ListParagraph"/>
        <w:numPr>
          <w:ilvl w:val="0"/>
          <w:numId w:val="15"/>
        </w:numPr>
      </w:pPr>
      <w:r w:rsidRPr="000A7545">
        <w:t>The UNICEF Field Office in Papua is engaging with the government to discuss further support required to advance strategies already included in government plans for 2012 and beyond for advancing education i</w:t>
      </w:r>
      <w:r w:rsidR="00903516">
        <w:t>n remote and rural communities.</w:t>
      </w:r>
    </w:p>
    <w:p w14:paraId="13B55DC6" w14:textId="77777777" w:rsidR="008F6AA5" w:rsidRPr="000A7545" w:rsidRDefault="008F6AA5" w:rsidP="00FA09D3">
      <w:pPr>
        <w:pStyle w:val="ListParagraph"/>
        <w:numPr>
          <w:ilvl w:val="0"/>
          <w:numId w:val="15"/>
        </w:numPr>
      </w:pPr>
      <w:r w:rsidRPr="000A7545">
        <w:t>UNICEF suggested the Provincial Education Office in Papua to hold a donors and partners meeting to explore a broader strategy for remote and rural education. There is government interest for this initiative.</w:t>
      </w:r>
    </w:p>
    <w:p w14:paraId="13B55DC7" w14:textId="77777777" w:rsidR="008F6AA5" w:rsidRPr="000A7545" w:rsidRDefault="008F6AA5" w:rsidP="00FA09D3">
      <w:pPr>
        <w:pStyle w:val="ListParagraph"/>
        <w:numPr>
          <w:ilvl w:val="0"/>
          <w:numId w:val="15"/>
        </w:numPr>
      </w:pPr>
      <w:r w:rsidRPr="000A7545">
        <w:t>UNICEF has also initiated discussions with government and partners to support the development of a review of rural and remote area education towards development of appropriate strategies relevant for enhancing educational access and quality for rural and remote areas in Pap</w:t>
      </w:r>
      <w:r w:rsidR="00903516">
        <w:t>u</w:t>
      </w:r>
      <w:r w:rsidRPr="000A7545">
        <w:t>a and West Papua, but which also might be relevant for other parts of Indonesia. This initiative is likely to be led by government (BAPPENAS and MoEC) through UNICEF and ACDP support, with keen involvement of AusAID.</w:t>
      </w:r>
    </w:p>
    <w:p w14:paraId="13B55DC8" w14:textId="77777777" w:rsidR="003F3645" w:rsidRPr="000A7545" w:rsidRDefault="003F3645" w:rsidP="003F3645"/>
    <w:p w14:paraId="13B55DC9" w14:textId="77777777" w:rsidR="009D2810" w:rsidRPr="000A7545" w:rsidRDefault="009D2810" w:rsidP="003F3645"/>
    <w:p w14:paraId="13B55DCA" w14:textId="77777777" w:rsidR="009D2810" w:rsidRPr="000A7545" w:rsidRDefault="009D2810" w:rsidP="009D2810">
      <w:pPr>
        <w:pStyle w:val="Caption"/>
        <w:spacing w:after="200"/>
      </w:pPr>
      <w:bookmarkStart w:id="82" w:name="_Toc322710105"/>
      <w:r w:rsidRPr="000A7545">
        <w:t xml:space="preserve">Figure </w:t>
      </w:r>
      <w:fldSimple w:instr=" SEQ Figure \* ARABIC ">
        <w:r w:rsidR="009B4D84">
          <w:rPr>
            <w:noProof/>
          </w:rPr>
          <w:t>14</w:t>
        </w:r>
      </w:fldSimple>
      <w:r w:rsidRPr="000A7545">
        <w:t>: Direct STEP Beneficiaries: Education Administrators, School Principals and Treasurers (September 2011)</w:t>
      </w:r>
      <w:bookmarkEnd w:id="82"/>
    </w:p>
    <w:tbl>
      <w:tblPr>
        <w:tblW w:w="90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7"/>
        <w:gridCol w:w="645"/>
        <w:gridCol w:w="645"/>
        <w:gridCol w:w="645"/>
        <w:gridCol w:w="646"/>
        <w:gridCol w:w="645"/>
        <w:gridCol w:w="645"/>
        <w:gridCol w:w="645"/>
        <w:gridCol w:w="646"/>
        <w:gridCol w:w="645"/>
        <w:gridCol w:w="645"/>
        <w:gridCol w:w="645"/>
        <w:gridCol w:w="646"/>
      </w:tblGrid>
      <w:tr w:rsidR="003F3645" w:rsidRPr="000A7545" w14:paraId="13B55DD0" w14:textId="77777777" w:rsidTr="00AB06AB">
        <w:tc>
          <w:tcPr>
            <w:tcW w:w="1347" w:type="dxa"/>
            <w:vMerge w:val="restart"/>
            <w:vAlign w:val="center"/>
          </w:tcPr>
          <w:p w14:paraId="13B55DCB" w14:textId="77777777" w:rsidR="003F3645" w:rsidRPr="000A7545" w:rsidRDefault="003F3645" w:rsidP="009D2810">
            <w:pPr>
              <w:keepNext/>
              <w:keepLines/>
              <w:autoSpaceDE w:val="0"/>
              <w:autoSpaceDN w:val="0"/>
              <w:adjustRightInd w:val="0"/>
              <w:spacing w:before="120" w:line="240" w:lineRule="auto"/>
              <w:ind w:left="15" w:right="45"/>
              <w:jc w:val="center"/>
              <w:rPr>
                <w:rFonts w:ascii="Arial Narrow" w:hAnsi="Arial Narrow"/>
                <w:b/>
                <w:bCs/>
                <w:color w:val="000000"/>
                <w:sz w:val="20"/>
              </w:rPr>
            </w:pPr>
            <w:r w:rsidRPr="000A7545">
              <w:rPr>
                <w:rFonts w:ascii="Arial Narrow" w:hAnsi="Arial Narrow"/>
                <w:b/>
                <w:color w:val="000000"/>
                <w:sz w:val="20"/>
              </w:rPr>
              <w:t>Name of district</w:t>
            </w:r>
          </w:p>
        </w:tc>
        <w:tc>
          <w:tcPr>
            <w:tcW w:w="1935" w:type="dxa"/>
            <w:gridSpan w:val="3"/>
            <w:shd w:val="clear" w:color="auto" w:fill="E1E1E1"/>
            <w:vAlign w:val="center"/>
          </w:tcPr>
          <w:p w14:paraId="13B55DCC" w14:textId="77777777" w:rsidR="003F3645" w:rsidRPr="000A7545" w:rsidRDefault="003F3645" w:rsidP="009D2810">
            <w:pPr>
              <w:keepNext/>
              <w:keepLines/>
              <w:autoSpaceDE w:val="0"/>
              <w:autoSpaceDN w:val="0"/>
              <w:adjustRightInd w:val="0"/>
              <w:spacing w:before="120" w:line="240" w:lineRule="auto"/>
              <w:ind w:left="45" w:right="15"/>
              <w:jc w:val="center"/>
              <w:rPr>
                <w:rFonts w:ascii="Arial Narrow" w:hAnsi="Arial Narrow"/>
                <w:b/>
                <w:bCs/>
                <w:i/>
                <w:iCs/>
                <w:color w:val="000000"/>
                <w:sz w:val="20"/>
              </w:rPr>
            </w:pPr>
            <w:r w:rsidRPr="000A7545">
              <w:rPr>
                <w:rFonts w:ascii="Arial Narrow" w:hAnsi="Arial Narrow"/>
                <w:b/>
                <w:i/>
                <w:iCs/>
                <w:color w:val="000000"/>
                <w:sz w:val="20"/>
              </w:rPr>
              <w:t>BOSP Sensitization</w:t>
            </w:r>
          </w:p>
        </w:tc>
        <w:tc>
          <w:tcPr>
            <w:tcW w:w="1936" w:type="dxa"/>
            <w:gridSpan w:val="3"/>
            <w:shd w:val="clear" w:color="auto" w:fill="FFE1DC"/>
            <w:vAlign w:val="center"/>
          </w:tcPr>
          <w:p w14:paraId="13B55DCD" w14:textId="77777777" w:rsidR="003F3645" w:rsidRPr="000A7545" w:rsidRDefault="003F3645" w:rsidP="009D2810">
            <w:pPr>
              <w:keepNext/>
              <w:keepLines/>
              <w:autoSpaceDE w:val="0"/>
              <w:autoSpaceDN w:val="0"/>
              <w:adjustRightInd w:val="0"/>
              <w:spacing w:before="120" w:line="240" w:lineRule="auto"/>
              <w:ind w:left="45" w:right="15"/>
              <w:jc w:val="center"/>
              <w:rPr>
                <w:rFonts w:ascii="Arial Narrow" w:hAnsi="Arial Narrow"/>
                <w:b/>
                <w:bCs/>
                <w:i/>
                <w:iCs/>
                <w:color w:val="000000"/>
                <w:sz w:val="20"/>
              </w:rPr>
            </w:pPr>
            <w:r w:rsidRPr="000A7545">
              <w:rPr>
                <w:rFonts w:ascii="Arial Narrow" w:hAnsi="Arial Narrow"/>
                <w:b/>
                <w:i/>
                <w:iCs/>
                <w:color w:val="000000"/>
                <w:sz w:val="20"/>
              </w:rPr>
              <w:t>Planning Meeting</w:t>
            </w:r>
          </w:p>
        </w:tc>
        <w:tc>
          <w:tcPr>
            <w:tcW w:w="1936" w:type="dxa"/>
            <w:gridSpan w:val="3"/>
            <w:shd w:val="clear" w:color="auto" w:fill="E1E1E1"/>
            <w:vAlign w:val="center"/>
          </w:tcPr>
          <w:p w14:paraId="13B55DCE"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i/>
                <w:iCs/>
                <w:color w:val="000000"/>
                <w:sz w:val="20"/>
              </w:rPr>
            </w:pPr>
            <w:r w:rsidRPr="000A7545">
              <w:rPr>
                <w:rFonts w:ascii="Arial Narrow" w:hAnsi="Arial Narrow"/>
                <w:b/>
                <w:i/>
                <w:iCs/>
                <w:color w:val="000000"/>
                <w:sz w:val="20"/>
              </w:rPr>
              <w:t>Socialization of Partners on Training Modules for M&amp;E and Financing</w:t>
            </w:r>
          </w:p>
        </w:tc>
        <w:tc>
          <w:tcPr>
            <w:tcW w:w="1936" w:type="dxa"/>
            <w:gridSpan w:val="3"/>
            <w:shd w:val="clear" w:color="auto" w:fill="FFE1DC"/>
            <w:vAlign w:val="center"/>
          </w:tcPr>
          <w:p w14:paraId="13B55DCF" w14:textId="77777777" w:rsidR="003F3645" w:rsidRPr="000A7545" w:rsidRDefault="003F3645" w:rsidP="009D2810">
            <w:pPr>
              <w:keepNext/>
              <w:keepLines/>
              <w:autoSpaceDE w:val="0"/>
              <w:autoSpaceDN w:val="0"/>
              <w:adjustRightInd w:val="0"/>
              <w:spacing w:before="120" w:line="240" w:lineRule="auto"/>
              <w:ind w:left="45" w:right="15"/>
              <w:jc w:val="center"/>
              <w:rPr>
                <w:rFonts w:ascii="Arial Narrow" w:hAnsi="Arial Narrow"/>
                <w:b/>
                <w:bCs/>
                <w:i/>
                <w:iCs/>
                <w:color w:val="000000"/>
                <w:sz w:val="20"/>
              </w:rPr>
            </w:pPr>
            <w:r w:rsidRPr="000A7545">
              <w:rPr>
                <w:rFonts w:ascii="Arial Narrow" w:hAnsi="Arial Narrow"/>
                <w:b/>
                <w:i/>
                <w:iCs/>
                <w:color w:val="000000"/>
                <w:sz w:val="20"/>
              </w:rPr>
              <w:t>BOSP Workshop</w:t>
            </w:r>
          </w:p>
        </w:tc>
      </w:tr>
      <w:tr w:rsidR="003F3645" w:rsidRPr="000A7545" w14:paraId="13B55DDE" w14:textId="77777777" w:rsidTr="00AB06AB">
        <w:tc>
          <w:tcPr>
            <w:tcW w:w="1347" w:type="dxa"/>
            <w:vMerge/>
            <w:vAlign w:val="center"/>
          </w:tcPr>
          <w:p w14:paraId="13B55DD1" w14:textId="77777777" w:rsidR="003F3645" w:rsidRPr="000A7545" w:rsidRDefault="003F3645" w:rsidP="009D2810">
            <w:pPr>
              <w:autoSpaceDE w:val="0"/>
              <w:autoSpaceDN w:val="0"/>
              <w:adjustRightInd w:val="0"/>
              <w:spacing w:before="120" w:line="240" w:lineRule="auto"/>
              <w:rPr>
                <w:rFonts w:ascii="Arial Narrow" w:hAnsi="Arial Narrow"/>
                <w:b/>
                <w:bCs/>
                <w:i/>
                <w:iCs/>
                <w:color w:val="000000"/>
                <w:sz w:val="20"/>
              </w:rPr>
            </w:pPr>
          </w:p>
        </w:tc>
        <w:tc>
          <w:tcPr>
            <w:tcW w:w="645" w:type="dxa"/>
            <w:shd w:val="clear" w:color="auto" w:fill="E1E1E1"/>
            <w:vAlign w:val="center"/>
          </w:tcPr>
          <w:p w14:paraId="13B55DD2"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 xml:space="preserve">M </w:t>
            </w:r>
          </w:p>
        </w:tc>
        <w:tc>
          <w:tcPr>
            <w:tcW w:w="645" w:type="dxa"/>
            <w:shd w:val="clear" w:color="auto" w:fill="E1E1E1"/>
            <w:vAlign w:val="center"/>
          </w:tcPr>
          <w:p w14:paraId="13B55DD3"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F</w:t>
            </w:r>
          </w:p>
        </w:tc>
        <w:tc>
          <w:tcPr>
            <w:tcW w:w="645" w:type="dxa"/>
            <w:shd w:val="clear" w:color="auto" w:fill="E1E1E1"/>
            <w:vAlign w:val="center"/>
          </w:tcPr>
          <w:p w14:paraId="13B55DD4"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Total</w:t>
            </w:r>
          </w:p>
        </w:tc>
        <w:tc>
          <w:tcPr>
            <w:tcW w:w="646" w:type="dxa"/>
            <w:shd w:val="clear" w:color="auto" w:fill="FFE1DC"/>
            <w:vAlign w:val="center"/>
          </w:tcPr>
          <w:p w14:paraId="13B55DD5"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 xml:space="preserve">M </w:t>
            </w:r>
          </w:p>
        </w:tc>
        <w:tc>
          <w:tcPr>
            <w:tcW w:w="645" w:type="dxa"/>
            <w:shd w:val="clear" w:color="auto" w:fill="FFE1DC"/>
            <w:vAlign w:val="center"/>
          </w:tcPr>
          <w:p w14:paraId="13B55DD6"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F</w:t>
            </w:r>
          </w:p>
        </w:tc>
        <w:tc>
          <w:tcPr>
            <w:tcW w:w="645" w:type="dxa"/>
            <w:shd w:val="clear" w:color="auto" w:fill="FFE1DC"/>
            <w:vAlign w:val="center"/>
          </w:tcPr>
          <w:p w14:paraId="13B55DD7"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Total</w:t>
            </w:r>
          </w:p>
        </w:tc>
        <w:tc>
          <w:tcPr>
            <w:tcW w:w="645" w:type="dxa"/>
            <w:shd w:val="clear" w:color="auto" w:fill="E1E1E1"/>
            <w:vAlign w:val="center"/>
          </w:tcPr>
          <w:p w14:paraId="13B55DD8"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 xml:space="preserve">M </w:t>
            </w:r>
          </w:p>
        </w:tc>
        <w:tc>
          <w:tcPr>
            <w:tcW w:w="646" w:type="dxa"/>
            <w:shd w:val="clear" w:color="auto" w:fill="E1E1E1"/>
            <w:vAlign w:val="center"/>
          </w:tcPr>
          <w:p w14:paraId="13B55DD9"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 xml:space="preserve">F </w:t>
            </w:r>
          </w:p>
        </w:tc>
        <w:tc>
          <w:tcPr>
            <w:tcW w:w="645" w:type="dxa"/>
            <w:shd w:val="clear" w:color="auto" w:fill="E1E1E1"/>
            <w:vAlign w:val="center"/>
          </w:tcPr>
          <w:p w14:paraId="13B55DDA"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Total</w:t>
            </w:r>
          </w:p>
        </w:tc>
        <w:tc>
          <w:tcPr>
            <w:tcW w:w="645" w:type="dxa"/>
            <w:shd w:val="clear" w:color="auto" w:fill="FFE1DC"/>
            <w:vAlign w:val="center"/>
          </w:tcPr>
          <w:p w14:paraId="13B55DDB"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 xml:space="preserve">M </w:t>
            </w:r>
          </w:p>
        </w:tc>
        <w:tc>
          <w:tcPr>
            <w:tcW w:w="645" w:type="dxa"/>
            <w:shd w:val="clear" w:color="auto" w:fill="FFE1DC"/>
            <w:vAlign w:val="center"/>
          </w:tcPr>
          <w:p w14:paraId="13B55DDC"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F</w:t>
            </w:r>
          </w:p>
        </w:tc>
        <w:tc>
          <w:tcPr>
            <w:tcW w:w="646" w:type="dxa"/>
            <w:shd w:val="clear" w:color="auto" w:fill="FFE1DC"/>
            <w:vAlign w:val="center"/>
          </w:tcPr>
          <w:p w14:paraId="13B55DDD" w14:textId="77777777" w:rsidR="003F3645" w:rsidRPr="000A7545" w:rsidRDefault="003F3645" w:rsidP="009D2810">
            <w:pPr>
              <w:keepNext/>
              <w:keepLines/>
              <w:autoSpaceDE w:val="0"/>
              <w:autoSpaceDN w:val="0"/>
              <w:adjustRightInd w:val="0"/>
              <w:spacing w:before="120" w:line="240" w:lineRule="auto"/>
              <w:ind w:left="45" w:right="15"/>
              <w:jc w:val="center"/>
              <w:rPr>
                <w:rFonts w:ascii="Arial Narrow" w:hAnsi="Arial Narrow"/>
                <w:b/>
                <w:bCs/>
                <w:color w:val="000000"/>
                <w:sz w:val="20"/>
              </w:rPr>
            </w:pPr>
            <w:r w:rsidRPr="000A7545">
              <w:rPr>
                <w:rFonts w:ascii="Arial Narrow" w:hAnsi="Arial Narrow"/>
                <w:b/>
                <w:color w:val="000000"/>
                <w:sz w:val="20"/>
              </w:rPr>
              <w:t>Total</w:t>
            </w:r>
          </w:p>
        </w:tc>
      </w:tr>
      <w:tr w:rsidR="003F3645" w:rsidRPr="000A7545" w14:paraId="13B55DEC" w14:textId="77777777" w:rsidTr="00AB06AB">
        <w:tc>
          <w:tcPr>
            <w:tcW w:w="1347" w:type="dxa"/>
            <w:vAlign w:val="center"/>
          </w:tcPr>
          <w:p w14:paraId="13B55DDF" w14:textId="77777777" w:rsidR="003F3645" w:rsidRPr="000A7545" w:rsidRDefault="003F3645" w:rsidP="009D2810">
            <w:pPr>
              <w:keepNext/>
              <w:keepLines/>
              <w:autoSpaceDE w:val="0"/>
              <w:autoSpaceDN w:val="0"/>
              <w:adjustRightInd w:val="0"/>
              <w:spacing w:before="120" w:line="240" w:lineRule="auto"/>
              <w:ind w:left="15" w:right="45"/>
              <w:rPr>
                <w:rFonts w:ascii="Arial Narrow" w:hAnsi="Arial Narrow"/>
                <w:color w:val="000000"/>
                <w:sz w:val="20"/>
              </w:rPr>
            </w:pPr>
            <w:r w:rsidRPr="000A7545">
              <w:rPr>
                <w:rFonts w:ascii="Arial Narrow" w:hAnsi="Arial Narrow"/>
                <w:color w:val="000000"/>
                <w:sz w:val="20"/>
              </w:rPr>
              <w:t>Papua Province</w:t>
            </w:r>
          </w:p>
        </w:tc>
        <w:tc>
          <w:tcPr>
            <w:tcW w:w="645" w:type="dxa"/>
            <w:shd w:val="clear" w:color="auto" w:fill="E1E1E1"/>
            <w:vAlign w:val="center"/>
          </w:tcPr>
          <w:p w14:paraId="13B55DE0" w14:textId="77777777" w:rsidR="003F3645" w:rsidRPr="000A7545" w:rsidRDefault="003F3645" w:rsidP="009D2810">
            <w:pPr>
              <w:keepNext/>
              <w:keepLines/>
              <w:autoSpaceDE w:val="0"/>
              <w:autoSpaceDN w:val="0"/>
              <w:adjustRightInd w:val="0"/>
              <w:spacing w:before="120" w:line="240" w:lineRule="auto"/>
              <w:ind w:left="15" w:right="45"/>
              <w:jc w:val="center"/>
              <w:rPr>
                <w:rFonts w:ascii="Arial Narrow" w:hAnsi="Arial Narrow"/>
                <w:color w:val="000000"/>
                <w:sz w:val="20"/>
              </w:rPr>
            </w:pPr>
            <w:r w:rsidRPr="000A7545">
              <w:rPr>
                <w:rFonts w:ascii="Arial Narrow" w:hAnsi="Arial Narrow"/>
                <w:color w:val="000000"/>
                <w:sz w:val="20"/>
              </w:rPr>
              <w:t>5</w:t>
            </w:r>
          </w:p>
        </w:tc>
        <w:tc>
          <w:tcPr>
            <w:tcW w:w="645" w:type="dxa"/>
            <w:shd w:val="clear" w:color="auto" w:fill="E1E1E1"/>
            <w:vAlign w:val="center"/>
          </w:tcPr>
          <w:p w14:paraId="13B55DE1"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1</w:t>
            </w:r>
          </w:p>
        </w:tc>
        <w:tc>
          <w:tcPr>
            <w:tcW w:w="645" w:type="dxa"/>
            <w:shd w:val="clear" w:color="auto" w:fill="E1E1E1"/>
            <w:vAlign w:val="center"/>
          </w:tcPr>
          <w:p w14:paraId="13B55DE2"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6</w:t>
            </w:r>
          </w:p>
        </w:tc>
        <w:tc>
          <w:tcPr>
            <w:tcW w:w="646" w:type="dxa"/>
            <w:shd w:val="clear" w:color="auto" w:fill="FFE1DC"/>
            <w:vAlign w:val="center"/>
          </w:tcPr>
          <w:p w14:paraId="13B55DE3"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1</w:t>
            </w:r>
          </w:p>
        </w:tc>
        <w:tc>
          <w:tcPr>
            <w:tcW w:w="645" w:type="dxa"/>
            <w:shd w:val="clear" w:color="auto" w:fill="FFE1DC"/>
            <w:vAlign w:val="center"/>
          </w:tcPr>
          <w:p w14:paraId="13B55DE4"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FFE1DC"/>
            <w:vAlign w:val="center"/>
          </w:tcPr>
          <w:p w14:paraId="13B55DE5"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1</w:t>
            </w:r>
          </w:p>
        </w:tc>
        <w:tc>
          <w:tcPr>
            <w:tcW w:w="645" w:type="dxa"/>
            <w:shd w:val="clear" w:color="auto" w:fill="E1E1E1"/>
            <w:vAlign w:val="center"/>
          </w:tcPr>
          <w:p w14:paraId="13B55DE6"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1</w:t>
            </w:r>
          </w:p>
        </w:tc>
        <w:tc>
          <w:tcPr>
            <w:tcW w:w="646" w:type="dxa"/>
            <w:shd w:val="clear" w:color="auto" w:fill="E1E1E1"/>
            <w:vAlign w:val="center"/>
          </w:tcPr>
          <w:p w14:paraId="13B55DE7"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E1E1E1"/>
            <w:vAlign w:val="center"/>
          </w:tcPr>
          <w:p w14:paraId="13B55DE8"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1</w:t>
            </w:r>
          </w:p>
        </w:tc>
        <w:tc>
          <w:tcPr>
            <w:tcW w:w="645" w:type="dxa"/>
            <w:shd w:val="clear" w:color="auto" w:fill="auto"/>
            <w:vAlign w:val="bottom"/>
          </w:tcPr>
          <w:p w14:paraId="13B55DE9" w14:textId="77777777" w:rsidR="003F3645" w:rsidRPr="000A7545" w:rsidRDefault="003F3645" w:rsidP="009D2810">
            <w:pPr>
              <w:keepNext/>
              <w:keepLines/>
              <w:autoSpaceDE w:val="0"/>
              <w:autoSpaceDN w:val="0"/>
              <w:adjustRightInd w:val="0"/>
              <w:spacing w:before="120" w:line="240" w:lineRule="auto"/>
              <w:ind w:left="45" w:right="45"/>
              <w:rPr>
                <w:rFonts w:ascii="Arial Narrow" w:hAnsi="Arial Narrow"/>
                <w:color w:val="000000"/>
                <w:sz w:val="20"/>
              </w:rPr>
            </w:pPr>
            <w:r w:rsidRPr="000A7545">
              <w:rPr>
                <w:rFonts w:ascii="Arial Narrow" w:hAnsi="Arial Narrow"/>
                <w:color w:val="000000"/>
                <w:sz w:val="20"/>
              </w:rPr>
              <w:t> </w:t>
            </w:r>
          </w:p>
        </w:tc>
        <w:tc>
          <w:tcPr>
            <w:tcW w:w="645" w:type="dxa"/>
            <w:shd w:val="clear" w:color="auto" w:fill="auto"/>
            <w:vAlign w:val="bottom"/>
          </w:tcPr>
          <w:p w14:paraId="13B55DEA" w14:textId="77777777" w:rsidR="003F3645" w:rsidRPr="000A7545" w:rsidRDefault="003F3645" w:rsidP="009D2810">
            <w:pPr>
              <w:keepNext/>
              <w:keepLines/>
              <w:autoSpaceDE w:val="0"/>
              <w:autoSpaceDN w:val="0"/>
              <w:adjustRightInd w:val="0"/>
              <w:spacing w:before="120" w:line="240" w:lineRule="auto"/>
              <w:ind w:left="45" w:right="45"/>
              <w:rPr>
                <w:rFonts w:ascii="Arial Narrow" w:hAnsi="Arial Narrow"/>
                <w:color w:val="000000"/>
                <w:sz w:val="20"/>
              </w:rPr>
            </w:pPr>
            <w:r w:rsidRPr="000A7545">
              <w:rPr>
                <w:rFonts w:ascii="Arial Narrow" w:hAnsi="Arial Narrow"/>
                <w:color w:val="000000"/>
                <w:sz w:val="20"/>
              </w:rPr>
              <w:t> </w:t>
            </w:r>
          </w:p>
        </w:tc>
        <w:tc>
          <w:tcPr>
            <w:tcW w:w="646" w:type="dxa"/>
            <w:shd w:val="clear" w:color="auto" w:fill="auto"/>
            <w:vAlign w:val="bottom"/>
          </w:tcPr>
          <w:p w14:paraId="13B55DEB" w14:textId="77777777" w:rsidR="003F3645" w:rsidRPr="000A7545" w:rsidRDefault="003F3645" w:rsidP="009D2810">
            <w:pPr>
              <w:keepNext/>
              <w:keepLines/>
              <w:autoSpaceDE w:val="0"/>
              <w:autoSpaceDN w:val="0"/>
              <w:adjustRightInd w:val="0"/>
              <w:spacing w:before="120" w:line="240" w:lineRule="auto"/>
              <w:ind w:left="45" w:right="15"/>
              <w:rPr>
                <w:rFonts w:ascii="Arial Narrow" w:hAnsi="Arial Narrow"/>
                <w:color w:val="000000"/>
                <w:sz w:val="20"/>
              </w:rPr>
            </w:pPr>
            <w:r w:rsidRPr="000A7545">
              <w:rPr>
                <w:rFonts w:ascii="Arial Narrow" w:hAnsi="Arial Narrow"/>
                <w:color w:val="000000"/>
                <w:sz w:val="20"/>
              </w:rPr>
              <w:t> </w:t>
            </w:r>
          </w:p>
        </w:tc>
      </w:tr>
      <w:tr w:rsidR="003F3645" w:rsidRPr="000A7545" w14:paraId="13B55DFA" w14:textId="77777777" w:rsidTr="00AB06AB">
        <w:tc>
          <w:tcPr>
            <w:tcW w:w="1347" w:type="dxa"/>
            <w:vAlign w:val="center"/>
          </w:tcPr>
          <w:p w14:paraId="13B55DED" w14:textId="77777777" w:rsidR="003F3645" w:rsidRPr="000A7545" w:rsidRDefault="003F3645" w:rsidP="009D2810">
            <w:pPr>
              <w:keepNext/>
              <w:keepLines/>
              <w:autoSpaceDE w:val="0"/>
              <w:autoSpaceDN w:val="0"/>
              <w:adjustRightInd w:val="0"/>
              <w:spacing w:before="120" w:line="240" w:lineRule="auto"/>
              <w:ind w:left="15" w:right="45"/>
              <w:rPr>
                <w:rFonts w:ascii="Arial Narrow" w:hAnsi="Arial Narrow"/>
                <w:color w:val="000000"/>
                <w:sz w:val="20"/>
              </w:rPr>
            </w:pPr>
            <w:r w:rsidRPr="000A7545">
              <w:rPr>
                <w:rFonts w:ascii="Arial Narrow" w:hAnsi="Arial Narrow"/>
                <w:color w:val="000000"/>
                <w:sz w:val="20"/>
              </w:rPr>
              <w:t>Biak</w:t>
            </w:r>
          </w:p>
        </w:tc>
        <w:tc>
          <w:tcPr>
            <w:tcW w:w="645" w:type="dxa"/>
            <w:shd w:val="clear" w:color="auto" w:fill="E1E1E1"/>
            <w:vAlign w:val="center"/>
          </w:tcPr>
          <w:p w14:paraId="13B55DEE" w14:textId="77777777" w:rsidR="003F3645" w:rsidRPr="000A7545" w:rsidRDefault="003F3645" w:rsidP="009D2810">
            <w:pPr>
              <w:keepNext/>
              <w:keepLines/>
              <w:autoSpaceDE w:val="0"/>
              <w:autoSpaceDN w:val="0"/>
              <w:adjustRightInd w:val="0"/>
              <w:spacing w:before="120" w:line="240" w:lineRule="auto"/>
              <w:ind w:left="15" w:right="45"/>
              <w:jc w:val="center"/>
              <w:rPr>
                <w:rFonts w:ascii="Arial Narrow" w:hAnsi="Arial Narrow"/>
                <w:color w:val="000000"/>
                <w:sz w:val="20"/>
              </w:rPr>
            </w:pPr>
            <w:r w:rsidRPr="000A7545">
              <w:rPr>
                <w:rFonts w:ascii="Arial Narrow" w:hAnsi="Arial Narrow"/>
                <w:color w:val="000000"/>
                <w:sz w:val="20"/>
              </w:rPr>
              <w:t>3</w:t>
            </w:r>
          </w:p>
        </w:tc>
        <w:tc>
          <w:tcPr>
            <w:tcW w:w="645" w:type="dxa"/>
            <w:shd w:val="clear" w:color="auto" w:fill="E1E1E1"/>
            <w:vAlign w:val="center"/>
          </w:tcPr>
          <w:p w14:paraId="13B55DEF"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E1E1E1"/>
            <w:vAlign w:val="center"/>
          </w:tcPr>
          <w:p w14:paraId="13B55DF0"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3</w:t>
            </w:r>
          </w:p>
        </w:tc>
        <w:tc>
          <w:tcPr>
            <w:tcW w:w="646" w:type="dxa"/>
            <w:shd w:val="clear" w:color="auto" w:fill="FFE1DC"/>
            <w:vAlign w:val="center"/>
          </w:tcPr>
          <w:p w14:paraId="13B55DF1"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3</w:t>
            </w:r>
          </w:p>
        </w:tc>
        <w:tc>
          <w:tcPr>
            <w:tcW w:w="645" w:type="dxa"/>
            <w:shd w:val="clear" w:color="auto" w:fill="FFE1DC"/>
            <w:vAlign w:val="center"/>
          </w:tcPr>
          <w:p w14:paraId="13B55DF2"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1</w:t>
            </w:r>
          </w:p>
        </w:tc>
        <w:tc>
          <w:tcPr>
            <w:tcW w:w="645" w:type="dxa"/>
            <w:shd w:val="clear" w:color="auto" w:fill="FFE1DC"/>
            <w:vAlign w:val="center"/>
          </w:tcPr>
          <w:p w14:paraId="13B55DF3"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4</w:t>
            </w:r>
          </w:p>
        </w:tc>
        <w:tc>
          <w:tcPr>
            <w:tcW w:w="645" w:type="dxa"/>
            <w:shd w:val="clear" w:color="auto" w:fill="E1E1E1"/>
            <w:vAlign w:val="center"/>
          </w:tcPr>
          <w:p w14:paraId="13B55DF4"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3</w:t>
            </w:r>
          </w:p>
        </w:tc>
        <w:tc>
          <w:tcPr>
            <w:tcW w:w="646" w:type="dxa"/>
            <w:shd w:val="clear" w:color="auto" w:fill="E1E1E1"/>
            <w:vAlign w:val="center"/>
          </w:tcPr>
          <w:p w14:paraId="13B55DF5"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1</w:t>
            </w:r>
          </w:p>
        </w:tc>
        <w:tc>
          <w:tcPr>
            <w:tcW w:w="645" w:type="dxa"/>
            <w:shd w:val="clear" w:color="auto" w:fill="E1E1E1"/>
            <w:vAlign w:val="center"/>
          </w:tcPr>
          <w:p w14:paraId="13B55DF6"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4</w:t>
            </w:r>
          </w:p>
        </w:tc>
        <w:tc>
          <w:tcPr>
            <w:tcW w:w="645" w:type="dxa"/>
            <w:shd w:val="clear" w:color="auto" w:fill="FFE1DC"/>
            <w:vAlign w:val="center"/>
          </w:tcPr>
          <w:p w14:paraId="13B55DF7"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i/>
                <w:iCs/>
                <w:color w:val="000000"/>
                <w:sz w:val="20"/>
              </w:rPr>
            </w:pPr>
            <w:r w:rsidRPr="000A7545">
              <w:rPr>
                <w:rFonts w:ascii="Arial Narrow" w:hAnsi="Arial Narrow"/>
                <w:b/>
                <w:i/>
                <w:iCs/>
                <w:color w:val="000000"/>
                <w:sz w:val="20"/>
              </w:rPr>
              <w:t>10</w:t>
            </w:r>
          </w:p>
        </w:tc>
        <w:tc>
          <w:tcPr>
            <w:tcW w:w="645" w:type="dxa"/>
            <w:shd w:val="clear" w:color="auto" w:fill="FFE1DC"/>
            <w:vAlign w:val="center"/>
          </w:tcPr>
          <w:p w14:paraId="13B55DF8"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i/>
                <w:iCs/>
                <w:color w:val="000000"/>
                <w:sz w:val="20"/>
              </w:rPr>
            </w:pPr>
            <w:r w:rsidRPr="000A7545">
              <w:rPr>
                <w:rFonts w:ascii="Arial Narrow" w:hAnsi="Arial Narrow"/>
                <w:b/>
                <w:i/>
                <w:iCs/>
                <w:color w:val="000000"/>
                <w:sz w:val="20"/>
              </w:rPr>
              <w:t>3</w:t>
            </w:r>
          </w:p>
        </w:tc>
        <w:tc>
          <w:tcPr>
            <w:tcW w:w="646" w:type="dxa"/>
            <w:shd w:val="clear" w:color="auto" w:fill="FFE1DC"/>
            <w:vAlign w:val="center"/>
          </w:tcPr>
          <w:p w14:paraId="13B55DF9" w14:textId="77777777" w:rsidR="003F3645" w:rsidRPr="000A7545" w:rsidRDefault="003F3645" w:rsidP="009D2810">
            <w:pPr>
              <w:keepNext/>
              <w:keepLines/>
              <w:autoSpaceDE w:val="0"/>
              <w:autoSpaceDN w:val="0"/>
              <w:adjustRightInd w:val="0"/>
              <w:spacing w:before="120" w:line="240" w:lineRule="auto"/>
              <w:ind w:left="45" w:right="15"/>
              <w:jc w:val="center"/>
              <w:rPr>
                <w:rFonts w:ascii="Arial Narrow" w:hAnsi="Arial Narrow"/>
                <w:b/>
                <w:bCs/>
                <w:i/>
                <w:iCs/>
                <w:color w:val="000000"/>
                <w:sz w:val="20"/>
              </w:rPr>
            </w:pPr>
            <w:r w:rsidRPr="000A7545">
              <w:rPr>
                <w:rFonts w:ascii="Arial Narrow" w:hAnsi="Arial Narrow"/>
                <w:b/>
                <w:i/>
                <w:iCs/>
                <w:color w:val="000000"/>
                <w:sz w:val="20"/>
              </w:rPr>
              <w:t>13</w:t>
            </w:r>
          </w:p>
        </w:tc>
      </w:tr>
      <w:tr w:rsidR="003F3645" w:rsidRPr="000A7545" w14:paraId="13B55E08" w14:textId="77777777" w:rsidTr="00AB06AB">
        <w:tc>
          <w:tcPr>
            <w:tcW w:w="1347" w:type="dxa"/>
            <w:vAlign w:val="center"/>
          </w:tcPr>
          <w:p w14:paraId="13B55DFB" w14:textId="77777777" w:rsidR="003F3645" w:rsidRPr="000A7545" w:rsidRDefault="003F3645" w:rsidP="009D2810">
            <w:pPr>
              <w:keepNext/>
              <w:keepLines/>
              <w:autoSpaceDE w:val="0"/>
              <w:autoSpaceDN w:val="0"/>
              <w:adjustRightInd w:val="0"/>
              <w:spacing w:before="120" w:line="240" w:lineRule="auto"/>
              <w:ind w:left="15" w:right="45"/>
              <w:rPr>
                <w:rFonts w:ascii="Arial Narrow" w:hAnsi="Arial Narrow"/>
                <w:color w:val="000000"/>
                <w:sz w:val="20"/>
              </w:rPr>
            </w:pPr>
            <w:r w:rsidRPr="000A7545">
              <w:rPr>
                <w:rFonts w:ascii="Arial Narrow" w:hAnsi="Arial Narrow"/>
                <w:color w:val="000000"/>
                <w:sz w:val="20"/>
              </w:rPr>
              <w:t>Jayapura</w:t>
            </w:r>
          </w:p>
        </w:tc>
        <w:tc>
          <w:tcPr>
            <w:tcW w:w="645" w:type="dxa"/>
            <w:shd w:val="clear" w:color="auto" w:fill="E1E1E1"/>
            <w:vAlign w:val="center"/>
          </w:tcPr>
          <w:p w14:paraId="13B55DFC" w14:textId="77777777" w:rsidR="003F3645" w:rsidRPr="000A7545" w:rsidRDefault="003F3645" w:rsidP="009D2810">
            <w:pPr>
              <w:keepNext/>
              <w:keepLines/>
              <w:autoSpaceDE w:val="0"/>
              <w:autoSpaceDN w:val="0"/>
              <w:adjustRightInd w:val="0"/>
              <w:spacing w:before="120" w:line="240" w:lineRule="auto"/>
              <w:ind w:left="15" w:right="45"/>
              <w:jc w:val="center"/>
              <w:rPr>
                <w:rFonts w:ascii="Arial Narrow" w:hAnsi="Arial Narrow"/>
                <w:color w:val="000000"/>
                <w:sz w:val="20"/>
              </w:rPr>
            </w:pPr>
            <w:r w:rsidRPr="000A7545">
              <w:rPr>
                <w:rFonts w:ascii="Arial Narrow" w:hAnsi="Arial Narrow"/>
                <w:color w:val="000000"/>
                <w:sz w:val="20"/>
              </w:rPr>
              <w:t>2</w:t>
            </w:r>
          </w:p>
        </w:tc>
        <w:tc>
          <w:tcPr>
            <w:tcW w:w="645" w:type="dxa"/>
            <w:shd w:val="clear" w:color="auto" w:fill="E1E1E1"/>
            <w:vAlign w:val="center"/>
          </w:tcPr>
          <w:p w14:paraId="13B55DFD"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E1E1E1"/>
            <w:vAlign w:val="center"/>
          </w:tcPr>
          <w:p w14:paraId="13B55DFE"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2</w:t>
            </w:r>
          </w:p>
        </w:tc>
        <w:tc>
          <w:tcPr>
            <w:tcW w:w="646" w:type="dxa"/>
            <w:shd w:val="clear" w:color="auto" w:fill="FFE1DC"/>
            <w:vAlign w:val="center"/>
          </w:tcPr>
          <w:p w14:paraId="13B55DFF"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5</w:t>
            </w:r>
          </w:p>
        </w:tc>
        <w:tc>
          <w:tcPr>
            <w:tcW w:w="645" w:type="dxa"/>
            <w:shd w:val="clear" w:color="auto" w:fill="FFE1DC"/>
            <w:vAlign w:val="center"/>
          </w:tcPr>
          <w:p w14:paraId="13B55E00"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FFE1DC"/>
            <w:vAlign w:val="center"/>
          </w:tcPr>
          <w:p w14:paraId="13B55E01"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5</w:t>
            </w:r>
          </w:p>
        </w:tc>
        <w:tc>
          <w:tcPr>
            <w:tcW w:w="645" w:type="dxa"/>
            <w:shd w:val="clear" w:color="auto" w:fill="E1E1E1"/>
            <w:vAlign w:val="center"/>
          </w:tcPr>
          <w:p w14:paraId="13B55E02"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5</w:t>
            </w:r>
          </w:p>
        </w:tc>
        <w:tc>
          <w:tcPr>
            <w:tcW w:w="646" w:type="dxa"/>
            <w:shd w:val="clear" w:color="auto" w:fill="E1E1E1"/>
            <w:vAlign w:val="center"/>
          </w:tcPr>
          <w:p w14:paraId="13B55E03"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E1E1E1"/>
            <w:vAlign w:val="center"/>
          </w:tcPr>
          <w:p w14:paraId="13B55E04"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5</w:t>
            </w:r>
          </w:p>
        </w:tc>
        <w:tc>
          <w:tcPr>
            <w:tcW w:w="645" w:type="dxa"/>
            <w:shd w:val="clear" w:color="auto" w:fill="FFE1DC"/>
            <w:vAlign w:val="center"/>
          </w:tcPr>
          <w:p w14:paraId="13B55E05"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i/>
                <w:iCs/>
                <w:color w:val="000000"/>
                <w:sz w:val="20"/>
              </w:rPr>
            </w:pPr>
            <w:r w:rsidRPr="000A7545">
              <w:rPr>
                <w:rFonts w:ascii="Arial Narrow" w:hAnsi="Arial Narrow"/>
                <w:b/>
                <w:i/>
                <w:iCs/>
                <w:color w:val="000000"/>
                <w:sz w:val="20"/>
              </w:rPr>
              <w:t>18</w:t>
            </w:r>
          </w:p>
        </w:tc>
        <w:tc>
          <w:tcPr>
            <w:tcW w:w="645" w:type="dxa"/>
            <w:shd w:val="clear" w:color="auto" w:fill="FFE1DC"/>
            <w:vAlign w:val="center"/>
          </w:tcPr>
          <w:p w14:paraId="13B55E06"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i/>
                <w:iCs/>
                <w:color w:val="000000"/>
                <w:sz w:val="20"/>
              </w:rPr>
            </w:pPr>
            <w:r w:rsidRPr="000A7545">
              <w:rPr>
                <w:rFonts w:ascii="Arial Narrow" w:hAnsi="Arial Narrow"/>
                <w:b/>
                <w:i/>
                <w:iCs/>
                <w:color w:val="000000"/>
                <w:sz w:val="20"/>
              </w:rPr>
              <w:t>10</w:t>
            </w:r>
          </w:p>
        </w:tc>
        <w:tc>
          <w:tcPr>
            <w:tcW w:w="646" w:type="dxa"/>
            <w:shd w:val="clear" w:color="auto" w:fill="FFE1DC"/>
            <w:vAlign w:val="center"/>
          </w:tcPr>
          <w:p w14:paraId="13B55E07" w14:textId="77777777" w:rsidR="003F3645" w:rsidRPr="000A7545" w:rsidRDefault="003F3645" w:rsidP="009D2810">
            <w:pPr>
              <w:keepNext/>
              <w:keepLines/>
              <w:autoSpaceDE w:val="0"/>
              <w:autoSpaceDN w:val="0"/>
              <w:adjustRightInd w:val="0"/>
              <w:spacing w:before="120" w:line="240" w:lineRule="auto"/>
              <w:ind w:left="45" w:right="15"/>
              <w:jc w:val="center"/>
              <w:rPr>
                <w:rFonts w:ascii="Arial Narrow" w:hAnsi="Arial Narrow"/>
                <w:b/>
                <w:bCs/>
                <w:i/>
                <w:iCs/>
                <w:color w:val="000000"/>
                <w:sz w:val="20"/>
              </w:rPr>
            </w:pPr>
            <w:r w:rsidRPr="000A7545">
              <w:rPr>
                <w:rFonts w:ascii="Arial Narrow" w:hAnsi="Arial Narrow"/>
                <w:b/>
                <w:i/>
                <w:iCs/>
                <w:color w:val="000000"/>
                <w:sz w:val="20"/>
              </w:rPr>
              <w:t>28</w:t>
            </w:r>
          </w:p>
        </w:tc>
      </w:tr>
      <w:tr w:rsidR="003F3645" w:rsidRPr="000A7545" w14:paraId="13B55E16" w14:textId="77777777" w:rsidTr="00AB06AB">
        <w:tc>
          <w:tcPr>
            <w:tcW w:w="1347" w:type="dxa"/>
            <w:vAlign w:val="center"/>
          </w:tcPr>
          <w:p w14:paraId="13B55E09" w14:textId="77777777" w:rsidR="003F3645" w:rsidRPr="000A7545" w:rsidRDefault="003F3645" w:rsidP="009D2810">
            <w:pPr>
              <w:keepNext/>
              <w:keepLines/>
              <w:autoSpaceDE w:val="0"/>
              <w:autoSpaceDN w:val="0"/>
              <w:adjustRightInd w:val="0"/>
              <w:spacing w:before="120" w:line="240" w:lineRule="auto"/>
              <w:ind w:left="15" w:right="45"/>
              <w:rPr>
                <w:rFonts w:ascii="Arial Narrow" w:hAnsi="Arial Narrow"/>
                <w:color w:val="000000"/>
                <w:sz w:val="20"/>
              </w:rPr>
            </w:pPr>
            <w:r w:rsidRPr="000A7545">
              <w:rPr>
                <w:rFonts w:ascii="Arial Narrow" w:hAnsi="Arial Narrow"/>
                <w:color w:val="000000"/>
                <w:sz w:val="20"/>
              </w:rPr>
              <w:t>Jayawijaya</w:t>
            </w:r>
          </w:p>
        </w:tc>
        <w:tc>
          <w:tcPr>
            <w:tcW w:w="645" w:type="dxa"/>
            <w:shd w:val="clear" w:color="auto" w:fill="E1E1E1"/>
            <w:vAlign w:val="center"/>
          </w:tcPr>
          <w:p w14:paraId="13B55E0A" w14:textId="77777777" w:rsidR="003F3645" w:rsidRPr="000A7545" w:rsidRDefault="003F3645" w:rsidP="009D2810">
            <w:pPr>
              <w:keepNext/>
              <w:keepLines/>
              <w:autoSpaceDE w:val="0"/>
              <w:autoSpaceDN w:val="0"/>
              <w:adjustRightInd w:val="0"/>
              <w:spacing w:before="120" w:line="240" w:lineRule="auto"/>
              <w:ind w:left="15" w:right="45"/>
              <w:jc w:val="center"/>
              <w:rPr>
                <w:rFonts w:ascii="Arial Narrow" w:hAnsi="Arial Narrow"/>
                <w:color w:val="000000"/>
                <w:sz w:val="20"/>
              </w:rPr>
            </w:pPr>
            <w:r w:rsidRPr="000A7545">
              <w:rPr>
                <w:rFonts w:ascii="Arial Narrow" w:hAnsi="Arial Narrow"/>
                <w:color w:val="000000"/>
                <w:sz w:val="20"/>
              </w:rPr>
              <w:t>2</w:t>
            </w:r>
          </w:p>
        </w:tc>
        <w:tc>
          <w:tcPr>
            <w:tcW w:w="645" w:type="dxa"/>
            <w:shd w:val="clear" w:color="auto" w:fill="E1E1E1"/>
            <w:vAlign w:val="center"/>
          </w:tcPr>
          <w:p w14:paraId="13B55E0B"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E1E1E1"/>
            <w:vAlign w:val="center"/>
          </w:tcPr>
          <w:p w14:paraId="13B55E0C"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2</w:t>
            </w:r>
          </w:p>
        </w:tc>
        <w:tc>
          <w:tcPr>
            <w:tcW w:w="646" w:type="dxa"/>
            <w:shd w:val="clear" w:color="auto" w:fill="FFE1DC"/>
            <w:vAlign w:val="center"/>
          </w:tcPr>
          <w:p w14:paraId="13B55E0D"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2</w:t>
            </w:r>
          </w:p>
        </w:tc>
        <w:tc>
          <w:tcPr>
            <w:tcW w:w="645" w:type="dxa"/>
            <w:shd w:val="clear" w:color="auto" w:fill="FFE1DC"/>
            <w:vAlign w:val="center"/>
          </w:tcPr>
          <w:p w14:paraId="13B55E0E"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2</w:t>
            </w:r>
          </w:p>
        </w:tc>
        <w:tc>
          <w:tcPr>
            <w:tcW w:w="645" w:type="dxa"/>
            <w:shd w:val="clear" w:color="auto" w:fill="FFE1DC"/>
            <w:vAlign w:val="center"/>
          </w:tcPr>
          <w:p w14:paraId="13B55E0F"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4</w:t>
            </w:r>
          </w:p>
        </w:tc>
        <w:tc>
          <w:tcPr>
            <w:tcW w:w="645" w:type="dxa"/>
            <w:shd w:val="clear" w:color="auto" w:fill="E1E1E1"/>
            <w:vAlign w:val="center"/>
          </w:tcPr>
          <w:p w14:paraId="13B55E10"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2</w:t>
            </w:r>
          </w:p>
        </w:tc>
        <w:tc>
          <w:tcPr>
            <w:tcW w:w="646" w:type="dxa"/>
            <w:shd w:val="clear" w:color="auto" w:fill="E1E1E1"/>
            <w:vAlign w:val="center"/>
          </w:tcPr>
          <w:p w14:paraId="13B55E11"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2</w:t>
            </w:r>
          </w:p>
        </w:tc>
        <w:tc>
          <w:tcPr>
            <w:tcW w:w="645" w:type="dxa"/>
            <w:shd w:val="clear" w:color="auto" w:fill="E1E1E1"/>
            <w:vAlign w:val="center"/>
          </w:tcPr>
          <w:p w14:paraId="13B55E12"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4</w:t>
            </w:r>
          </w:p>
        </w:tc>
        <w:tc>
          <w:tcPr>
            <w:tcW w:w="645" w:type="dxa"/>
            <w:shd w:val="clear" w:color="auto" w:fill="FFE1DC"/>
            <w:vAlign w:val="center"/>
          </w:tcPr>
          <w:p w14:paraId="13B55E13"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i/>
                <w:iCs/>
                <w:color w:val="000000"/>
                <w:sz w:val="20"/>
              </w:rPr>
            </w:pPr>
            <w:r w:rsidRPr="000A7545">
              <w:rPr>
                <w:rFonts w:ascii="Arial Narrow" w:hAnsi="Arial Narrow"/>
                <w:b/>
                <w:i/>
                <w:iCs/>
                <w:color w:val="000000"/>
                <w:sz w:val="20"/>
              </w:rPr>
              <w:t>17</w:t>
            </w:r>
          </w:p>
        </w:tc>
        <w:tc>
          <w:tcPr>
            <w:tcW w:w="645" w:type="dxa"/>
            <w:shd w:val="clear" w:color="auto" w:fill="FFE1DC"/>
            <w:vAlign w:val="center"/>
          </w:tcPr>
          <w:p w14:paraId="13B55E14"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i/>
                <w:iCs/>
                <w:color w:val="000000"/>
                <w:sz w:val="20"/>
              </w:rPr>
            </w:pPr>
            <w:r w:rsidRPr="000A7545">
              <w:rPr>
                <w:rFonts w:ascii="Arial Narrow" w:hAnsi="Arial Narrow"/>
                <w:b/>
                <w:i/>
                <w:iCs/>
                <w:color w:val="000000"/>
                <w:sz w:val="20"/>
              </w:rPr>
              <w:t>5</w:t>
            </w:r>
          </w:p>
        </w:tc>
        <w:tc>
          <w:tcPr>
            <w:tcW w:w="646" w:type="dxa"/>
            <w:shd w:val="clear" w:color="auto" w:fill="FFE1DC"/>
            <w:vAlign w:val="center"/>
          </w:tcPr>
          <w:p w14:paraId="13B55E15" w14:textId="77777777" w:rsidR="003F3645" w:rsidRPr="000A7545" w:rsidRDefault="003F3645" w:rsidP="009D2810">
            <w:pPr>
              <w:keepNext/>
              <w:keepLines/>
              <w:autoSpaceDE w:val="0"/>
              <w:autoSpaceDN w:val="0"/>
              <w:adjustRightInd w:val="0"/>
              <w:spacing w:before="120" w:line="240" w:lineRule="auto"/>
              <w:ind w:left="45" w:right="15"/>
              <w:jc w:val="center"/>
              <w:rPr>
                <w:rFonts w:ascii="Arial Narrow" w:hAnsi="Arial Narrow"/>
                <w:b/>
                <w:bCs/>
                <w:i/>
                <w:iCs/>
                <w:color w:val="000000"/>
                <w:sz w:val="20"/>
              </w:rPr>
            </w:pPr>
            <w:r w:rsidRPr="000A7545">
              <w:rPr>
                <w:rFonts w:ascii="Arial Narrow" w:hAnsi="Arial Narrow"/>
                <w:b/>
                <w:i/>
                <w:iCs/>
                <w:color w:val="000000"/>
                <w:sz w:val="20"/>
              </w:rPr>
              <w:t>22</w:t>
            </w:r>
          </w:p>
        </w:tc>
      </w:tr>
      <w:tr w:rsidR="003F3645" w:rsidRPr="000A7545" w14:paraId="13B55E24" w14:textId="77777777" w:rsidTr="00AB06AB">
        <w:tc>
          <w:tcPr>
            <w:tcW w:w="1347" w:type="dxa"/>
            <w:vAlign w:val="center"/>
          </w:tcPr>
          <w:p w14:paraId="13B55E17" w14:textId="77777777" w:rsidR="003F3645" w:rsidRPr="000A7545" w:rsidRDefault="003F3645" w:rsidP="009D2810">
            <w:pPr>
              <w:keepNext/>
              <w:keepLines/>
              <w:autoSpaceDE w:val="0"/>
              <w:autoSpaceDN w:val="0"/>
              <w:adjustRightInd w:val="0"/>
              <w:spacing w:before="120" w:line="240" w:lineRule="auto"/>
              <w:ind w:left="15" w:right="45"/>
              <w:rPr>
                <w:rFonts w:ascii="Arial Narrow" w:hAnsi="Arial Narrow"/>
                <w:color w:val="000000"/>
                <w:sz w:val="20"/>
              </w:rPr>
            </w:pPr>
            <w:r w:rsidRPr="000A7545">
              <w:rPr>
                <w:rFonts w:ascii="Arial Narrow" w:hAnsi="Arial Narrow"/>
                <w:color w:val="000000"/>
                <w:sz w:val="20"/>
              </w:rPr>
              <w:t>West Papua Province</w:t>
            </w:r>
          </w:p>
        </w:tc>
        <w:tc>
          <w:tcPr>
            <w:tcW w:w="645" w:type="dxa"/>
            <w:shd w:val="clear" w:color="auto" w:fill="E1E1E1"/>
            <w:vAlign w:val="center"/>
          </w:tcPr>
          <w:p w14:paraId="13B55E18" w14:textId="77777777" w:rsidR="003F3645" w:rsidRPr="000A7545" w:rsidRDefault="003F3645" w:rsidP="009D2810">
            <w:pPr>
              <w:keepNext/>
              <w:keepLines/>
              <w:autoSpaceDE w:val="0"/>
              <w:autoSpaceDN w:val="0"/>
              <w:adjustRightInd w:val="0"/>
              <w:spacing w:before="120" w:line="240" w:lineRule="auto"/>
              <w:ind w:left="15" w:right="45"/>
              <w:jc w:val="center"/>
              <w:rPr>
                <w:rFonts w:ascii="Arial Narrow" w:hAnsi="Arial Narrow"/>
                <w:color w:val="000000"/>
                <w:sz w:val="20"/>
              </w:rPr>
            </w:pPr>
            <w:r w:rsidRPr="000A7545">
              <w:rPr>
                <w:rFonts w:ascii="Arial Narrow" w:hAnsi="Arial Narrow"/>
                <w:color w:val="000000"/>
                <w:sz w:val="20"/>
              </w:rPr>
              <w:t>2</w:t>
            </w:r>
          </w:p>
        </w:tc>
        <w:tc>
          <w:tcPr>
            <w:tcW w:w="645" w:type="dxa"/>
            <w:shd w:val="clear" w:color="auto" w:fill="E1E1E1"/>
            <w:vAlign w:val="center"/>
          </w:tcPr>
          <w:p w14:paraId="13B55E19"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E1E1E1"/>
            <w:vAlign w:val="center"/>
          </w:tcPr>
          <w:p w14:paraId="13B55E1A"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2</w:t>
            </w:r>
          </w:p>
        </w:tc>
        <w:tc>
          <w:tcPr>
            <w:tcW w:w="646" w:type="dxa"/>
            <w:shd w:val="clear" w:color="auto" w:fill="FFE1DC"/>
            <w:vAlign w:val="center"/>
          </w:tcPr>
          <w:p w14:paraId="13B55E1B"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6</w:t>
            </w:r>
          </w:p>
        </w:tc>
        <w:tc>
          <w:tcPr>
            <w:tcW w:w="645" w:type="dxa"/>
            <w:shd w:val="clear" w:color="auto" w:fill="FFE1DC"/>
            <w:vAlign w:val="center"/>
          </w:tcPr>
          <w:p w14:paraId="13B55E1C"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FFE1DC"/>
            <w:vAlign w:val="center"/>
          </w:tcPr>
          <w:p w14:paraId="13B55E1D"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6</w:t>
            </w:r>
          </w:p>
        </w:tc>
        <w:tc>
          <w:tcPr>
            <w:tcW w:w="645" w:type="dxa"/>
            <w:shd w:val="clear" w:color="auto" w:fill="E1E1E1"/>
            <w:vAlign w:val="center"/>
          </w:tcPr>
          <w:p w14:paraId="13B55E1E"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6</w:t>
            </w:r>
          </w:p>
        </w:tc>
        <w:tc>
          <w:tcPr>
            <w:tcW w:w="646" w:type="dxa"/>
            <w:shd w:val="clear" w:color="auto" w:fill="E1E1E1"/>
            <w:vAlign w:val="center"/>
          </w:tcPr>
          <w:p w14:paraId="13B55E1F"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E1E1E1"/>
            <w:vAlign w:val="center"/>
          </w:tcPr>
          <w:p w14:paraId="13B55E20"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6</w:t>
            </w:r>
          </w:p>
        </w:tc>
        <w:tc>
          <w:tcPr>
            <w:tcW w:w="645" w:type="dxa"/>
            <w:shd w:val="clear" w:color="auto" w:fill="auto"/>
            <w:vAlign w:val="bottom"/>
          </w:tcPr>
          <w:p w14:paraId="13B55E21" w14:textId="77777777" w:rsidR="003F3645" w:rsidRPr="000A7545" w:rsidRDefault="003F3645" w:rsidP="009D2810">
            <w:pPr>
              <w:keepNext/>
              <w:keepLines/>
              <w:autoSpaceDE w:val="0"/>
              <w:autoSpaceDN w:val="0"/>
              <w:adjustRightInd w:val="0"/>
              <w:spacing w:before="120" w:line="240" w:lineRule="auto"/>
              <w:ind w:left="45" w:right="45"/>
              <w:rPr>
                <w:rFonts w:ascii="Arial Narrow" w:hAnsi="Arial Narrow"/>
                <w:color w:val="000000"/>
                <w:sz w:val="20"/>
              </w:rPr>
            </w:pPr>
            <w:r w:rsidRPr="000A7545">
              <w:rPr>
                <w:rFonts w:ascii="Arial Narrow" w:hAnsi="Arial Narrow"/>
                <w:color w:val="000000"/>
                <w:sz w:val="20"/>
              </w:rPr>
              <w:t> </w:t>
            </w:r>
          </w:p>
        </w:tc>
        <w:tc>
          <w:tcPr>
            <w:tcW w:w="645" w:type="dxa"/>
            <w:shd w:val="clear" w:color="auto" w:fill="auto"/>
            <w:vAlign w:val="bottom"/>
          </w:tcPr>
          <w:p w14:paraId="13B55E22" w14:textId="77777777" w:rsidR="003F3645" w:rsidRPr="000A7545" w:rsidRDefault="003F3645" w:rsidP="009D2810">
            <w:pPr>
              <w:keepNext/>
              <w:keepLines/>
              <w:autoSpaceDE w:val="0"/>
              <w:autoSpaceDN w:val="0"/>
              <w:adjustRightInd w:val="0"/>
              <w:spacing w:before="120" w:line="240" w:lineRule="auto"/>
              <w:ind w:left="45" w:right="45"/>
              <w:rPr>
                <w:rFonts w:ascii="Arial Narrow" w:hAnsi="Arial Narrow"/>
                <w:color w:val="000000"/>
                <w:sz w:val="20"/>
              </w:rPr>
            </w:pPr>
            <w:r w:rsidRPr="000A7545">
              <w:rPr>
                <w:rFonts w:ascii="Arial Narrow" w:hAnsi="Arial Narrow"/>
                <w:color w:val="000000"/>
                <w:sz w:val="20"/>
              </w:rPr>
              <w:t> </w:t>
            </w:r>
          </w:p>
        </w:tc>
        <w:tc>
          <w:tcPr>
            <w:tcW w:w="646" w:type="dxa"/>
            <w:shd w:val="clear" w:color="auto" w:fill="auto"/>
            <w:vAlign w:val="bottom"/>
          </w:tcPr>
          <w:p w14:paraId="13B55E23" w14:textId="77777777" w:rsidR="003F3645" w:rsidRPr="000A7545" w:rsidRDefault="003F3645" w:rsidP="009D2810">
            <w:pPr>
              <w:keepNext/>
              <w:keepLines/>
              <w:autoSpaceDE w:val="0"/>
              <w:autoSpaceDN w:val="0"/>
              <w:adjustRightInd w:val="0"/>
              <w:spacing w:before="120" w:line="240" w:lineRule="auto"/>
              <w:ind w:left="45" w:right="15"/>
              <w:rPr>
                <w:rFonts w:ascii="Arial Narrow" w:hAnsi="Arial Narrow"/>
                <w:color w:val="000000"/>
                <w:sz w:val="20"/>
              </w:rPr>
            </w:pPr>
            <w:r w:rsidRPr="000A7545">
              <w:rPr>
                <w:rFonts w:ascii="Arial Narrow" w:hAnsi="Arial Narrow"/>
                <w:color w:val="000000"/>
                <w:sz w:val="20"/>
              </w:rPr>
              <w:t> </w:t>
            </w:r>
          </w:p>
        </w:tc>
      </w:tr>
      <w:tr w:rsidR="003F3645" w:rsidRPr="000A7545" w14:paraId="13B55E32" w14:textId="77777777" w:rsidTr="00AB06AB">
        <w:tc>
          <w:tcPr>
            <w:tcW w:w="1347" w:type="dxa"/>
            <w:vAlign w:val="center"/>
          </w:tcPr>
          <w:p w14:paraId="13B55E25" w14:textId="77777777" w:rsidR="003F3645" w:rsidRPr="000A7545" w:rsidRDefault="003F3645" w:rsidP="009D2810">
            <w:pPr>
              <w:keepNext/>
              <w:keepLines/>
              <w:autoSpaceDE w:val="0"/>
              <w:autoSpaceDN w:val="0"/>
              <w:adjustRightInd w:val="0"/>
              <w:spacing w:before="120" w:line="240" w:lineRule="auto"/>
              <w:ind w:left="15" w:right="45"/>
              <w:rPr>
                <w:rFonts w:ascii="Arial Narrow" w:hAnsi="Arial Narrow"/>
                <w:color w:val="000000"/>
                <w:sz w:val="20"/>
              </w:rPr>
            </w:pPr>
            <w:r w:rsidRPr="000A7545">
              <w:rPr>
                <w:rFonts w:ascii="Arial Narrow" w:hAnsi="Arial Narrow"/>
                <w:color w:val="000000"/>
                <w:sz w:val="20"/>
              </w:rPr>
              <w:t>Sorong</w:t>
            </w:r>
          </w:p>
        </w:tc>
        <w:tc>
          <w:tcPr>
            <w:tcW w:w="645" w:type="dxa"/>
            <w:shd w:val="clear" w:color="auto" w:fill="E1E1E1"/>
            <w:vAlign w:val="center"/>
          </w:tcPr>
          <w:p w14:paraId="13B55E26" w14:textId="77777777" w:rsidR="003F3645" w:rsidRPr="000A7545" w:rsidRDefault="003F3645" w:rsidP="009D2810">
            <w:pPr>
              <w:keepNext/>
              <w:keepLines/>
              <w:autoSpaceDE w:val="0"/>
              <w:autoSpaceDN w:val="0"/>
              <w:adjustRightInd w:val="0"/>
              <w:spacing w:before="120" w:line="240" w:lineRule="auto"/>
              <w:ind w:left="15" w:right="45"/>
              <w:jc w:val="center"/>
              <w:rPr>
                <w:rFonts w:ascii="Arial Narrow" w:hAnsi="Arial Narrow"/>
                <w:color w:val="000000"/>
                <w:sz w:val="20"/>
              </w:rPr>
            </w:pPr>
            <w:r w:rsidRPr="000A7545">
              <w:rPr>
                <w:rFonts w:ascii="Arial Narrow" w:hAnsi="Arial Narrow"/>
                <w:color w:val="000000"/>
                <w:sz w:val="20"/>
              </w:rPr>
              <w:t>2</w:t>
            </w:r>
          </w:p>
        </w:tc>
        <w:tc>
          <w:tcPr>
            <w:tcW w:w="645" w:type="dxa"/>
            <w:shd w:val="clear" w:color="auto" w:fill="E1E1E1"/>
            <w:vAlign w:val="center"/>
          </w:tcPr>
          <w:p w14:paraId="13B55E27"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0</w:t>
            </w:r>
          </w:p>
        </w:tc>
        <w:tc>
          <w:tcPr>
            <w:tcW w:w="645" w:type="dxa"/>
            <w:shd w:val="clear" w:color="auto" w:fill="E1E1E1"/>
            <w:vAlign w:val="center"/>
          </w:tcPr>
          <w:p w14:paraId="13B55E28"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2</w:t>
            </w:r>
          </w:p>
        </w:tc>
        <w:tc>
          <w:tcPr>
            <w:tcW w:w="646" w:type="dxa"/>
            <w:shd w:val="clear" w:color="auto" w:fill="FFE1DC"/>
            <w:vAlign w:val="center"/>
          </w:tcPr>
          <w:p w14:paraId="13B55E29"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3</w:t>
            </w:r>
          </w:p>
        </w:tc>
        <w:tc>
          <w:tcPr>
            <w:tcW w:w="645" w:type="dxa"/>
            <w:shd w:val="clear" w:color="auto" w:fill="FFE1DC"/>
            <w:vAlign w:val="center"/>
          </w:tcPr>
          <w:p w14:paraId="13B55E2A"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1</w:t>
            </w:r>
          </w:p>
        </w:tc>
        <w:tc>
          <w:tcPr>
            <w:tcW w:w="645" w:type="dxa"/>
            <w:shd w:val="clear" w:color="auto" w:fill="FFE1DC"/>
            <w:vAlign w:val="center"/>
          </w:tcPr>
          <w:p w14:paraId="13B55E2B"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4</w:t>
            </w:r>
          </w:p>
        </w:tc>
        <w:tc>
          <w:tcPr>
            <w:tcW w:w="645" w:type="dxa"/>
            <w:shd w:val="clear" w:color="auto" w:fill="E1E1E1"/>
            <w:vAlign w:val="center"/>
          </w:tcPr>
          <w:p w14:paraId="13B55E2C"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3</w:t>
            </w:r>
          </w:p>
        </w:tc>
        <w:tc>
          <w:tcPr>
            <w:tcW w:w="646" w:type="dxa"/>
            <w:shd w:val="clear" w:color="auto" w:fill="E1E1E1"/>
            <w:vAlign w:val="center"/>
          </w:tcPr>
          <w:p w14:paraId="13B55E2D"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color w:val="000000"/>
                <w:sz w:val="20"/>
              </w:rPr>
            </w:pPr>
            <w:r w:rsidRPr="000A7545">
              <w:rPr>
                <w:rFonts w:ascii="Arial Narrow" w:hAnsi="Arial Narrow"/>
                <w:color w:val="000000"/>
                <w:sz w:val="20"/>
              </w:rPr>
              <w:t>1</w:t>
            </w:r>
          </w:p>
        </w:tc>
        <w:tc>
          <w:tcPr>
            <w:tcW w:w="645" w:type="dxa"/>
            <w:shd w:val="clear" w:color="auto" w:fill="E1E1E1"/>
            <w:vAlign w:val="center"/>
          </w:tcPr>
          <w:p w14:paraId="13B55E2E"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4</w:t>
            </w:r>
          </w:p>
        </w:tc>
        <w:tc>
          <w:tcPr>
            <w:tcW w:w="645" w:type="dxa"/>
            <w:shd w:val="clear" w:color="auto" w:fill="FFE1DC"/>
            <w:vAlign w:val="center"/>
          </w:tcPr>
          <w:p w14:paraId="13B55E2F"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i/>
                <w:iCs/>
                <w:color w:val="000000"/>
                <w:sz w:val="20"/>
              </w:rPr>
            </w:pPr>
            <w:r w:rsidRPr="000A7545">
              <w:rPr>
                <w:rFonts w:ascii="Arial Narrow" w:hAnsi="Arial Narrow"/>
                <w:b/>
                <w:i/>
                <w:iCs/>
                <w:color w:val="000000"/>
                <w:sz w:val="20"/>
              </w:rPr>
              <w:t>20</w:t>
            </w:r>
          </w:p>
        </w:tc>
        <w:tc>
          <w:tcPr>
            <w:tcW w:w="645" w:type="dxa"/>
            <w:shd w:val="clear" w:color="auto" w:fill="FFE1DC"/>
            <w:vAlign w:val="center"/>
          </w:tcPr>
          <w:p w14:paraId="13B55E30"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i/>
                <w:iCs/>
                <w:color w:val="000000"/>
                <w:sz w:val="20"/>
              </w:rPr>
            </w:pPr>
            <w:r w:rsidRPr="000A7545">
              <w:rPr>
                <w:rFonts w:ascii="Arial Narrow" w:hAnsi="Arial Narrow"/>
                <w:b/>
                <w:i/>
                <w:iCs/>
                <w:color w:val="000000"/>
                <w:sz w:val="20"/>
              </w:rPr>
              <w:t>6</w:t>
            </w:r>
          </w:p>
        </w:tc>
        <w:tc>
          <w:tcPr>
            <w:tcW w:w="646" w:type="dxa"/>
            <w:shd w:val="clear" w:color="auto" w:fill="FFE1DC"/>
            <w:vAlign w:val="center"/>
          </w:tcPr>
          <w:p w14:paraId="13B55E31" w14:textId="77777777" w:rsidR="003F3645" w:rsidRPr="000A7545" w:rsidRDefault="003F3645" w:rsidP="009D2810">
            <w:pPr>
              <w:keepNext/>
              <w:keepLines/>
              <w:autoSpaceDE w:val="0"/>
              <w:autoSpaceDN w:val="0"/>
              <w:adjustRightInd w:val="0"/>
              <w:spacing w:before="120" w:line="240" w:lineRule="auto"/>
              <w:ind w:left="45" w:right="15"/>
              <w:jc w:val="center"/>
              <w:rPr>
                <w:rFonts w:ascii="Arial Narrow" w:hAnsi="Arial Narrow"/>
                <w:b/>
                <w:bCs/>
                <w:i/>
                <w:iCs/>
                <w:color w:val="000000"/>
                <w:sz w:val="20"/>
              </w:rPr>
            </w:pPr>
            <w:r w:rsidRPr="000A7545">
              <w:rPr>
                <w:rFonts w:ascii="Arial Narrow" w:hAnsi="Arial Narrow"/>
                <w:b/>
                <w:i/>
                <w:iCs/>
                <w:color w:val="000000"/>
                <w:sz w:val="20"/>
              </w:rPr>
              <w:t>26</w:t>
            </w:r>
          </w:p>
        </w:tc>
      </w:tr>
      <w:tr w:rsidR="003F3645" w:rsidRPr="000A7545" w14:paraId="13B55E40" w14:textId="77777777" w:rsidTr="00AB06AB">
        <w:tc>
          <w:tcPr>
            <w:tcW w:w="1347" w:type="dxa"/>
            <w:shd w:val="clear" w:color="auto" w:fill="F1F1B4"/>
            <w:vAlign w:val="center"/>
          </w:tcPr>
          <w:p w14:paraId="13B55E33" w14:textId="77777777" w:rsidR="003F3645" w:rsidRPr="000A7545" w:rsidRDefault="003F3645" w:rsidP="009D2810">
            <w:pPr>
              <w:keepNext/>
              <w:keepLines/>
              <w:autoSpaceDE w:val="0"/>
              <w:autoSpaceDN w:val="0"/>
              <w:adjustRightInd w:val="0"/>
              <w:spacing w:before="120" w:line="240" w:lineRule="auto"/>
              <w:ind w:left="15" w:right="45"/>
              <w:rPr>
                <w:rFonts w:ascii="Arial Narrow" w:hAnsi="Arial Narrow"/>
                <w:b/>
                <w:bCs/>
                <w:color w:val="000000"/>
                <w:sz w:val="20"/>
              </w:rPr>
            </w:pPr>
            <w:r w:rsidRPr="000A7545">
              <w:rPr>
                <w:rFonts w:ascii="Arial Narrow" w:hAnsi="Arial Narrow"/>
                <w:b/>
                <w:color w:val="000000"/>
                <w:sz w:val="20"/>
              </w:rPr>
              <w:t>Total</w:t>
            </w:r>
          </w:p>
        </w:tc>
        <w:tc>
          <w:tcPr>
            <w:tcW w:w="645" w:type="dxa"/>
            <w:shd w:val="clear" w:color="auto" w:fill="F1F1B4"/>
            <w:vAlign w:val="center"/>
          </w:tcPr>
          <w:p w14:paraId="13B55E34" w14:textId="77777777" w:rsidR="003F3645" w:rsidRPr="000A7545" w:rsidRDefault="003F3645" w:rsidP="009D2810">
            <w:pPr>
              <w:keepNext/>
              <w:keepLines/>
              <w:autoSpaceDE w:val="0"/>
              <w:autoSpaceDN w:val="0"/>
              <w:adjustRightInd w:val="0"/>
              <w:spacing w:before="120" w:line="240" w:lineRule="auto"/>
              <w:ind w:left="15" w:right="45"/>
              <w:jc w:val="center"/>
              <w:rPr>
                <w:rFonts w:ascii="Arial Narrow" w:hAnsi="Arial Narrow"/>
                <w:b/>
                <w:bCs/>
                <w:color w:val="000000"/>
                <w:sz w:val="20"/>
              </w:rPr>
            </w:pPr>
            <w:r w:rsidRPr="000A7545">
              <w:rPr>
                <w:rFonts w:ascii="Arial Narrow" w:hAnsi="Arial Narrow"/>
                <w:b/>
                <w:color w:val="000000"/>
                <w:sz w:val="20"/>
              </w:rPr>
              <w:t>16</w:t>
            </w:r>
          </w:p>
        </w:tc>
        <w:tc>
          <w:tcPr>
            <w:tcW w:w="645" w:type="dxa"/>
            <w:shd w:val="clear" w:color="auto" w:fill="F1F1B4"/>
            <w:vAlign w:val="center"/>
          </w:tcPr>
          <w:p w14:paraId="13B55E35"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1</w:t>
            </w:r>
          </w:p>
        </w:tc>
        <w:tc>
          <w:tcPr>
            <w:tcW w:w="645" w:type="dxa"/>
            <w:shd w:val="clear" w:color="auto" w:fill="F1F1B4"/>
            <w:vAlign w:val="center"/>
          </w:tcPr>
          <w:p w14:paraId="13B55E36"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17</w:t>
            </w:r>
          </w:p>
        </w:tc>
        <w:tc>
          <w:tcPr>
            <w:tcW w:w="646" w:type="dxa"/>
            <w:shd w:val="clear" w:color="auto" w:fill="F1F1B4"/>
            <w:vAlign w:val="center"/>
          </w:tcPr>
          <w:p w14:paraId="13B55E37"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20</w:t>
            </w:r>
          </w:p>
        </w:tc>
        <w:tc>
          <w:tcPr>
            <w:tcW w:w="645" w:type="dxa"/>
            <w:shd w:val="clear" w:color="auto" w:fill="F1F1B4"/>
            <w:vAlign w:val="center"/>
          </w:tcPr>
          <w:p w14:paraId="13B55E38"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4</w:t>
            </w:r>
          </w:p>
        </w:tc>
        <w:tc>
          <w:tcPr>
            <w:tcW w:w="645" w:type="dxa"/>
            <w:shd w:val="clear" w:color="auto" w:fill="F1F1B4"/>
            <w:vAlign w:val="center"/>
          </w:tcPr>
          <w:p w14:paraId="13B55E39"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24</w:t>
            </w:r>
          </w:p>
        </w:tc>
        <w:tc>
          <w:tcPr>
            <w:tcW w:w="645" w:type="dxa"/>
            <w:shd w:val="clear" w:color="auto" w:fill="F1F1B4"/>
            <w:vAlign w:val="center"/>
          </w:tcPr>
          <w:p w14:paraId="13B55E3A"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20</w:t>
            </w:r>
          </w:p>
        </w:tc>
        <w:tc>
          <w:tcPr>
            <w:tcW w:w="646" w:type="dxa"/>
            <w:shd w:val="clear" w:color="auto" w:fill="F1F1B4"/>
            <w:vAlign w:val="center"/>
          </w:tcPr>
          <w:p w14:paraId="13B55E3B"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4</w:t>
            </w:r>
          </w:p>
        </w:tc>
        <w:tc>
          <w:tcPr>
            <w:tcW w:w="645" w:type="dxa"/>
            <w:shd w:val="clear" w:color="auto" w:fill="F1F1B4"/>
            <w:vAlign w:val="center"/>
          </w:tcPr>
          <w:p w14:paraId="13B55E3C"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24</w:t>
            </w:r>
          </w:p>
        </w:tc>
        <w:tc>
          <w:tcPr>
            <w:tcW w:w="645" w:type="dxa"/>
            <w:shd w:val="clear" w:color="auto" w:fill="F1F1B4"/>
            <w:vAlign w:val="center"/>
          </w:tcPr>
          <w:p w14:paraId="13B55E3D"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65</w:t>
            </w:r>
          </w:p>
        </w:tc>
        <w:tc>
          <w:tcPr>
            <w:tcW w:w="645" w:type="dxa"/>
            <w:shd w:val="clear" w:color="auto" w:fill="F1F1B4"/>
            <w:vAlign w:val="center"/>
          </w:tcPr>
          <w:p w14:paraId="13B55E3E" w14:textId="77777777" w:rsidR="003F3645" w:rsidRPr="000A7545" w:rsidRDefault="003F3645" w:rsidP="009D2810">
            <w:pPr>
              <w:keepNext/>
              <w:keepLines/>
              <w:autoSpaceDE w:val="0"/>
              <w:autoSpaceDN w:val="0"/>
              <w:adjustRightInd w:val="0"/>
              <w:spacing w:before="120" w:line="240" w:lineRule="auto"/>
              <w:ind w:left="45" w:right="45"/>
              <w:jc w:val="center"/>
              <w:rPr>
                <w:rFonts w:ascii="Arial Narrow" w:hAnsi="Arial Narrow"/>
                <w:b/>
                <w:bCs/>
                <w:color w:val="000000"/>
                <w:sz w:val="20"/>
              </w:rPr>
            </w:pPr>
            <w:r w:rsidRPr="000A7545">
              <w:rPr>
                <w:rFonts w:ascii="Arial Narrow" w:hAnsi="Arial Narrow"/>
                <w:b/>
                <w:color w:val="000000"/>
                <w:sz w:val="20"/>
              </w:rPr>
              <w:t>24</w:t>
            </w:r>
          </w:p>
        </w:tc>
        <w:tc>
          <w:tcPr>
            <w:tcW w:w="646" w:type="dxa"/>
            <w:shd w:val="clear" w:color="auto" w:fill="F1F1B4"/>
            <w:vAlign w:val="center"/>
          </w:tcPr>
          <w:p w14:paraId="13B55E3F" w14:textId="77777777" w:rsidR="003F3645" w:rsidRPr="000A7545" w:rsidRDefault="003F3645" w:rsidP="009D2810">
            <w:pPr>
              <w:keepNext/>
              <w:keepLines/>
              <w:autoSpaceDE w:val="0"/>
              <w:autoSpaceDN w:val="0"/>
              <w:adjustRightInd w:val="0"/>
              <w:spacing w:before="120" w:line="240" w:lineRule="auto"/>
              <w:ind w:left="45" w:right="15"/>
              <w:jc w:val="center"/>
              <w:rPr>
                <w:rFonts w:ascii="Arial Narrow" w:hAnsi="Arial Narrow"/>
                <w:b/>
                <w:bCs/>
                <w:color w:val="000000"/>
                <w:sz w:val="20"/>
              </w:rPr>
            </w:pPr>
            <w:r w:rsidRPr="000A7545">
              <w:rPr>
                <w:rFonts w:ascii="Arial Narrow" w:hAnsi="Arial Narrow"/>
                <w:b/>
                <w:color w:val="000000"/>
                <w:sz w:val="20"/>
              </w:rPr>
              <w:t>89</w:t>
            </w:r>
          </w:p>
        </w:tc>
      </w:tr>
    </w:tbl>
    <w:p w14:paraId="13B55E41" w14:textId="77777777" w:rsidR="003F3645" w:rsidRPr="000A7545" w:rsidRDefault="003F3645" w:rsidP="009D2810">
      <w:pPr>
        <w:spacing w:before="60" w:after="60" w:line="240" w:lineRule="auto"/>
      </w:pPr>
    </w:p>
    <w:p w14:paraId="13B55E42" w14:textId="77777777" w:rsidR="003F3645" w:rsidRPr="000A7545" w:rsidRDefault="003F3645" w:rsidP="00314D97"/>
    <w:p w14:paraId="13B55E43" w14:textId="77777777" w:rsidR="008F6AA5" w:rsidRPr="000A7545" w:rsidRDefault="008F6AA5" w:rsidP="00314D97"/>
    <w:p w14:paraId="13B55E44" w14:textId="77777777" w:rsidR="008F6AA5" w:rsidRPr="000A7545" w:rsidRDefault="008F6AA5" w:rsidP="00314D97"/>
    <w:p w14:paraId="13B55E45" w14:textId="77777777" w:rsidR="00411E08" w:rsidRDefault="00411E08" w:rsidP="00314D97">
      <w:r>
        <w:br w:type="page"/>
      </w:r>
    </w:p>
    <w:p w14:paraId="13B55E46" w14:textId="77777777" w:rsidR="003F3645" w:rsidRPr="000A7545" w:rsidRDefault="009D2810" w:rsidP="009D2810">
      <w:pPr>
        <w:pStyle w:val="Caption"/>
        <w:spacing w:after="200"/>
      </w:pPr>
      <w:bookmarkStart w:id="83" w:name="_Toc322710106"/>
      <w:r w:rsidRPr="000A7545">
        <w:t xml:space="preserve">Figure </w:t>
      </w:r>
      <w:fldSimple w:instr=" SEQ Figure \* ARABIC ">
        <w:r w:rsidR="009B4D84">
          <w:rPr>
            <w:noProof/>
          </w:rPr>
          <w:t>15</w:t>
        </w:r>
      </w:fldSimple>
      <w:r w:rsidRPr="000A7545">
        <w:t>:</w:t>
      </w:r>
      <w:r w:rsidR="003F3645" w:rsidRPr="000A7545">
        <w:t xml:space="preserve"> STEP</w:t>
      </w:r>
      <w:r w:rsidR="00684D40">
        <w:t xml:space="preserve"> </w:t>
      </w:r>
      <w:r w:rsidR="003F3645" w:rsidRPr="000A7545">
        <w:t>Target Schools (September 2011)</w:t>
      </w:r>
      <w:bookmarkEnd w:id="83"/>
    </w:p>
    <w:tbl>
      <w:tblPr>
        <w:tblW w:w="3262" w:type="pct"/>
        <w:jc w:val="center"/>
        <w:tblInd w:w="108" w:type="dxa"/>
        <w:tblLayout w:type="fixed"/>
        <w:tblLook w:val="04A0" w:firstRow="1" w:lastRow="0" w:firstColumn="1" w:lastColumn="0" w:noHBand="0" w:noVBand="1"/>
      </w:tblPr>
      <w:tblGrid>
        <w:gridCol w:w="1077"/>
        <w:gridCol w:w="1706"/>
        <w:gridCol w:w="903"/>
        <w:gridCol w:w="986"/>
        <w:gridCol w:w="1357"/>
      </w:tblGrid>
      <w:tr w:rsidR="00684D40" w:rsidRPr="000A7545" w14:paraId="13B55E49" w14:textId="77777777" w:rsidTr="00411E08">
        <w:trPr>
          <w:trHeight w:val="512"/>
          <w:jc w:val="center"/>
        </w:trPr>
        <w:tc>
          <w:tcPr>
            <w:tcW w:w="2308" w:type="pct"/>
            <w:gridSpan w:val="2"/>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13B55E47" w14:textId="77777777" w:rsidR="00684D40" w:rsidRPr="000A7545" w:rsidRDefault="00684D40" w:rsidP="00AB06AB">
            <w:pPr>
              <w:spacing w:before="120"/>
              <w:jc w:val="center"/>
              <w:rPr>
                <w:rFonts w:ascii="Arial Narrow" w:hAnsi="Arial Narrow"/>
                <w:sz w:val="20"/>
              </w:rPr>
            </w:pPr>
          </w:p>
        </w:tc>
        <w:tc>
          <w:tcPr>
            <w:tcW w:w="2692" w:type="pct"/>
            <w:gridSpan w:val="3"/>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3B55E48" w14:textId="77777777" w:rsidR="00684D40" w:rsidRPr="000A7545" w:rsidRDefault="00684D40" w:rsidP="00AB06AB">
            <w:pPr>
              <w:spacing w:before="120"/>
              <w:jc w:val="center"/>
              <w:rPr>
                <w:rFonts w:ascii="Arial Narrow" w:hAnsi="Arial Narrow"/>
                <w:b/>
                <w:sz w:val="20"/>
              </w:rPr>
            </w:pPr>
            <w:r w:rsidRPr="000A7545">
              <w:rPr>
                <w:rFonts w:ascii="Arial Narrow" w:hAnsi="Arial Narrow"/>
                <w:b/>
                <w:sz w:val="20"/>
              </w:rPr>
              <w:t>By Status</w:t>
            </w:r>
          </w:p>
        </w:tc>
      </w:tr>
      <w:tr w:rsidR="00684D40" w:rsidRPr="000A7545" w14:paraId="13B55E4E" w14:textId="77777777" w:rsidTr="00411E08">
        <w:trPr>
          <w:trHeight w:val="315"/>
          <w:jc w:val="center"/>
        </w:trPr>
        <w:tc>
          <w:tcPr>
            <w:tcW w:w="2308" w:type="pct"/>
            <w:gridSpan w:val="2"/>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13B55E4A" w14:textId="77777777" w:rsidR="00684D40" w:rsidRPr="000A7545" w:rsidRDefault="00684D40" w:rsidP="00AB06AB">
            <w:pPr>
              <w:spacing w:before="120"/>
              <w:jc w:val="center"/>
              <w:rPr>
                <w:rFonts w:ascii="Arial Narrow" w:hAnsi="Arial Narrow"/>
                <w:sz w:val="20"/>
              </w:rPr>
            </w:pPr>
          </w:p>
        </w:tc>
        <w:tc>
          <w:tcPr>
            <w:tcW w:w="749" w:type="pct"/>
            <w:tcBorders>
              <w:top w:val="nil"/>
              <w:left w:val="nil"/>
              <w:bottom w:val="single" w:sz="4" w:space="0" w:color="auto"/>
              <w:right w:val="single" w:sz="4" w:space="0" w:color="auto"/>
            </w:tcBorders>
            <w:shd w:val="clear" w:color="auto" w:fill="C6D9F1" w:themeFill="text2" w:themeFillTint="33"/>
            <w:vAlign w:val="center"/>
            <w:hideMark/>
          </w:tcPr>
          <w:p w14:paraId="13B55E4B" w14:textId="77777777" w:rsidR="00684D40" w:rsidRPr="000A7545" w:rsidRDefault="00684D40" w:rsidP="00AB06AB">
            <w:pPr>
              <w:spacing w:before="120"/>
              <w:jc w:val="center"/>
              <w:rPr>
                <w:rFonts w:ascii="Arial Narrow" w:hAnsi="Arial Narrow"/>
                <w:b/>
                <w:sz w:val="20"/>
              </w:rPr>
            </w:pPr>
            <w:r w:rsidRPr="000A7545">
              <w:rPr>
                <w:rFonts w:ascii="Arial Narrow" w:hAnsi="Arial Narrow"/>
                <w:b/>
                <w:sz w:val="20"/>
              </w:rPr>
              <w:t>State</w:t>
            </w:r>
          </w:p>
        </w:tc>
        <w:tc>
          <w:tcPr>
            <w:tcW w:w="818" w:type="pct"/>
            <w:tcBorders>
              <w:top w:val="nil"/>
              <w:left w:val="nil"/>
              <w:bottom w:val="single" w:sz="4" w:space="0" w:color="auto"/>
              <w:right w:val="single" w:sz="4" w:space="0" w:color="auto"/>
            </w:tcBorders>
            <w:shd w:val="clear" w:color="auto" w:fill="C6D9F1" w:themeFill="text2" w:themeFillTint="33"/>
            <w:vAlign w:val="center"/>
            <w:hideMark/>
          </w:tcPr>
          <w:p w14:paraId="13B55E4C" w14:textId="77777777" w:rsidR="00684D40" w:rsidRPr="000A7545" w:rsidRDefault="00684D40" w:rsidP="00AB06AB">
            <w:pPr>
              <w:spacing w:before="120"/>
              <w:jc w:val="center"/>
              <w:rPr>
                <w:rFonts w:ascii="Arial Narrow" w:hAnsi="Arial Narrow"/>
                <w:b/>
                <w:sz w:val="20"/>
              </w:rPr>
            </w:pPr>
            <w:r w:rsidRPr="000A7545">
              <w:rPr>
                <w:rFonts w:ascii="Arial Narrow" w:hAnsi="Arial Narrow"/>
                <w:b/>
                <w:sz w:val="20"/>
              </w:rPr>
              <w:t>Private</w:t>
            </w:r>
          </w:p>
        </w:tc>
        <w:tc>
          <w:tcPr>
            <w:tcW w:w="1125" w:type="pct"/>
            <w:tcBorders>
              <w:top w:val="nil"/>
              <w:left w:val="nil"/>
              <w:bottom w:val="single" w:sz="4" w:space="0" w:color="auto"/>
              <w:right w:val="single" w:sz="4" w:space="0" w:color="auto"/>
            </w:tcBorders>
            <w:shd w:val="clear" w:color="auto" w:fill="C6D9F1" w:themeFill="text2" w:themeFillTint="33"/>
            <w:vAlign w:val="center"/>
            <w:hideMark/>
          </w:tcPr>
          <w:p w14:paraId="13B55E4D" w14:textId="77777777" w:rsidR="00684D40" w:rsidRPr="000A7545" w:rsidRDefault="00684D40" w:rsidP="00AB06AB">
            <w:pPr>
              <w:spacing w:before="120"/>
              <w:jc w:val="center"/>
              <w:rPr>
                <w:rFonts w:ascii="Arial Narrow" w:hAnsi="Arial Narrow"/>
                <w:b/>
                <w:sz w:val="20"/>
              </w:rPr>
            </w:pPr>
            <w:r w:rsidRPr="000A7545">
              <w:rPr>
                <w:rFonts w:ascii="Arial Narrow" w:hAnsi="Arial Narrow"/>
                <w:b/>
                <w:sz w:val="20"/>
              </w:rPr>
              <w:t>Total Schools</w:t>
            </w:r>
          </w:p>
        </w:tc>
      </w:tr>
      <w:tr w:rsidR="00684D40" w:rsidRPr="000A7545" w14:paraId="13B55E50" w14:textId="77777777" w:rsidTr="00411E08">
        <w:trPr>
          <w:trHeight w:val="315"/>
          <w:jc w:val="center"/>
        </w:trPr>
        <w:tc>
          <w:tcPr>
            <w:tcW w:w="4999" w:type="pct"/>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3B55E4F" w14:textId="77777777" w:rsidR="00684D40" w:rsidRPr="000A7545" w:rsidRDefault="00684D40" w:rsidP="00AB06AB">
            <w:pPr>
              <w:spacing w:before="120"/>
              <w:rPr>
                <w:rFonts w:ascii="Arial Narrow" w:hAnsi="Arial Narrow"/>
                <w:b/>
                <w:sz w:val="20"/>
              </w:rPr>
            </w:pPr>
            <w:r w:rsidRPr="000A7545">
              <w:rPr>
                <w:rFonts w:ascii="Arial Narrow" w:hAnsi="Arial Narrow"/>
                <w:b/>
                <w:sz w:val="20"/>
              </w:rPr>
              <w:t>Papua</w:t>
            </w:r>
          </w:p>
        </w:tc>
      </w:tr>
      <w:tr w:rsidR="00684D40" w:rsidRPr="000A7545" w14:paraId="13B55E56" w14:textId="77777777" w:rsidTr="00411E08">
        <w:trPr>
          <w:trHeight w:val="288"/>
          <w:jc w:val="center"/>
        </w:trPr>
        <w:tc>
          <w:tcPr>
            <w:tcW w:w="893" w:type="pct"/>
            <w:vMerge w:val="restart"/>
            <w:tcBorders>
              <w:top w:val="nil"/>
              <w:left w:val="single" w:sz="4" w:space="0" w:color="auto"/>
              <w:right w:val="single" w:sz="4" w:space="0" w:color="auto"/>
            </w:tcBorders>
            <w:shd w:val="clear" w:color="auto" w:fill="auto"/>
            <w:noWrap/>
            <w:vAlign w:val="center"/>
            <w:hideMark/>
          </w:tcPr>
          <w:p w14:paraId="13B55E51" w14:textId="77777777" w:rsidR="00684D40" w:rsidRPr="000A7545" w:rsidRDefault="00684D40" w:rsidP="00AB06AB">
            <w:pPr>
              <w:spacing w:before="120"/>
              <w:rPr>
                <w:rFonts w:ascii="Arial Narrow" w:hAnsi="Arial Narrow"/>
                <w:sz w:val="20"/>
              </w:rPr>
            </w:pPr>
            <w:r w:rsidRPr="000A7545">
              <w:rPr>
                <w:rFonts w:ascii="Arial Narrow" w:hAnsi="Arial Narrow"/>
                <w:sz w:val="20"/>
              </w:rPr>
              <w:t>Biak</w:t>
            </w:r>
          </w:p>
        </w:tc>
        <w:tc>
          <w:tcPr>
            <w:tcW w:w="1415" w:type="pct"/>
            <w:tcBorders>
              <w:top w:val="nil"/>
              <w:left w:val="nil"/>
              <w:bottom w:val="single" w:sz="4" w:space="0" w:color="auto"/>
              <w:right w:val="single" w:sz="4" w:space="0" w:color="auto"/>
            </w:tcBorders>
            <w:shd w:val="clear" w:color="auto" w:fill="auto"/>
            <w:vAlign w:val="center"/>
            <w:hideMark/>
          </w:tcPr>
          <w:p w14:paraId="13B55E52" w14:textId="77777777" w:rsidR="00684D40" w:rsidRPr="000A7545" w:rsidRDefault="00684D40" w:rsidP="00AB06AB">
            <w:pPr>
              <w:spacing w:before="120"/>
              <w:rPr>
                <w:rFonts w:ascii="Arial Narrow" w:hAnsi="Arial Narrow"/>
                <w:sz w:val="20"/>
              </w:rPr>
            </w:pPr>
            <w:r w:rsidRPr="000A7545">
              <w:rPr>
                <w:rFonts w:ascii="Arial Narrow" w:hAnsi="Arial Narrow"/>
                <w:sz w:val="20"/>
              </w:rPr>
              <w:t>Primary Schools (model Schools)</w:t>
            </w:r>
          </w:p>
        </w:tc>
        <w:tc>
          <w:tcPr>
            <w:tcW w:w="749" w:type="pct"/>
            <w:tcBorders>
              <w:top w:val="nil"/>
              <w:left w:val="nil"/>
              <w:bottom w:val="single" w:sz="4" w:space="0" w:color="auto"/>
              <w:right w:val="single" w:sz="4" w:space="0" w:color="auto"/>
            </w:tcBorders>
            <w:shd w:val="clear" w:color="auto" w:fill="auto"/>
            <w:vAlign w:val="center"/>
            <w:hideMark/>
          </w:tcPr>
          <w:p w14:paraId="13B55E53"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4</w:t>
            </w:r>
          </w:p>
        </w:tc>
        <w:tc>
          <w:tcPr>
            <w:tcW w:w="818" w:type="pct"/>
            <w:tcBorders>
              <w:top w:val="nil"/>
              <w:left w:val="nil"/>
              <w:bottom w:val="single" w:sz="4" w:space="0" w:color="auto"/>
              <w:right w:val="single" w:sz="4" w:space="0" w:color="auto"/>
            </w:tcBorders>
            <w:shd w:val="clear" w:color="auto" w:fill="auto"/>
            <w:vAlign w:val="center"/>
            <w:hideMark/>
          </w:tcPr>
          <w:p w14:paraId="13B55E54"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2</w:t>
            </w:r>
          </w:p>
        </w:tc>
        <w:tc>
          <w:tcPr>
            <w:tcW w:w="1125" w:type="pct"/>
            <w:tcBorders>
              <w:top w:val="nil"/>
              <w:left w:val="nil"/>
              <w:bottom w:val="single" w:sz="4" w:space="0" w:color="auto"/>
              <w:right w:val="single" w:sz="4" w:space="0" w:color="auto"/>
            </w:tcBorders>
            <w:shd w:val="clear" w:color="auto" w:fill="auto"/>
            <w:vAlign w:val="center"/>
            <w:hideMark/>
          </w:tcPr>
          <w:p w14:paraId="13B55E55"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6</w:t>
            </w:r>
          </w:p>
        </w:tc>
      </w:tr>
      <w:tr w:rsidR="00684D40" w:rsidRPr="000A7545" w14:paraId="13B55E5C" w14:textId="77777777" w:rsidTr="00411E08">
        <w:trPr>
          <w:trHeight w:val="315"/>
          <w:jc w:val="center"/>
        </w:trPr>
        <w:tc>
          <w:tcPr>
            <w:tcW w:w="893" w:type="pct"/>
            <w:vMerge/>
            <w:tcBorders>
              <w:left w:val="single" w:sz="4" w:space="0" w:color="auto"/>
              <w:right w:val="single" w:sz="4" w:space="0" w:color="auto"/>
            </w:tcBorders>
            <w:shd w:val="clear" w:color="auto" w:fill="auto"/>
            <w:noWrap/>
            <w:vAlign w:val="center"/>
            <w:hideMark/>
          </w:tcPr>
          <w:p w14:paraId="13B55E57" w14:textId="77777777" w:rsidR="00684D40" w:rsidRPr="000A7545" w:rsidRDefault="00684D40" w:rsidP="00AB06AB">
            <w:pPr>
              <w:spacing w:before="120"/>
              <w:rPr>
                <w:rFonts w:ascii="Arial Narrow" w:hAnsi="Arial Narrow"/>
                <w:sz w:val="20"/>
              </w:rPr>
            </w:pPr>
          </w:p>
        </w:tc>
        <w:tc>
          <w:tcPr>
            <w:tcW w:w="1415" w:type="pct"/>
            <w:tcBorders>
              <w:top w:val="nil"/>
              <w:left w:val="nil"/>
              <w:bottom w:val="single" w:sz="4" w:space="0" w:color="auto"/>
              <w:right w:val="single" w:sz="4" w:space="0" w:color="auto"/>
            </w:tcBorders>
            <w:shd w:val="clear" w:color="auto" w:fill="auto"/>
            <w:vAlign w:val="center"/>
            <w:hideMark/>
          </w:tcPr>
          <w:p w14:paraId="13B55E58" w14:textId="77777777" w:rsidR="00684D40" w:rsidRPr="000A7545" w:rsidRDefault="00684D40" w:rsidP="00AB06AB">
            <w:pPr>
              <w:spacing w:before="120"/>
              <w:rPr>
                <w:rFonts w:ascii="Arial Narrow" w:hAnsi="Arial Narrow"/>
                <w:sz w:val="20"/>
              </w:rPr>
            </w:pPr>
            <w:r w:rsidRPr="000A7545">
              <w:rPr>
                <w:rFonts w:ascii="Arial Narrow" w:hAnsi="Arial Narrow"/>
                <w:sz w:val="20"/>
              </w:rPr>
              <w:t>Secondary Junior High School</w:t>
            </w:r>
          </w:p>
        </w:tc>
        <w:tc>
          <w:tcPr>
            <w:tcW w:w="749" w:type="pct"/>
            <w:tcBorders>
              <w:top w:val="nil"/>
              <w:left w:val="nil"/>
              <w:bottom w:val="single" w:sz="4" w:space="0" w:color="auto"/>
              <w:right w:val="single" w:sz="4" w:space="0" w:color="auto"/>
            </w:tcBorders>
            <w:shd w:val="clear" w:color="auto" w:fill="auto"/>
            <w:vAlign w:val="center"/>
            <w:hideMark/>
          </w:tcPr>
          <w:p w14:paraId="13B55E59"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2</w:t>
            </w:r>
          </w:p>
        </w:tc>
        <w:tc>
          <w:tcPr>
            <w:tcW w:w="818" w:type="pct"/>
            <w:tcBorders>
              <w:top w:val="nil"/>
              <w:left w:val="nil"/>
              <w:bottom w:val="single" w:sz="4" w:space="0" w:color="auto"/>
              <w:right w:val="single" w:sz="4" w:space="0" w:color="auto"/>
            </w:tcBorders>
            <w:shd w:val="clear" w:color="auto" w:fill="auto"/>
            <w:vAlign w:val="center"/>
            <w:hideMark/>
          </w:tcPr>
          <w:p w14:paraId="13B55E5A"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3</w:t>
            </w:r>
          </w:p>
        </w:tc>
        <w:tc>
          <w:tcPr>
            <w:tcW w:w="1125" w:type="pct"/>
            <w:tcBorders>
              <w:top w:val="nil"/>
              <w:left w:val="nil"/>
              <w:bottom w:val="single" w:sz="4" w:space="0" w:color="auto"/>
              <w:right w:val="single" w:sz="4" w:space="0" w:color="auto"/>
            </w:tcBorders>
            <w:shd w:val="clear" w:color="auto" w:fill="auto"/>
            <w:vAlign w:val="center"/>
            <w:hideMark/>
          </w:tcPr>
          <w:p w14:paraId="13B55E5B"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5</w:t>
            </w:r>
          </w:p>
        </w:tc>
      </w:tr>
      <w:tr w:rsidR="00684D40" w:rsidRPr="000A7545" w14:paraId="13B55E62" w14:textId="77777777" w:rsidTr="00411E08">
        <w:trPr>
          <w:trHeight w:val="315"/>
          <w:jc w:val="center"/>
        </w:trPr>
        <w:tc>
          <w:tcPr>
            <w:tcW w:w="893" w:type="pct"/>
            <w:vMerge/>
            <w:tcBorders>
              <w:left w:val="single" w:sz="4" w:space="0" w:color="auto"/>
              <w:bottom w:val="single" w:sz="4" w:space="0" w:color="auto"/>
              <w:right w:val="single" w:sz="4" w:space="0" w:color="auto"/>
            </w:tcBorders>
            <w:shd w:val="clear" w:color="auto" w:fill="auto"/>
            <w:noWrap/>
            <w:vAlign w:val="center"/>
            <w:hideMark/>
          </w:tcPr>
          <w:p w14:paraId="13B55E5D" w14:textId="77777777" w:rsidR="00684D40" w:rsidRPr="000A7545" w:rsidRDefault="00684D40" w:rsidP="00AB06AB">
            <w:pPr>
              <w:spacing w:before="120"/>
              <w:rPr>
                <w:rFonts w:ascii="Arial Narrow" w:hAnsi="Arial Narrow"/>
                <w:sz w:val="20"/>
              </w:rPr>
            </w:pPr>
          </w:p>
        </w:tc>
        <w:tc>
          <w:tcPr>
            <w:tcW w:w="1415" w:type="pct"/>
            <w:tcBorders>
              <w:top w:val="nil"/>
              <w:left w:val="nil"/>
              <w:bottom w:val="single" w:sz="4" w:space="0" w:color="auto"/>
              <w:right w:val="single" w:sz="4" w:space="0" w:color="auto"/>
            </w:tcBorders>
            <w:shd w:val="clear" w:color="auto" w:fill="auto"/>
            <w:vAlign w:val="center"/>
            <w:hideMark/>
          </w:tcPr>
          <w:p w14:paraId="13B55E5E" w14:textId="77777777" w:rsidR="00684D40" w:rsidRPr="000A7545" w:rsidRDefault="00684D40" w:rsidP="00AB06AB">
            <w:pPr>
              <w:spacing w:before="120"/>
              <w:rPr>
                <w:rFonts w:ascii="Arial Narrow" w:hAnsi="Arial Narrow"/>
                <w:sz w:val="20"/>
              </w:rPr>
            </w:pPr>
            <w:r w:rsidRPr="000A7545">
              <w:rPr>
                <w:rFonts w:ascii="Arial Narrow" w:hAnsi="Arial Narrow"/>
                <w:sz w:val="20"/>
              </w:rPr>
              <w:t>Secondary Senior High School</w:t>
            </w:r>
          </w:p>
        </w:tc>
        <w:tc>
          <w:tcPr>
            <w:tcW w:w="749" w:type="pct"/>
            <w:tcBorders>
              <w:top w:val="nil"/>
              <w:left w:val="nil"/>
              <w:bottom w:val="single" w:sz="4" w:space="0" w:color="auto"/>
              <w:right w:val="single" w:sz="4" w:space="0" w:color="auto"/>
            </w:tcBorders>
            <w:shd w:val="clear" w:color="auto" w:fill="auto"/>
            <w:vAlign w:val="center"/>
            <w:hideMark/>
          </w:tcPr>
          <w:p w14:paraId="13B55E5F"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2</w:t>
            </w:r>
          </w:p>
        </w:tc>
        <w:tc>
          <w:tcPr>
            <w:tcW w:w="818" w:type="pct"/>
            <w:tcBorders>
              <w:top w:val="nil"/>
              <w:left w:val="nil"/>
              <w:bottom w:val="single" w:sz="4" w:space="0" w:color="auto"/>
              <w:right w:val="single" w:sz="4" w:space="0" w:color="auto"/>
            </w:tcBorders>
            <w:shd w:val="clear" w:color="auto" w:fill="auto"/>
            <w:vAlign w:val="center"/>
            <w:hideMark/>
          </w:tcPr>
          <w:p w14:paraId="13B55E60"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4</w:t>
            </w:r>
          </w:p>
        </w:tc>
        <w:tc>
          <w:tcPr>
            <w:tcW w:w="1125" w:type="pct"/>
            <w:tcBorders>
              <w:top w:val="nil"/>
              <w:left w:val="nil"/>
              <w:bottom w:val="single" w:sz="4" w:space="0" w:color="auto"/>
              <w:right w:val="single" w:sz="4" w:space="0" w:color="auto"/>
            </w:tcBorders>
            <w:shd w:val="clear" w:color="auto" w:fill="auto"/>
            <w:vAlign w:val="center"/>
            <w:hideMark/>
          </w:tcPr>
          <w:p w14:paraId="13B55E61"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6</w:t>
            </w:r>
          </w:p>
        </w:tc>
      </w:tr>
      <w:tr w:rsidR="00684D40" w:rsidRPr="000A7545" w14:paraId="13B55E68" w14:textId="77777777" w:rsidTr="00411E08">
        <w:trPr>
          <w:trHeight w:val="315"/>
          <w:jc w:val="center"/>
        </w:trPr>
        <w:tc>
          <w:tcPr>
            <w:tcW w:w="893" w:type="pct"/>
            <w:vMerge w:val="restart"/>
            <w:tcBorders>
              <w:top w:val="nil"/>
              <w:left w:val="single" w:sz="4" w:space="0" w:color="auto"/>
              <w:right w:val="single" w:sz="4" w:space="0" w:color="auto"/>
            </w:tcBorders>
            <w:shd w:val="clear" w:color="auto" w:fill="auto"/>
            <w:noWrap/>
            <w:vAlign w:val="center"/>
            <w:hideMark/>
          </w:tcPr>
          <w:p w14:paraId="13B55E63" w14:textId="77777777" w:rsidR="00684D40" w:rsidRPr="000A7545" w:rsidRDefault="00684D40" w:rsidP="00AB06AB">
            <w:pPr>
              <w:spacing w:before="120"/>
              <w:rPr>
                <w:rFonts w:ascii="Arial Narrow" w:hAnsi="Arial Narrow"/>
                <w:sz w:val="20"/>
              </w:rPr>
            </w:pPr>
            <w:r w:rsidRPr="000A7545">
              <w:rPr>
                <w:rFonts w:ascii="Arial Narrow" w:hAnsi="Arial Narrow"/>
                <w:sz w:val="20"/>
              </w:rPr>
              <w:t>Jayapura</w:t>
            </w:r>
          </w:p>
        </w:tc>
        <w:tc>
          <w:tcPr>
            <w:tcW w:w="1415" w:type="pct"/>
            <w:tcBorders>
              <w:top w:val="nil"/>
              <w:left w:val="nil"/>
              <w:bottom w:val="single" w:sz="4" w:space="0" w:color="auto"/>
              <w:right w:val="single" w:sz="4" w:space="0" w:color="auto"/>
            </w:tcBorders>
            <w:shd w:val="clear" w:color="auto" w:fill="auto"/>
            <w:vAlign w:val="center"/>
            <w:hideMark/>
          </w:tcPr>
          <w:p w14:paraId="13B55E64" w14:textId="77777777" w:rsidR="00684D40" w:rsidRPr="000A7545" w:rsidRDefault="00684D40" w:rsidP="00AB06AB">
            <w:pPr>
              <w:spacing w:before="120"/>
              <w:rPr>
                <w:rFonts w:ascii="Arial Narrow" w:hAnsi="Arial Narrow"/>
                <w:sz w:val="20"/>
              </w:rPr>
            </w:pPr>
            <w:r w:rsidRPr="000A7545">
              <w:rPr>
                <w:rFonts w:ascii="Arial Narrow" w:hAnsi="Arial Narrow"/>
                <w:sz w:val="20"/>
              </w:rPr>
              <w:t>Primary Schools (model Schools)</w:t>
            </w:r>
          </w:p>
        </w:tc>
        <w:tc>
          <w:tcPr>
            <w:tcW w:w="749" w:type="pct"/>
            <w:tcBorders>
              <w:top w:val="nil"/>
              <w:left w:val="nil"/>
              <w:bottom w:val="single" w:sz="4" w:space="0" w:color="auto"/>
              <w:right w:val="single" w:sz="4" w:space="0" w:color="auto"/>
            </w:tcBorders>
            <w:shd w:val="clear" w:color="auto" w:fill="auto"/>
            <w:vAlign w:val="center"/>
            <w:hideMark/>
          </w:tcPr>
          <w:p w14:paraId="13B55E65"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2</w:t>
            </w:r>
          </w:p>
        </w:tc>
        <w:tc>
          <w:tcPr>
            <w:tcW w:w="818" w:type="pct"/>
            <w:tcBorders>
              <w:top w:val="nil"/>
              <w:left w:val="nil"/>
              <w:bottom w:val="single" w:sz="4" w:space="0" w:color="auto"/>
              <w:right w:val="single" w:sz="4" w:space="0" w:color="auto"/>
            </w:tcBorders>
            <w:shd w:val="clear" w:color="auto" w:fill="auto"/>
            <w:vAlign w:val="center"/>
            <w:hideMark/>
          </w:tcPr>
          <w:p w14:paraId="13B55E66"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3</w:t>
            </w:r>
          </w:p>
        </w:tc>
        <w:tc>
          <w:tcPr>
            <w:tcW w:w="1125" w:type="pct"/>
            <w:tcBorders>
              <w:top w:val="nil"/>
              <w:left w:val="nil"/>
              <w:bottom w:val="single" w:sz="4" w:space="0" w:color="auto"/>
              <w:right w:val="single" w:sz="4" w:space="0" w:color="auto"/>
            </w:tcBorders>
            <w:shd w:val="clear" w:color="auto" w:fill="auto"/>
            <w:vAlign w:val="center"/>
            <w:hideMark/>
          </w:tcPr>
          <w:p w14:paraId="13B55E67"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5</w:t>
            </w:r>
          </w:p>
        </w:tc>
      </w:tr>
      <w:tr w:rsidR="00684D40" w:rsidRPr="000A7545" w14:paraId="13B55E6E" w14:textId="77777777" w:rsidTr="00411E08">
        <w:trPr>
          <w:trHeight w:val="315"/>
          <w:jc w:val="center"/>
        </w:trPr>
        <w:tc>
          <w:tcPr>
            <w:tcW w:w="893" w:type="pct"/>
            <w:vMerge/>
            <w:tcBorders>
              <w:left w:val="single" w:sz="4" w:space="0" w:color="auto"/>
              <w:right w:val="single" w:sz="4" w:space="0" w:color="auto"/>
            </w:tcBorders>
            <w:shd w:val="clear" w:color="auto" w:fill="auto"/>
            <w:noWrap/>
            <w:vAlign w:val="center"/>
            <w:hideMark/>
          </w:tcPr>
          <w:p w14:paraId="13B55E69" w14:textId="77777777" w:rsidR="00684D40" w:rsidRPr="000A7545" w:rsidRDefault="00684D40" w:rsidP="00AB06AB">
            <w:pPr>
              <w:spacing w:before="120"/>
              <w:rPr>
                <w:rFonts w:ascii="Arial Narrow" w:hAnsi="Arial Narrow"/>
                <w:sz w:val="20"/>
              </w:rPr>
            </w:pPr>
          </w:p>
        </w:tc>
        <w:tc>
          <w:tcPr>
            <w:tcW w:w="1415" w:type="pct"/>
            <w:tcBorders>
              <w:top w:val="nil"/>
              <w:left w:val="nil"/>
              <w:bottom w:val="single" w:sz="4" w:space="0" w:color="auto"/>
              <w:right w:val="single" w:sz="4" w:space="0" w:color="auto"/>
            </w:tcBorders>
            <w:shd w:val="clear" w:color="auto" w:fill="auto"/>
            <w:vAlign w:val="center"/>
            <w:hideMark/>
          </w:tcPr>
          <w:p w14:paraId="13B55E6A" w14:textId="77777777" w:rsidR="00684D40" w:rsidRPr="000A7545" w:rsidRDefault="00684D40" w:rsidP="00AB06AB">
            <w:pPr>
              <w:spacing w:before="120"/>
              <w:rPr>
                <w:rFonts w:ascii="Arial Narrow" w:hAnsi="Arial Narrow"/>
                <w:sz w:val="20"/>
              </w:rPr>
            </w:pPr>
            <w:r w:rsidRPr="000A7545">
              <w:rPr>
                <w:rFonts w:ascii="Arial Narrow" w:hAnsi="Arial Narrow"/>
                <w:sz w:val="20"/>
              </w:rPr>
              <w:t>Secondary Junior High School</w:t>
            </w:r>
          </w:p>
        </w:tc>
        <w:tc>
          <w:tcPr>
            <w:tcW w:w="749" w:type="pct"/>
            <w:tcBorders>
              <w:top w:val="nil"/>
              <w:left w:val="nil"/>
              <w:bottom w:val="single" w:sz="4" w:space="0" w:color="auto"/>
              <w:right w:val="single" w:sz="4" w:space="0" w:color="auto"/>
            </w:tcBorders>
            <w:shd w:val="clear" w:color="auto" w:fill="auto"/>
            <w:vAlign w:val="center"/>
            <w:hideMark/>
          </w:tcPr>
          <w:p w14:paraId="13B55E6B"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3</w:t>
            </w:r>
          </w:p>
        </w:tc>
        <w:tc>
          <w:tcPr>
            <w:tcW w:w="818" w:type="pct"/>
            <w:tcBorders>
              <w:top w:val="nil"/>
              <w:left w:val="nil"/>
              <w:bottom w:val="single" w:sz="4" w:space="0" w:color="auto"/>
              <w:right w:val="single" w:sz="4" w:space="0" w:color="auto"/>
            </w:tcBorders>
            <w:shd w:val="clear" w:color="auto" w:fill="auto"/>
            <w:vAlign w:val="center"/>
            <w:hideMark/>
          </w:tcPr>
          <w:p w14:paraId="13B55E6C"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1</w:t>
            </w:r>
          </w:p>
        </w:tc>
        <w:tc>
          <w:tcPr>
            <w:tcW w:w="1125" w:type="pct"/>
            <w:tcBorders>
              <w:top w:val="nil"/>
              <w:left w:val="nil"/>
              <w:bottom w:val="single" w:sz="4" w:space="0" w:color="auto"/>
              <w:right w:val="single" w:sz="4" w:space="0" w:color="auto"/>
            </w:tcBorders>
            <w:shd w:val="clear" w:color="auto" w:fill="auto"/>
            <w:vAlign w:val="center"/>
            <w:hideMark/>
          </w:tcPr>
          <w:p w14:paraId="13B55E6D"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4</w:t>
            </w:r>
          </w:p>
        </w:tc>
      </w:tr>
      <w:tr w:rsidR="00684D40" w:rsidRPr="000A7545" w14:paraId="13B55E74" w14:textId="77777777" w:rsidTr="00411E08">
        <w:trPr>
          <w:trHeight w:val="315"/>
          <w:jc w:val="center"/>
        </w:trPr>
        <w:tc>
          <w:tcPr>
            <w:tcW w:w="893" w:type="pct"/>
            <w:vMerge/>
            <w:tcBorders>
              <w:left w:val="single" w:sz="4" w:space="0" w:color="auto"/>
              <w:bottom w:val="single" w:sz="4" w:space="0" w:color="auto"/>
              <w:right w:val="single" w:sz="4" w:space="0" w:color="auto"/>
            </w:tcBorders>
            <w:shd w:val="clear" w:color="auto" w:fill="auto"/>
            <w:noWrap/>
            <w:vAlign w:val="center"/>
            <w:hideMark/>
          </w:tcPr>
          <w:p w14:paraId="13B55E6F" w14:textId="77777777" w:rsidR="00684D40" w:rsidRPr="000A7545" w:rsidRDefault="00684D40" w:rsidP="00AB06AB">
            <w:pPr>
              <w:spacing w:before="120"/>
              <w:rPr>
                <w:rFonts w:ascii="Arial Narrow" w:hAnsi="Arial Narrow"/>
                <w:sz w:val="20"/>
              </w:rPr>
            </w:pPr>
          </w:p>
        </w:tc>
        <w:tc>
          <w:tcPr>
            <w:tcW w:w="1415" w:type="pct"/>
            <w:tcBorders>
              <w:top w:val="nil"/>
              <w:left w:val="nil"/>
              <w:bottom w:val="single" w:sz="4" w:space="0" w:color="auto"/>
              <w:right w:val="single" w:sz="4" w:space="0" w:color="auto"/>
            </w:tcBorders>
            <w:shd w:val="clear" w:color="auto" w:fill="auto"/>
            <w:vAlign w:val="center"/>
            <w:hideMark/>
          </w:tcPr>
          <w:p w14:paraId="13B55E70" w14:textId="77777777" w:rsidR="00684D40" w:rsidRPr="000A7545" w:rsidRDefault="00684D40" w:rsidP="00AB06AB">
            <w:pPr>
              <w:spacing w:before="120"/>
              <w:rPr>
                <w:rFonts w:ascii="Arial Narrow" w:hAnsi="Arial Narrow"/>
                <w:sz w:val="20"/>
              </w:rPr>
            </w:pPr>
            <w:r w:rsidRPr="000A7545">
              <w:rPr>
                <w:rFonts w:ascii="Arial Narrow" w:hAnsi="Arial Narrow"/>
                <w:sz w:val="20"/>
              </w:rPr>
              <w:t>Secondary Senior High School</w:t>
            </w:r>
          </w:p>
        </w:tc>
        <w:tc>
          <w:tcPr>
            <w:tcW w:w="749" w:type="pct"/>
            <w:tcBorders>
              <w:top w:val="nil"/>
              <w:left w:val="nil"/>
              <w:bottom w:val="single" w:sz="4" w:space="0" w:color="auto"/>
              <w:right w:val="single" w:sz="4" w:space="0" w:color="auto"/>
            </w:tcBorders>
            <w:shd w:val="clear" w:color="auto" w:fill="auto"/>
            <w:vAlign w:val="center"/>
            <w:hideMark/>
          </w:tcPr>
          <w:p w14:paraId="13B55E71"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1</w:t>
            </w:r>
          </w:p>
        </w:tc>
        <w:tc>
          <w:tcPr>
            <w:tcW w:w="818" w:type="pct"/>
            <w:tcBorders>
              <w:top w:val="nil"/>
              <w:left w:val="nil"/>
              <w:bottom w:val="single" w:sz="4" w:space="0" w:color="auto"/>
              <w:right w:val="single" w:sz="4" w:space="0" w:color="auto"/>
            </w:tcBorders>
            <w:shd w:val="clear" w:color="auto" w:fill="auto"/>
            <w:vAlign w:val="center"/>
            <w:hideMark/>
          </w:tcPr>
          <w:p w14:paraId="13B55E72"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1</w:t>
            </w:r>
          </w:p>
        </w:tc>
        <w:tc>
          <w:tcPr>
            <w:tcW w:w="1125" w:type="pct"/>
            <w:tcBorders>
              <w:top w:val="nil"/>
              <w:left w:val="nil"/>
              <w:bottom w:val="single" w:sz="4" w:space="0" w:color="auto"/>
              <w:right w:val="single" w:sz="4" w:space="0" w:color="auto"/>
            </w:tcBorders>
            <w:shd w:val="clear" w:color="auto" w:fill="auto"/>
            <w:vAlign w:val="center"/>
            <w:hideMark/>
          </w:tcPr>
          <w:p w14:paraId="13B55E73"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2</w:t>
            </w:r>
          </w:p>
        </w:tc>
      </w:tr>
      <w:tr w:rsidR="00684D40" w:rsidRPr="000A7545" w14:paraId="13B55E7A" w14:textId="77777777" w:rsidTr="00411E08">
        <w:trPr>
          <w:trHeight w:val="315"/>
          <w:jc w:val="center"/>
        </w:trPr>
        <w:tc>
          <w:tcPr>
            <w:tcW w:w="893" w:type="pct"/>
            <w:vMerge w:val="restart"/>
            <w:tcBorders>
              <w:top w:val="single" w:sz="4" w:space="0" w:color="auto"/>
              <w:left w:val="single" w:sz="4" w:space="0" w:color="auto"/>
              <w:right w:val="single" w:sz="4" w:space="0" w:color="auto"/>
            </w:tcBorders>
            <w:shd w:val="clear" w:color="auto" w:fill="auto"/>
            <w:noWrap/>
            <w:vAlign w:val="center"/>
            <w:hideMark/>
          </w:tcPr>
          <w:p w14:paraId="13B55E75" w14:textId="77777777" w:rsidR="00684D40" w:rsidRPr="000A7545" w:rsidRDefault="00684D40" w:rsidP="00AB06AB">
            <w:pPr>
              <w:spacing w:before="120"/>
              <w:rPr>
                <w:rFonts w:ascii="Arial Narrow" w:hAnsi="Arial Narrow"/>
                <w:sz w:val="20"/>
              </w:rPr>
            </w:pPr>
            <w:r w:rsidRPr="000A7545">
              <w:rPr>
                <w:rFonts w:ascii="Arial Narrow" w:hAnsi="Arial Narrow"/>
                <w:sz w:val="20"/>
              </w:rPr>
              <w:t>Jayawijaya</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13B55E76" w14:textId="77777777" w:rsidR="00684D40" w:rsidRPr="000A7545" w:rsidRDefault="00684D40" w:rsidP="00AB06AB">
            <w:pPr>
              <w:spacing w:before="120"/>
              <w:rPr>
                <w:rFonts w:ascii="Arial Narrow" w:hAnsi="Arial Narrow"/>
                <w:sz w:val="20"/>
              </w:rPr>
            </w:pPr>
            <w:r w:rsidRPr="000A7545">
              <w:rPr>
                <w:rFonts w:ascii="Arial Narrow" w:hAnsi="Arial Narrow"/>
                <w:sz w:val="20"/>
              </w:rPr>
              <w:t>Primary Schools (model Schools)</w:t>
            </w:r>
          </w:p>
        </w:tc>
        <w:tc>
          <w:tcPr>
            <w:tcW w:w="749" w:type="pct"/>
            <w:tcBorders>
              <w:top w:val="single" w:sz="4" w:space="0" w:color="auto"/>
              <w:left w:val="nil"/>
              <w:bottom w:val="single" w:sz="4" w:space="0" w:color="auto"/>
              <w:right w:val="single" w:sz="4" w:space="0" w:color="auto"/>
            </w:tcBorders>
            <w:shd w:val="clear" w:color="auto" w:fill="auto"/>
            <w:vAlign w:val="center"/>
            <w:hideMark/>
          </w:tcPr>
          <w:p w14:paraId="13B55E77"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1</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13B55E78"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3</w:t>
            </w:r>
          </w:p>
        </w:tc>
        <w:tc>
          <w:tcPr>
            <w:tcW w:w="1125" w:type="pct"/>
            <w:tcBorders>
              <w:top w:val="single" w:sz="4" w:space="0" w:color="auto"/>
              <w:left w:val="nil"/>
              <w:bottom w:val="single" w:sz="4" w:space="0" w:color="auto"/>
              <w:right w:val="single" w:sz="4" w:space="0" w:color="auto"/>
            </w:tcBorders>
            <w:shd w:val="clear" w:color="auto" w:fill="auto"/>
            <w:vAlign w:val="center"/>
            <w:hideMark/>
          </w:tcPr>
          <w:p w14:paraId="13B55E79"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4</w:t>
            </w:r>
          </w:p>
        </w:tc>
      </w:tr>
      <w:tr w:rsidR="00684D40" w:rsidRPr="000A7545" w14:paraId="13B55E80" w14:textId="77777777" w:rsidTr="00411E08">
        <w:trPr>
          <w:trHeight w:val="315"/>
          <w:jc w:val="center"/>
        </w:trPr>
        <w:tc>
          <w:tcPr>
            <w:tcW w:w="893" w:type="pct"/>
            <w:vMerge/>
            <w:tcBorders>
              <w:left w:val="single" w:sz="4" w:space="0" w:color="auto"/>
              <w:right w:val="single" w:sz="4" w:space="0" w:color="auto"/>
            </w:tcBorders>
            <w:shd w:val="clear" w:color="auto" w:fill="auto"/>
            <w:noWrap/>
            <w:vAlign w:val="center"/>
            <w:hideMark/>
          </w:tcPr>
          <w:p w14:paraId="13B55E7B" w14:textId="77777777" w:rsidR="00684D40" w:rsidRPr="000A7545" w:rsidRDefault="00684D40" w:rsidP="00AB06AB">
            <w:pPr>
              <w:spacing w:before="120"/>
              <w:rPr>
                <w:rFonts w:ascii="Arial Narrow" w:hAnsi="Arial Narrow"/>
                <w:sz w:val="20"/>
              </w:rPr>
            </w:pPr>
          </w:p>
        </w:tc>
        <w:tc>
          <w:tcPr>
            <w:tcW w:w="1415" w:type="pct"/>
            <w:tcBorders>
              <w:top w:val="nil"/>
              <w:left w:val="nil"/>
              <w:bottom w:val="single" w:sz="4" w:space="0" w:color="auto"/>
              <w:right w:val="single" w:sz="4" w:space="0" w:color="auto"/>
            </w:tcBorders>
            <w:shd w:val="clear" w:color="auto" w:fill="auto"/>
            <w:vAlign w:val="center"/>
            <w:hideMark/>
          </w:tcPr>
          <w:p w14:paraId="13B55E7C" w14:textId="77777777" w:rsidR="00684D40" w:rsidRPr="000A7545" w:rsidRDefault="00684D40" w:rsidP="00AB06AB">
            <w:pPr>
              <w:spacing w:before="120"/>
              <w:rPr>
                <w:rFonts w:ascii="Arial Narrow" w:hAnsi="Arial Narrow"/>
                <w:sz w:val="20"/>
              </w:rPr>
            </w:pPr>
            <w:r w:rsidRPr="000A7545">
              <w:rPr>
                <w:rFonts w:ascii="Arial Narrow" w:hAnsi="Arial Narrow"/>
                <w:sz w:val="20"/>
              </w:rPr>
              <w:t>Secondary Junior High School</w:t>
            </w:r>
          </w:p>
        </w:tc>
        <w:tc>
          <w:tcPr>
            <w:tcW w:w="749" w:type="pct"/>
            <w:tcBorders>
              <w:top w:val="nil"/>
              <w:left w:val="nil"/>
              <w:bottom w:val="single" w:sz="4" w:space="0" w:color="auto"/>
              <w:right w:val="single" w:sz="4" w:space="0" w:color="auto"/>
            </w:tcBorders>
            <w:shd w:val="clear" w:color="auto" w:fill="auto"/>
            <w:vAlign w:val="center"/>
            <w:hideMark/>
          </w:tcPr>
          <w:p w14:paraId="13B55E7D"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1</w:t>
            </w:r>
          </w:p>
        </w:tc>
        <w:tc>
          <w:tcPr>
            <w:tcW w:w="818" w:type="pct"/>
            <w:tcBorders>
              <w:top w:val="nil"/>
              <w:left w:val="nil"/>
              <w:bottom w:val="single" w:sz="4" w:space="0" w:color="auto"/>
              <w:right w:val="single" w:sz="4" w:space="0" w:color="auto"/>
            </w:tcBorders>
            <w:shd w:val="clear" w:color="auto" w:fill="auto"/>
            <w:vAlign w:val="center"/>
            <w:hideMark/>
          </w:tcPr>
          <w:p w14:paraId="13B55E7E"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3</w:t>
            </w:r>
          </w:p>
        </w:tc>
        <w:tc>
          <w:tcPr>
            <w:tcW w:w="1125" w:type="pct"/>
            <w:tcBorders>
              <w:top w:val="nil"/>
              <w:left w:val="nil"/>
              <w:bottom w:val="single" w:sz="4" w:space="0" w:color="auto"/>
              <w:right w:val="single" w:sz="4" w:space="0" w:color="auto"/>
            </w:tcBorders>
            <w:shd w:val="clear" w:color="auto" w:fill="auto"/>
            <w:vAlign w:val="center"/>
            <w:hideMark/>
          </w:tcPr>
          <w:p w14:paraId="13B55E7F"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4</w:t>
            </w:r>
          </w:p>
        </w:tc>
      </w:tr>
      <w:tr w:rsidR="00684D40" w:rsidRPr="000A7545" w14:paraId="13B55E86" w14:textId="77777777" w:rsidTr="00411E08">
        <w:trPr>
          <w:trHeight w:val="315"/>
          <w:jc w:val="center"/>
        </w:trPr>
        <w:tc>
          <w:tcPr>
            <w:tcW w:w="893" w:type="pct"/>
            <w:vMerge/>
            <w:tcBorders>
              <w:left w:val="single" w:sz="4" w:space="0" w:color="auto"/>
              <w:bottom w:val="single" w:sz="4" w:space="0" w:color="auto"/>
              <w:right w:val="single" w:sz="4" w:space="0" w:color="auto"/>
            </w:tcBorders>
            <w:shd w:val="clear" w:color="auto" w:fill="auto"/>
            <w:noWrap/>
            <w:vAlign w:val="center"/>
            <w:hideMark/>
          </w:tcPr>
          <w:p w14:paraId="13B55E81" w14:textId="77777777" w:rsidR="00684D40" w:rsidRPr="000A7545" w:rsidRDefault="00684D40" w:rsidP="00AB06AB">
            <w:pPr>
              <w:spacing w:before="120"/>
              <w:rPr>
                <w:rFonts w:ascii="Arial Narrow" w:hAnsi="Arial Narrow"/>
                <w:sz w:val="20"/>
              </w:rPr>
            </w:pPr>
          </w:p>
        </w:tc>
        <w:tc>
          <w:tcPr>
            <w:tcW w:w="1415" w:type="pct"/>
            <w:tcBorders>
              <w:top w:val="nil"/>
              <w:left w:val="nil"/>
              <w:bottom w:val="single" w:sz="4" w:space="0" w:color="auto"/>
              <w:right w:val="single" w:sz="4" w:space="0" w:color="auto"/>
            </w:tcBorders>
            <w:shd w:val="clear" w:color="auto" w:fill="auto"/>
            <w:vAlign w:val="center"/>
            <w:hideMark/>
          </w:tcPr>
          <w:p w14:paraId="13B55E82" w14:textId="77777777" w:rsidR="00684D40" w:rsidRPr="000A7545" w:rsidRDefault="00684D40" w:rsidP="00AB06AB">
            <w:pPr>
              <w:spacing w:before="120"/>
              <w:rPr>
                <w:rFonts w:ascii="Arial Narrow" w:hAnsi="Arial Narrow"/>
                <w:sz w:val="20"/>
              </w:rPr>
            </w:pPr>
            <w:r w:rsidRPr="000A7545">
              <w:rPr>
                <w:rFonts w:ascii="Arial Narrow" w:hAnsi="Arial Narrow"/>
                <w:sz w:val="20"/>
              </w:rPr>
              <w:t>Secondary Senior High School</w:t>
            </w:r>
          </w:p>
        </w:tc>
        <w:tc>
          <w:tcPr>
            <w:tcW w:w="749" w:type="pct"/>
            <w:tcBorders>
              <w:top w:val="nil"/>
              <w:left w:val="nil"/>
              <w:bottom w:val="single" w:sz="4" w:space="0" w:color="auto"/>
              <w:right w:val="single" w:sz="4" w:space="0" w:color="auto"/>
            </w:tcBorders>
            <w:shd w:val="clear" w:color="auto" w:fill="auto"/>
            <w:vAlign w:val="center"/>
            <w:hideMark/>
          </w:tcPr>
          <w:p w14:paraId="13B55E83"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1</w:t>
            </w:r>
          </w:p>
        </w:tc>
        <w:tc>
          <w:tcPr>
            <w:tcW w:w="818" w:type="pct"/>
            <w:tcBorders>
              <w:top w:val="nil"/>
              <w:left w:val="nil"/>
              <w:bottom w:val="single" w:sz="4" w:space="0" w:color="auto"/>
              <w:right w:val="single" w:sz="4" w:space="0" w:color="auto"/>
            </w:tcBorders>
            <w:shd w:val="clear" w:color="auto" w:fill="auto"/>
            <w:vAlign w:val="center"/>
            <w:hideMark/>
          </w:tcPr>
          <w:p w14:paraId="13B55E84"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3</w:t>
            </w:r>
          </w:p>
        </w:tc>
        <w:tc>
          <w:tcPr>
            <w:tcW w:w="1125" w:type="pct"/>
            <w:tcBorders>
              <w:top w:val="nil"/>
              <w:left w:val="nil"/>
              <w:bottom w:val="single" w:sz="4" w:space="0" w:color="auto"/>
              <w:right w:val="single" w:sz="4" w:space="0" w:color="auto"/>
            </w:tcBorders>
            <w:shd w:val="clear" w:color="auto" w:fill="auto"/>
            <w:vAlign w:val="center"/>
            <w:hideMark/>
          </w:tcPr>
          <w:p w14:paraId="13B55E85"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4</w:t>
            </w:r>
          </w:p>
        </w:tc>
      </w:tr>
      <w:tr w:rsidR="00684D40" w:rsidRPr="000A7545" w14:paraId="13B55E88" w14:textId="77777777" w:rsidTr="00411E08">
        <w:trPr>
          <w:trHeight w:val="315"/>
          <w:jc w:val="center"/>
        </w:trPr>
        <w:tc>
          <w:tcPr>
            <w:tcW w:w="4999"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3B55E87" w14:textId="77777777" w:rsidR="00684D40" w:rsidRPr="000A7545" w:rsidRDefault="00684D40" w:rsidP="00AB06AB">
            <w:pPr>
              <w:spacing w:before="120"/>
              <w:rPr>
                <w:rFonts w:ascii="Arial Narrow" w:hAnsi="Arial Narrow"/>
                <w:b/>
                <w:sz w:val="20"/>
              </w:rPr>
            </w:pPr>
            <w:r w:rsidRPr="000A7545">
              <w:rPr>
                <w:rFonts w:ascii="Arial Narrow" w:hAnsi="Arial Narrow"/>
                <w:b/>
                <w:sz w:val="20"/>
              </w:rPr>
              <w:t>West Papua</w:t>
            </w:r>
          </w:p>
        </w:tc>
      </w:tr>
      <w:tr w:rsidR="00684D40" w:rsidRPr="000A7545" w14:paraId="13B55E8E" w14:textId="77777777" w:rsidTr="00411E08">
        <w:trPr>
          <w:trHeight w:val="315"/>
          <w:jc w:val="center"/>
        </w:trPr>
        <w:tc>
          <w:tcPr>
            <w:tcW w:w="893" w:type="pct"/>
            <w:vMerge w:val="restart"/>
            <w:tcBorders>
              <w:top w:val="nil"/>
              <w:left w:val="single" w:sz="4" w:space="0" w:color="auto"/>
              <w:right w:val="single" w:sz="4" w:space="0" w:color="auto"/>
            </w:tcBorders>
            <w:shd w:val="clear" w:color="auto" w:fill="auto"/>
            <w:noWrap/>
            <w:vAlign w:val="center"/>
            <w:hideMark/>
          </w:tcPr>
          <w:p w14:paraId="13B55E89" w14:textId="77777777" w:rsidR="00684D40" w:rsidRPr="000A7545" w:rsidRDefault="00684D40" w:rsidP="00AB06AB">
            <w:pPr>
              <w:spacing w:before="120"/>
              <w:rPr>
                <w:rFonts w:ascii="Arial Narrow" w:hAnsi="Arial Narrow"/>
                <w:sz w:val="20"/>
              </w:rPr>
            </w:pPr>
            <w:r w:rsidRPr="000A7545">
              <w:rPr>
                <w:rFonts w:ascii="Arial Narrow" w:hAnsi="Arial Narrow"/>
                <w:sz w:val="20"/>
              </w:rPr>
              <w:t>Sorong</w:t>
            </w:r>
          </w:p>
        </w:tc>
        <w:tc>
          <w:tcPr>
            <w:tcW w:w="1415" w:type="pct"/>
            <w:tcBorders>
              <w:top w:val="nil"/>
              <w:left w:val="nil"/>
              <w:bottom w:val="single" w:sz="4" w:space="0" w:color="auto"/>
              <w:right w:val="single" w:sz="4" w:space="0" w:color="auto"/>
            </w:tcBorders>
            <w:shd w:val="clear" w:color="auto" w:fill="auto"/>
            <w:vAlign w:val="center"/>
            <w:hideMark/>
          </w:tcPr>
          <w:p w14:paraId="13B55E8A" w14:textId="77777777" w:rsidR="00684D40" w:rsidRPr="000A7545" w:rsidRDefault="00684D40" w:rsidP="00AB06AB">
            <w:pPr>
              <w:spacing w:before="120"/>
              <w:rPr>
                <w:rFonts w:ascii="Arial Narrow" w:hAnsi="Arial Narrow"/>
                <w:sz w:val="20"/>
              </w:rPr>
            </w:pPr>
            <w:r w:rsidRPr="000A7545">
              <w:rPr>
                <w:rFonts w:ascii="Arial Narrow" w:hAnsi="Arial Narrow"/>
                <w:sz w:val="20"/>
              </w:rPr>
              <w:t>Primary Schools (model Schools)</w:t>
            </w:r>
          </w:p>
        </w:tc>
        <w:tc>
          <w:tcPr>
            <w:tcW w:w="749" w:type="pct"/>
            <w:tcBorders>
              <w:top w:val="nil"/>
              <w:left w:val="nil"/>
              <w:bottom w:val="single" w:sz="4" w:space="0" w:color="auto"/>
              <w:right w:val="single" w:sz="4" w:space="0" w:color="auto"/>
            </w:tcBorders>
            <w:shd w:val="clear" w:color="auto" w:fill="auto"/>
            <w:vAlign w:val="center"/>
            <w:hideMark/>
          </w:tcPr>
          <w:p w14:paraId="13B55E8B"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5</w:t>
            </w:r>
          </w:p>
        </w:tc>
        <w:tc>
          <w:tcPr>
            <w:tcW w:w="818" w:type="pct"/>
            <w:tcBorders>
              <w:top w:val="nil"/>
              <w:left w:val="nil"/>
              <w:bottom w:val="single" w:sz="4" w:space="0" w:color="auto"/>
              <w:right w:val="single" w:sz="4" w:space="0" w:color="auto"/>
            </w:tcBorders>
            <w:shd w:val="clear" w:color="auto" w:fill="auto"/>
            <w:vAlign w:val="center"/>
            <w:hideMark/>
          </w:tcPr>
          <w:p w14:paraId="13B55E8C"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1</w:t>
            </w:r>
          </w:p>
        </w:tc>
        <w:tc>
          <w:tcPr>
            <w:tcW w:w="1126" w:type="pct"/>
            <w:tcBorders>
              <w:top w:val="nil"/>
              <w:left w:val="nil"/>
              <w:bottom w:val="single" w:sz="4" w:space="0" w:color="auto"/>
              <w:right w:val="single" w:sz="4" w:space="0" w:color="auto"/>
            </w:tcBorders>
            <w:shd w:val="clear" w:color="auto" w:fill="auto"/>
            <w:vAlign w:val="center"/>
            <w:hideMark/>
          </w:tcPr>
          <w:p w14:paraId="13B55E8D"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6</w:t>
            </w:r>
          </w:p>
        </w:tc>
      </w:tr>
      <w:tr w:rsidR="00684D40" w:rsidRPr="000A7545" w14:paraId="13B55E94" w14:textId="77777777" w:rsidTr="00411E08">
        <w:trPr>
          <w:trHeight w:val="315"/>
          <w:jc w:val="center"/>
        </w:trPr>
        <w:tc>
          <w:tcPr>
            <w:tcW w:w="893" w:type="pct"/>
            <w:vMerge/>
            <w:tcBorders>
              <w:left w:val="single" w:sz="4" w:space="0" w:color="auto"/>
              <w:right w:val="single" w:sz="4" w:space="0" w:color="auto"/>
            </w:tcBorders>
            <w:shd w:val="clear" w:color="auto" w:fill="auto"/>
            <w:noWrap/>
            <w:vAlign w:val="center"/>
            <w:hideMark/>
          </w:tcPr>
          <w:p w14:paraId="13B55E8F" w14:textId="77777777" w:rsidR="00684D40" w:rsidRPr="000A7545" w:rsidRDefault="00684D40" w:rsidP="00AB06AB">
            <w:pPr>
              <w:spacing w:before="120"/>
              <w:rPr>
                <w:rFonts w:ascii="Arial Narrow" w:hAnsi="Arial Narrow"/>
                <w:sz w:val="20"/>
              </w:rPr>
            </w:pPr>
          </w:p>
        </w:tc>
        <w:tc>
          <w:tcPr>
            <w:tcW w:w="1415" w:type="pct"/>
            <w:tcBorders>
              <w:top w:val="nil"/>
              <w:left w:val="nil"/>
              <w:bottom w:val="single" w:sz="4" w:space="0" w:color="auto"/>
              <w:right w:val="single" w:sz="4" w:space="0" w:color="auto"/>
            </w:tcBorders>
            <w:shd w:val="clear" w:color="auto" w:fill="auto"/>
            <w:vAlign w:val="center"/>
            <w:hideMark/>
          </w:tcPr>
          <w:p w14:paraId="13B55E90" w14:textId="77777777" w:rsidR="00684D40" w:rsidRPr="000A7545" w:rsidRDefault="00684D40" w:rsidP="00AB06AB">
            <w:pPr>
              <w:spacing w:before="120"/>
              <w:rPr>
                <w:rFonts w:ascii="Arial Narrow" w:hAnsi="Arial Narrow"/>
                <w:sz w:val="20"/>
              </w:rPr>
            </w:pPr>
            <w:r w:rsidRPr="000A7545">
              <w:rPr>
                <w:rFonts w:ascii="Arial Narrow" w:hAnsi="Arial Narrow"/>
                <w:sz w:val="20"/>
              </w:rPr>
              <w:t>Secondary Junior High School</w:t>
            </w:r>
          </w:p>
        </w:tc>
        <w:tc>
          <w:tcPr>
            <w:tcW w:w="749" w:type="pct"/>
            <w:tcBorders>
              <w:top w:val="nil"/>
              <w:left w:val="nil"/>
              <w:bottom w:val="single" w:sz="4" w:space="0" w:color="auto"/>
              <w:right w:val="single" w:sz="4" w:space="0" w:color="auto"/>
            </w:tcBorders>
            <w:shd w:val="clear" w:color="auto" w:fill="auto"/>
            <w:vAlign w:val="center"/>
            <w:hideMark/>
          </w:tcPr>
          <w:p w14:paraId="13B55E91"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3</w:t>
            </w:r>
          </w:p>
        </w:tc>
        <w:tc>
          <w:tcPr>
            <w:tcW w:w="818" w:type="pct"/>
            <w:tcBorders>
              <w:top w:val="nil"/>
              <w:left w:val="nil"/>
              <w:bottom w:val="single" w:sz="4" w:space="0" w:color="auto"/>
              <w:right w:val="single" w:sz="4" w:space="0" w:color="auto"/>
            </w:tcBorders>
            <w:shd w:val="clear" w:color="auto" w:fill="auto"/>
            <w:vAlign w:val="center"/>
            <w:hideMark/>
          </w:tcPr>
          <w:p w14:paraId="13B55E92"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2</w:t>
            </w:r>
          </w:p>
        </w:tc>
        <w:tc>
          <w:tcPr>
            <w:tcW w:w="1126" w:type="pct"/>
            <w:tcBorders>
              <w:top w:val="nil"/>
              <w:left w:val="nil"/>
              <w:bottom w:val="single" w:sz="4" w:space="0" w:color="auto"/>
              <w:right w:val="single" w:sz="4" w:space="0" w:color="auto"/>
            </w:tcBorders>
            <w:shd w:val="clear" w:color="auto" w:fill="auto"/>
            <w:vAlign w:val="center"/>
            <w:hideMark/>
          </w:tcPr>
          <w:p w14:paraId="13B55E93"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5</w:t>
            </w:r>
          </w:p>
        </w:tc>
      </w:tr>
      <w:tr w:rsidR="00684D40" w:rsidRPr="000A7545" w14:paraId="13B55E9A" w14:textId="77777777" w:rsidTr="00411E08">
        <w:trPr>
          <w:trHeight w:val="315"/>
          <w:jc w:val="center"/>
        </w:trPr>
        <w:tc>
          <w:tcPr>
            <w:tcW w:w="893" w:type="pct"/>
            <w:vMerge/>
            <w:tcBorders>
              <w:left w:val="single" w:sz="4" w:space="0" w:color="auto"/>
              <w:bottom w:val="single" w:sz="4" w:space="0" w:color="auto"/>
              <w:right w:val="single" w:sz="4" w:space="0" w:color="auto"/>
            </w:tcBorders>
            <w:shd w:val="clear" w:color="auto" w:fill="auto"/>
            <w:noWrap/>
            <w:vAlign w:val="center"/>
            <w:hideMark/>
          </w:tcPr>
          <w:p w14:paraId="13B55E95" w14:textId="77777777" w:rsidR="00684D40" w:rsidRPr="000A7545" w:rsidRDefault="00684D40" w:rsidP="00AB06AB">
            <w:pPr>
              <w:spacing w:before="120"/>
              <w:rPr>
                <w:rFonts w:ascii="Arial Narrow" w:hAnsi="Arial Narrow"/>
                <w:sz w:val="20"/>
              </w:rPr>
            </w:pPr>
          </w:p>
        </w:tc>
        <w:tc>
          <w:tcPr>
            <w:tcW w:w="1415" w:type="pct"/>
            <w:tcBorders>
              <w:top w:val="nil"/>
              <w:left w:val="nil"/>
              <w:bottom w:val="single" w:sz="4" w:space="0" w:color="auto"/>
              <w:right w:val="single" w:sz="4" w:space="0" w:color="auto"/>
            </w:tcBorders>
            <w:shd w:val="clear" w:color="auto" w:fill="auto"/>
            <w:vAlign w:val="center"/>
            <w:hideMark/>
          </w:tcPr>
          <w:p w14:paraId="13B55E96" w14:textId="77777777" w:rsidR="00684D40" w:rsidRPr="000A7545" w:rsidRDefault="00684D40" w:rsidP="00AB06AB">
            <w:pPr>
              <w:spacing w:before="120"/>
              <w:rPr>
                <w:rFonts w:ascii="Arial Narrow" w:hAnsi="Arial Narrow"/>
                <w:sz w:val="20"/>
              </w:rPr>
            </w:pPr>
            <w:r w:rsidRPr="000A7545">
              <w:rPr>
                <w:rFonts w:ascii="Arial Narrow" w:hAnsi="Arial Narrow"/>
                <w:sz w:val="20"/>
              </w:rPr>
              <w:t>Secondary Senior High School</w:t>
            </w:r>
          </w:p>
        </w:tc>
        <w:tc>
          <w:tcPr>
            <w:tcW w:w="749" w:type="pct"/>
            <w:tcBorders>
              <w:top w:val="nil"/>
              <w:left w:val="nil"/>
              <w:bottom w:val="single" w:sz="4" w:space="0" w:color="auto"/>
              <w:right w:val="single" w:sz="4" w:space="0" w:color="auto"/>
            </w:tcBorders>
            <w:shd w:val="clear" w:color="auto" w:fill="auto"/>
            <w:vAlign w:val="center"/>
            <w:hideMark/>
          </w:tcPr>
          <w:p w14:paraId="13B55E97"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1</w:t>
            </w:r>
          </w:p>
        </w:tc>
        <w:tc>
          <w:tcPr>
            <w:tcW w:w="818" w:type="pct"/>
            <w:tcBorders>
              <w:top w:val="nil"/>
              <w:left w:val="nil"/>
              <w:bottom w:val="single" w:sz="4" w:space="0" w:color="auto"/>
              <w:right w:val="single" w:sz="4" w:space="0" w:color="auto"/>
            </w:tcBorders>
            <w:shd w:val="clear" w:color="auto" w:fill="auto"/>
            <w:vAlign w:val="center"/>
            <w:hideMark/>
          </w:tcPr>
          <w:p w14:paraId="13B55E98"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4</w:t>
            </w:r>
          </w:p>
        </w:tc>
        <w:tc>
          <w:tcPr>
            <w:tcW w:w="1126" w:type="pct"/>
            <w:tcBorders>
              <w:top w:val="nil"/>
              <w:left w:val="nil"/>
              <w:bottom w:val="single" w:sz="4" w:space="0" w:color="auto"/>
              <w:right w:val="single" w:sz="4" w:space="0" w:color="auto"/>
            </w:tcBorders>
            <w:shd w:val="clear" w:color="auto" w:fill="auto"/>
            <w:vAlign w:val="center"/>
            <w:hideMark/>
          </w:tcPr>
          <w:p w14:paraId="13B55E99"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5</w:t>
            </w:r>
          </w:p>
        </w:tc>
      </w:tr>
      <w:tr w:rsidR="00684D40" w:rsidRPr="000A7545" w14:paraId="13B55EA0" w14:textId="77777777" w:rsidTr="00411E08">
        <w:trPr>
          <w:trHeight w:val="315"/>
          <w:jc w:val="center"/>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13B55E9B" w14:textId="77777777" w:rsidR="00684D40" w:rsidRPr="000A7545" w:rsidRDefault="00684D40" w:rsidP="00AB06AB">
            <w:pPr>
              <w:spacing w:before="120"/>
              <w:rPr>
                <w:rFonts w:ascii="Arial Narrow" w:hAnsi="Arial Narrow"/>
                <w:sz w:val="20"/>
              </w:rPr>
            </w:pPr>
          </w:p>
        </w:tc>
        <w:tc>
          <w:tcPr>
            <w:tcW w:w="1415" w:type="pct"/>
            <w:tcBorders>
              <w:top w:val="nil"/>
              <w:left w:val="nil"/>
              <w:bottom w:val="single" w:sz="4" w:space="0" w:color="auto"/>
              <w:right w:val="single" w:sz="4" w:space="0" w:color="auto"/>
            </w:tcBorders>
            <w:shd w:val="clear" w:color="auto" w:fill="auto"/>
            <w:vAlign w:val="center"/>
            <w:hideMark/>
          </w:tcPr>
          <w:p w14:paraId="13B55E9C" w14:textId="77777777" w:rsidR="00684D40" w:rsidRPr="000A7545" w:rsidRDefault="00684D40" w:rsidP="00AB06AB">
            <w:pPr>
              <w:spacing w:before="120"/>
              <w:rPr>
                <w:rFonts w:ascii="Arial Narrow" w:hAnsi="Arial Narrow"/>
                <w:sz w:val="20"/>
              </w:rPr>
            </w:pPr>
            <w:r w:rsidRPr="000A7545">
              <w:rPr>
                <w:rFonts w:ascii="Arial Narrow" w:hAnsi="Arial Narrow"/>
                <w:sz w:val="20"/>
              </w:rPr>
              <w:t>Total</w:t>
            </w:r>
          </w:p>
        </w:tc>
        <w:tc>
          <w:tcPr>
            <w:tcW w:w="749" w:type="pct"/>
            <w:tcBorders>
              <w:top w:val="nil"/>
              <w:left w:val="nil"/>
              <w:bottom w:val="single" w:sz="4" w:space="0" w:color="auto"/>
              <w:right w:val="single" w:sz="4" w:space="0" w:color="auto"/>
            </w:tcBorders>
            <w:shd w:val="clear" w:color="auto" w:fill="auto"/>
            <w:vAlign w:val="center"/>
            <w:hideMark/>
          </w:tcPr>
          <w:p w14:paraId="13B55E9D"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26</w:t>
            </w:r>
          </w:p>
        </w:tc>
        <w:tc>
          <w:tcPr>
            <w:tcW w:w="818" w:type="pct"/>
            <w:tcBorders>
              <w:top w:val="nil"/>
              <w:left w:val="nil"/>
              <w:bottom w:val="single" w:sz="4" w:space="0" w:color="auto"/>
              <w:right w:val="single" w:sz="4" w:space="0" w:color="auto"/>
            </w:tcBorders>
            <w:shd w:val="clear" w:color="auto" w:fill="auto"/>
            <w:vAlign w:val="center"/>
            <w:hideMark/>
          </w:tcPr>
          <w:p w14:paraId="13B55E9E"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30</w:t>
            </w:r>
          </w:p>
        </w:tc>
        <w:tc>
          <w:tcPr>
            <w:tcW w:w="1126" w:type="pct"/>
            <w:tcBorders>
              <w:top w:val="nil"/>
              <w:left w:val="nil"/>
              <w:bottom w:val="single" w:sz="4" w:space="0" w:color="auto"/>
              <w:right w:val="single" w:sz="4" w:space="0" w:color="auto"/>
            </w:tcBorders>
            <w:shd w:val="clear" w:color="auto" w:fill="auto"/>
            <w:vAlign w:val="center"/>
            <w:hideMark/>
          </w:tcPr>
          <w:p w14:paraId="13B55E9F" w14:textId="77777777" w:rsidR="00684D40" w:rsidRPr="000A7545" w:rsidRDefault="00684D40" w:rsidP="00AB06AB">
            <w:pPr>
              <w:spacing w:before="120"/>
              <w:jc w:val="right"/>
              <w:rPr>
                <w:rFonts w:ascii="Arial Narrow" w:hAnsi="Arial Narrow"/>
                <w:sz w:val="20"/>
              </w:rPr>
            </w:pPr>
            <w:r w:rsidRPr="000A7545">
              <w:rPr>
                <w:rFonts w:ascii="Arial Narrow" w:hAnsi="Arial Narrow"/>
                <w:sz w:val="20"/>
              </w:rPr>
              <w:t>56</w:t>
            </w:r>
          </w:p>
        </w:tc>
      </w:tr>
    </w:tbl>
    <w:p w14:paraId="13B55EA1" w14:textId="77777777" w:rsidR="003F3645" w:rsidRPr="000A7545" w:rsidRDefault="003F3645" w:rsidP="00411E08">
      <w:pPr>
        <w:spacing w:after="0"/>
        <w:ind w:left="1440"/>
        <w:rPr>
          <w:rFonts w:ascii="Arial Narrow" w:hAnsi="Arial Narrow" w:cs="Arial"/>
          <w:bCs/>
          <w:i/>
          <w:iCs/>
          <w:color w:val="000000"/>
          <w:sz w:val="20"/>
          <w:szCs w:val="18"/>
        </w:rPr>
      </w:pPr>
      <w:r w:rsidRPr="000A7545">
        <w:rPr>
          <w:rFonts w:ascii="Arial Narrow" w:hAnsi="Arial Narrow" w:cs="Arial"/>
          <w:i/>
          <w:iCs/>
          <w:color w:val="000000"/>
          <w:sz w:val="20"/>
          <w:szCs w:val="18"/>
        </w:rPr>
        <w:t>* Data is currently being collected</w:t>
      </w:r>
    </w:p>
    <w:p w14:paraId="13B55EA2" w14:textId="77777777" w:rsidR="003F3645" w:rsidRPr="000A7545" w:rsidRDefault="003F3645" w:rsidP="00411E08">
      <w:pPr>
        <w:ind w:left="1440"/>
        <w:rPr>
          <w:rFonts w:ascii="Arial Narrow" w:hAnsi="Arial Narrow" w:cs="Arial"/>
          <w:bCs/>
          <w:i/>
          <w:iCs/>
          <w:color w:val="000000"/>
          <w:sz w:val="20"/>
          <w:szCs w:val="18"/>
        </w:rPr>
      </w:pPr>
      <w:r w:rsidRPr="000A7545">
        <w:rPr>
          <w:rFonts w:ascii="Arial Narrow" w:hAnsi="Arial Narrow" w:cs="Arial"/>
          <w:i/>
          <w:iCs/>
          <w:color w:val="000000"/>
          <w:sz w:val="20"/>
          <w:szCs w:val="18"/>
        </w:rPr>
        <w:t>** Available data only for four schools so far</w:t>
      </w:r>
    </w:p>
    <w:p w14:paraId="13B55EA3" w14:textId="77777777" w:rsidR="003F3645" w:rsidRPr="000A7545" w:rsidRDefault="003F3645" w:rsidP="003F3645"/>
    <w:p w14:paraId="13B55EA4" w14:textId="77777777" w:rsidR="007C578C" w:rsidRPr="000A7545" w:rsidRDefault="007C578C" w:rsidP="007C578C">
      <w:pPr>
        <w:pStyle w:val="Heading1"/>
      </w:pPr>
      <w:bookmarkStart w:id="84" w:name="_Toc322702779"/>
      <w:r w:rsidRPr="000A7545">
        <w:t>Future Work Plan</w:t>
      </w:r>
      <w:bookmarkEnd w:id="63"/>
      <w:bookmarkEnd w:id="64"/>
      <w:bookmarkEnd w:id="65"/>
      <w:bookmarkEnd w:id="84"/>
    </w:p>
    <w:p w14:paraId="13B55EA5" w14:textId="77777777" w:rsidR="00A667A4" w:rsidRDefault="00A667A4" w:rsidP="00A667A4">
      <w:pPr>
        <w:pStyle w:val="Heading2"/>
      </w:pPr>
      <w:r>
        <w:t>AusAID</w:t>
      </w:r>
    </w:p>
    <w:p w14:paraId="13B55EA6" w14:textId="77777777" w:rsidR="00A667A4" w:rsidRDefault="00A667A4" w:rsidP="007C578C">
      <w:r>
        <w:t>In addition to on-going activities, the remaining period of the programme will specially focus on strengthening efforts for rural and remote areas as outlined in section 6.2 above.</w:t>
      </w:r>
    </w:p>
    <w:p w14:paraId="13B55EA7" w14:textId="77777777" w:rsidR="00A667A4" w:rsidRDefault="00A667A4" w:rsidP="007C578C"/>
    <w:p w14:paraId="13B55EA8" w14:textId="77777777" w:rsidR="00A667A4" w:rsidRDefault="00A667A4" w:rsidP="00A667A4">
      <w:pPr>
        <w:pStyle w:val="Heading2"/>
      </w:pPr>
      <w:r>
        <w:t>USAID</w:t>
      </w:r>
    </w:p>
    <w:p w14:paraId="13B55EA9" w14:textId="77777777" w:rsidR="00A667A4" w:rsidRPr="000A7545" w:rsidRDefault="00A667A4" w:rsidP="00A667A4">
      <w:r w:rsidRPr="000A7545">
        <w:t>During the next reporting period for USAID the programme will focus on the following:</w:t>
      </w:r>
    </w:p>
    <w:p w14:paraId="13B55EAA" w14:textId="77777777" w:rsidR="00A667A4" w:rsidRPr="000A7545" w:rsidRDefault="00A667A4" w:rsidP="00A667A4"/>
    <w:p w14:paraId="13B55EAB" w14:textId="77777777" w:rsidR="00A667A4" w:rsidRPr="000A7545" w:rsidRDefault="00A667A4" w:rsidP="00A667A4">
      <w:pPr>
        <w:rPr>
          <w:b/>
          <w:u w:val="single"/>
        </w:rPr>
      </w:pPr>
      <w:r w:rsidRPr="000A7545">
        <w:rPr>
          <w:b/>
          <w:u w:val="single"/>
        </w:rPr>
        <w:t>Component 1</w:t>
      </w:r>
    </w:p>
    <w:p w14:paraId="13B55EAC" w14:textId="77777777" w:rsidR="00A667A4" w:rsidRPr="000A7545" w:rsidRDefault="00A667A4" w:rsidP="00A667A4">
      <w:pPr>
        <w:pStyle w:val="ListParagraph"/>
        <w:numPr>
          <w:ilvl w:val="0"/>
          <w:numId w:val="38"/>
        </w:numPr>
        <w:ind w:left="360"/>
      </w:pPr>
      <w:r w:rsidRPr="000A7545">
        <w:t>Workshop for Education Information Management System (SIMP) to be conducted in advance of Renja (Annual Work Plan) development for 2012 so as to facilitate a more effective planning processes.</w:t>
      </w:r>
    </w:p>
    <w:p w14:paraId="13B55EAD" w14:textId="77777777" w:rsidR="00A667A4" w:rsidRPr="000A7545" w:rsidRDefault="00A667A4" w:rsidP="00A667A4">
      <w:pPr>
        <w:pStyle w:val="ListParagraph"/>
        <w:numPr>
          <w:ilvl w:val="0"/>
          <w:numId w:val="38"/>
        </w:numPr>
        <w:ind w:left="360"/>
      </w:pPr>
      <w:r w:rsidRPr="000A7545">
        <w:t>Renstra ME mentoring activities both at the provincial and district levels.</w:t>
      </w:r>
    </w:p>
    <w:p w14:paraId="13B55EAE" w14:textId="77777777" w:rsidR="00A667A4" w:rsidRPr="000A7545" w:rsidRDefault="00A667A4" w:rsidP="00A667A4">
      <w:pPr>
        <w:pStyle w:val="ListParagraph"/>
        <w:numPr>
          <w:ilvl w:val="0"/>
          <w:numId w:val="38"/>
        </w:numPr>
        <w:ind w:left="360"/>
      </w:pPr>
      <w:r w:rsidRPr="000A7545">
        <w:t>Asset management capacity building ToT at district and cluster levels, followed by mentoring at the school level.</w:t>
      </w:r>
    </w:p>
    <w:p w14:paraId="13B55EAF" w14:textId="77777777" w:rsidR="00A667A4" w:rsidRPr="000A7545" w:rsidRDefault="00A667A4" w:rsidP="00A667A4">
      <w:pPr>
        <w:pStyle w:val="ListParagraph"/>
        <w:numPr>
          <w:ilvl w:val="0"/>
          <w:numId w:val="38"/>
        </w:numPr>
        <w:ind w:left="360"/>
      </w:pPr>
      <w:r w:rsidRPr="000A7545">
        <w:t>Workshops to strengthen key education stakeholders in formulation and legalization of relevant provincial and district education policies.</w:t>
      </w:r>
    </w:p>
    <w:p w14:paraId="13B55EB0" w14:textId="77777777" w:rsidR="00A667A4" w:rsidRPr="000A7545" w:rsidRDefault="00A667A4" w:rsidP="00A667A4">
      <w:pPr>
        <w:pStyle w:val="ListParagraph"/>
        <w:numPr>
          <w:ilvl w:val="0"/>
          <w:numId w:val="38"/>
        </w:numPr>
        <w:ind w:left="360"/>
      </w:pPr>
      <w:r w:rsidRPr="000A7545">
        <w:t xml:space="preserve">End-line survey and </w:t>
      </w:r>
      <w:r>
        <w:t xml:space="preserve">programme </w:t>
      </w:r>
      <w:r w:rsidRPr="000A7545">
        <w:t>evaluation.</w:t>
      </w:r>
    </w:p>
    <w:p w14:paraId="13B55EB1" w14:textId="77777777" w:rsidR="00A667A4" w:rsidRPr="000A7545" w:rsidRDefault="00A667A4" w:rsidP="00A667A4">
      <w:pPr>
        <w:pStyle w:val="ListParagraph"/>
        <w:numPr>
          <w:ilvl w:val="0"/>
          <w:numId w:val="38"/>
        </w:numPr>
        <w:ind w:left="360"/>
      </w:pPr>
      <w:r w:rsidRPr="000A7545">
        <w:t>Follow up training and mentoring of Integrated Financial Reporting in target schools.</w:t>
      </w:r>
    </w:p>
    <w:p w14:paraId="13B55EB2" w14:textId="77777777" w:rsidR="00A667A4" w:rsidRPr="000A7545" w:rsidRDefault="00A667A4" w:rsidP="00A667A4">
      <w:pPr>
        <w:pStyle w:val="ListParagraph"/>
        <w:numPr>
          <w:ilvl w:val="0"/>
          <w:numId w:val="38"/>
        </w:numPr>
        <w:ind w:left="360"/>
      </w:pPr>
      <w:r w:rsidRPr="000A7545">
        <w:t>Piloting PBPSA as a tool to calculate the costs required to achieve district and school levels Minimum Service Standards through workshops and mentoring.</w:t>
      </w:r>
    </w:p>
    <w:p w14:paraId="13B55EB3" w14:textId="77777777" w:rsidR="00A667A4" w:rsidRPr="000A7545" w:rsidRDefault="00A667A4" w:rsidP="00A667A4">
      <w:pPr>
        <w:pStyle w:val="ListParagraph"/>
        <w:numPr>
          <w:ilvl w:val="0"/>
          <w:numId w:val="38"/>
        </w:numPr>
        <w:ind w:left="360"/>
      </w:pPr>
      <w:r w:rsidRPr="000A7545">
        <w:t>District workshops on calculation of education personal costs.</w:t>
      </w:r>
    </w:p>
    <w:p w14:paraId="13B55EB4" w14:textId="77777777" w:rsidR="00A667A4" w:rsidRPr="000A7545" w:rsidRDefault="00A667A4" w:rsidP="00A667A4">
      <w:pPr>
        <w:pStyle w:val="ListParagraph"/>
        <w:numPr>
          <w:ilvl w:val="0"/>
          <w:numId w:val="38"/>
        </w:numPr>
        <w:ind w:left="360"/>
      </w:pPr>
      <w:r w:rsidRPr="000A7545">
        <w:t>Workshops and mentoring on AKPK (Analisis Keuangan Pendidikan Kabupaten – District Level Education Financial Analysis).</w:t>
      </w:r>
    </w:p>
    <w:p w14:paraId="13B55EB5" w14:textId="77777777" w:rsidR="00A667A4" w:rsidRPr="000A7545" w:rsidRDefault="00A667A4" w:rsidP="00A667A4">
      <w:pPr>
        <w:pStyle w:val="ListParagraph"/>
        <w:numPr>
          <w:ilvl w:val="0"/>
          <w:numId w:val="38"/>
        </w:numPr>
        <w:ind w:left="360"/>
      </w:pPr>
      <w:r w:rsidRPr="000A7545">
        <w:t>Training of local service provider teams at provincial and district levels.</w:t>
      </w:r>
    </w:p>
    <w:p w14:paraId="13B55EB6" w14:textId="77777777" w:rsidR="00A667A4" w:rsidRPr="000A7545" w:rsidRDefault="00A667A4" w:rsidP="00A667A4">
      <w:pPr>
        <w:pStyle w:val="ListParagraph"/>
        <w:numPr>
          <w:ilvl w:val="0"/>
          <w:numId w:val="38"/>
        </w:numPr>
        <w:ind w:left="360"/>
      </w:pPr>
      <w:r w:rsidRPr="000A7545">
        <w:t xml:space="preserve">End of </w:t>
      </w:r>
      <w:r>
        <w:t>programme</w:t>
      </w:r>
      <w:r w:rsidRPr="000A7545">
        <w:t xml:space="preserve"> policy dialogue work.</w:t>
      </w:r>
    </w:p>
    <w:p w14:paraId="13B55EB7" w14:textId="77777777" w:rsidR="00A667A4" w:rsidRPr="000A7545" w:rsidRDefault="00A667A4" w:rsidP="00A667A4"/>
    <w:p w14:paraId="13B55EB8" w14:textId="77777777" w:rsidR="00A667A4" w:rsidRPr="000A7545" w:rsidRDefault="00A667A4" w:rsidP="00A667A4">
      <w:pPr>
        <w:rPr>
          <w:b/>
          <w:u w:val="single"/>
        </w:rPr>
      </w:pPr>
      <w:r w:rsidRPr="000A7545">
        <w:rPr>
          <w:b/>
          <w:u w:val="single"/>
        </w:rPr>
        <w:t>Component 2</w:t>
      </w:r>
    </w:p>
    <w:p w14:paraId="13B55EB9" w14:textId="77777777" w:rsidR="00A667A4" w:rsidRPr="000A7545" w:rsidRDefault="00A667A4" w:rsidP="00A667A4">
      <w:pPr>
        <w:pStyle w:val="ListParagraph"/>
        <w:numPr>
          <w:ilvl w:val="0"/>
          <w:numId w:val="38"/>
        </w:numPr>
        <w:ind w:left="360"/>
      </w:pPr>
      <w:r w:rsidRPr="000A7545">
        <w:t>Finalisation of the leadership training modules.</w:t>
      </w:r>
    </w:p>
    <w:p w14:paraId="13B55EBA" w14:textId="77777777" w:rsidR="00A667A4" w:rsidRPr="000A7545" w:rsidRDefault="00A667A4" w:rsidP="00A667A4">
      <w:pPr>
        <w:pStyle w:val="ListParagraph"/>
        <w:numPr>
          <w:ilvl w:val="0"/>
          <w:numId w:val="38"/>
        </w:numPr>
        <w:ind w:left="360"/>
      </w:pPr>
      <w:r w:rsidRPr="000A7545">
        <w:t>Leadership training ToTs at district and rural level focusing on remote teachers and Principals.</w:t>
      </w:r>
    </w:p>
    <w:p w14:paraId="13B55EBB" w14:textId="77777777" w:rsidR="00A667A4" w:rsidRPr="000A7545" w:rsidRDefault="00A667A4" w:rsidP="00A667A4"/>
    <w:p w14:paraId="13B55EBC" w14:textId="77777777" w:rsidR="00A667A4" w:rsidRPr="000A7545" w:rsidRDefault="00A667A4" w:rsidP="00A667A4">
      <w:pPr>
        <w:rPr>
          <w:b/>
          <w:u w:val="single"/>
        </w:rPr>
      </w:pPr>
      <w:r w:rsidRPr="000A7545">
        <w:rPr>
          <w:b/>
          <w:u w:val="single"/>
        </w:rPr>
        <w:t>Component 3</w:t>
      </w:r>
    </w:p>
    <w:p w14:paraId="13B55EBD" w14:textId="77777777" w:rsidR="00A667A4" w:rsidRPr="000A7545" w:rsidRDefault="00A667A4" w:rsidP="00A667A4">
      <w:pPr>
        <w:pStyle w:val="ListParagraph"/>
        <w:numPr>
          <w:ilvl w:val="0"/>
          <w:numId w:val="38"/>
        </w:numPr>
        <w:ind w:left="360"/>
      </w:pPr>
      <w:r w:rsidRPr="000A7545">
        <w:t>Completion of report on teacher absenteeism and partnership mapping study report.</w:t>
      </w:r>
    </w:p>
    <w:p w14:paraId="13B55EBE" w14:textId="77777777" w:rsidR="00A667A4" w:rsidRPr="000A7545" w:rsidRDefault="00A667A4" w:rsidP="00A667A4">
      <w:pPr>
        <w:pStyle w:val="ListParagraph"/>
        <w:numPr>
          <w:ilvl w:val="0"/>
          <w:numId w:val="38"/>
        </w:numPr>
        <w:ind w:left="360"/>
      </w:pPr>
      <w:r w:rsidRPr="000A7545">
        <w:t>Public policy dialogues between policy makers in education with selected stakeholders from universities and CSOs. The dialogue is expected to produce recommendations for improvements in financial and data management, leadership training and better participation of CSOs in policy formulation. Partnership mapping survey.</w:t>
      </w:r>
    </w:p>
    <w:p w14:paraId="13B55EBF" w14:textId="77777777" w:rsidR="00A667A4" w:rsidRPr="000A7545" w:rsidRDefault="00A667A4" w:rsidP="00A667A4">
      <w:pPr>
        <w:pStyle w:val="ListParagraph"/>
        <w:numPr>
          <w:ilvl w:val="0"/>
          <w:numId w:val="38"/>
        </w:numPr>
        <w:ind w:left="360"/>
      </w:pPr>
      <w:r w:rsidRPr="000A7545">
        <w:t>Second round of study-visits to “Good Practices” districts.</w:t>
      </w:r>
    </w:p>
    <w:p w14:paraId="13B55EC0" w14:textId="77777777" w:rsidR="00A667A4" w:rsidRPr="000A7545" w:rsidRDefault="00A667A4" w:rsidP="00A667A4">
      <w:pPr>
        <w:pStyle w:val="ListParagraph"/>
        <w:numPr>
          <w:ilvl w:val="0"/>
          <w:numId w:val="38"/>
        </w:numPr>
        <w:ind w:left="360"/>
      </w:pPr>
      <w:r w:rsidRPr="000A7545">
        <w:t>Capacity development activities for selected CSOs.</w:t>
      </w:r>
    </w:p>
    <w:p w14:paraId="13B55EC1" w14:textId="77777777" w:rsidR="00A667A4" w:rsidRPr="000A7545" w:rsidRDefault="00A667A4" w:rsidP="00A667A4">
      <w:pPr>
        <w:pStyle w:val="ListParagraph"/>
        <w:numPr>
          <w:ilvl w:val="0"/>
          <w:numId w:val="38"/>
        </w:numPr>
        <w:ind w:left="360"/>
      </w:pPr>
      <w:r w:rsidRPr="000A7545">
        <w:t>Second policy dialogue.</w:t>
      </w:r>
    </w:p>
    <w:p w14:paraId="13B55EC2" w14:textId="77777777" w:rsidR="00A667A4" w:rsidRDefault="00A667A4" w:rsidP="007C578C"/>
    <w:p w14:paraId="13B55EC3" w14:textId="77777777" w:rsidR="00A667A4" w:rsidRDefault="00A667A4" w:rsidP="007C578C"/>
    <w:p w14:paraId="13B55EC4" w14:textId="77777777" w:rsidR="005B50E4" w:rsidRPr="000A7545" w:rsidRDefault="005B50E4" w:rsidP="007C578C">
      <w:r w:rsidRPr="000A7545">
        <w:br w:type="page"/>
      </w:r>
    </w:p>
    <w:p w14:paraId="13B55EC5" w14:textId="77777777" w:rsidR="007C578C" w:rsidRPr="000A7545" w:rsidRDefault="007C578C" w:rsidP="007C578C">
      <w:pPr>
        <w:pStyle w:val="Heading1"/>
      </w:pPr>
      <w:bookmarkStart w:id="85" w:name="_Toc301438811"/>
      <w:bookmarkStart w:id="86" w:name="_Toc303330155"/>
      <w:bookmarkStart w:id="87" w:name="_Toc322507190"/>
      <w:bookmarkStart w:id="88" w:name="_Toc322702780"/>
      <w:r w:rsidRPr="000A7545">
        <w:t>Financial Implementation</w:t>
      </w:r>
      <w:bookmarkEnd w:id="85"/>
      <w:bookmarkEnd w:id="86"/>
      <w:bookmarkEnd w:id="87"/>
      <w:bookmarkEnd w:id="88"/>
    </w:p>
    <w:p w14:paraId="13B55EC6" w14:textId="77777777" w:rsidR="005B50E4" w:rsidRPr="000A7545" w:rsidRDefault="005B50E4" w:rsidP="005B50E4">
      <w:pPr>
        <w:pStyle w:val="Heading2"/>
        <w:rPr>
          <w:lang w:val="en-GB"/>
        </w:rPr>
      </w:pPr>
      <w:bookmarkStart w:id="89" w:name="_Toc315949550"/>
      <w:bookmarkStart w:id="90" w:name="_Toc322702781"/>
      <w:r w:rsidRPr="000A7545">
        <w:rPr>
          <w:lang w:val="en-GB"/>
        </w:rPr>
        <w:t>USAID Financial Implementation</w:t>
      </w:r>
      <w:bookmarkEnd w:id="89"/>
      <w:bookmarkEnd w:id="90"/>
    </w:p>
    <w:p w14:paraId="13B55EC7" w14:textId="77777777" w:rsidR="005B50E4" w:rsidRPr="000A7545" w:rsidRDefault="005B50E4" w:rsidP="005B50E4">
      <w:pPr>
        <w:jc w:val="both"/>
      </w:pPr>
      <w:r w:rsidRPr="000A7545">
        <w:t>Although experiencing a delayed start-up, the programme has done well to speed up implementation following the beginning of activity in early July 2011. Overall, from 1 April 2011 to 05 March 2012 UNICEF utilized 46 per cent of programmable funds from the first and second tranche payment of USD 2,500,000 (expenditures and obligations combined).</w:t>
      </w:r>
    </w:p>
    <w:p w14:paraId="13B55EC8" w14:textId="77777777" w:rsidR="005B50E4" w:rsidRPr="000A7545" w:rsidRDefault="005B50E4" w:rsidP="007C578C"/>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783"/>
        <w:gridCol w:w="1196"/>
        <w:gridCol w:w="1238"/>
        <w:gridCol w:w="1652"/>
        <w:gridCol w:w="1174"/>
      </w:tblGrid>
      <w:tr w:rsidR="005B50E4" w:rsidRPr="000A7545" w14:paraId="13B55ECF" w14:textId="77777777" w:rsidTr="00BD0D31">
        <w:trPr>
          <w:trHeight w:val="480"/>
          <w:tblHeader/>
          <w:jc w:val="center"/>
        </w:trPr>
        <w:tc>
          <w:tcPr>
            <w:tcW w:w="2157" w:type="dxa"/>
            <w:shd w:val="clear" w:color="auto" w:fill="C6D9F1" w:themeFill="text2" w:themeFillTint="33"/>
            <w:vAlign w:val="center"/>
            <w:hideMark/>
          </w:tcPr>
          <w:p w14:paraId="13B55EC9" w14:textId="77777777" w:rsidR="005B50E4" w:rsidRPr="000A7545" w:rsidRDefault="005B50E4" w:rsidP="00BD0D31">
            <w:pPr>
              <w:spacing w:before="120" w:line="240" w:lineRule="auto"/>
              <w:jc w:val="center"/>
              <w:rPr>
                <w:rFonts w:ascii="Arial Narrow" w:hAnsi="Arial Narrow" w:cs="Calibri"/>
                <w:b/>
                <w:iCs/>
                <w:color w:val="000000"/>
                <w:sz w:val="20"/>
                <w:szCs w:val="20"/>
              </w:rPr>
            </w:pPr>
            <w:r w:rsidRPr="000A7545">
              <w:rPr>
                <w:rFonts w:ascii="Arial Narrow" w:hAnsi="Arial Narrow" w:cs="Calibri"/>
                <w:b/>
                <w:iCs/>
                <w:color w:val="000000"/>
                <w:sz w:val="20"/>
                <w:szCs w:val="20"/>
              </w:rPr>
              <w:t>Programme Components</w:t>
            </w:r>
          </w:p>
        </w:tc>
        <w:tc>
          <w:tcPr>
            <w:tcW w:w="1783" w:type="dxa"/>
            <w:shd w:val="clear" w:color="auto" w:fill="C6D9F1" w:themeFill="text2" w:themeFillTint="33"/>
            <w:vAlign w:val="center"/>
            <w:hideMark/>
          </w:tcPr>
          <w:p w14:paraId="13B55ECA" w14:textId="77777777" w:rsidR="005B50E4" w:rsidRPr="000A7545" w:rsidRDefault="005B50E4" w:rsidP="00BD0D31">
            <w:pPr>
              <w:spacing w:before="120" w:line="240" w:lineRule="auto"/>
              <w:jc w:val="center"/>
              <w:rPr>
                <w:rFonts w:ascii="Arial Narrow" w:hAnsi="Arial Narrow" w:cs="Calibri"/>
                <w:b/>
                <w:iCs/>
                <w:color w:val="000000"/>
                <w:sz w:val="20"/>
                <w:szCs w:val="20"/>
              </w:rPr>
            </w:pPr>
          </w:p>
        </w:tc>
        <w:tc>
          <w:tcPr>
            <w:tcW w:w="1196" w:type="dxa"/>
            <w:shd w:val="clear" w:color="auto" w:fill="C6D9F1" w:themeFill="text2" w:themeFillTint="33"/>
            <w:vAlign w:val="center"/>
            <w:hideMark/>
          </w:tcPr>
          <w:p w14:paraId="13B55ECB" w14:textId="77777777" w:rsidR="005B50E4" w:rsidRPr="000A7545" w:rsidRDefault="005B50E4" w:rsidP="00BD0D31">
            <w:pPr>
              <w:spacing w:before="120" w:line="240" w:lineRule="auto"/>
              <w:jc w:val="center"/>
              <w:rPr>
                <w:rFonts w:ascii="Arial Narrow" w:hAnsi="Arial Narrow" w:cs="Calibri"/>
                <w:b/>
                <w:iCs/>
                <w:color w:val="000000"/>
                <w:sz w:val="20"/>
                <w:szCs w:val="20"/>
              </w:rPr>
            </w:pPr>
            <w:r w:rsidRPr="000A7545">
              <w:rPr>
                <w:rFonts w:ascii="Arial Narrow" w:hAnsi="Arial Narrow" w:cs="Calibri"/>
                <w:b/>
                <w:iCs/>
                <w:color w:val="000000"/>
                <w:sz w:val="20"/>
                <w:szCs w:val="20"/>
              </w:rPr>
              <w:t>Timeframe</w:t>
            </w:r>
          </w:p>
        </w:tc>
        <w:tc>
          <w:tcPr>
            <w:tcW w:w="1238" w:type="dxa"/>
            <w:shd w:val="clear" w:color="auto" w:fill="C6D9F1" w:themeFill="text2" w:themeFillTint="33"/>
            <w:vAlign w:val="center"/>
            <w:hideMark/>
          </w:tcPr>
          <w:p w14:paraId="13B55ECC" w14:textId="77777777" w:rsidR="005B50E4" w:rsidRPr="000A7545" w:rsidRDefault="005B50E4" w:rsidP="00BD0D31">
            <w:pPr>
              <w:spacing w:before="120"/>
              <w:jc w:val="center"/>
              <w:rPr>
                <w:rFonts w:ascii="Arial Narrow" w:hAnsi="Arial Narrow" w:cs="Calibri"/>
                <w:b/>
                <w:iCs/>
                <w:color w:val="000000"/>
                <w:sz w:val="20"/>
                <w:szCs w:val="20"/>
              </w:rPr>
            </w:pPr>
            <w:r w:rsidRPr="000A7545">
              <w:rPr>
                <w:rFonts w:ascii="Arial Narrow" w:hAnsi="Arial Narrow" w:cs="Calibri"/>
                <w:b/>
                <w:iCs/>
                <w:color w:val="000000"/>
                <w:sz w:val="20"/>
              </w:rPr>
              <w:t xml:space="preserve">Budget </w:t>
            </w:r>
            <w:r w:rsidRPr="000A7545">
              <w:rPr>
                <w:rFonts w:ascii="Arial Narrow" w:hAnsi="Arial Narrow" w:cs="Calibri"/>
                <w:b/>
                <w:iCs/>
                <w:color w:val="000000"/>
                <w:sz w:val="20"/>
                <w:szCs w:val="20"/>
              </w:rPr>
              <w:t>(USD)</w:t>
            </w:r>
          </w:p>
        </w:tc>
        <w:tc>
          <w:tcPr>
            <w:tcW w:w="1652" w:type="dxa"/>
            <w:shd w:val="clear" w:color="auto" w:fill="C6D9F1" w:themeFill="text2" w:themeFillTint="33"/>
            <w:vAlign w:val="center"/>
            <w:hideMark/>
          </w:tcPr>
          <w:p w14:paraId="13B55ECD" w14:textId="77777777" w:rsidR="005B50E4" w:rsidRPr="000A7545" w:rsidRDefault="005B50E4" w:rsidP="00BD0D31">
            <w:pPr>
              <w:spacing w:before="120"/>
              <w:jc w:val="center"/>
              <w:rPr>
                <w:rFonts w:ascii="Arial Narrow" w:hAnsi="Arial Narrow" w:cs="Calibri"/>
                <w:b/>
                <w:iCs/>
                <w:color w:val="000000"/>
                <w:sz w:val="20"/>
                <w:szCs w:val="20"/>
              </w:rPr>
            </w:pPr>
            <w:r w:rsidRPr="000A7545">
              <w:rPr>
                <w:rFonts w:ascii="Arial Narrow" w:hAnsi="Arial Narrow" w:cs="Calibri"/>
                <w:b/>
                <w:iCs/>
                <w:color w:val="000000"/>
                <w:sz w:val="20"/>
              </w:rPr>
              <w:t>Requisitioned 01/04/2011 – 5/03/2012</w:t>
            </w:r>
          </w:p>
        </w:tc>
        <w:tc>
          <w:tcPr>
            <w:tcW w:w="1174" w:type="dxa"/>
            <w:shd w:val="clear" w:color="auto" w:fill="C6D9F1" w:themeFill="text2" w:themeFillTint="33"/>
            <w:vAlign w:val="center"/>
            <w:hideMark/>
          </w:tcPr>
          <w:p w14:paraId="13B55ECE" w14:textId="77777777" w:rsidR="005B50E4" w:rsidRPr="000A7545" w:rsidRDefault="005B50E4" w:rsidP="00BD0D31">
            <w:pPr>
              <w:spacing w:before="120" w:line="240" w:lineRule="auto"/>
              <w:jc w:val="center"/>
              <w:rPr>
                <w:rFonts w:ascii="Arial Narrow" w:hAnsi="Arial Narrow" w:cs="Calibri"/>
                <w:b/>
                <w:iCs/>
                <w:color w:val="000000"/>
                <w:sz w:val="20"/>
                <w:szCs w:val="20"/>
              </w:rPr>
            </w:pPr>
            <w:r w:rsidRPr="000A7545">
              <w:rPr>
                <w:rFonts w:ascii="Arial Narrow" w:hAnsi="Arial Narrow" w:cs="Calibri"/>
                <w:b/>
                <w:iCs/>
                <w:color w:val="000000"/>
                <w:sz w:val="20"/>
                <w:szCs w:val="20"/>
              </w:rPr>
              <w:t>Balance</w:t>
            </w:r>
          </w:p>
        </w:tc>
      </w:tr>
      <w:tr w:rsidR="005B50E4" w:rsidRPr="000A7545" w14:paraId="13B55ED6" w14:textId="77777777" w:rsidTr="00BD0D31">
        <w:trPr>
          <w:trHeight w:val="557"/>
          <w:jc w:val="center"/>
        </w:trPr>
        <w:tc>
          <w:tcPr>
            <w:tcW w:w="2157" w:type="dxa"/>
            <w:shd w:val="clear" w:color="auto" w:fill="auto"/>
            <w:vAlign w:val="center"/>
            <w:hideMark/>
          </w:tcPr>
          <w:p w14:paraId="13B55ED0"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Component 1 Activities, Data and M&amp;E</w:t>
            </w:r>
          </w:p>
        </w:tc>
        <w:tc>
          <w:tcPr>
            <w:tcW w:w="1783" w:type="dxa"/>
            <w:shd w:val="clear" w:color="auto" w:fill="auto"/>
            <w:vAlign w:val="center"/>
            <w:hideMark/>
          </w:tcPr>
          <w:p w14:paraId="13B55ED1"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Indicative Activities</w:t>
            </w:r>
          </w:p>
        </w:tc>
        <w:tc>
          <w:tcPr>
            <w:tcW w:w="1196" w:type="dxa"/>
            <w:shd w:val="clear" w:color="auto" w:fill="auto"/>
            <w:vAlign w:val="center"/>
            <w:hideMark/>
          </w:tcPr>
          <w:p w14:paraId="13B55ED2"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18 months</w:t>
            </w:r>
          </w:p>
        </w:tc>
        <w:tc>
          <w:tcPr>
            <w:tcW w:w="1238" w:type="dxa"/>
            <w:shd w:val="clear" w:color="000000" w:fill="FFFFFF"/>
            <w:vAlign w:val="center"/>
            <w:hideMark/>
          </w:tcPr>
          <w:p w14:paraId="13B55ED3"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870,000.00</w:t>
            </w:r>
          </w:p>
        </w:tc>
        <w:tc>
          <w:tcPr>
            <w:tcW w:w="1652" w:type="dxa"/>
            <w:shd w:val="clear" w:color="000000" w:fill="FFFFFF"/>
            <w:vAlign w:val="center"/>
            <w:hideMark/>
          </w:tcPr>
          <w:p w14:paraId="13B55ED4"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401,393.72</w:t>
            </w:r>
          </w:p>
        </w:tc>
        <w:tc>
          <w:tcPr>
            <w:tcW w:w="1174" w:type="dxa"/>
            <w:shd w:val="clear" w:color="000000" w:fill="FFFFFF"/>
            <w:vAlign w:val="center"/>
            <w:hideMark/>
          </w:tcPr>
          <w:p w14:paraId="13B55ED5"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468,606.28</w:t>
            </w:r>
          </w:p>
        </w:tc>
      </w:tr>
      <w:tr w:rsidR="005B50E4" w:rsidRPr="000A7545" w14:paraId="13B55EDD" w14:textId="77777777" w:rsidTr="00BD0D31">
        <w:trPr>
          <w:trHeight w:val="720"/>
          <w:jc w:val="center"/>
        </w:trPr>
        <w:tc>
          <w:tcPr>
            <w:tcW w:w="2157" w:type="dxa"/>
            <w:shd w:val="clear" w:color="auto" w:fill="auto"/>
            <w:vAlign w:val="center"/>
            <w:hideMark/>
          </w:tcPr>
          <w:p w14:paraId="13B55ED7"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Component 2 Activities, Education Finance and Budgeting</w:t>
            </w:r>
          </w:p>
        </w:tc>
        <w:tc>
          <w:tcPr>
            <w:tcW w:w="1783" w:type="dxa"/>
            <w:shd w:val="clear" w:color="auto" w:fill="auto"/>
            <w:vAlign w:val="center"/>
            <w:hideMark/>
          </w:tcPr>
          <w:p w14:paraId="13B55ED8"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Indicative Activities</w:t>
            </w:r>
          </w:p>
        </w:tc>
        <w:tc>
          <w:tcPr>
            <w:tcW w:w="1196" w:type="dxa"/>
            <w:shd w:val="clear" w:color="auto" w:fill="auto"/>
            <w:vAlign w:val="center"/>
            <w:hideMark/>
          </w:tcPr>
          <w:p w14:paraId="13B55ED9"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18 months</w:t>
            </w:r>
          </w:p>
        </w:tc>
        <w:tc>
          <w:tcPr>
            <w:tcW w:w="1238" w:type="dxa"/>
            <w:shd w:val="clear" w:color="auto" w:fill="auto"/>
            <w:vAlign w:val="center"/>
            <w:hideMark/>
          </w:tcPr>
          <w:p w14:paraId="13B55EDA"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144,800.00</w:t>
            </w:r>
          </w:p>
        </w:tc>
        <w:tc>
          <w:tcPr>
            <w:tcW w:w="1652" w:type="dxa"/>
            <w:shd w:val="clear" w:color="000000" w:fill="FFFFFF"/>
            <w:vAlign w:val="center"/>
            <w:hideMark/>
          </w:tcPr>
          <w:p w14:paraId="13B55EDB"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13,094.78</w:t>
            </w:r>
          </w:p>
        </w:tc>
        <w:tc>
          <w:tcPr>
            <w:tcW w:w="1174" w:type="dxa"/>
            <w:shd w:val="clear" w:color="000000" w:fill="FFFFFF"/>
            <w:vAlign w:val="center"/>
            <w:hideMark/>
          </w:tcPr>
          <w:p w14:paraId="13B55EDC"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131,705.22</w:t>
            </w:r>
          </w:p>
        </w:tc>
      </w:tr>
      <w:tr w:rsidR="005B50E4" w:rsidRPr="000A7545" w14:paraId="13B55EE4" w14:textId="77777777" w:rsidTr="00BD0D31">
        <w:trPr>
          <w:trHeight w:val="720"/>
          <w:jc w:val="center"/>
        </w:trPr>
        <w:tc>
          <w:tcPr>
            <w:tcW w:w="2157" w:type="dxa"/>
            <w:shd w:val="clear" w:color="auto" w:fill="auto"/>
            <w:vAlign w:val="center"/>
            <w:hideMark/>
          </w:tcPr>
          <w:p w14:paraId="13B55EDE"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Component 3 Activities, Civil Society and Partnerships</w:t>
            </w:r>
          </w:p>
        </w:tc>
        <w:tc>
          <w:tcPr>
            <w:tcW w:w="1783" w:type="dxa"/>
            <w:shd w:val="clear" w:color="auto" w:fill="auto"/>
            <w:vAlign w:val="center"/>
            <w:hideMark/>
          </w:tcPr>
          <w:p w14:paraId="13B55EDF"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Indicative Activities</w:t>
            </w:r>
          </w:p>
        </w:tc>
        <w:tc>
          <w:tcPr>
            <w:tcW w:w="1196" w:type="dxa"/>
            <w:shd w:val="clear" w:color="auto" w:fill="auto"/>
            <w:vAlign w:val="center"/>
            <w:hideMark/>
          </w:tcPr>
          <w:p w14:paraId="13B55EE0"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18 months</w:t>
            </w:r>
          </w:p>
        </w:tc>
        <w:tc>
          <w:tcPr>
            <w:tcW w:w="1238" w:type="dxa"/>
            <w:shd w:val="clear" w:color="auto" w:fill="auto"/>
            <w:vAlign w:val="center"/>
            <w:hideMark/>
          </w:tcPr>
          <w:p w14:paraId="13B55EE1"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278,600.00</w:t>
            </w:r>
          </w:p>
        </w:tc>
        <w:tc>
          <w:tcPr>
            <w:tcW w:w="1652" w:type="dxa"/>
            <w:shd w:val="clear" w:color="000000" w:fill="FFFFFF"/>
            <w:vAlign w:val="center"/>
            <w:hideMark/>
          </w:tcPr>
          <w:p w14:paraId="13B55EE2"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155,949.70</w:t>
            </w:r>
          </w:p>
        </w:tc>
        <w:tc>
          <w:tcPr>
            <w:tcW w:w="1174" w:type="dxa"/>
            <w:shd w:val="clear" w:color="000000" w:fill="FFFFFF"/>
            <w:vAlign w:val="center"/>
            <w:hideMark/>
          </w:tcPr>
          <w:p w14:paraId="13B55EE3"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122,650.30</w:t>
            </w:r>
          </w:p>
        </w:tc>
      </w:tr>
      <w:tr w:rsidR="005B50E4" w:rsidRPr="000A7545" w14:paraId="13B55EEB" w14:textId="77777777" w:rsidTr="00BD0D31">
        <w:trPr>
          <w:trHeight w:val="630"/>
          <w:jc w:val="center"/>
        </w:trPr>
        <w:tc>
          <w:tcPr>
            <w:tcW w:w="2157" w:type="dxa"/>
            <w:shd w:val="clear" w:color="auto" w:fill="auto"/>
            <w:vAlign w:val="center"/>
            <w:hideMark/>
          </w:tcPr>
          <w:p w14:paraId="13B55EE5"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Technical Support</w:t>
            </w:r>
          </w:p>
        </w:tc>
        <w:tc>
          <w:tcPr>
            <w:tcW w:w="1783" w:type="dxa"/>
            <w:shd w:val="clear" w:color="auto" w:fill="auto"/>
            <w:vAlign w:val="center"/>
            <w:hideMark/>
          </w:tcPr>
          <w:p w14:paraId="13B55EE6"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Estimated</w:t>
            </w:r>
          </w:p>
        </w:tc>
        <w:tc>
          <w:tcPr>
            <w:tcW w:w="1196" w:type="dxa"/>
            <w:shd w:val="clear" w:color="auto" w:fill="auto"/>
            <w:vAlign w:val="center"/>
            <w:hideMark/>
          </w:tcPr>
          <w:p w14:paraId="13B55EE7"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18 months</w:t>
            </w:r>
          </w:p>
        </w:tc>
        <w:tc>
          <w:tcPr>
            <w:tcW w:w="1238" w:type="dxa"/>
            <w:shd w:val="clear" w:color="000000" w:fill="FFFFFF"/>
            <w:vAlign w:val="center"/>
            <w:hideMark/>
          </w:tcPr>
          <w:p w14:paraId="13B55EE8"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968,790.00</w:t>
            </w:r>
          </w:p>
        </w:tc>
        <w:tc>
          <w:tcPr>
            <w:tcW w:w="1652" w:type="dxa"/>
            <w:shd w:val="clear" w:color="000000" w:fill="FFFFFF"/>
            <w:vAlign w:val="center"/>
            <w:hideMark/>
          </w:tcPr>
          <w:p w14:paraId="13B55EE9"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473,289.47</w:t>
            </w:r>
          </w:p>
        </w:tc>
        <w:tc>
          <w:tcPr>
            <w:tcW w:w="1174" w:type="dxa"/>
            <w:shd w:val="clear" w:color="000000" w:fill="FFFFFF"/>
            <w:vAlign w:val="center"/>
            <w:hideMark/>
          </w:tcPr>
          <w:p w14:paraId="13B55EEA"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495,500.53</w:t>
            </w:r>
          </w:p>
        </w:tc>
      </w:tr>
      <w:tr w:rsidR="005B50E4" w:rsidRPr="000A7545" w14:paraId="13B55EF0" w14:textId="77777777" w:rsidTr="00BD0D31">
        <w:trPr>
          <w:trHeight w:val="375"/>
          <w:jc w:val="center"/>
        </w:trPr>
        <w:tc>
          <w:tcPr>
            <w:tcW w:w="5136" w:type="dxa"/>
            <w:gridSpan w:val="3"/>
            <w:shd w:val="clear" w:color="auto" w:fill="FFFFCC"/>
            <w:vAlign w:val="center"/>
            <w:hideMark/>
          </w:tcPr>
          <w:p w14:paraId="13B55EEC"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b/>
                <w:iCs/>
                <w:color w:val="000000"/>
                <w:sz w:val="20"/>
                <w:szCs w:val="20"/>
              </w:rPr>
              <w:t>Sub-tota</w:t>
            </w:r>
            <w:r w:rsidRPr="000A7545">
              <w:rPr>
                <w:rFonts w:ascii="Arial Narrow" w:hAnsi="Arial Narrow" w:cs="Calibri"/>
                <w:b/>
                <w:iCs/>
                <w:color w:val="000000"/>
                <w:sz w:val="20"/>
              </w:rPr>
              <w:t>l (a)</w:t>
            </w:r>
          </w:p>
        </w:tc>
        <w:tc>
          <w:tcPr>
            <w:tcW w:w="1238" w:type="dxa"/>
            <w:shd w:val="clear" w:color="auto" w:fill="FFFFCC"/>
            <w:vAlign w:val="center"/>
            <w:hideMark/>
          </w:tcPr>
          <w:p w14:paraId="13B55EED"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2,262,190.00</w:t>
            </w:r>
          </w:p>
        </w:tc>
        <w:tc>
          <w:tcPr>
            <w:tcW w:w="1652" w:type="dxa"/>
            <w:shd w:val="clear" w:color="auto" w:fill="FFFFCC"/>
            <w:vAlign w:val="center"/>
            <w:hideMark/>
          </w:tcPr>
          <w:p w14:paraId="13B55EEE"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1,043,727.67</w:t>
            </w:r>
          </w:p>
        </w:tc>
        <w:tc>
          <w:tcPr>
            <w:tcW w:w="1174" w:type="dxa"/>
            <w:shd w:val="clear" w:color="auto" w:fill="FFFFCC"/>
            <w:vAlign w:val="center"/>
            <w:hideMark/>
          </w:tcPr>
          <w:p w14:paraId="13B55EEF"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1,218,462.33</w:t>
            </w:r>
          </w:p>
        </w:tc>
      </w:tr>
      <w:tr w:rsidR="005B50E4" w:rsidRPr="000A7545" w14:paraId="13B55EF2" w14:textId="77777777" w:rsidTr="00BD0D31">
        <w:trPr>
          <w:trHeight w:val="240"/>
          <w:jc w:val="center"/>
        </w:trPr>
        <w:tc>
          <w:tcPr>
            <w:tcW w:w="9200" w:type="dxa"/>
            <w:gridSpan w:val="6"/>
            <w:shd w:val="clear" w:color="auto" w:fill="C6D9F1" w:themeFill="text2" w:themeFillTint="33"/>
            <w:vAlign w:val="bottom"/>
            <w:hideMark/>
          </w:tcPr>
          <w:p w14:paraId="13B55EF1"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b/>
                <w:color w:val="000000"/>
                <w:sz w:val="20"/>
                <w:szCs w:val="20"/>
              </w:rPr>
              <w:t>Personnel</w:t>
            </w:r>
          </w:p>
        </w:tc>
      </w:tr>
      <w:tr w:rsidR="005B50E4" w:rsidRPr="000A7545" w14:paraId="13B55EF9" w14:textId="77777777" w:rsidTr="00BD0D31">
        <w:trPr>
          <w:trHeight w:val="240"/>
          <w:jc w:val="center"/>
        </w:trPr>
        <w:tc>
          <w:tcPr>
            <w:tcW w:w="2157" w:type="dxa"/>
            <w:shd w:val="clear" w:color="auto" w:fill="auto"/>
            <w:vAlign w:val="center"/>
            <w:hideMark/>
          </w:tcPr>
          <w:p w14:paraId="13B55EF3" w14:textId="77777777" w:rsidR="005B50E4" w:rsidRPr="000A7545" w:rsidRDefault="005B50E4" w:rsidP="00BD0D31">
            <w:pPr>
              <w:spacing w:before="120" w:line="240" w:lineRule="auto"/>
              <w:jc w:val="center"/>
              <w:rPr>
                <w:rFonts w:ascii="Arial Narrow" w:hAnsi="Arial Narrow" w:cs="Calibri"/>
                <w:b/>
                <w:iCs/>
                <w:color w:val="000000"/>
                <w:sz w:val="20"/>
                <w:szCs w:val="20"/>
              </w:rPr>
            </w:pPr>
            <w:r w:rsidRPr="000A7545">
              <w:rPr>
                <w:rFonts w:ascii="Arial Narrow" w:hAnsi="Arial Narrow" w:cs="Calibri"/>
                <w:b/>
                <w:iCs/>
                <w:color w:val="000000"/>
                <w:sz w:val="20"/>
                <w:szCs w:val="20"/>
              </w:rPr>
              <w:t>Position</w:t>
            </w:r>
          </w:p>
        </w:tc>
        <w:tc>
          <w:tcPr>
            <w:tcW w:w="1783" w:type="dxa"/>
            <w:shd w:val="clear" w:color="auto" w:fill="auto"/>
            <w:vAlign w:val="center"/>
            <w:hideMark/>
          </w:tcPr>
          <w:p w14:paraId="13B55EF4" w14:textId="77777777" w:rsidR="005B50E4" w:rsidRPr="000A7545" w:rsidRDefault="005B50E4" w:rsidP="00BD0D31">
            <w:pPr>
              <w:spacing w:before="120" w:line="240" w:lineRule="auto"/>
              <w:jc w:val="center"/>
              <w:rPr>
                <w:rFonts w:ascii="Arial Narrow" w:hAnsi="Arial Narrow" w:cs="Calibri"/>
                <w:b/>
                <w:iCs/>
                <w:color w:val="000000"/>
                <w:sz w:val="20"/>
                <w:szCs w:val="20"/>
              </w:rPr>
            </w:pPr>
            <w:r w:rsidRPr="000A7545">
              <w:rPr>
                <w:rFonts w:ascii="Arial Narrow" w:hAnsi="Arial Narrow" w:cs="Calibri"/>
                <w:b/>
                <w:iCs/>
                <w:color w:val="000000"/>
                <w:sz w:val="20"/>
                <w:szCs w:val="20"/>
              </w:rPr>
              <w:t>UNICEF Grade</w:t>
            </w:r>
          </w:p>
        </w:tc>
        <w:tc>
          <w:tcPr>
            <w:tcW w:w="1196" w:type="dxa"/>
            <w:shd w:val="clear" w:color="auto" w:fill="auto"/>
            <w:vAlign w:val="center"/>
            <w:hideMark/>
          </w:tcPr>
          <w:p w14:paraId="13B55EF5" w14:textId="77777777" w:rsidR="005B50E4" w:rsidRPr="000A7545" w:rsidRDefault="005B50E4" w:rsidP="00BD0D31">
            <w:pPr>
              <w:spacing w:before="120"/>
              <w:jc w:val="center"/>
              <w:rPr>
                <w:rFonts w:ascii="Arial Narrow" w:hAnsi="Arial Narrow" w:cs="Calibri"/>
                <w:b/>
                <w:iCs/>
                <w:color w:val="000000"/>
                <w:sz w:val="20"/>
                <w:szCs w:val="20"/>
              </w:rPr>
            </w:pPr>
            <w:r w:rsidRPr="000A7545">
              <w:rPr>
                <w:rFonts w:ascii="Arial Narrow" w:hAnsi="Arial Narrow" w:cs="Calibri"/>
                <w:b/>
                <w:iCs/>
                <w:color w:val="000000"/>
                <w:sz w:val="20"/>
              </w:rPr>
              <w:t>Number</w:t>
            </w:r>
          </w:p>
        </w:tc>
        <w:tc>
          <w:tcPr>
            <w:tcW w:w="1238" w:type="dxa"/>
            <w:shd w:val="clear" w:color="auto" w:fill="auto"/>
            <w:vAlign w:val="center"/>
            <w:hideMark/>
          </w:tcPr>
          <w:p w14:paraId="13B55EF6" w14:textId="77777777" w:rsidR="005B50E4" w:rsidRPr="000A7545" w:rsidRDefault="005B50E4" w:rsidP="00BD0D31">
            <w:pPr>
              <w:spacing w:before="120" w:line="240" w:lineRule="auto"/>
              <w:jc w:val="center"/>
              <w:rPr>
                <w:rFonts w:ascii="Arial Narrow" w:hAnsi="Arial Narrow" w:cs="Calibri"/>
                <w:iCs/>
                <w:color w:val="000000"/>
                <w:sz w:val="20"/>
                <w:szCs w:val="20"/>
              </w:rPr>
            </w:pPr>
          </w:p>
        </w:tc>
        <w:tc>
          <w:tcPr>
            <w:tcW w:w="1652" w:type="dxa"/>
            <w:shd w:val="clear" w:color="auto" w:fill="auto"/>
            <w:vAlign w:val="center"/>
            <w:hideMark/>
          </w:tcPr>
          <w:p w14:paraId="13B55EF7" w14:textId="77777777" w:rsidR="005B50E4" w:rsidRPr="000A7545" w:rsidRDefault="005B50E4" w:rsidP="00BD0D31">
            <w:pPr>
              <w:spacing w:before="120" w:line="240" w:lineRule="auto"/>
              <w:jc w:val="center"/>
              <w:rPr>
                <w:rFonts w:ascii="Arial Narrow" w:hAnsi="Arial Narrow" w:cs="Calibri"/>
                <w:iCs/>
                <w:color w:val="000000"/>
                <w:sz w:val="20"/>
                <w:szCs w:val="20"/>
              </w:rPr>
            </w:pPr>
          </w:p>
        </w:tc>
        <w:tc>
          <w:tcPr>
            <w:tcW w:w="1174" w:type="dxa"/>
            <w:shd w:val="clear" w:color="auto" w:fill="auto"/>
            <w:vAlign w:val="center"/>
            <w:hideMark/>
          </w:tcPr>
          <w:p w14:paraId="13B55EF8" w14:textId="77777777" w:rsidR="005B50E4" w:rsidRPr="000A7545" w:rsidRDefault="005B50E4" w:rsidP="00BD0D31">
            <w:pPr>
              <w:spacing w:before="120" w:line="240" w:lineRule="auto"/>
              <w:jc w:val="center"/>
              <w:rPr>
                <w:rFonts w:ascii="Arial Narrow" w:hAnsi="Arial Narrow" w:cs="Calibri"/>
                <w:iCs/>
                <w:color w:val="000000"/>
                <w:sz w:val="20"/>
                <w:szCs w:val="20"/>
              </w:rPr>
            </w:pPr>
          </w:p>
        </w:tc>
      </w:tr>
      <w:tr w:rsidR="005B50E4" w:rsidRPr="000A7545" w14:paraId="13B55F00" w14:textId="77777777" w:rsidTr="00BD0D31">
        <w:trPr>
          <w:trHeight w:val="420"/>
          <w:jc w:val="center"/>
        </w:trPr>
        <w:tc>
          <w:tcPr>
            <w:tcW w:w="2157" w:type="dxa"/>
            <w:shd w:val="clear" w:color="auto" w:fill="auto"/>
            <w:vAlign w:val="center"/>
            <w:hideMark/>
          </w:tcPr>
          <w:p w14:paraId="13B55EFA"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Chief of Field Office</w:t>
            </w:r>
          </w:p>
        </w:tc>
        <w:tc>
          <w:tcPr>
            <w:tcW w:w="1783" w:type="dxa"/>
            <w:shd w:val="clear" w:color="auto" w:fill="auto"/>
            <w:vAlign w:val="center"/>
            <w:hideMark/>
          </w:tcPr>
          <w:p w14:paraId="13B55EFB"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P4 - International</w:t>
            </w:r>
          </w:p>
        </w:tc>
        <w:tc>
          <w:tcPr>
            <w:tcW w:w="1196" w:type="dxa"/>
            <w:shd w:val="clear" w:color="auto" w:fill="auto"/>
            <w:vAlign w:val="center"/>
            <w:hideMark/>
          </w:tcPr>
          <w:p w14:paraId="13B55EFC" w14:textId="77777777" w:rsidR="005B50E4" w:rsidRPr="000A7545" w:rsidRDefault="005B50E4" w:rsidP="00BD0D31">
            <w:pPr>
              <w:spacing w:before="120" w:line="240" w:lineRule="auto"/>
              <w:jc w:val="center"/>
              <w:rPr>
                <w:rFonts w:ascii="Arial Narrow" w:hAnsi="Arial Narrow" w:cs="Calibri"/>
                <w:b/>
                <w:bCs/>
                <w:color w:val="000000"/>
                <w:sz w:val="20"/>
                <w:szCs w:val="20"/>
              </w:rPr>
            </w:pPr>
          </w:p>
        </w:tc>
        <w:tc>
          <w:tcPr>
            <w:tcW w:w="1238" w:type="dxa"/>
            <w:shd w:val="clear" w:color="auto" w:fill="auto"/>
            <w:vAlign w:val="center"/>
            <w:hideMark/>
          </w:tcPr>
          <w:p w14:paraId="13B55EFD" w14:textId="77777777" w:rsidR="005B50E4" w:rsidRPr="000A7545" w:rsidRDefault="005B50E4" w:rsidP="00BD0D31">
            <w:pPr>
              <w:spacing w:before="120" w:line="240" w:lineRule="auto"/>
              <w:jc w:val="right"/>
              <w:rPr>
                <w:rFonts w:ascii="Arial Narrow" w:hAnsi="Arial Narrow" w:cs="Calibri"/>
                <w:b/>
                <w:bCs/>
                <w:color w:val="000000"/>
                <w:sz w:val="20"/>
                <w:szCs w:val="20"/>
              </w:rPr>
            </w:pPr>
          </w:p>
        </w:tc>
        <w:tc>
          <w:tcPr>
            <w:tcW w:w="1652" w:type="dxa"/>
            <w:shd w:val="clear" w:color="auto" w:fill="auto"/>
            <w:vAlign w:val="center"/>
            <w:hideMark/>
          </w:tcPr>
          <w:p w14:paraId="13B55EFE" w14:textId="77777777" w:rsidR="005B50E4" w:rsidRPr="000A7545" w:rsidRDefault="005B50E4" w:rsidP="00BD0D31">
            <w:pPr>
              <w:spacing w:before="120" w:line="240" w:lineRule="auto"/>
              <w:jc w:val="right"/>
              <w:rPr>
                <w:rFonts w:ascii="Arial Narrow" w:hAnsi="Arial Narrow" w:cs="Calibri"/>
                <w:b/>
                <w:bCs/>
                <w:color w:val="000000"/>
                <w:sz w:val="20"/>
                <w:szCs w:val="20"/>
              </w:rPr>
            </w:pPr>
          </w:p>
        </w:tc>
        <w:tc>
          <w:tcPr>
            <w:tcW w:w="1174" w:type="dxa"/>
            <w:shd w:val="clear" w:color="auto" w:fill="auto"/>
            <w:vAlign w:val="center"/>
            <w:hideMark/>
          </w:tcPr>
          <w:p w14:paraId="13B55EFF"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0.00</w:t>
            </w:r>
          </w:p>
        </w:tc>
      </w:tr>
      <w:tr w:rsidR="005B50E4" w:rsidRPr="000A7545" w14:paraId="13B55F07" w14:textId="77777777" w:rsidTr="00BD0D31">
        <w:trPr>
          <w:trHeight w:val="960"/>
          <w:jc w:val="center"/>
        </w:trPr>
        <w:tc>
          <w:tcPr>
            <w:tcW w:w="2157" w:type="dxa"/>
            <w:shd w:val="clear" w:color="auto" w:fill="auto"/>
            <w:vAlign w:val="center"/>
            <w:hideMark/>
          </w:tcPr>
          <w:p w14:paraId="13B55F01"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Program</w:t>
            </w:r>
            <w:r w:rsidRPr="000A7545">
              <w:rPr>
                <w:rFonts w:ascii="Arial Narrow" w:hAnsi="Arial Narrow" w:cs="Calibri"/>
                <w:bCs/>
                <w:color w:val="000000"/>
                <w:sz w:val="20"/>
              </w:rPr>
              <w:t>me</w:t>
            </w:r>
            <w:r w:rsidRPr="000A7545">
              <w:rPr>
                <w:rFonts w:ascii="Arial Narrow" w:hAnsi="Arial Narrow" w:cs="Calibri"/>
                <w:color w:val="000000"/>
                <w:sz w:val="20"/>
                <w:szCs w:val="20"/>
              </w:rPr>
              <w:t xml:space="preserve"> Manager , Education and Youth Development Specialist</w:t>
            </w:r>
          </w:p>
        </w:tc>
        <w:tc>
          <w:tcPr>
            <w:tcW w:w="1783" w:type="dxa"/>
            <w:shd w:val="clear" w:color="auto" w:fill="auto"/>
            <w:vAlign w:val="center"/>
            <w:hideMark/>
          </w:tcPr>
          <w:p w14:paraId="13B55F02"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P4 - International</w:t>
            </w:r>
          </w:p>
        </w:tc>
        <w:tc>
          <w:tcPr>
            <w:tcW w:w="1196" w:type="dxa"/>
            <w:shd w:val="clear" w:color="auto" w:fill="auto"/>
            <w:vAlign w:val="center"/>
            <w:hideMark/>
          </w:tcPr>
          <w:p w14:paraId="13B55F03"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1</w:t>
            </w:r>
          </w:p>
        </w:tc>
        <w:tc>
          <w:tcPr>
            <w:tcW w:w="1238" w:type="dxa"/>
            <w:shd w:val="clear" w:color="auto" w:fill="auto"/>
            <w:vAlign w:val="center"/>
            <w:hideMark/>
          </w:tcPr>
          <w:p w14:paraId="13B55F04"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111,000.00</w:t>
            </w:r>
          </w:p>
        </w:tc>
        <w:tc>
          <w:tcPr>
            <w:tcW w:w="1652" w:type="dxa"/>
            <w:shd w:val="clear" w:color="000000" w:fill="FFFFFF"/>
            <w:vAlign w:val="center"/>
            <w:hideMark/>
          </w:tcPr>
          <w:p w14:paraId="13B55F05" w14:textId="77777777" w:rsidR="005B50E4" w:rsidRPr="000A7545" w:rsidRDefault="005B50E4" w:rsidP="00BD0D31">
            <w:pPr>
              <w:spacing w:before="120" w:line="240" w:lineRule="auto"/>
              <w:jc w:val="right"/>
              <w:rPr>
                <w:rFonts w:ascii="Arial Narrow" w:hAnsi="Arial Narrow" w:cs="Calibri"/>
                <w:b/>
                <w:bCs/>
                <w:color w:val="000000"/>
                <w:sz w:val="20"/>
                <w:szCs w:val="20"/>
              </w:rPr>
            </w:pPr>
          </w:p>
        </w:tc>
        <w:tc>
          <w:tcPr>
            <w:tcW w:w="1174" w:type="dxa"/>
            <w:shd w:val="clear" w:color="000000" w:fill="FFFFFF"/>
            <w:vAlign w:val="center"/>
            <w:hideMark/>
          </w:tcPr>
          <w:p w14:paraId="13B55F06"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111,000.00</w:t>
            </w:r>
          </w:p>
        </w:tc>
      </w:tr>
      <w:tr w:rsidR="005B50E4" w:rsidRPr="000A7545" w14:paraId="13B55F0E" w14:textId="77777777" w:rsidTr="00BD0D31">
        <w:trPr>
          <w:trHeight w:val="485"/>
          <w:jc w:val="center"/>
        </w:trPr>
        <w:tc>
          <w:tcPr>
            <w:tcW w:w="2157" w:type="dxa"/>
            <w:shd w:val="clear" w:color="000000" w:fill="FFFFFF"/>
            <w:vAlign w:val="center"/>
            <w:hideMark/>
          </w:tcPr>
          <w:p w14:paraId="13B55F08"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HIV and AIDS Specialist</w:t>
            </w:r>
          </w:p>
        </w:tc>
        <w:tc>
          <w:tcPr>
            <w:tcW w:w="1783" w:type="dxa"/>
            <w:shd w:val="clear" w:color="000000" w:fill="FFFFFF"/>
            <w:vAlign w:val="center"/>
            <w:hideMark/>
          </w:tcPr>
          <w:p w14:paraId="13B55F09"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P3- International</w:t>
            </w:r>
          </w:p>
        </w:tc>
        <w:tc>
          <w:tcPr>
            <w:tcW w:w="1196" w:type="dxa"/>
            <w:shd w:val="clear" w:color="000000" w:fill="FFFFFF"/>
            <w:vAlign w:val="center"/>
            <w:hideMark/>
          </w:tcPr>
          <w:p w14:paraId="13B55F0A"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1</w:t>
            </w:r>
          </w:p>
        </w:tc>
        <w:tc>
          <w:tcPr>
            <w:tcW w:w="1238" w:type="dxa"/>
            <w:shd w:val="clear" w:color="000000" w:fill="FFFFFF"/>
            <w:vAlign w:val="center"/>
            <w:hideMark/>
          </w:tcPr>
          <w:p w14:paraId="13B55F0B"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0.00</w:t>
            </w:r>
          </w:p>
        </w:tc>
        <w:tc>
          <w:tcPr>
            <w:tcW w:w="1652" w:type="dxa"/>
            <w:shd w:val="clear" w:color="000000" w:fill="FFFFFF"/>
            <w:vAlign w:val="center"/>
            <w:hideMark/>
          </w:tcPr>
          <w:p w14:paraId="13B55F0C" w14:textId="77777777" w:rsidR="005B50E4" w:rsidRPr="000A7545" w:rsidRDefault="005B50E4" w:rsidP="00BD0D31">
            <w:pPr>
              <w:spacing w:before="120" w:line="240" w:lineRule="auto"/>
              <w:jc w:val="right"/>
              <w:rPr>
                <w:rFonts w:ascii="Arial Narrow" w:hAnsi="Arial Narrow" w:cs="Calibri"/>
                <w:b/>
                <w:bCs/>
                <w:color w:val="000000"/>
                <w:sz w:val="20"/>
                <w:szCs w:val="20"/>
              </w:rPr>
            </w:pPr>
          </w:p>
        </w:tc>
        <w:tc>
          <w:tcPr>
            <w:tcW w:w="1174" w:type="dxa"/>
            <w:shd w:val="clear" w:color="000000" w:fill="FFFFFF"/>
            <w:vAlign w:val="center"/>
            <w:hideMark/>
          </w:tcPr>
          <w:p w14:paraId="13B55F0D"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0.00</w:t>
            </w:r>
          </w:p>
        </w:tc>
      </w:tr>
      <w:tr w:rsidR="005B50E4" w:rsidRPr="000A7545" w14:paraId="13B55F15" w14:textId="77777777" w:rsidTr="00BD0D31">
        <w:trPr>
          <w:trHeight w:val="480"/>
          <w:jc w:val="center"/>
        </w:trPr>
        <w:tc>
          <w:tcPr>
            <w:tcW w:w="2157" w:type="dxa"/>
            <w:shd w:val="clear" w:color="auto" w:fill="auto"/>
            <w:vAlign w:val="center"/>
            <w:hideMark/>
          </w:tcPr>
          <w:p w14:paraId="13B55F0F"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Education Program</w:t>
            </w:r>
            <w:r w:rsidRPr="000A7545">
              <w:rPr>
                <w:rFonts w:ascii="Arial Narrow" w:hAnsi="Arial Narrow" w:cs="Calibri"/>
                <w:bCs/>
                <w:color w:val="000000"/>
                <w:sz w:val="20"/>
              </w:rPr>
              <w:t>me</w:t>
            </w:r>
            <w:r w:rsidRPr="000A7545">
              <w:rPr>
                <w:rFonts w:ascii="Arial Narrow" w:hAnsi="Arial Narrow" w:cs="Calibri"/>
                <w:color w:val="000000"/>
                <w:sz w:val="20"/>
                <w:szCs w:val="20"/>
              </w:rPr>
              <w:t xml:space="preserve"> Specialist</w:t>
            </w:r>
          </w:p>
        </w:tc>
        <w:tc>
          <w:tcPr>
            <w:tcW w:w="1783" w:type="dxa"/>
            <w:shd w:val="clear" w:color="auto" w:fill="auto"/>
            <w:vAlign w:val="center"/>
            <w:hideMark/>
          </w:tcPr>
          <w:p w14:paraId="13B55F10"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NOC</w:t>
            </w:r>
          </w:p>
        </w:tc>
        <w:tc>
          <w:tcPr>
            <w:tcW w:w="1196" w:type="dxa"/>
            <w:shd w:val="clear" w:color="auto" w:fill="auto"/>
            <w:vAlign w:val="center"/>
            <w:hideMark/>
          </w:tcPr>
          <w:p w14:paraId="13B55F11"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2</w:t>
            </w:r>
          </w:p>
        </w:tc>
        <w:tc>
          <w:tcPr>
            <w:tcW w:w="1238" w:type="dxa"/>
            <w:shd w:val="clear" w:color="auto" w:fill="auto"/>
            <w:vAlign w:val="center"/>
            <w:hideMark/>
          </w:tcPr>
          <w:p w14:paraId="13B55F12"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83,067.84</w:t>
            </w:r>
          </w:p>
        </w:tc>
        <w:tc>
          <w:tcPr>
            <w:tcW w:w="1652" w:type="dxa"/>
            <w:shd w:val="clear" w:color="000000" w:fill="FFFFFF"/>
            <w:vAlign w:val="center"/>
            <w:hideMark/>
          </w:tcPr>
          <w:p w14:paraId="13B55F13" w14:textId="77777777" w:rsidR="005B50E4" w:rsidRPr="000A7545" w:rsidRDefault="005B50E4" w:rsidP="00BD0D31">
            <w:pPr>
              <w:spacing w:before="120" w:line="240" w:lineRule="auto"/>
              <w:jc w:val="right"/>
              <w:rPr>
                <w:rFonts w:ascii="Arial Narrow" w:hAnsi="Arial Narrow" w:cs="Calibri"/>
                <w:b/>
                <w:bCs/>
                <w:color w:val="000000"/>
                <w:sz w:val="20"/>
                <w:szCs w:val="20"/>
              </w:rPr>
            </w:pPr>
          </w:p>
        </w:tc>
        <w:tc>
          <w:tcPr>
            <w:tcW w:w="1174" w:type="dxa"/>
            <w:shd w:val="clear" w:color="000000" w:fill="FFFFFF"/>
            <w:vAlign w:val="center"/>
            <w:hideMark/>
          </w:tcPr>
          <w:p w14:paraId="13B55F14"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83,067.84</w:t>
            </w:r>
          </w:p>
        </w:tc>
      </w:tr>
      <w:tr w:rsidR="005B50E4" w:rsidRPr="000A7545" w14:paraId="13B55F1C" w14:textId="77777777" w:rsidTr="00BD0D31">
        <w:trPr>
          <w:trHeight w:val="360"/>
          <w:jc w:val="center"/>
        </w:trPr>
        <w:tc>
          <w:tcPr>
            <w:tcW w:w="2157" w:type="dxa"/>
            <w:shd w:val="clear" w:color="auto" w:fill="auto"/>
            <w:vAlign w:val="center"/>
            <w:hideMark/>
          </w:tcPr>
          <w:p w14:paraId="13B55F16"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Program</w:t>
            </w:r>
            <w:r w:rsidRPr="000A7545">
              <w:rPr>
                <w:rFonts w:ascii="Arial Narrow" w:hAnsi="Arial Narrow" w:cs="Calibri"/>
                <w:bCs/>
                <w:color w:val="000000"/>
                <w:sz w:val="20"/>
              </w:rPr>
              <w:t>me</w:t>
            </w:r>
            <w:r w:rsidRPr="000A7545">
              <w:rPr>
                <w:rFonts w:ascii="Arial Narrow" w:hAnsi="Arial Narrow" w:cs="Calibri"/>
                <w:color w:val="000000"/>
                <w:sz w:val="20"/>
                <w:szCs w:val="20"/>
              </w:rPr>
              <w:t xml:space="preserve"> Officer</w:t>
            </w:r>
          </w:p>
        </w:tc>
        <w:tc>
          <w:tcPr>
            <w:tcW w:w="1783" w:type="dxa"/>
            <w:shd w:val="clear" w:color="auto" w:fill="auto"/>
            <w:vAlign w:val="center"/>
            <w:hideMark/>
          </w:tcPr>
          <w:p w14:paraId="13B55F17"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NOB</w:t>
            </w:r>
          </w:p>
        </w:tc>
        <w:tc>
          <w:tcPr>
            <w:tcW w:w="1196" w:type="dxa"/>
            <w:shd w:val="clear" w:color="auto" w:fill="auto"/>
            <w:vAlign w:val="center"/>
            <w:hideMark/>
          </w:tcPr>
          <w:p w14:paraId="13B55F18"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2</w:t>
            </w:r>
          </w:p>
        </w:tc>
        <w:tc>
          <w:tcPr>
            <w:tcW w:w="1238" w:type="dxa"/>
            <w:shd w:val="clear" w:color="auto" w:fill="auto"/>
            <w:vAlign w:val="center"/>
            <w:hideMark/>
          </w:tcPr>
          <w:p w14:paraId="13B55F19"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61,259.19</w:t>
            </w:r>
          </w:p>
        </w:tc>
        <w:tc>
          <w:tcPr>
            <w:tcW w:w="1652" w:type="dxa"/>
            <w:shd w:val="clear" w:color="000000" w:fill="FFFFFF"/>
            <w:vAlign w:val="center"/>
            <w:hideMark/>
          </w:tcPr>
          <w:p w14:paraId="13B55F1A"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0.00</w:t>
            </w:r>
          </w:p>
        </w:tc>
        <w:tc>
          <w:tcPr>
            <w:tcW w:w="1174" w:type="dxa"/>
            <w:shd w:val="clear" w:color="000000" w:fill="FFFFFF"/>
            <w:vAlign w:val="center"/>
            <w:hideMark/>
          </w:tcPr>
          <w:p w14:paraId="13B55F1B"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61,259.19</w:t>
            </w:r>
          </w:p>
        </w:tc>
      </w:tr>
      <w:tr w:rsidR="005B50E4" w:rsidRPr="000A7545" w14:paraId="13B55F23" w14:textId="77777777" w:rsidTr="00BD0D31">
        <w:trPr>
          <w:trHeight w:val="240"/>
          <w:jc w:val="center"/>
        </w:trPr>
        <w:tc>
          <w:tcPr>
            <w:tcW w:w="2157" w:type="dxa"/>
            <w:shd w:val="clear" w:color="auto" w:fill="auto"/>
            <w:vAlign w:val="center"/>
            <w:hideMark/>
          </w:tcPr>
          <w:p w14:paraId="13B55F1D"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Program</w:t>
            </w:r>
            <w:r w:rsidRPr="000A7545">
              <w:rPr>
                <w:rFonts w:ascii="Arial Narrow" w:hAnsi="Arial Narrow" w:cs="Calibri"/>
                <w:bCs/>
                <w:color w:val="000000"/>
                <w:sz w:val="20"/>
              </w:rPr>
              <w:t>me</w:t>
            </w:r>
            <w:r w:rsidRPr="000A7545">
              <w:rPr>
                <w:rFonts w:ascii="Arial Narrow" w:hAnsi="Arial Narrow" w:cs="Calibri"/>
                <w:color w:val="000000"/>
                <w:sz w:val="20"/>
                <w:szCs w:val="20"/>
              </w:rPr>
              <w:t xml:space="preserve"> Assistant</w:t>
            </w:r>
          </w:p>
        </w:tc>
        <w:tc>
          <w:tcPr>
            <w:tcW w:w="1783" w:type="dxa"/>
            <w:shd w:val="clear" w:color="auto" w:fill="auto"/>
            <w:vAlign w:val="center"/>
            <w:hideMark/>
          </w:tcPr>
          <w:p w14:paraId="13B55F1E"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G6</w:t>
            </w:r>
          </w:p>
        </w:tc>
        <w:tc>
          <w:tcPr>
            <w:tcW w:w="1196" w:type="dxa"/>
            <w:shd w:val="clear" w:color="auto" w:fill="auto"/>
            <w:vAlign w:val="center"/>
            <w:hideMark/>
          </w:tcPr>
          <w:p w14:paraId="13B55F1F"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1</w:t>
            </w:r>
          </w:p>
        </w:tc>
        <w:tc>
          <w:tcPr>
            <w:tcW w:w="1238" w:type="dxa"/>
            <w:shd w:val="clear" w:color="auto" w:fill="auto"/>
            <w:vAlign w:val="center"/>
            <w:hideMark/>
          </w:tcPr>
          <w:p w14:paraId="13B55F20"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14,190.14</w:t>
            </w:r>
          </w:p>
        </w:tc>
        <w:tc>
          <w:tcPr>
            <w:tcW w:w="1652" w:type="dxa"/>
            <w:shd w:val="clear" w:color="000000" w:fill="FFFFFF"/>
            <w:vAlign w:val="center"/>
            <w:hideMark/>
          </w:tcPr>
          <w:p w14:paraId="13B55F21"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22,116.99</w:t>
            </w:r>
          </w:p>
        </w:tc>
        <w:tc>
          <w:tcPr>
            <w:tcW w:w="1174" w:type="dxa"/>
            <w:shd w:val="clear" w:color="000000" w:fill="FFFFFF"/>
            <w:vAlign w:val="center"/>
            <w:hideMark/>
          </w:tcPr>
          <w:p w14:paraId="13B55F22"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 xml:space="preserve">                                                 (7,926.85 )  </w:t>
            </w:r>
          </w:p>
        </w:tc>
      </w:tr>
      <w:tr w:rsidR="005B50E4" w:rsidRPr="000A7545" w14:paraId="13B55F2A" w14:textId="77777777" w:rsidTr="00BD0D31">
        <w:trPr>
          <w:trHeight w:val="240"/>
          <w:jc w:val="center"/>
        </w:trPr>
        <w:tc>
          <w:tcPr>
            <w:tcW w:w="2157" w:type="dxa"/>
            <w:shd w:val="clear" w:color="auto" w:fill="auto"/>
            <w:vAlign w:val="center"/>
            <w:hideMark/>
          </w:tcPr>
          <w:p w14:paraId="13B55F24"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Driver</w:t>
            </w:r>
          </w:p>
        </w:tc>
        <w:tc>
          <w:tcPr>
            <w:tcW w:w="1783" w:type="dxa"/>
            <w:shd w:val="clear" w:color="auto" w:fill="auto"/>
            <w:vAlign w:val="center"/>
            <w:hideMark/>
          </w:tcPr>
          <w:p w14:paraId="13B55F25"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color w:val="000000"/>
                <w:sz w:val="20"/>
                <w:szCs w:val="20"/>
              </w:rPr>
              <w:t>G2</w:t>
            </w:r>
          </w:p>
        </w:tc>
        <w:tc>
          <w:tcPr>
            <w:tcW w:w="1196" w:type="dxa"/>
            <w:shd w:val="clear" w:color="auto" w:fill="auto"/>
            <w:vAlign w:val="center"/>
            <w:hideMark/>
          </w:tcPr>
          <w:p w14:paraId="13B55F26" w14:textId="77777777" w:rsidR="005B50E4" w:rsidRPr="000A7545" w:rsidRDefault="005B50E4" w:rsidP="00BD0D31">
            <w:pPr>
              <w:spacing w:before="120" w:line="240" w:lineRule="auto"/>
              <w:jc w:val="center"/>
              <w:rPr>
                <w:rFonts w:ascii="Arial Narrow" w:hAnsi="Arial Narrow" w:cs="Calibri"/>
                <w:b/>
                <w:bCs/>
                <w:color w:val="000000"/>
                <w:sz w:val="20"/>
                <w:szCs w:val="20"/>
              </w:rPr>
            </w:pPr>
            <w:r w:rsidRPr="000A7545">
              <w:rPr>
                <w:rFonts w:ascii="Arial Narrow" w:hAnsi="Arial Narrow" w:cs="Calibri"/>
                <w:color w:val="000000"/>
                <w:sz w:val="20"/>
                <w:szCs w:val="20"/>
              </w:rPr>
              <w:t>2</w:t>
            </w:r>
          </w:p>
        </w:tc>
        <w:tc>
          <w:tcPr>
            <w:tcW w:w="1238" w:type="dxa"/>
            <w:shd w:val="clear" w:color="auto" w:fill="auto"/>
            <w:vAlign w:val="center"/>
            <w:hideMark/>
          </w:tcPr>
          <w:p w14:paraId="13B55F27"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9,500.00</w:t>
            </w:r>
          </w:p>
        </w:tc>
        <w:tc>
          <w:tcPr>
            <w:tcW w:w="1652" w:type="dxa"/>
            <w:shd w:val="clear" w:color="000000" w:fill="FFFFFF"/>
            <w:vAlign w:val="center"/>
            <w:hideMark/>
          </w:tcPr>
          <w:p w14:paraId="13B55F28" w14:textId="77777777" w:rsidR="005B50E4" w:rsidRPr="000A7545" w:rsidRDefault="005B50E4" w:rsidP="00BD0D31">
            <w:pPr>
              <w:spacing w:before="120" w:line="240" w:lineRule="auto"/>
              <w:jc w:val="right"/>
              <w:rPr>
                <w:rFonts w:ascii="Arial Narrow" w:hAnsi="Arial Narrow" w:cs="Calibri"/>
                <w:bCs/>
                <w:color w:val="000000"/>
                <w:sz w:val="20"/>
                <w:szCs w:val="20"/>
              </w:rPr>
            </w:pPr>
            <w:r w:rsidRPr="000A7545">
              <w:rPr>
                <w:rFonts w:ascii="Arial Narrow" w:hAnsi="Arial Narrow" w:cs="Calibri"/>
                <w:bCs/>
                <w:color w:val="000000"/>
                <w:sz w:val="20"/>
                <w:szCs w:val="20"/>
              </w:rPr>
              <w:t>4,865.81</w:t>
            </w:r>
          </w:p>
        </w:tc>
        <w:tc>
          <w:tcPr>
            <w:tcW w:w="1174" w:type="dxa"/>
            <w:shd w:val="clear" w:color="000000" w:fill="FFFFFF"/>
            <w:vAlign w:val="center"/>
            <w:hideMark/>
          </w:tcPr>
          <w:p w14:paraId="13B55F29"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4,634.19</w:t>
            </w:r>
          </w:p>
        </w:tc>
      </w:tr>
      <w:tr w:rsidR="005B50E4" w:rsidRPr="000A7545" w14:paraId="13B55F2F" w14:textId="77777777" w:rsidTr="00BD0D31">
        <w:trPr>
          <w:trHeight w:val="240"/>
          <w:jc w:val="center"/>
        </w:trPr>
        <w:tc>
          <w:tcPr>
            <w:tcW w:w="5136" w:type="dxa"/>
            <w:gridSpan w:val="3"/>
            <w:shd w:val="clear" w:color="auto" w:fill="FFFFCC"/>
            <w:vAlign w:val="center"/>
            <w:hideMark/>
          </w:tcPr>
          <w:p w14:paraId="13B55F2B"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b/>
                <w:iCs/>
                <w:color w:val="000000"/>
                <w:sz w:val="20"/>
                <w:szCs w:val="20"/>
              </w:rPr>
              <w:t>Sub-total (b)</w:t>
            </w:r>
          </w:p>
        </w:tc>
        <w:tc>
          <w:tcPr>
            <w:tcW w:w="1238" w:type="dxa"/>
            <w:shd w:val="clear" w:color="auto" w:fill="FFFFCC"/>
            <w:vAlign w:val="center"/>
            <w:hideMark/>
          </w:tcPr>
          <w:p w14:paraId="13B55F2C"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279,017.16</w:t>
            </w:r>
          </w:p>
        </w:tc>
        <w:tc>
          <w:tcPr>
            <w:tcW w:w="1652" w:type="dxa"/>
            <w:shd w:val="clear" w:color="auto" w:fill="FFFFCC"/>
            <w:vAlign w:val="center"/>
            <w:hideMark/>
          </w:tcPr>
          <w:p w14:paraId="13B55F2D"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26,982.80</w:t>
            </w:r>
          </w:p>
        </w:tc>
        <w:tc>
          <w:tcPr>
            <w:tcW w:w="1174" w:type="dxa"/>
            <w:shd w:val="clear" w:color="auto" w:fill="FFFFCC"/>
            <w:vAlign w:val="center"/>
            <w:hideMark/>
          </w:tcPr>
          <w:p w14:paraId="13B55F2E"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252,034.36</w:t>
            </w:r>
          </w:p>
        </w:tc>
      </w:tr>
      <w:tr w:rsidR="005B50E4" w:rsidRPr="000A7545" w14:paraId="13B55F31" w14:textId="77777777" w:rsidTr="00BD0D31">
        <w:trPr>
          <w:trHeight w:val="240"/>
          <w:jc w:val="center"/>
        </w:trPr>
        <w:tc>
          <w:tcPr>
            <w:tcW w:w="9200" w:type="dxa"/>
            <w:gridSpan w:val="6"/>
            <w:shd w:val="clear" w:color="auto" w:fill="C6D9F1" w:themeFill="text2" w:themeFillTint="33"/>
            <w:vAlign w:val="center"/>
            <w:hideMark/>
          </w:tcPr>
          <w:p w14:paraId="13B55F30" w14:textId="77777777" w:rsidR="005B50E4" w:rsidRPr="000A7545" w:rsidRDefault="005B50E4" w:rsidP="00BD0D31">
            <w:pPr>
              <w:spacing w:before="120" w:line="240" w:lineRule="auto"/>
              <w:rPr>
                <w:rFonts w:ascii="Arial Narrow" w:hAnsi="Arial Narrow" w:cs="Calibri"/>
                <w:b/>
                <w:i/>
                <w:iCs/>
                <w:color w:val="000000"/>
                <w:sz w:val="20"/>
                <w:szCs w:val="20"/>
              </w:rPr>
            </w:pPr>
            <w:r w:rsidRPr="000A7545">
              <w:rPr>
                <w:rFonts w:ascii="Arial Narrow" w:hAnsi="Arial Narrow" w:cs="Calibri"/>
                <w:b/>
                <w:color w:val="000000"/>
                <w:sz w:val="20"/>
                <w:szCs w:val="20"/>
              </w:rPr>
              <w:t>Operational</w:t>
            </w:r>
          </w:p>
        </w:tc>
      </w:tr>
      <w:tr w:rsidR="005B50E4" w:rsidRPr="000A7545" w14:paraId="13B55F38" w14:textId="77777777" w:rsidTr="00BD0D31">
        <w:trPr>
          <w:trHeight w:val="240"/>
          <w:jc w:val="center"/>
        </w:trPr>
        <w:tc>
          <w:tcPr>
            <w:tcW w:w="2157" w:type="dxa"/>
            <w:shd w:val="clear" w:color="auto" w:fill="auto"/>
            <w:vAlign w:val="center"/>
            <w:hideMark/>
          </w:tcPr>
          <w:p w14:paraId="13B55F32" w14:textId="77777777" w:rsidR="005B50E4" w:rsidRPr="000A7545" w:rsidRDefault="005B50E4" w:rsidP="00BD0D31">
            <w:pPr>
              <w:spacing w:before="120" w:line="240" w:lineRule="auto"/>
              <w:rPr>
                <w:rFonts w:ascii="Arial Narrow" w:hAnsi="Arial Narrow" w:cs="Calibri"/>
                <w:bCs/>
                <w:color w:val="000000"/>
                <w:sz w:val="20"/>
                <w:szCs w:val="20"/>
              </w:rPr>
            </w:pPr>
            <w:r w:rsidRPr="000A7545">
              <w:rPr>
                <w:rFonts w:ascii="Arial Narrow" w:hAnsi="Arial Narrow" w:cs="Calibri"/>
                <w:bCs/>
                <w:color w:val="000000"/>
                <w:sz w:val="20"/>
              </w:rPr>
              <w:t>Office</w:t>
            </w:r>
            <w:r w:rsidRPr="000A7545">
              <w:rPr>
                <w:rFonts w:ascii="Arial Narrow" w:hAnsi="Arial Narrow" w:cs="Calibri"/>
                <w:color w:val="000000"/>
                <w:sz w:val="20"/>
                <w:szCs w:val="20"/>
              </w:rPr>
              <w:t xml:space="preserve"> Space</w:t>
            </w:r>
          </w:p>
        </w:tc>
        <w:tc>
          <w:tcPr>
            <w:tcW w:w="1783" w:type="dxa"/>
            <w:shd w:val="clear" w:color="auto" w:fill="auto"/>
            <w:vAlign w:val="center"/>
            <w:hideMark/>
          </w:tcPr>
          <w:p w14:paraId="13B55F33" w14:textId="77777777" w:rsidR="005B50E4" w:rsidRPr="000A7545" w:rsidRDefault="005B50E4" w:rsidP="00BD0D31">
            <w:pPr>
              <w:spacing w:before="120" w:line="240" w:lineRule="auto"/>
              <w:rPr>
                <w:rFonts w:ascii="Arial Narrow" w:hAnsi="Arial Narrow" w:cs="Calibri"/>
                <w:b/>
                <w:bCs/>
                <w:color w:val="000000"/>
                <w:sz w:val="20"/>
                <w:szCs w:val="20"/>
              </w:rPr>
            </w:pPr>
          </w:p>
        </w:tc>
        <w:tc>
          <w:tcPr>
            <w:tcW w:w="1196" w:type="dxa"/>
            <w:shd w:val="clear" w:color="auto" w:fill="auto"/>
            <w:vAlign w:val="center"/>
            <w:hideMark/>
          </w:tcPr>
          <w:p w14:paraId="13B55F34" w14:textId="77777777" w:rsidR="005B50E4" w:rsidRPr="000A7545" w:rsidRDefault="005B50E4" w:rsidP="00BD0D31">
            <w:pPr>
              <w:spacing w:before="120" w:line="240" w:lineRule="auto"/>
              <w:jc w:val="center"/>
              <w:rPr>
                <w:rFonts w:ascii="Arial Narrow" w:hAnsi="Arial Narrow" w:cs="Calibri"/>
                <w:b/>
                <w:bCs/>
                <w:color w:val="000000"/>
                <w:sz w:val="20"/>
                <w:szCs w:val="20"/>
              </w:rPr>
            </w:pPr>
          </w:p>
        </w:tc>
        <w:tc>
          <w:tcPr>
            <w:tcW w:w="1238" w:type="dxa"/>
            <w:shd w:val="clear" w:color="auto" w:fill="auto"/>
            <w:vAlign w:val="center"/>
            <w:hideMark/>
          </w:tcPr>
          <w:p w14:paraId="13B55F35"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45,337.84</w:t>
            </w:r>
          </w:p>
        </w:tc>
        <w:tc>
          <w:tcPr>
            <w:tcW w:w="1652" w:type="dxa"/>
            <w:shd w:val="clear" w:color="auto" w:fill="auto"/>
            <w:vAlign w:val="center"/>
            <w:hideMark/>
          </w:tcPr>
          <w:p w14:paraId="13B55F36"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20,016.71</w:t>
            </w:r>
          </w:p>
        </w:tc>
        <w:tc>
          <w:tcPr>
            <w:tcW w:w="1174" w:type="dxa"/>
            <w:shd w:val="clear" w:color="auto" w:fill="auto"/>
            <w:vAlign w:val="center"/>
            <w:hideMark/>
          </w:tcPr>
          <w:p w14:paraId="13B55F37"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25,321.13</w:t>
            </w:r>
          </w:p>
        </w:tc>
      </w:tr>
      <w:tr w:rsidR="005B50E4" w:rsidRPr="000A7545" w14:paraId="13B55F3F" w14:textId="77777777" w:rsidTr="00BD0D31">
        <w:trPr>
          <w:trHeight w:val="240"/>
          <w:jc w:val="center"/>
        </w:trPr>
        <w:tc>
          <w:tcPr>
            <w:tcW w:w="2157" w:type="dxa"/>
            <w:shd w:val="clear" w:color="auto" w:fill="auto"/>
            <w:vAlign w:val="bottom"/>
            <w:hideMark/>
          </w:tcPr>
          <w:p w14:paraId="13B55F39"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Office Maintenance</w:t>
            </w:r>
          </w:p>
        </w:tc>
        <w:tc>
          <w:tcPr>
            <w:tcW w:w="1783" w:type="dxa"/>
            <w:shd w:val="clear" w:color="auto" w:fill="auto"/>
            <w:vAlign w:val="bottom"/>
            <w:hideMark/>
          </w:tcPr>
          <w:p w14:paraId="13B55F3A" w14:textId="77777777" w:rsidR="005B50E4" w:rsidRPr="000A7545" w:rsidRDefault="005B50E4" w:rsidP="00BD0D31">
            <w:pPr>
              <w:spacing w:before="120" w:line="240" w:lineRule="auto"/>
              <w:rPr>
                <w:rFonts w:ascii="Arial Narrow" w:hAnsi="Arial Narrow" w:cs="Calibri"/>
                <w:b/>
                <w:bCs/>
                <w:color w:val="000000"/>
                <w:sz w:val="20"/>
                <w:szCs w:val="20"/>
              </w:rPr>
            </w:pPr>
          </w:p>
        </w:tc>
        <w:tc>
          <w:tcPr>
            <w:tcW w:w="1196" w:type="dxa"/>
            <w:shd w:val="clear" w:color="auto" w:fill="auto"/>
            <w:vAlign w:val="center"/>
            <w:hideMark/>
          </w:tcPr>
          <w:p w14:paraId="13B55F3B" w14:textId="77777777" w:rsidR="005B50E4" w:rsidRPr="000A7545" w:rsidRDefault="005B50E4" w:rsidP="00BD0D31">
            <w:pPr>
              <w:spacing w:before="120" w:line="240" w:lineRule="auto"/>
              <w:jc w:val="center"/>
              <w:rPr>
                <w:rFonts w:ascii="Arial Narrow" w:hAnsi="Arial Narrow" w:cs="Calibri"/>
                <w:b/>
                <w:bCs/>
                <w:color w:val="000000"/>
                <w:sz w:val="20"/>
                <w:szCs w:val="20"/>
              </w:rPr>
            </w:pPr>
          </w:p>
        </w:tc>
        <w:tc>
          <w:tcPr>
            <w:tcW w:w="1238" w:type="dxa"/>
            <w:shd w:val="clear" w:color="auto" w:fill="auto"/>
            <w:vAlign w:val="center"/>
            <w:hideMark/>
          </w:tcPr>
          <w:p w14:paraId="13B55F3C"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19,890.00</w:t>
            </w:r>
          </w:p>
        </w:tc>
        <w:tc>
          <w:tcPr>
            <w:tcW w:w="1652" w:type="dxa"/>
            <w:shd w:val="clear" w:color="auto" w:fill="auto"/>
            <w:vAlign w:val="center"/>
            <w:hideMark/>
          </w:tcPr>
          <w:p w14:paraId="13B55F3D"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29,272.78</w:t>
            </w:r>
          </w:p>
        </w:tc>
        <w:tc>
          <w:tcPr>
            <w:tcW w:w="1174" w:type="dxa"/>
            <w:shd w:val="clear" w:color="auto" w:fill="auto"/>
            <w:vAlign w:val="center"/>
            <w:hideMark/>
          </w:tcPr>
          <w:p w14:paraId="13B55F3E"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(9,382.78 )</w:t>
            </w:r>
          </w:p>
        </w:tc>
      </w:tr>
      <w:tr w:rsidR="005B50E4" w:rsidRPr="000A7545" w14:paraId="13B55F46" w14:textId="77777777" w:rsidTr="00BD0D31">
        <w:trPr>
          <w:trHeight w:val="240"/>
          <w:jc w:val="center"/>
        </w:trPr>
        <w:tc>
          <w:tcPr>
            <w:tcW w:w="2157" w:type="dxa"/>
            <w:shd w:val="clear" w:color="auto" w:fill="auto"/>
            <w:vAlign w:val="bottom"/>
            <w:hideMark/>
          </w:tcPr>
          <w:p w14:paraId="13B55F40"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Travel</w:t>
            </w:r>
          </w:p>
        </w:tc>
        <w:tc>
          <w:tcPr>
            <w:tcW w:w="1783" w:type="dxa"/>
            <w:shd w:val="clear" w:color="auto" w:fill="auto"/>
            <w:vAlign w:val="bottom"/>
            <w:hideMark/>
          </w:tcPr>
          <w:p w14:paraId="13B55F41" w14:textId="77777777" w:rsidR="005B50E4" w:rsidRPr="000A7545" w:rsidRDefault="005B50E4" w:rsidP="00BD0D31">
            <w:pPr>
              <w:spacing w:before="120" w:line="240" w:lineRule="auto"/>
              <w:rPr>
                <w:rFonts w:ascii="Arial Narrow" w:hAnsi="Arial Narrow" w:cs="Calibri"/>
                <w:b/>
                <w:bCs/>
                <w:color w:val="000000"/>
                <w:sz w:val="20"/>
                <w:szCs w:val="20"/>
              </w:rPr>
            </w:pPr>
          </w:p>
        </w:tc>
        <w:tc>
          <w:tcPr>
            <w:tcW w:w="1196" w:type="dxa"/>
            <w:shd w:val="clear" w:color="auto" w:fill="auto"/>
            <w:vAlign w:val="center"/>
            <w:hideMark/>
          </w:tcPr>
          <w:p w14:paraId="13B55F42" w14:textId="77777777" w:rsidR="005B50E4" w:rsidRPr="000A7545" w:rsidRDefault="005B50E4" w:rsidP="00BD0D31">
            <w:pPr>
              <w:spacing w:before="120" w:line="240" w:lineRule="auto"/>
              <w:jc w:val="center"/>
              <w:rPr>
                <w:rFonts w:ascii="Arial Narrow" w:hAnsi="Arial Narrow" w:cs="Calibri"/>
                <w:b/>
                <w:bCs/>
                <w:color w:val="000000"/>
                <w:sz w:val="20"/>
                <w:szCs w:val="20"/>
              </w:rPr>
            </w:pPr>
          </w:p>
        </w:tc>
        <w:tc>
          <w:tcPr>
            <w:tcW w:w="1238" w:type="dxa"/>
            <w:shd w:val="clear" w:color="auto" w:fill="auto"/>
            <w:vAlign w:val="center"/>
            <w:hideMark/>
          </w:tcPr>
          <w:p w14:paraId="13B55F43"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130,000.00</w:t>
            </w:r>
          </w:p>
        </w:tc>
        <w:tc>
          <w:tcPr>
            <w:tcW w:w="1652" w:type="dxa"/>
            <w:shd w:val="clear" w:color="auto" w:fill="auto"/>
            <w:vAlign w:val="center"/>
            <w:hideMark/>
          </w:tcPr>
          <w:p w14:paraId="13B55F44"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48,383.67</w:t>
            </w:r>
          </w:p>
        </w:tc>
        <w:tc>
          <w:tcPr>
            <w:tcW w:w="1174" w:type="dxa"/>
            <w:shd w:val="clear" w:color="auto" w:fill="auto"/>
            <w:vAlign w:val="center"/>
            <w:hideMark/>
          </w:tcPr>
          <w:p w14:paraId="13B55F45"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81,616.33</w:t>
            </w:r>
          </w:p>
        </w:tc>
      </w:tr>
      <w:tr w:rsidR="005B50E4" w:rsidRPr="000A7545" w14:paraId="13B55F4D" w14:textId="77777777" w:rsidTr="00BD0D31">
        <w:trPr>
          <w:trHeight w:val="240"/>
          <w:jc w:val="center"/>
        </w:trPr>
        <w:tc>
          <w:tcPr>
            <w:tcW w:w="2157" w:type="dxa"/>
            <w:shd w:val="clear" w:color="000000" w:fill="FFFFFF"/>
            <w:vAlign w:val="bottom"/>
            <w:hideMark/>
          </w:tcPr>
          <w:p w14:paraId="13B55F47" w14:textId="77777777" w:rsidR="005B50E4" w:rsidRPr="000A7545" w:rsidRDefault="005B50E4" w:rsidP="00BD0D31">
            <w:pPr>
              <w:spacing w:before="120" w:line="240" w:lineRule="auto"/>
              <w:rPr>
                <w:rFonts w:ascii="Arial Narrow" w:hAnsi="Arial Narrow" w:cs="Calibri"/>
                <w:b/>
                <w:bCs/>
                <w:color w:val="000000"/>
                <w:sz w:val="20"/>
                <w:szCs w:val="20"/>
              </w:rPr>
            </w:pPr>
            <w:r w:rsidRPr="000A7545">
              <w:rPr>
                <w:rFonts w:ascii="Arial Narrow" w:hAnsi="Arial Narrow" w:cs="Calibri"/>
                <w:color w:val="000000"/>
                <w:sz w:val="20"/>
                <w:szCs w:val="20"/>
              </w:rPr>
              <w:t>Cross Sectoral Cost</w:t>
            </w:r>
          </w:p>
        </w:tc>
        <w:tc>
          <w:tcPr>
            <w:tcW w:w="1783" w:type="dxa"/>
            <w:shd w:val="clear" w:color="000000" w:fill="FFFFFF"/>
            <w:vAlign w:val="bottom"/>
            <w:hideMark/>
          </w:tcPr>
          <w:p w14:paraId="13B55F48" w14:textId="77777777" w:rsidR="005B50E4" w:rsidRPr="000A7545" w:rsidRDefault="005B50E4" w:rsidP="00BD0D31">
            <w:pPr>
              <w:spacing w:before="120" w:line="240" w:lineRule="auto"/>
              <w:rPr>
                <w:rFonts w:ascii="Arial Narrow" w:hAnsi="Arial Narrow" w:cs="Calibri"/>
                <w:b/>
                <w:bCs/>
                <w:color w:val="000000"/>
                <w:sz w:val="20"/>
                <w:szCs w:val="20"/>
              </w:rPr>
            </w:pPr>
          </w:p>
        </w:tc>
        <w:tc>
          <w:tcPr>
            <w:tcW w:w="1196" w:type="dxa"/>
            <w:shd w:val="clear" w:color="000000" w:fill="FFFFFF"/>
            <w:vAlign w:val="center"/>
            <w:hideMark/>
          </w:tcPr>
          <w:p w14:paraId="13B55F49" w14:textId="77777777" w:rsidR="005B50E4" w:rsidRPr="000A7545" w:rsidRDefault="005B50E4" w:rsidP="00BD0D31">
            <w:pPr>
              <w:spacing w:before="120" w:line="240" w:lineRule="auto"/>
              <w:jc w:val="center"/>
              <w:rPr>
                <w:rFonts w:ascii="Arial Narrow" w:hAnsi="Arial Narrow" w:cs="Calibri"/>
                <w:b/>
                <w:bCs/>
                <w:color w:val="000000"/>
                <w:sz w:val="20"/>
                <w:szCs w:val="20"/>
              </w:rPr>
            </w:pPr>
          </w:p>
        </w:tc>
        <w:tc>
          <w:tcPr>
            <w:tcW w:w="1238" w:type="dxa"/>
            <w:shd w:val="clear" w:color="000000" w:fill="FFFFFF"/>
            <w:vAlign w:val="center"/>
            <w:hideMark/>
          </w:tcPr>
          <w:p w14:paraId="13B55F4A"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67,865.70</w:t>
            </w:r>
          </w:p>
        </w:tc>
        <w:tc>
          <w:tcPr>
            <w:tcW w:w="1652" w:type="dxa"/>
            <w:shd w:val="clear" w:color="000000" w:fill="FFFFFF"/>
            <w:vAlign w:val="center"/>
            <w:hideMark/>
          </w:tcPr>
          <w:p w14:paraId="13B55F4B"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27,825.45</w:t>
            </w:r>
          </w:p>
        </w:tc>
        <w:tc>
          <w:tcPr>
            <w:tcW w:w="1174" w:type="dxa"/>
            <w:shd w:val="clear" w:color="000000" w:fill="FFFFFF"/>
            <w:vAlign w:val="center"/>
            <w:hideMark/>
          </w:tcPr>
          <w:p w14:paraId="13B55F4C" w14:textId="77777777" w:rsidR="005B50E4" w:rsidRPr="000A7545" w:rsidRDefault="005B50E4" w:rsidP="00BD0D31">
            <w:pPr>
              <w:spacing w:before="120" w:line="240" w:lineRule="auto"/>
              <w:jc w:val="right"/>
              <w:rPr>
                <w:rFonts w:ascii="Arial Narrow" w:hAnsi="Arial Narrow" w:cs="Calibri"/>
                <w:b/>
                <w:bCs/>
                <w:color w:val="000000"/>
                <w:sz w:val="20"/>
                <w:szCs w:val="20"/>
              </w:rPr>
            </w:pPr>
            <w:r w:rsidRPr="000A7545">
              <w:rPr>
                <w:rFonts w:ascii="Arial Narrow" w:hAnsi="Arial Narrow" w:cs="Calibri"/>
                <w:color w:val="000000"/>
                <w:sz w:val="20"/>
                <w:szCs w:val="20"/>
              </w:rPr>
              <w:t>40,040.25</w:t>
            </w:r>
          </w:p>
        </w:tc>
      </w:tr>
      <w:tr w:rsidR="005B50E4" w:rsidRPr="000A7545" w14:paraId="13B55F52" w14:textId="77777777" w:rsidTr="00BD0D31">
        <w:trPr>
          <w:trHeight w:val="240"/>
          <w:jc w:val="center"/>
        </w:trPr>
        <w:tc>
          <w:tcPr>
            <w:tcW w:w="5136" w:type="dxa"/>
            <w:gridSpan w:val="3"/>
            <w:shd w:val="clear" w:color="auto" w:fill="FFFFCC"/>
            <w:vAlign w:val="bottom"/>
            <w:hideMark/>
          </w:tcPr>
          <w:p w14:paraId="13B55F4E" w14:textId="77777777" w:rsidR="005B50E4" w:rsidRPr="000A7545" w:rsidRDefault="005B50E4" w:rsidP="00BD0D31">
            <w:pPr>
              <w:spacing w:before="120" w:line="240" w:lineRule="auto"/>
              <w:rPr>
                <w:rFonts w:ascii="Arial Narrow" w:hAnsi="Arial Narrow" w:cs="Calibri"/>
                <w:b/>
                <w:bCs/>
                <w:color w:val="000000"/>
                <w:sz w:val="20"/>
                <w:szCs w:val="20"/>
                <w:u w:val="single"/>
              </w:rPr>
            </w:pPr>
            <w:r w:rsidRPr="000A7545">
              <w:rPr>
                <w:rFonts w:ascii="Arial Narrow" w:hAnsi="Arial Narrow" w:cs="Calibri"/>
                <w:b/>
                <w:iCs/>
                <w:color w:val="000000"/>
                <w:sz w:val="20"/>
                <w:szCs w:val="20"/>
              </w:rPr>
              <w:t>Sub-total (c)</w:t>
            </w:r>
          </w:p>
        </w:tc>
        <w:tc>
          <w:tcPr>
            <w:tcW w:w="1238" w:type="dxa"/>
            <w:shd w:val="clear" w:color="auto" w:fill="FFFFCC"/>
            <w:vAlign w:val="center"/>
            <w:hideMark/>
          </w:tcPr>
          <w:p w14:paraId="13B55F4F"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263,093.54</w:t>
            </w:r>
          </w:p>
        </w:tc>
        <w:tc>
          <w:tcPr>
            <w:tcW w:w="1652" w:type="dxa"/>
            <w:shd w:val="clear" w:color="auto" w:fill="FFFFCC"/>
            <w:vAlign w:val="center"/>
            <w:hideMark/>
          </w:tcPr>
          <w:p w14:paraId="13B55F50"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125,498.61</w:t>
            </w:r>
          </w:p>
        </w:tc>
        <w:tc>
          <w:tcPr>
            <w:tcW w:w="1174" w:type="dxa"/>
            <w:shd w:val="clear" w:color="auto" w:fill="FFFFCC"/>
            <w:vAlign w:val="center"/>
            <w:hideMark/>
          </w:tcPr>
          <w:p w14:paraId="13B55F51"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137,594.93</w:t>
            </w:r>
          </w:p>
        </w:tc>
      </w:tr>
      <w:tr w:rsidR="005B50E4" w:rsidRPr="000A7545" w14:paraId="13B55F57" w14:textId="77777777" w:rsidTr="00BD0D31">
        <w:trPr>
          <w:trHeight w:val="240"/>
          <w:jc w:val="center"/>
        </w:trPr>
        <w:tc>
          <w:tcPr>
            <w:tcW w:w="5136" w:type="dxa"/>
            <w:gridSpan w:val="3"/>
            <w:shd w:val="clear" w:color="auto" w:fill="FFFFCC"/>
            <w:vAlign w:val="bottom"/>
          </w:tcPr>
          <w:p w14:paraId="13B55F53" w14:textId="77777777" w:rsidR="005B50E4" w:rsidRPr="000A7545" w:rsidRDefault="005B50E4" w:rsidP="00BD0D31">
            <w:pPr>
              <w:spacing w:before="120" w:line="240" w:lineRule="auto"/>
              <w:rPr>
                <w:rFonts w:ascii="Arial Narrow" w:hAnsi="Arial Narrow" w:cs="Calibri"/>
                <w:b/>
                <w:iCs/>
                <w:color w:val="000000"/>
                <w:sz w:val="20"/>
                <w:szCs w:val="20"/>
              </w:rPr>
            </w:pPr>
            <w:r w:rsidRPr="000A7545">
              <w:rPr>
                <w:rFonts w:ascii="Arial Narrow" w:hAnsi="Arial Narrow" w:cs="Calibri"/>
                <w:b/>
                <w:iCs/>
                <w:color w:val="000000"/>
                <w:sz w:val="20"/>
                <w:szCs w:val="20"/>
              </w:rPr>
              <w:t>Total (a + b + c)</w:t>
            </w:r>
          </w:p>
        </w:tc>
        <w:tc>
          <w:tcPr>
            <w:tcW w:w="1238" w:type="dxa"/>
            <w:shd w:val="clear" w:color="auto" w:fill="FFFFCC"/>
            <w:vAlign w:val="center"/>
          </w:tcPr>
          <w:p w14:paraId="13B55F54" w14:textId="77777777" w:rsidR="005B50E4" w:rsidRPr="000A7545" w:rsidRDefault="005B50E4" w:rsidP="00BD0D31">
            <w:pPr>
              <w:spacing w:before="120" w:line="240" w:lineRule="auto"/>
              <w:jc w:val="right"/>
              <w:rPr>
                <w:rFonts w:ascii="Arial Narrow" w:hAnsi="Arial Narrow" w:cs="Calibri"/>
                <w:b/>
                <w:iCs/>
                <w:color w:val="000000"/>
                <w:sz w:val="20"/>
                <w:szCs w:val="20"/>
              </w:rPr>
            </w:pPr>
          </w:p>
        </w:tc>
        <w:tc>
          <w:tcPr>
            <w:tcW w:w="1652" w:type="dxa"/>
            <w:shd w:val="clear" w:color="auto" w:fill="FFFFCC"/>
            <w:vAlign w:val="center"/>
          </w:tcPr>
          <w:p w14:paraId="13B55F55"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1,196,209.08</w:t>
            </w:r>
          </w:p>
        </w:tc>
        <w:tc>
          <w:tcPr>
            <w:tcW w:w="1174" w:type="dxa"/>
            <w:shd w:val="clear" w:color="auto" w:fill="FFFFCC"/>
            <w:vAlign w:val="center"/>
          </w:tcPr>
          <w:p w14:paraId="13B55F56" w14:textId="77777777" w:rsidR="005B50E4" w:rsidRPr="000A7545" w:rsidRDefault="005B50E4" w:rsidP="00BD0D31">
            <w:pPr>
              <w:spacing w:before="120" w:line="240" w:lineRule="auto"/>
              <w:jc w:val="right"/>
              <w:rPr>
                <w:rFonts w:ascii="Arial Narrow" w:hAnsi="Arial Narrow" w:cs="Calibri"/>
                <w:b/>
                <w:iCs/>
                <w:color w:val="000000"/>
                <w:sz w:val="20"/>
                <w:szCs w:val="20"/>
              </w:rPr>
            </w:pPr>
          </w:p>
        </w:tc>
      </w:tr>
      <w:tr w:rsidR="005B50E4" w:rsidRPr="000A7545" w14:paraId="13B55F5C" w14:textId="77777777" w:rsidTr="00BD0D31">
        <w:trPr>
          <w:trHeight w:val="390"/>
          <w:jc w:val="center"/>
        </w:trPr>
        <w:tc>
          <w:tcPr>
            <w:tcW w:w="5136" w:type="dxa"/>
            <w:gridSpan w:val="3"/>
            <w:shd w:val="clear" w:color="auto" w:fill="auto"/>
            <w:vAlign w:val="bottom"/>
            <w:hideMark/>
          </w:tcPr>
          <w:p w14:paraId="13B55F58" w14:textId="77777777" w:rsidR="005B50E4" w:rsidRPr="000A7545" w:rsidRDefault="005B50E4" w:rsidP="00BD0D31">
            <w:pPr>
              <w:spacing w:before="120" w:line="240" w:lineRule="auto"/>
              <w:rPr>
                <w:rFonts w:ascii="Arial Narrow" w:hAnsi="Arial Narrow" w:cs="Calibri"/>
                <w:bCs/>
                <w:color w:val="000000"/>
                <w:sz w:val="20"/>
                <w:szCs w:val="20"/>
                <w:u w:val="single"/>
              </w:rPr>
            </w:pPr>
            <w:r w:rsidRPr="000A7545">
              <w:rPr>
                <w:rFonts w:ascii="Arial Narrow" w:hAnsi="Arial Narrow" w:cs="Calibri"/>
                <w:bCs/>
                <w:color w:val="000000"/>
                <w:sz w:val="20"/>
              </w:rPr>
              <w:t>UNICEF 7%</w:t>
            </w:r>
            <w:r w:rsidRPr="000A7545">
              <w:rPr>
                <w:rFonts w:ascii="Arial Narrow" w:hAnsi="Arial Narrow" w:cs="Calibri"/>
                <w:color w:val="000000"/>
                <w:sz w:val="20"/>
                <w:szCs w:val="20"/>
              </w:rPr>
              <w:t xml:space="preserve"> Recovery Cost</w:t>
            </w:r>
          </w:p>
        </w:tc>
        <w:tc>
          <w:tcPr>
            <w:tcW w:w="1238" w:type="dxa"/>
            <w:shd w:val="clear" w:color="auto" w:fill="auto"/>
            <w:vAlign w:val="center"/>
            <w:hideMark/>
          </w:tcPr>
          <w:p w14:paraId="13B55F59" w14:textId="77777777" w:rsidR="005B50E4" w:rsidRPr="000A7545" w:rsidRDefault="005B50E4" w:rsidP="00BD0D31">
            <w:pPr>
              <w:spacing w:before="120" w:line="240" w:lineRule="auto"/>
              <w:jc w:val="right"/>
              <w:rPr>
                <w:rFonts w:ascii="Arial Narrow" w:hAnsi="Arial Narrow" w:cs="Calibri"/>
                <w:iCs/>
                <w:color w:val="000000"/>
                <w:sz w:val="20"/>
                <w:szCs w:val="20"/>
              </w:rPr>
            </w:pPr>
            <w:r w:rsidRPr="000A7545">
              <w:rPr>
                <w:rFonts w:ascii="Arial Narrow" w:hAnsi="Arial Narrow" w:cs="Calibri"/>
                <w:iCs/>
                <w:color w:val="000000"/>
                <w:sz w:val="20"/>
                <w:szCs w:val="20"/>
              </w:rPr>
              <w:t>196,301.05</w:t>
            </w:r>
          </w:p>
        </w:tc>
        <w:tc>
          <w:tcPr>
            <w:tcW w:w="1652" w:type="dxa"/>
            <w:shd w:val="clear" w:color="auto" w:fill="auto"/>
            <w:vAlign w:val="center"/>
            <w:hideMark/>
          </w:tcPr>
          <w:p w14:paraId="13B55F5A" w14:textId="77777777" w:rsidR="005B50E4" w:rsidRPr="000A7545" w:rsidRDefault="005B50E4" w:rsidP="00BD0D31">
            <w:pPr>
              <w:spacing w:before="120" w:line="240" w:lineRule="auto"/>
              <w:jc w:val="right"/>
              <w:rPr>
                <w:rFonts w:ascii="Arial Narrow" w:hAnsi="Arial Narrow" w:cs="Calibri"/>
                <w:iCs/>
                <w:color w:val="000000"/>
                <w:sz w:val="20"/>
                <w:szCs w:val="20"/>
              </w:rPr>
            </w:pPr>
            <w:r w:rsidRPr="000A7545">
              <w:rPr>
                <w:rFonts w:ascii="Arial Narrow" w:hAnsi="Arial Narrow" w:cs="Calibri"/>
                <w:iCs/>
                <w:color w:val="000000"/>
                <w:sz w:val="20"/>
                <w:szCs w:val="20"/>
              </w:rPr>
              <w:t>79,455.69</w:t>
            </w:r>
          </w:p>
        </w:tc>
        <w:tc>
          <w:tcPr>
            <w:tcW w:w="1174" w:type="dxa"/>
            <w:shd w:val="clear" w:color="auto" w:fill="auto"/>
            <w:vAlign w:val="center"/>
            <w:hideMark/>
          </w:tcPr>
          <w:p w14:paraId="13B55F5B" w14:textId="77777777" w:rsidR="005B50E4" w:rsidRPr="000A7545" w:rsidRDefault="005B50E4" w:rsidP="00BD0D31">
            <w:pPr>
              <w:spacing w:before="120" w:line="240" w:lineRule="auto"/>
              <w:jc w:val="right"/>
              <w:rPr>
                <w:rFonts w:ascii="Arial Narrow" w:hAnsi="Arial Narrow" w:cs="Calibri"/>
                <w:iCs/>
                <w:color w:val="000000"/>
                <w:sz w:val="20"/>
                <w:szCs w:val="20"/>
              </w:rPr>
            </w:pPr>
          </w:p>
        </w:tc>
      </w:tr>
      <w:tr w:rsidR="005B50E4" w:rsidRPr="000A7545" w14:paraId="13B55F61" w14:textId="77777777" w:rsidTr="00BD0D31">
        <w:trPr>
          <w:trHeight w:val="240"/>
          <w:jc w:val="center"/>
        </w:trPr>
        <w:tc>
          <w:tcPr>
            <w:tcW w:w="5136" w:type="dxa"/>
            <w:gridSpan w:val="3"/>
            <w:shd w:val="clear" w:color="auto" w:fill="FFFFCC"/>
            <w:vAlign w:val="bottom"/>
            <w:hideMark/>
          </w:tcPr>
          <w:p w14:paraId="13B55F5D" w14:textId="77777777" w:rsidR="005B50E4" w:rsidRPr="000A7545" w:rsidRDefault="005B50E4" w:rsidP="00BD0D31">
            <w:pPr>
              <w:spacing w:before="120" w:line="240" w:lineRule="auto"/>
              <w:rPr>
                <w:rFonts w:ascii="Arial Narrow" w:hAnsi="Arial Narrow" w:cs="Calibri"/>
                <w:b/>
                <w:i/>
                <w:iCs/>
                <w:color w:val="000000"/>
                <w:sz w:val="20"/>
                <w:szCs w:val="20"/>
                <w:u w:val="double"/>
              </w:rPr>
            </w:pPr>
            <w:r w:rsidRPr="000A7545">
              <w:rPr>
                <w:rFonts w:ascii="Arial Narrow" w:hAnsi="Arial Narrow" w:cs="Calibri"/>
                <w:b/>
                <w:iCs/>
                <w:color w:val="000000"/>
                <w:sz w:val="20"/>
              </w:rPr>
              <w:t xml:space="preserve">Grand </w:t>
            </w:r>
            <w:r w:rsidRPr="000A7545">
              <w:rPr>
                <w:rFonts w:ascii="Arial Narrow" w:hAnsi="Arial Narrow" w:cs="Calibri"/>
                <w:b/>
                <w:iCs/>
                <w:color w:val="000000"/>
                <w:sz w:val="20"/>
                <w:szCs w:val="20"/>
              </w:rPr>
              <w:t>Total</w:t>
            </w:r>
          </w:p>
        </w:tc>
        <w:tc>
          <w:tcPr>
            <w:tcW w:w="1238" w:type="dxa"/>
            <w:shd w:val="clear" w:color="auto" w:fill="FFFFCC"/>
            <w:vAlign w:val="center"/>
            <w:hideMark/>
          </w:tcPr>
          <w:p w14:paraId="13B55F5E"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3,000,601.75</w:t>
            </w:r>
          </w:p>
        </w:tc>
        <w:tc>
          <w:tcPr>
            <w:tcW w:w="1652" w:type="dxa"/>
            <w:shd w:val="clear" w:color="auto" w:fill="FFFFCC"/>
            <w:vAlign w:val="center"/>
          </w:tcPr>
          <w:p w14:paraId="13B55F5F"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1,275,664.77</w:t>
            </w:r>
          </w:p>
        </w:tc>
        <w:tc>
          <w:tcPr>
            <w:tcW w:w="1174" w:type="dxa"/>
            <w:shd w:val="clear" w:color="auto" w:fill="FFFFCC"/>
            <w:vAlign w:val="center"/>
          </w:tcPr>
          <w:p w14:paraId="13B55F60" w14:textId="77777777" w:rsidR="005B50E4" w:rsidRPr="000A7545" w:rsidRDefault="005B50E4" w:rsidP="00BD0D31">
            <w:pPr>
              <w:spacing w:before="120"/>
              <w:jc w:val="right"/>
              <w:rPr>
                <w:rFonts w:ascii="Arial Narrow" w:hAnsi="Arial Narrow" w:cs="Calibri"/>
                <w:b/>
                <w:iCs/>
                <w:color w:val="000000"/>
                <w:sz w:val="20"/>
                <w:szCs w:val="20"/>
              </w:rPr>
            </w:pPr>
          </w:p>
        </w:tc>
      </w:tr>
      <w:tr w:rsidR="005B50E4" w:rsidRPr="000A7545" w14:paraId="13B55F66" w14:textId="77777777" w:rsidTr="00BD0D31">
        <w:trPr>
          <w:trHeight w:val="240"/>
          <w:jc w:val="center"/>
        </w:trPr>
        <w:tc>
          <w:tcPr>
            <w:tcW w:w="5136" w:type="dxa"/>
            <w:gridSpan w:val="3"/>
            <w:shd w:val="clear" w:color="auto" w:fill="auto"/>
            <w:vAlign w:val="bottom"/>
            <w:hideMark/>
          </w:tcPr>
          <w:p w14:paraId="13B55F62" w14:textId="77777777" w:rsidR="005B50E4" w:rsidRPr="000A7545" w:rsidRDefault="005B50E4" w:rsidP="00BD0D31">
            <w:pPr>
              <w:spacing w:before="120"/>
              <w:rPr>
                <w:rFonts w:ascii="Arial Narrow" w:hAnsi="Arial Narrow" w:cs="Calibri"/>
                <w:b/>
                <w:iCs/>
                <w:color w:val="000000"/>
                <w:sz w:val="20"/>
                <w:szCs w:val="20"/>
              </w:rPr>
            </w:pPr>
            <w:r w:rsidRPr="000A7545">
              <w:rPr>
                <w:rFonts w:ascii="Arial Narrow" w:hAnsi="Arial Narrow" w:cs="Calibri"/>
                <w:b/>
                <w:iCs/>
                <w:color w:val="000000"/>
                <w:sz w:val="20"/>
              </w:rPr>
              <w:t>Total c</w:t>
            </w:r>
            <w:r w:rsidRPr="000A7545">
              <w:rPr>
                <w:rFonts w:ascii="Arial Narrow" w:hAnsi="Arial Narrow" w:cs="Calibri"/>
                <w:b/>
                <w:iCs/>
                <w:color w:val="000000"/>
                <w:sz w:val="20"/>
                <w:szCs w:val="20"/>
              </w:rPr>
              <w:t>ontribution received as of today</w:t>
            </w:r>
          </w:p>
        </w:tc>
        <w:tc>
          <w:tcPr>
            <w:tcW w:w="1238" w:type="dxa"/>
            <w:shd w:val="clear" w:color="auto" w:fill="auto"/>
            <w:vAlign w:val="bottom"/>
            <w:hideMark/>
          </w:tcPr>
          <w:p w14:paraId="13B55F63" w14:textId="77777777" w:rsidR="005B50E4" w:rsidRPr="000A7545" w:rsidRDefault="005B50E4" w:rsidP="00BD0D31">
            <w:pPr>
              <w:spacing w:before="120" w:line="240" w:lineRule="auto"/>
              <w:rPr>
                <w:rFonts w:ascii="Arial Narrow" w:hAnsi="Arial Narrow" w:cs="Calibri"/>
                <w:b/>
                <w:iCs/>
                <w:color w:val="000000"/>
                <w:sz w:val="20"/>
                <w:szCs w:val="20"/>
              </w:rPr>
            </w:pPr>
          </w:p>
        </w:tc>
        <w:tc>
          <w:tcPr>
            <w:tcW w:w="1652" w:type="dxa"/>
            <w:shd w:val="clear" w:color="auto" w:fill="auto"/>
            <w:vAlign w:val="bottom"/>
            <w:hideMark/>
          </w:tcPr>
          <w:p w14:paraId="13B55F64"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2,500,000.00</w:t>
            </w:r>
          </w:p>
        </w:tc>
        <w:tc>
          <w:tcPr>
            <w:tcW w:w="1174" w:type="dxa"/>
            <w:shd w:val="clear" w:color="auto" w:fill="auto"/>
            <w:noWrap/>
            <w:vAlign w:val="bottom"/>
            <w:hideMark/>
          </w:tcPr>
          <w:p w14:paraId="13B55F65" w14:textId="77777777" w:rsidR="005B50E4" w:rsidRPr="000A7545" w:rsidRDefault="005B50E4" w:rsidP="00BD0D31">
            <w:pPr>
              <w:spacing w:before="120" w:line="240" w:lineRule="auto"/>
              <w:rPr>
                <w:rFonts w:ascii="Arial Narrow" w:hAnsi="Arial Narrow" w:cs="Calibri"/>
                <w:b/>
                <w:bCs/>
                <w:color w:val="000000"/>
                <w:sz w:val="20"/>
                <w:szCs w:val="20"/>
              </w:rPr>
            </w:pPr>
          </w:p>
        </w:tc>
      </w:tr>
      <w:tr w:rsidR="005B50E4" w:rsidRPr="000A7545" w14:paraId="13B55F6B" w14:textId="77777777" w:rsidTr="00BD0D31">
        <w:trPr>
          <w:trHeight w:val="240"/>
          <w:jc w:val="center"/>
        </w:trPr>
        <w:tc>
          <w:tcPr>
            <w:tcW w:w="5136" w:type="dxa"/>
            <w:gridSpan w:val="3"/>
            <w:shd w:val="clear" w:color="auto" w:fill="auto"/>
            <w:vAlign w:val="bottom"/>
            <w:hideMark/>
          </w:tcPr>
          <w:p w14:paraId="13B55F67" w14:textId="77777777" w:rsidR="005B50E4" w:rsidRPr="000A7545" w:rsidRDefault="005B50E4" w:rsidP="00BD0D31">
            <w:pPr>
              <w:spacing w:before="120" w:line="240" w:lineRule="auto"/>
              <w:rPr>
                <w:rFonts w:ascii="Arial Narrow" w:hAnsi="Arial Narrow" w:cs="Calibri"/>
                <w:b/>
                <w:iCs/>
                <w:color w:val="000000"/>
                <w:sz w:val="20"/>
                <w:szCs w:val="20"/>
              </w:rPr>
            </w:pPr>
            <w:r w:rsidRPr="000A7545">
              <w:rPr>
                <w:rFonts w:ascii="Arial Narrow" w:hAnsi="Arial Narrow" w:cs="Calibri"/>
                <w:b/>
                <w:iCs/>
                <w:color w:val="000000"/>
                <w:sz w:val="20"/>
                <w:szCs w:val="20"/>
              </w:rPr>
              <w:t>Balance</w:t>
            </w:r>
            <w:r w:rsidRPr="000A7545">
              <w:rPr>
                <w:rFonts w:ascii="Arial Narrow" w:hAnsi="Arial Narrow" w:cs="Calibri"/>
                <w:b/>
                <w:iCs/>
                <w:color w:val="000000"/>
                <w:sz w:val="20"/>
              </w:rPr>
              <w:t xml:space="preserve"> contribution – total requisitions (01/04/11 – 05/03/12)</w:t>
            </w:r>
          </w:p>
        </w:tc>
        <w:tc>
          <w:tcPr>
            <w:tcW w:w="1238" w:type="dxa"/>
            <w:shd w:val="clear" w:color="auto" w:fill="auto"/>
            <w:vAlign w:val="bottom"/>
            <w:hideMark/>
          </w:tcPr>
          <w:p w14:paraId="13B55F68" w14:textId="77777777" w:rsidR="005B50E4" w:rsidRPr="000A7545" w:rsidRDefault="005B50E4" w:rsidP="00BD0D31">
            <w:pPr>
              <w:spacing w:before="120" w:line="240" w:lineRule="auto"/>
              <w:rPr>
                <w:rFonts w:ascii="Arial Narrow" w:hAnsi="Arial Narrow" w:cs="Calibri"/>
                <w:b/>
                <w:iCs/>
                <w:color w:val="000000"/>
                <w:sz w:val="20"/>
                <w:szCs w:val="20"/>
              </w:rPr>
            </w:pPr>
          </w:p>
        </w:tc>
        <w:tc>
          <w:tcPr>
            <w:tcW w:w="1652" w:type="dxa"/>
            <w:shd w:val="clear" w:color="auto" w:fill="auto"/>
            <w:vAlign w:val="bottom"/>
          </w:tcPr>
          <w:p w14:paraId="13B55F69" w14:textId="77777777" w:rsidR="005B50E4" w:rsidRPr="000A7545" w:rsidRDefault="005B50E4" w:rsidP="00BD0D31">
            <w:pPr>
              <w:spacing w:before="120" w:line="240" w:lineRule="auto"/>
              <w:jc w:val="right"/>
              <w:rPr>
                <w:rFonts w:ascii="Arial Narrow" w:hAnsi="Arial Narrow" w:cs="Calibri"/>
                <w:b/>
                <w:iCs/>
                <w:color w:val="000000"/>
                <w:sz w:val="20"/>
                <w:szCs w:val="20"/>
              </w:rPr>
            </w:pPr>
            <w:r w:rsidRPr="000A7545">
              <w:rPr>
                <w:rFonts w:ascii="Arial Narrow" w:hAnsi="Arial Narrow" w:cs="Calibri"/>
                <w:b/>
                <w:iCs/>
                <w:color w:val="000000"/>
                <w:sz w:val="20"/>
                <w:szCs w:val="20"/>
              </w:rPr>
              <w:t>1,224,335.23</w:t>
            </w:r>
          </w:p>
        </w:tc>
        <w:tc>
          <w:tcPr>
            <w:tcW w:w="1174" w:type="dxa"/>
            <w:shd w:val="clear" w:color="auto" w:fill="auto"/>
            <w:noWrap/>
            <w:vAlign w:val="bottom"/>
          </w:tcPr>
          <w:p w14:paraId="13B55F6A" w14:textId="77777777" w:rsidR="005B50E4" w:rsidRPr="000A7545" w:rsidRDefault="005B50E4" w:rsidP="00BD0D31">
            <w:pPr>
              <w:spacing w:before="120" w:line="240" w:lineRule="auto"/>
              <w:rPr>
                <w:rFonts w:ascii="Arial Narrow" w:hAnsi="Arial Narrow" w:cs="Calibri"/>
                <w:b/>
                <w:bCs/>
                <w:color w:val="000000"/>
                <w:sz w:val="20"/>
                <w:szCs w:val="20"/>
              </w:rPr>
            </w:pPr>
          </w:p>
        </w:tc>
      </w:tr>
    </w:tbl>
    <w:p w14:paraId="13B55F6C" w14:textId="77777777" w:rsidR="00677EEB" w:rsidRPr="000A7545" w:rsidRDefault="00677EEB" w:rsidP="00677EEB">
      <w:pPr>
        <w:rPr>
          <w:rFonts w:cs="Arial"/>
          <w:b/>
          <w:i/>
          <w:sz w:val="20"/>
        </w:rPr>
      </w:pPr>
      <w:r w:rsidRPr="000A7545">
        <w:rPr>
          <w:rFonts w:cs="Arial"/>
          <w:i/>
          <w:sz w:val="20"/>
        </w:rPr>
        <w:t>NB: The amount</w:t>
      </w:r>
      <w:r w:rsidR="00715C13" w:rsidRPr="000A7545">
        <w:rPr>
          <w:rFonts w:cs="Arial"/>
          <w:i/>
          <w:sz w:val="20"/>
        </w:rPr>
        <w:t>s</w:t>
      </w:r>
      <w:r w:rsidRPr="000A7545">
        <w:rPr>
          <w:rFonts w:cs="Arial"/>
          <w:i/>
          <w:sz w:val="20"/>
        </w:rPr>
        <w:t xml:space="preserve"> reflect the figures available at the field office level and should be considered as indicative. Actual expenditures will be reflected in the Statement of Accounts prepared by the Division of Financial Management, New York.</w:t>
      </w:r>
    </w:p>
    <w:p w14:paraId="13B55F6D" w14:textId="77777777" w:rsidR="005B50E4" w:rsidRPr="000A7545" w:rsidRDefault="005B50E4" w:rsidP="007C578C"/>
    <w:p w14:paraId="13B55F6E" w14:textId="77777777" w:rsidR="00BD0D31" w:rsidRPr="000A7545" w:rsidRDefault="00BD0D31" w:rsidP="007C578C">
      <w:r w:rsidRPr="000A7545">
        <w:br w:type="page"/>
      </w:r>
    </w:p>
    <w:p w14:paraId="13B55F6F" w14:textId="77777777" w:rsidR="005B50E4" w:rsidRPr="000A7545" w:rsidRDefault="00BD0D31" w:rsidP="00BD0D31">
      <w:pPr>
        <w:pStyle w:val="Heading2"/>
        <w:rPr>
          <w:lang w:val="en-GB"/>
        </w:rPr>
      </w:pPr>
      <w:bookmarkStart w:id="91" w:name="_Toc322702782"/>
      <w:r w:rsidRPr="000A7545">
        <w:rPr>
          <w:lang w:val="en-GB"/>
        </w:rPr>
        <w:t>AUSAID Financial Implementation</w:t>
      </w:r>
      <w:bookmarkEnd w:id="91"/>
    </w:p>
    <w:p w14:paraId="13B55F70" w14:textId="77777777" w:rsidR="00BD0D31" w:rsidRPr="000A7545" w:rsidRDefault="00BD0D31" w:rsidP="00BD0D31">
      <w:pPr>
        <w:pStyle w:val="Heading3"/>
        <w:rPr>
          <w:lang w:val="en-GB"/>
        </w:rPr>
      </w:pPr>
      <w:bookmarkStart w:id="92" w:name="_Toc298341105"/>
      <w:bookmarkStart w:id="93" w:name="_Toc322702783"/>
      <w:r w:rsidRPr="000A7545">
        <w:rPr>
          <w:lang w:val="en-GB"/>
        </w:rPr>
        <w:t>Australia-UNICEF Education Assistance to Papua and West Papua (01 March 2010 to 27 March 2012)</w:t>
      </w:r>
      <w:bookmarkEnd w:id="92"/>
      <w:bookmarkEnd w:id="93"/>
    </w:p>
    <w:p w14:paraId="13B55F71" w14:textId="77777777" w:rsidR="00BD0D31" w:rsidRPr="000A7545" w:rsidRDefault="00BD0D31" w:rsidP="00BD0D31"/>
    <w:tbl>
      <w:tblPr>
        <w:tblW w:w="9114" w:type="dxa"/>
        <w:jc w:val="center"/>
        <w:tblInd w:w="322" w:type="dxa"/>
        <w:tblLook w:val="0000" w:firstRow="0" w:lastRow="0" w:firstColumn="0" w:lastColumn="0" w:noHBand="0" w:noVBand="0"/>
      </w:tblPr>
      <w:tblGrid>
        <w:gridCol w:w="458"/>
        <w:gridCol w:w="2321"/>
        <w:gridCol w:w="2382"/>
        <w:gridCol w:w="2264"/>
        <w:gridCol w:w="1689"/>
      </w:tblGrid>
      <w:tr w:rsidR="00BD0D31" w:rsidRPr="000A7545" w14:paraId="13B55F79" w14:textId="77777777" w:rsidTr="00677EEB">
        <w:trPr>
          <w:trHeight w:val="710"/>
          <w:jc w:val="center"/>
        </w:trPr>
        <w:tc>
          <w:tcPr>
            <w:tcW w:w="4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B55F72" w14:textId="77777777" w:rsidR="00BD0D31" w:rsidRPr="000A7545" w:rsidRDefault="00BD0D31" w:rsidP="00BD0D31">
            <w:pPr>
              <w:spacing w:before="120"/>
              <w:jc w:val="center"/>
              <w:rPr>
                <w:rFonts w:ascii="Arial Narrow" w:hAnsi="Arial Narrow" w:cstheme="minorHAnsi"/>
                <w:b/>
                <w:sz w:val="20"/>
              </w:rPr>
            </w:pPr>
            <w:r w:rsidRPr="000A7545">
              <w:rPr>
                <w:rFonts w:ascii="Arial Narrow" w:hAnsi="Arial Narrow" w:cstheme="minorHAnsi"/>
                <w:b/>
                <w:sz w:val="20"/>
              </w:rPr>
              <w:t>No</w:t>
            </w:r>
          </w:p>
        </w:tc>
        <w:tc>
          <w:tcPr>
            <w:tcW w:w="232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B55F73" w14:textId="77777777" w:rsidR="00BD0D31" w:rsidRPr="000A7545" w:rsidRDefault="00BD0D31" w:rsidP="00BD0D31">
            <w:pPr>
              <w:spacing w:before="120"/>
              <w:jc w:val="center"/>
              <w:rPr>
                <w:rFonts w:ascii="Arial Narrow" w:hAnsi="Arial Narrow" w:cstheme="minorHAnsi"/>
                <w:b/>
                <w:sz w:val="20"/>
              </w:rPr>
            </w:pPr>
            <w:r w:rsidRPr="000A7545">
              <w:rPr>
                <w:rFonts w:ascii="Arial Narrow" w:hAnsi="Arial Narrow" w:cstheme="minorHAnsi"/>
                <w:b/>
                <w:sz w:val="20"/>
              </w:rPr>
              <w:t>Budget Line</w:t>
            </w:r>
          </w:p>
        </w:tc>
        <w:tc>
          <w:tcPr>
            <w:tcW w:w="2382"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3B55F74" w14:textId="77777777" w:rsidR="00BD0D31" w:rsidRPr="000A7545" w:rsidRDefault="00BD0D31" w:rsidP="00BD0D31">
            <w:pPr>
              <w:spacing w:before="120"/>
              <w:jc w:val="center"/>
              <w:rPr>
                <w:rFonts w:ascii="Arial Narrow" w:hAnsi="Arial Narrow" w:cstheme="minorHAnsi"/>
                <w:b/>
                <w:sz w:val="20"/>
              </w:rPr>
            </w:pPr>
            <w:r w:rsidRPr="000A7545">
              <w:rPr>
                <w:rFonts w:ascii="Arial Narrow" w:hAnsi="Arial Narrow" w:cstheme="minorHAnsi"/>
                <w:b/>
                <w:sz w:val="20"/>
              </w:rPr>
              <w:t>Requisitioned</w:t>
            </w:r>
          </w:p>
          <w:p w14:paraId="13B55F75" w14:textId="77777777" w:rsidR="00BD0D31" w:rsidRPr="000A7545" w:rsidRDefault="00BD0D31" w:rsidP="00BD0D31">
            <w:pPr>
              <w:spacing w:before="120"/>
              <w:jc w:val="center"/>
              <w:rPr>
                <w:rFonts w:ascii="Arial Narrow" w:hAnsi="Arial Narrow" w:cstheme="minorHAnsi"/>
                <w:b/>
                <w:sz w:val="20"/>
              </w:rPr>
            </w:pPr>
            <w:r w:rsidRPr="000A7545">
              <w:rPr>
                <w:rFonts w:ascii="Arial Narrow" w:hAnsi="Arial Narrow" w:cstheme="minorHAnsi"/>
                <w:b/>
                <w:sz w:val="20"/>
              </w:rPr>
              <w:t>Mar 2010-Feb 2011</w:t>
            </w:r>
          </w:p>
        </w:tc>
        <w:tc>
          <w:tcPr>
            <w:tcW w:w="226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3B55F76" w14:textId="77777777" w:rsidR="00BD0D31" w:rsidRPr="000A7545" w:rsidRDefault="00BD0D31" w:rsidP="00BD0D31">
            <w:pPr>
              <w:spacing w:before="120"/>
              <w:jc w:val="center"/>
              <w:rPr>
                <w:rFonts w:ascii="Arial Narrow" w:hAnsi="Arial Narrow" w:cstheme="minorHAnsi"/>
                <w:b/>
                <w:sz w:val="20"/>
              </w:rPr>
            </w:pPr>
            <w:r w:rsidRPr="000A7545">
              <w:rPr>
                <w:rFonts w:ascii="Arial Narrow" w:hAnsi="Arial Narrow" w:cstheme="minorHAnsi"/>
                <w:b/>
                <w:sz w:val="20"/>
              </w:rPr>
              <w:t>Requisitioned</w:t>
            </w:r>
          </w:p>
          <w:p w14:paraId="13B55F77" w14:textId="77777777" w:rsidR="00BD0D31" w:rsidRPr="000A7545" w:rsidRDefault="00BD0D31" w:rsidP="00BD0D31">
            <w:pPr>
              <w:spacing w:before="120"/>
              <w:jc w:val="center"/>
              <w:rPr>
                <w:rFonts w:ascii="Arial Narrow" w:hAnsi="Arial Narrow" w:cstheme="minorHAnsi"/>
                <w:b/>
                <w:sz w:val="20"/>
              </w:rPr>
            </w:pPr>
            <w:r w:rsidRPr="000A7545">
              <w:rPr>
                <w:rFonts w:ascii="Arial Narrow" w:hAnsi="Arial Narrow" w:cstheme="minorHAnsi"/>
                <w:b/>
                <w:sz w:val="20"/>
              </w:rPr>
              <w:t>Mar 2011- March 2012</w:t>
            </w:r>
          </w:p>
        </w:tc>
        <w:tc>
          <w:tcPr>
            <w:tcW w:w="168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3B55F78" w14:textId="77777777" w:rsidR="00BD0D31" w:rsidRPr="000A7545" w:rsidRDefault="00BD0D31" w:rsidP="00BD0D31">
            <w:pPr>
              <w:spacing w:before="120"/>
              <w:jc w:val="center"/>
              <w:rPr>
                <w:rFonts w:ascii="Arial Narrow" w:hAnsi="Arial Narrow" w:cstheme="minorHAnsi"/>
                <w:b/>
                <w:sz w:val="20"/>
              </w:rPr>
            </w:pPr>
            <w:r w:rsidRPr="000A7545">
              <w:rPr>
                <w:rFonts w:ascii="Arial Narrow" w:hAnsi="Arial Narrow" w:cstheme="minorHAnsi"/>
                <w:b/>
                <w:sz w:val="20"/>
              </w:rPr>
              <w:t>Total</w:t>
            </w:r>
          </w:p>
        </w:tc>
      </w:tr>
      <w:tr w:rsidR="00BD0D31" w:rsidRPr="000A7545" w14:paraId="13B55F7F" w14:textId="77777777" w:rsidTr="00677EEB">
        <w:trPr>
          <w:trHeight w:val="42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13B55F7A"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1</w:t>
            </w:r>
          </w:p>
        </w:tc>
        <w:tc>
          <w:tcPr>
            <w:tcW w:w="2321" w:type="dxa"/>
            <w:tcBorders>
              <w:top w:val="single" w:sz="4" w:space="0" w:color="auto"/>
              <w:left w:val="nil"/>
              <w:bottom w:val="single" w:sz="4" w:space="0" w:color="auto"/>
              <w:right w:val="single" w:sz="4" w:space="0" w:color="auto"/>
            </w:tcBorders>
            <w:shd w:val="clear" w:color="auto" w:fill="auto"/>
            <w:vAlign w:val="center"/>
          </w:tcPr>
          <w:p w14:paraId="13B55F7B"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Human Resources</w:t>
            </w:r>
          </w:p>
        </w:tc>
        <w:tc>
          <w:tcPr>
            <w:tcW w:w="2382" w:type="dxa"/>
            <w:tcBorders>
              <w:top w:val="single" w:sz="4" w:space="0" w:color="auto"/>
              <w:left w:val="nil"/>
              <w:bottom w:val="single" w:sz="4" w:space="0" w:color="auto"/>
              <w:right w:val="single" w:sz="4" w:space="0" w:color="auto"/>
            </w:tcBorders>
            <w:shd w:val="clear" w:color="auto" w:fill="auto"/>
            <w:vAlign w:val="center"/>
          </w:tcPr>
          <w:p w14:paraId="13B55F7C"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1,066,130.21</w:t>
            </w:r>
          </w:p>
        </w:tc>
        <w:tc>
          <w:tcPr>
            <w:tcW w:w="2264" w:type="dxa"/>
            <w:tcBorders>
              <w:top w:val="single" w:sz="4" w:space="0" w:color="auto"/>
              <w:left w:val="nil"/>
              <w:bottom w:val="single" w:sz="4" w:space="0" w:color="auto"/>
              <w:right w:val="single" w:sz="4" w:space="0" w:color="auto"/>
            </w:tcBorders>
            <w:vAlign w:val="center"/>
          </w:tcPr>
          <w:p w14:paraId="13B55F7D"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611,301.39</w:t>
            </w:r>
          </w:p>
        </w:tc>
        <w:tc>
          <w:tcPr>
            <w:tcW w:w="1689" w:type="dxa"/>
            <w:tcBorders>
              <w:top w:val="single" w:sz="4" w:space="0" w:color="auto"/>
              <w:left w:val="nil"/>
              <w:bottom w:val="single" w:sz="4" w:space="0" w:color="auto"/>
              <w:right w:val="single" w:sz="4" w:space="0" w:color="auto"/>
            </w:tcBorders>
            <w:vAlign w:val="center"/>
          </w:tcPr>
          <w:p w14:paraId="13B55F7E"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1,677,431.60</w:t>
            </w:r>
          </w:p>
        </w:tc>
      </w:tr>
      <w:tr w:rsidR="00BD0D31" w:rsidRPr="000A7545" w14:paraId="13B55F85" w14:textId="77777777" w:rsidTr="00677EEB">
        <w:trPr>
          <w:trHeight w:val="368"/>
          <w:jc w:val="center"/>
        </w:trPr>
        <w:tc>
          <w:tcPr>
            <w:tcW w:w="458" w:type="dxa"/>
            <w:tcBorders>
              <w:top w:val="nil"/>
              <w:left w:val="single" w:sz="4" w:space="0" w:color="auto"/>
              <w:bottom w:val="single" w:sz="4" w:space="0" w:color="auto"/>
              <w:right w:val="single" w:sz="4" w:space="0" w:color="auto"/>
            </w:tcBorders>
            <w:shd w:val="clear" w:color="auto" w:fill="auto"/>
            <w:vAlign w:val="center"/>
          </w:tcPr>
          <w:p w14:paraId="13B55F80"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2</w:t>
            </w:r>
          </w:p>
        </w:tc>
        <w:tc>
          <w:tcPr>
            <w:tcW w:w="2321" w:type="dxa"/>
            <w:tcBorders>
              <w:top w:val="nil"/>
              <w:left w:val="nil"/>
              <w:bottom w:val="single" w:sz="4" w:space="0" w:color="auto"/>
              <w:right w:val="single" w:sz="4" w:space="0" w:color="auto"/>
            </w:tcBorders>
            <w:shd w:val="clear" w:color="auto" w:fill="auto"/>
            <w:vAlign w:val="center"/>
          </w:tcPr>
          <w:p w14:paraId="13B55F81"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Travel</w:t>
            </w:r>
          </w:p>
        </w:tc>
        <w:tc>
          <w:tcPr>
            <w:tcW w:w="2382" w:type="dxa"/>
            <w:tcBorders>
              <w:top w:val="nil"/>
              <w:left w:val="nil"/>
              <w:bottom w:val="single" w:sz="4" w:space="0" w:color="auto"/>
              <w:right w:val="single" w:sz="4" w:space="0" w:color="auto"/>
            </w:tcBorders>
            <w:shd w:val="clear" w:color="auto" w:fill="auto"/>
            <w:vAlign w:val="center"/>
          </w:tcPr>
          <w:p w14:paraId="13B55F82"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127,873.26</w:t>
            </w:r>
          </w:p>
        </w:tc>
        <w:tc>
          <w:tcPr>
            <w:tcW w:w="2264" w:type="dxa"/>
            <w:tcBorders>
              <w:top w:val="nil"/>
              <w:left w:val="nil"/>
              <w:bottom w:val="single" w:sz="4" w:space="0" w:color="auto"/>
              <w:right w:val="single" w:sz="4" w:space="0" w:color="auto"/>
            </w:tcBorders>
            <w:vAlign w:val="center"/>
          </w:tcPr>
          <w:p w14:paraId="13B55F83"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106,670.79</w:t>
            </w:r>
          </w:p>
        </w:tc>
        <w:tc>
          <w:tcPr>
            <w:tcW w:w="1689" w:type="dxa"/>
            <w:tcBorders>
              <w:top w:val="nil"/>
              <w:left w:val="nil"/>
              <w:bottom w:val="single" w:sz="4" w:space="0" w:color="auto"/>
              <w:right w:val="single" w:sz="4" w:space="0" w:color="auto"/>
            </w:tcBorders>
            <w:vAlign w:val="center"/>
          </w:tcPr>
          <w:p w14:paraId="13B55F84"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234,544.05</w:t>
            </w:r>
          </w:p>
        </w:tc>
      </w:tr>
      <w:tr w:rsidR="00BD0D31" w:rsidRPr="000A7545" w14:paraId="13B55F8B" w14:textId="77777777" w:rsidTr="00677EEB">
        <w:trPr>
          <w:trHeight w:val="467"/>
          <w:jc w:val="center"/>
        </w:trPr>
        <w:tc>
          <w:tcPr>
            <w:tcW w:w="458" w:type="dxa"/>
            <w:tcBorders>
              <w:top w:val="nil"/>
              <w:left w:val="single" w:sz="4" w:space="0" w:color="auto"/>
              <w:bottom w:val="single" w:sz="4" w:space="0" w:color="auto"/>
              <w:right w:val="single" w:sz="4" w:space="0" w:color="auto"/>
            </w:tcBorders>
            <w:shd w:val="clear" w:color="auto" w:fill="auto"/>
            <w:vAlign w:val="center"/>
          </w:tcPr>
          <w:p w14:paraId="13B55F86"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3</w:t>
            </w:r>
          </w:p>
        </w:tc>
        <w:tc>
          <w:tcPr>
            <w:tcW w:w="2321" w:type="dxa"/>
            <w:tcBorders>
              <w:top w:val="nil"/>
              <w:left w:val="nil"/>
              <w:bottom w:val="single" w:sz="4" w:space="0" w:color="auto"/>
              <w:right w:val="single" w:sz="4" w:space="0" w:color="auto"/>
            </w:tcBorders>
            <w:shd w:val="clear" w:color="auto" w:fill="auto"/>
            <w:vAlign w:val="center"/>
          </w:tcPr>
          <w:p w14:paraId="13B55F87"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Equipment and supplies</w:t>
            </w:r>
          </w:p>
        </w:tc>
        <w:tc>
          <w:tcPr>
            <w:tcW w:w="2382" w:type="dxa"/>
            <w:tcBorders>
              <w:top w:val="nil"/>
              <w:left w:val="nil"/>
              <w:bottom w:val="single" w:sz="4" w:space="0" w:color="auto"/>
              <w:right w:val="single" w:sz="4" w:space="0" w:color="auto"/>
            </w:tcBorders>
            <w:shd w:val="clear" w:color="auto" w:fill="auto"/>
            <w:vAlign w:val="center"/>
          </w:tcPr>
          <w:p w14:paraId="13B55F88"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1,785.20</w:t>
            </w:r>
          </w:p>
        </w:tc>
        <w:tc>
          <w:tcPr>
            <w:tcW w:w="2264" w:type="dxa"/>
            <w:tcBorders>
              <w:top w:val="nil"/>
              <w:left w:val="nil"/>
              <w:bottom w:val="single" w:sz="4" w:space="0" w:color="auto"/>
              <w:right w:val="single" w:sz="4" w:space="0" w:color="auto"/>
            </w:tcBorders>
            <w:vAlign w:val="center"/>
          </w:tcPr>
          <w:p w14:paraId="13B55F89"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59,497.19</w:t>
            </w:r>
          </w:p>
        </w:tc>
        <w:tc>
          <w:tcPr>
            <w:tcW w:w="1689" w:type="dxa"/>
            <w:tcBorders>
              <w:top w:val="nil"/>
              <w:left w:val="nil"/>
              <w:bottom w:val="single" w:sz="4" w:space="0" w:color="auto"/>
              <w:right w:val="single" w:sz="4" w:space="0" w:color="auto"/>
            </w:tcBorders>
            <w:vAlign w:val="center"/>
          </w:tcPr>
          <w:p w14:paraId="13B55F8A"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61,282.39</w:t>
            </w:r>
          </w:p>
        </w:tc>
      </w:tr>
      <w:tr w:rsidR="00BD0D31" w:rsidRPr="000A7545" w14:paraId="13B55F91" w14:textId="77777777" w:rsidTr="00677EEB">
        <w:trPr>
          <w:trHeight w:val="440"/>
          <w:jc w:val="center"/>
        </w:trPr>
        <w:tc>
          <w:tcPr>
            <w:tcW w:w="458" w:type="dxa"/>
            <w:tcBorders>
              <w:top w:val="nil"/>
              <w:left w:val="single" w:sz="4" w:space="0" w:color="auto"/>
              <w:bottom w:val="single" w:sz="4" w:space="0" w:color="auto"/>
              <w:right w:val="single" w:sz="4" w:space="0" w:color="auto"/>
            </w:tcBorders>
            <w:shd w:val="clear" w:color="auto" w:fill="auto"/>
            <w:vAlign w:val="center"/>
          </w:tcPr>
          <w:p w14:paraId="13B55F8C"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4</w:t>
            </w:r>
          </w:p>
        </w:tc>
        <w:tc>
          <w:tcPr>
            <w:tcW w:w="2321" w:type="dxa"/>
            <w:tcBorders>
              <w:top w:val="nil"/>
              <w:left w:val="nil"/>
              <w:bottom w:val="single" w:sz="4" w:space="0" w:color="auto"/>
              <w:right w:val="single" w:sz="4" w:space="0" w:color="auto"/>
            </w:tcBorders>
            <w:shd w:val="clear" w:color="auto" w:fill="auto"/>
            <w:vAlign w:val="center"/>
          </w:tcPr>
          <w:p w14:paraId="13B55F8D"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Field Office Running Costs</w:t>
            </w:r>
          </w:p>
        </w:tc>
        <w:tc>
          <w:tcPr>
            <w:tcW w:w="2382" w:type="dxa"/>
            <w:tcBorders>
              <w:top w:val="nil"/>
              <w:left w:val="nil"/>
              <w:bottom w:val="single" w:sz="4" w:space="0" w:color="auto"/>
              <w:right w:val="single" w:sz="4" w:space="0" w:color="auto"/>
            </w:tcBorders>
            <w:shd w:val="clear" w:color="auto" w:fill="auto"/>
            <w:vAlign w:val="center"/>
          </w:tcPr>
          <w:p w14:paraId="13B55F8E"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14,218.77</w:t>
            </w:r>
          </w:p>
        </w:tc>
        <w:tc>
          <w:tcPr>
            <w:tcW w:w="2264" w:type="dxa"/>
            <w:tcBorders>
              <w:top w:val="nil"/>
              <w:left w:val="nil"/>
              <w:bottom w:val="single" w:sz="4" w:space="0" w:color="auto"/>
              <w:right w:val="single" w:sz="4" w:space="0" w:color="auto"/>
            </w:tcBorders>
            <w:vAlign w:val="center"/>
          </w:tcPr>
          <w:p w14:paraId="13B55F8F"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64,435.85</w:t>
            </w:r>
          </w:p>
        </w:tc>
        <w:tc>
          <w:tcPr>
            <w:tcW w:w="1689" w:type="dxa"/>
            <w:tcBorders>
              <w:top w:val="nil"/>
              <w:left w:val="nil"/>
              <w:bottom w:val="single" w:sz="4" w:space="0" w:color="auto"/>
              <w:right w:val="single" w:sz="4" w:space="0" w:color="auto"/>
            </w:tcBorders>
            <w:vAlign w:val="center"/>
          </w:tcPr>
          <w:p w14:paraId="13B55F90"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78,654.62</w:t>
            </w:r>
          </w:p>
        </w:tc>
      </w:tr>
      <w:tr w:rsidR="00BD0D31" w:rsidRPr="000A7545" w14:paraId="13B55F97" w14:textId="77777777" w:rsidTr="00677EEB">
        <w:trPr>
          <w:trHeight w:val="420"/>
          <w:jc w:val="center"/>
        </w:trPr>
        <w:tc>
          <w:tcPr>
            <w:tcW w:w="458" w:type="dxa"/>
            <w:tcBorders>
              <w:top w:val="nil"/>
              <w:left w:val="single" w:sz="4" w:space="0" w:color="auto"/>
              <w:bottom w:val="single" w:sz="4" w:space="0" w:color="auto"/>
              <w:right w:val="single" w:sz="4" w:space="0" w:color="auto"/>
            </w:tcBorders>
            <w:shd w:val="clear" w:color="auto" w:fill="auto"/>
            <w:vAlign w:val="center"/>
          </w:tcPr>
          <w:p w14:paraId="13B55F92"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5</w:t>
            </w:r>
          </w:p>
        </w:tc>
        <w:tc>
          <w:tcPr>
            <w:tcW w:w="2321" w:type="dxa"/>
            <w:tcBorders>
              <w:top w:val="nil"/>
              <w:left w:val="nil"/>
              <w:bottom w:val="single" w:sz="4" w:space="0" w:color="auto"/>
              <w:right w:val="single" w:sz="4" w:space="0" w:color="auto"/>
            </w:tcBorders>
            <w:shd w:val="clear" w:color="auto" w:fill="auto"/>
            <w:vAlign w:val="center"/>
          </w:tcPr>
          <w:p w14:paraId="13B55F93"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Activities</w:t>
            </w:r>
          </w:p>
        </w:tc>
        <w:tc>
          <w:tcPr>
            <w:tcW w:w="2382" w:type="dxa"/>
            <w:tcBorders>
              <w:top w:val="nil"/>
              <w:left w:val="nil"/>
              <w:bottom w:val="single" w:sz="4" w:space="0" w:color="auto"/>
              <w:right w:val="single" w:sz="4" w:space="0" w:color="auto"/>
            </w:tcBorders>
            <w:shd w:val="clear" w:color="auto" w:fill="auto"/>
            <w:vAlign w:val="center"/>
          </w:tcPr>
          <w:p w14:paraId="13B55F94" w14:textId="77777777" w:rsidR="00BD0D31" w:rsidRPr="000A7545" w:rsidRDefault="00BD0D31" w:rsidP="00BD0D31">
            <w:pPr>
              <w:spacing w:before="120"/>
              <w:jc w:val="right"/>
              <w:rPr>
                <w:rFonts w:ascii="Arial Narrow" w:hAnsi="Arial Narrow" w:cstheme="minorHAnsi"/>
                <w:b/>
                <w:bCs/>
                <w:sz w:val="20"/>
              </w:rPr>
            </w:pPr>
          </w:p>
        </w:tc>
        <w:tc>
          <w:tcPr>
            <w:tcW w:w="2264" w:type="dxa"/>
            <w:tcBorders>
              <w:top w:val="nil"/>
              <w:left w:val="nil"/>
              <w:bottom w:val="single" w:sz="4" w:space="0" w:color="auto"/>
              <w:right w:val="single" w:sz="4" w:space="0" w:color="auto"/>
            </w:tcBorders>
            <w:vAlign w:val="center"/>
          </w:tcPr>
          <w:p w14:paraId="13B55F95" w14:textId="77777777" w:rsidR="00BD0D31" w:rsidRPr="000A7545" w:rsidRDefault="00BD0D31" w:rsidP="00BD0D31">
            <w:pPr>
              <w:spacing w:before="120"/>
              <w:jc w:val="right"/>
              <w:rPr>
                <w:rFonts w:ascii="Arial Narrow" w:hAnsi="Arial Narrow" w:cstheme="minorHAnsi"/>
                <w:b/>
                <w:bCs/>
                <w:sz w:val="20"/>
              </w:rPr>
            </w:pPr>
          </w:p>
        </w:tc>
        <w:tc>
          <w:tcPr>
            <w:tcW w:w="1689" w:type="dxa"/>
            <w:tcBorders>
              <w:top w:val="nil"/>
              <w:left w:val="nil"/>
              <w:bottom w:val="single" w:sz="4" w:space="0" w:color="auto"/>
              <w:right w:val="single" w:sz="4" w:space="0" w:color="auto"/>
            </w:tcBorders>
            <w:vAlign w:val="center"/>
          </w:tcPr>
          <w:p w14:paraId="13B55F96" w14:textId="77777777" w:rsidR="00BD0D31" w:rsidRPr="000A7545" w:rsidRDefault="00BD0D31" w:rsidP="00BD0D31">
            <w:pPr>
              <w:spacing w:before="120"/>
              <w:jc w:val="right"/>
              <w:rPr>
                <w:rFonts w:ascii="Arial Narrow" w:hAnsi="Arial Narrow" w:cstheme="minorHAnsi"/>
                <w:b/>
                <w:bCs/>
                <w:sz w:val="20"/>
              </w:rPr>
            </w:pPr>
          </w:p>
        </w:tc>
      </w:tr>
      <w:tr w:rsidR="00BD0D31" w:rsidRPr="000A7545" w14:paraId="13B55F9D" w14:textId="77777777" w:rsidTr="00677EEB">
        <w:trPr>
          <w:trHeight w:val="530"/>
          <w:jc w:val="center"/>
        </w:trPr>
        <w:tc>
          <w:tcPr>
            <w:tcW w:w="458" w:type="dxa"/>
            <w:tcBorders>
              <w:top w:val="nil"/>
              <w:left w:val="single" w:sz="4" w:space="0" w:color="auto"/>
              <w:bottom w:val="single" w:sz="4" w:space="0" w:color="auto"/>
              <w:right w:val="single" w:sz="4" w:space="0" w:color="auto"/>
            </w:tcBorders>
            <w:shd w:val="clear" w:color="auto" w:fill="auto"/>
            <w:vAlign w:val="center"/>
          </w:tcPr>
          <w:p w14:paraId="13B55F98"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 </w:t>
            </w:r>
          </w:p>
        </w:tc>
        <w:tc>
          <w:tcPr>
            <w:tcW w:w="2321" w:type="dxa"/>
            <w:tcBorders>
              <w:top w:val="nil"/>
              <w:left w:val="nil"/>
              <w:bottom w:val="single" w:sz="4" w:space="0" w:color="auto"/>
              <w:right w:val="single" w:sz="4" w:space="0" w:color="auto"/>
            </w:tcBorders>
            <w:shd w:val="clear" w:color="auto" w:fill="auto"/>
            <w:vAlign w:val="center"/>
          </w:tcPr>
          <w:p w14:paraId="13B55F99" w14:textId="77777777" w:rsidR="00BD0D31" w:rsidRPr="000A7545" w:rsidRDefault="00BD0D31" w:rsidP="00BD0D31">
            <w:pPr>
              <w:spacing w:before="120"/>
              <w:rPr>
                <w:rFonts w:ascii="Arial Narrow" w:hAnsi="Arial Narrow" w:cstheme="minorHAnsi"/>
                <w:b/>
                <w:bCs/>
                <w:i/>
                <w:sz w:val="20"/>
              </w:rPr>
            </w:pPr>
            <w:r w:rsidRPr="000A7545">
              <w:rPr>
                <w:rFonts w:ascii="Arial Narrow" w:hAnsi="Arial Narrow" w:cstheme="minorHAnsi"/>
                <w:i/>
                <w:sz w:val="20"/>
              </w:rPr>
              <w:t>5.1 Component 1</w:t>
            </w:r>
          </w:p>
        </w:tc>
        <w:tc>
          <w:tcPr>
            <w:tcW w:w="2382" w:type="dxa"/>
            <w:tcBorders>
              <w:top w:val="nil"/>
              <w:left w:val="nil"/>
              <w:bottom w:val="single" w:sz="4" w:space="0" w:color="auto"/>
              <w:right w:val="single" w:sz="4" w:space="0" w:color="auto"/>
            </w:tcBorders>
            <w:shd w:val="clear" w:color="auto" w:fill="auto"/>
            <w:vAlign w:val="center"/>
          </w:tcPr>
          <w:p w14:paraId="13B55F9A"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368,382.68</w:t>
            </w:r>
          </w:p>
        </w:tc>
        <w:tc>
          <w:tcPr>
            <w:tcW w:w="2264" w:type="dxa"/>
            <w:tcBorders>
              <w:top w:val="nil"/>
              <w:left w:val="nil"/>
              <w:bottom w:val="single" w:sz="4" w:space="0" w:color="auto"/>
              <w:right w:val="single" w:sz="4" w:space="0" w:color="auto"/>
            </w:tcBorders>
            <w:vAlign w:val="center"/>
          </w:tcPr>
          <w:p w14:paraId="13B55F9B"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518,077.86</w:t>
            </w:r>
          </w:p>
        </w:tc>
        <w:tc>
          <w:tcPr>
            <w:tcW w:w="1689" w:type="dxa"/>
            <w:tcBorders>
              <w:top w:val="nil"/>
              <w:left w:val="nil"/>
              <w:bottom w:val="single" w:sz="4" w:space="0" w:color="auto"/>
              <w:right w:val="single" w:sz="4" w:space="0" w:color="auto"/>
            </w:tcBorders>
            <w:vAlign w:val="center"/>
          </w:tcPr>
          <w:p w14:paraId="13B55F9C"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886,460.54</w:t>
            </w:r>
          </w:p>
        </w:tc>
      </w:tr>
      <w:tr w:rsidR="00BD0D31" w:rsidRPr="000A7545" w14:paraId="13B55FA3" w14:textId="77777777" w:rsidTr="00677EEB">
        <w:trPr>
          <w:trHeight w:val="422"/>
          <w:jc w:val="center"/>
        </w:trPr>
        <w:tc>
          <w:tcPr>
            <w:tcW w:w="458" w:type="dxa"/>
            <w:tcBorders>
              <w:top w:val="nil"/>
              <w:left w:val="single" w:sz="4" w:space="0" w:color="auto"/>
              <w:bottom w:val="single" w:sz="4" w:space="0" w:color="auto"/>
              <w:right w:val="single" w:sz="4" w:space="0" w:color="auto"/>
            </w:tcBorders>
            <w:shd w:val="clear" w:color="auto" w:fill="auto"/>
            <w:vAlign w:val="center"/>
          </w:tcPr>
          <w:p w14:paraId="13B55F9E" w14:textId="77777777" w:rsidR="00BD0D31" w:rsidRPr="000A7545" w:rsidRDefault="00BD0D31" w:rsidP="00BD0D31">
            <w:pPr>
              <w:spacing w:before="120"/>
              <w:rPr>
                <w:rFonts w:ascii="Arial Narrow" w:hAnsi="Arial Narrow" w:cstheme="minorHAnsi"/>
                <w:b/>
                <w:bCs/>
                <w:sz w:val="20"/>
              </w:rPr>
            </w:pPr>
            <w:r w:rsidRPr="000A7545">
              <w:rPr>
                <w:rFonts w:ascii="Arial Narrow" w:hAnsi="Arial Narrow" w:cstheme="minorHAnsi"/>
                <w:sz w:val="20"/>
              </w:rPr>
              <w:t> </w:t>
            </w:r>
          </w:p>
        </w:tc>
        <w:tc>
          <w:tcPr>
            <w:tcW w:w="2321" w:type="dxa"/>
            <w:tcBorders>
              <w:top w:val="nil"/>
              <w:left w:val="nil"/>
              <w:bottom w:val="single" w:sz="4" w:space="0" w:color="auto"/>
              <w:right w:val="single" w:sz="4" w:space="0" w:color="auto"/>
            </w:tcBorders>
            <w:shd w:val="clear" w:color="auto" w:fill="auto"/>
            <w:vAlign w:val="center"/>
          </w:tcPr>
          <w:p w14:paraId="13B55F9F" w14:textId="77777777" w:rsidR="00BD0D31" w:rsidRPr="000A7545" w:rsidRDefault="00BD0D31" w:rsidP="00BD0D31">
            <w:pPr>
              <w:spacing w:before="120"/>
              <w:rPr>
                <w:rFonts w:ascii="Arial Narrow" w:hAnsi="Arial Narrow" w:cstheme="minorHAnsi"/>
                <w:b/>
                <w:bCs/>
                <w:i/>
                <w:sz w:val="20"/>
              </w:rPr>
            </w:pPr>
            <w:r w:rsidRPr="000A7545">
              <w:rPr>
                <w:rFonts w:ascii="Arial Narrow" w:hAnsi="Arial Narrow" w:cstheme="minorHAnsi"/>
                <w:i/>
                <w:sz w:val="20"/>
              </w:rPr>
              <w:t>5.2 Component 2</w:t>
            </w:r>
          </w:p>
        </w:tc>
        <w:tc>
          <w:tcPr>
            <w:tcW w:w="2382" w:type="dxa"/>
            <w:tcBorders>
              <w:top w:val="nil"/>
              <w:left w:val="nil"/>
              <w:bottom w:val="single" w:sz="4" w:space="0" w:color="auto"/>
              <w:right w:val="single" w:sz="4" w:space="0" w:color="auto"/>
            </w:tcBorders>
            <w:shd w:val="clear" w:color="auto" w:fill="auto"/>
            <w:vAlign w:val="center"/>
          </w:tcPr>
          <w:p w14:paraId="13B55FA0"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568,462.41</w:t>
            </w:r>
          </w:p>
        </w:tc>
        <w:tc>
          <w:tcPr>
            <w:tcW w:w="2264" w:type="dxa"/>
            <w:tcBorders>
              <w:top w:val="nil"/>
              <w:left w:val="nil"/>
              <w:bottom w:val="single" w:sz="4" w:space="0" w:color="auto"/>
              <w:right w:val="single" w:sz="4" w:space="0" w:color="auto"/>
            </w:tcBorders>
            <w:vAlign w:val="center"/>
          </w:tcPr>
          <w:p w14:paraId="13B55FA1"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676,541.15</w:t>
            </w:r>
          </w:p>
        </w:tc>
        <w:tc>
          <w:tcPr>
            <w:tcW w:w="1689" w:type="dxa"/>
            <w:tcBorders>
              <w:top w:val="nil"/>
              <w:left w:val="nil"/>
              <w:bottom w:val="single" w:sz="4" w:space="0" w:color="auto"/>
              <w:right w:val="single" w:sz="4" w:space="0" w:color="auto"/>
            </w:tcBorders>
            <w:vAlign w:val="center"/>
          </w:tcPr>
          <w:p w14:paraId="13B55FA2" w14:textId="77777777" w:rsidR="00BD0D31" w:rsidRPr="000A7545" w:rsidRDefault="00BD0D31" w:rsidP="00BD0D31">
            <w:pPr>
              <w:spacing w:before="120"/>
              <w:jc w:val="right"/>
              <w:rPr>
                <w:rFonts w:ascii="Arial Narrow" w:hAnsi="Arial Narrow" w:cstheme="minorHAnsi"/>
                <w:b/>
                <w:bCs/>
                <w:sz w:val="20"/>
              </w:rPr>
            </w:pPr>
            <w:r w:rsidRPr="000A7545">
              <w:rPr>
                <w:rFonts w:ascii="Arial Narrow" w:hAnsi="Arial Narrow" w:cstheme="minorHAnsi"/>
                <w:sz w:val="20"/>
              </w:rPr>
              <w:t>1,245,003.56</w:t>
            </w:r>
          </w:p>
        </w:tc>
      </w:tr>
      <w:tr w:rsidR="00BD0D31" w:rsidRPr="000A7545" w14:paraId="13B55FA8" w14:textId="77777777" w:rsidTr="00677EEB">
        <w:trPr>
          <w:trHeight w:val="420"/>
          <w:jc w:val="center"/>
        </w:trPr>
        <w:tc>
          <w:tcPr>
            <w:tcW w:w="2779" w:type="dxa"/>
            <w:gridSpan w:val="2"/>
            <w:tcBorders>
              <w:top w:val="nil"/>
              <w:left w:val="single" w:sz="4" w:space="0" w:color="auto"/>
              <w:bottom w:val="single" w:sz="4" w:space="0" w:color="auto"/>
              <w:right w:val="single" w:sz="4" w:space="0" w:color="auto"/>
            </w:tcBorders>
            <w:shd w:val="clear" w:color="auto" w:fill="auto"/>
            <w:vAlign w:val="center"/>
          </w:tcPr>
          <w:p w14:paraId="13B55FA4" w14:textId="77777777" w:rsidR="00BD0D31" w:rsidRPr="000A7545" w:rsidRDefault="00677EEB" w:rsidP="00BD0D31">
            <w:pPr>
              <w:spacing w:before="120"/>
              <w:rPr>
                <w:rFonts w:ascii="Arial Narrow" w:hAnsi="Arial Narrow" w:cstheme="minorHAnsi"/>
                <w:bCs/>
                <w:sz w:val="20"/>
              </w:rPr>
            </w:pPr>
            <w:r w:rsidRPr="000A7545">
              <w:rPr>
                <w:rFonts w:ascii="Arial Narrow" w:hAnsi="Arial Narrow" w:cstheme="minorHAnsi"/>
                <w:sz w:val="20"/>
              </w:rPr>
              <w:t>Sub-t</w:t>
            </w:r>
            <w:r w:rsidR="00BD0D31" w:rsidRPr="000A7545">
              <w:rPr>
                <w:rFonts w:ascii="Arial Narrow" w:hAnsi="Arial Narrow" w:cstheme="minorHAnsi"/>
                <w:sz w:val="20"/>
              </w:rPr>
              <w:t xml:space="preserve">otal </w:t>
            </w:r>
          </w:p>
        </w:tc>
        <w:tc>
          <w:tcPr>
            <w:tcW w:w="2382" w:type="dxa"/>
            <w:tcBorders>
              <w:top w:val="nil"/>
              <w:left w:val="nil"/>
              <w:bottom w:val="single" w:sz="4" w:space="0" w:color="auto"/>
              <w:right w:val="single" w:sz="4" w:space="0" w:color="auto"/>
            </w:tcBorders>
            <w:shd w:val="clear" w:color="auto" w:fill="auto"/>
            <w:vAlign w:val="center"/>
          </w:tcPr>
          <w:p w14:paraId="13B55FA5" w14:textId="77777777" w:rsidR="00BD0D31" w:rsidRPr="000A7545" w:rsidRDefault="00BD0D31" w:rsidP="00BD0D31">
            <w:pPr>
              <w:spacing w:before="120"/>
              <w:jc w:val="right"/>
              <w:rPr>
                <w:rFonts w:ascii="Arial Narrow" w:hAnsi="Arial Narrow" w:cstheme="minorHAnsi"/>
                <w:bCs/>
                <w:sz w:val="20"/>
              </w:rPr>
            </w:pPr>
            <w:r w:rsidRPr="000A7545">
              <w:rPr>
                <w:rFonts w:ascii="Arial Narrow" w:hAnsi="Arial Narrow" w:cstheme="minorHAnsi"/>
                <w:sz w:val="20"/>
              </w:rPr>
              <w:t>2,146,852.53</w:t>
            </w:r>
          </w:p>
        </w:tc>
        <w:tc>
          <w:tcPr>
            <w:tcW w:w="2264" w:type="dxa"/>
            <w:tcBorders>
              <w:top w:val="nil"/>
              <w:left w:val="nil"/>
              <w:bottom w:val="single" w:sz="4" w:space="0" w:color="auto"/>
              <w:right w:val="single" w:sz="4" w:space="0" w:color="auto"/>
            </w:tcBorders>
            <w:vAlign w:val="center"/>
          </w:tcPr>
          <w:p w14:paraId="13B55FA6" w14:textId="77777777" w:rsidR="00BD0D31" w:rsidRPr="000A7545" w:rsidRDefault="00BD0D31" w:rsidP="00BD0D31">
            <w:pPr>
              <w:spacing w:before="120"/>
              <w:jc w:val="right"/>
              <w:rPr>
                <w:rFonts w:ascii="Arial Narrow" w:hAnsi="Arial Narrow" w:cstheme="minorHAnsi"/>
                <w:bCs/>
                <w:sz w:val="20"/>
              </w:rPr>
            </w:pPr>
            <w:r w:rsidRPr="000A7545">
              <w:rPr>
                <w:rFonts w:ascii="Arial Narrow" w:hAnsi="Arial Narrow" w:cstheme="minorHAnsi"/>
                <w:sz w:val="20"/>
              </w:rPr>
              <w:t>2,036,524.23</w:t>
            </w:r>
          </w:p>
        </w:tc>
        <w:tc>
          <w:tcPr>
            <w:tcW w:w="1689" w:type="dxa"/>
            <w:tcBorders>
              <w:top w:val="nil"/>
              <w:left w:val="nil"/>
              <w:bottom w:val="single" w:sz="4" w:space="0" w:color="auto"/>
              <w:right w:val="single" w:sz="4" w:space="0" w:color="auto"/>
            </w:tcBorders>
            <w:vAlign w:val="center"/>
          </w:tcPr>
          <w:p w14:paraId="13B55FA7" w14:textId="77777777" w:rsidR="00BD0D31" w:rsidRPr="000A7545" w:rsidRDefault="00BD0D31" w:rsidP="00BD0D31">
            <w:pPr>
              <w:spacing w:before="120"/>
              <w:jc w:val="right"/>
              <w:rPr>
                <w:rFonts w:ascii="Arial Narrow" w:hAnsi="Arial Narrow" w:cstheme="minorHAnsi"/>
                <w:bCs/>
                <w:sz w:val="20"/>
              </w:rPr>
            </w:pPr>
            <w:r w:rsidRPr="000A7545">
              <w:rPr>
                <w:rFonts w:ascii="Arial Narrow" w:hAnsi="Arial Narrow" w:cstheme="minorHAnsi"/>
                <w:sz w:val="20"/>
              </w:rPr>
              <w:t>4,183,376.76</w:t>
            </w:r>
          </w:p>
        </w:tc>
      </w:tr>
      <w:tr w:rsidR="00BD0D31" w:rsidRPr="000A7545" w14:paraId="13B55FAE" w14:textId="77777777" w:rsidTr="00677EEB">
        <w:trPr>
          <w:trHeight w:val="420"/>
          <w:jc w:val="center"/>
        </w:trPr>
        <w:tc>
          <w:tcPr>
            <w:tcW w:w="458" w:type="dxa"/>
            <w:tcBorders>
              <w:top w:val="nil"/>
              <w:left w:val="single" w:sz="4" w:space="0" w:color="auto"/>
              <w:bottom w:val="single" w:sz="4" w:space="0" w:color="auto"/>
              <w:right w:val="single" w:sz="4" w:space="0" w:color="auto"/>
            </w:tcBorders>
            <w:shd w:val="clear" w:color="auto" w:fill="auto"/>
            <w:vAlign w:val="center"/>
          </w:tcPr>
          <w:p w14:paraId="13B55FA9" w14:textId="77777777" w:rsidR="00BD0D31" w:rsidRPr="000A7545" w:rsidRDefault="00BD0D31" w:rsidP="00BD0D31">
            <w:pPr>
              <w:spacing w:before="120"/>
              <w:rPr>
                <w:rFonts w:ascii="Arial Narrow" w:hAnsi="Arial Narrow" w:cstheme="minorHAnsi"/>
                <w:b/>
                <w:bCs/>
                <w:i/>
                <w:sz w:val="20"/>
              </w:rPr>
            </w:pPr>
            <w:r w:rsidRPr="000A7545">
              <w:rPr>
                <w:rFonts w:ascii="Arial Narrow" w:hAnsi="Arial Narrow" w:cstheme="minorHAnsi"/>
                <w:i/>
                <w:sz w:val="20"/>
              </w:rPr>
              <w:t>6</w:t>
            </w:r>
          </w:p>
        </w:tc>
        <w:tc>
          <w:tcPr>
            <w:tcW w:w="2321" w:type="dxa"/>
            <w:tcBorders>
              <w:top w:val="nil"/>
              <w:left w:val="nil"/>
              <w:bottom w:val="single" w:sz="4" w:space="0" w:color="auto"/>
              <w:right w:val="single" w:sz="4" w:space="0" w:color="auto"/>
            </w:tcBorders>
            <w:shd w:val="clear" w:color="auto" w:fill="auto"/>
            <w:vAlign w:val="center"/>
          </w:tcPr>
          <w:p w14:paraId="13B55FAA" w14:textId="77777777" w:rsidR="00BD0D31" w:rsidRPr="000A7545" w:rsidRDefault="00BD0D31" w:rsidP="00BD0D31">
            <w:pPr>
              <w:spacing w:before="120"/>
              <w:rPr>
                <w:rFonts w:ascii="Arial Narrow" w:hAnsi="Arial Narrow" w:cstheme="minorHAnsi"/>
                <w:b/>
                <w:bCs/>
                <w:i/>
                <w:sz w:val="20"/>
              </w:rPr>
            </w:pPr>
            <w:r w:rsidRPr="000A7545">
              <w:rPr>
                <w:rFonts w:ascii="Arial Narrow" w:hAnsi="Arial Narrow" w:cstheme="minorHAnsi"/>
                <w:i/>
                <w:sz w:val="20"/>
              </w:rPr>
              <w:t xml:space="preserve">Recovery Costs </w:t>
            </w:r>
          </w:p>
        </w:tc>
        <w:tc>
          <w:tcPr>
            <w:tcW w:w="2382" w:type="dxa"/>
            <w:tcBorders>
              <w:top w:val="nil"/>
              <w:left w:val="nil"/>
              <w:bottom w:val="single" w:sz="4" w:space="0" w:color="auto"/>
              <w:right w:val="single" w:sz="4" w:space="0" w:color="auto"/>
            </w:tcBorders>
            <w:shd w:val="clear" w:color="auto" w:fill="auto"/>
            <w:vAlign w:val="center"/>
          </w:tcPr>
          <w:p w14:paraId="13B55FAB" w14:textId="77777777" w:rsidR="00BD0D31" w:rsidRPr="000A7545" w:rsidRDefault="00BD0D31" w:rsidP="00BD0D31">
            <w:pPr>
              <w:spacing w:before="120"/>
              <w:jc w:val="right"/>
              <w:rPr>
                <w:rFonts w:ascii="Arial Narrow" w:hAnsi="Arial Narrow" w:cstheme="minorHAnsi"/>
                <w:b/>
                <w:bCs/>
                <w:i/>
                <w:sz w:val="20"/>
              </w:rPr>
            </w:pPr>
            <w:r w:rsidRPr="000A7545">
              <w:rPr>
                <w:rFonts w:ascii="Arial Narrow" w:hAnsi="Arial Narrow" w:cstheme="minorHAnsi"/>
                <w:i/>
                <w:sz w:val="20"/>
              </w:rPr>
              <w:t>150,229.14</w:t>
            </w:r>
          </w:p>
        </w:tc>
        <w:tc>
          <w:tcPr>
            <w:tcW w:w="2264" w:type="dxa"/>
            <w:tcBorders>
              <w:top w:val="nil"/>
              <w:left w:val="nil"/>
              <w:bottom w:val="single" w:sz="4" w:space="0" w:color="auto"/>
              <w:right w:val="single" w:sz="4" w:space="0" w:color="auto"/>
            </w:tcBorders>
            <w:vAlign w:val="center"/>
          </w:tcPr>
          <w:p w14:paraId="13B55FAC" w14:textId="77777777" w:rsidR="00BD0D31" w:rsidRPr="000A7545" w:rsidRDefault="00BD0D31" w:rsidP="00BD0D31">
            <w:pPr>
              <w:spacing w:before="120"/>
              <w:jc w:val="right"/>
              <w:rPr>
                <w:rFonts w:ascii="Arial Narrow" w:hAnsi="Arial Narrow" w:cstheme="minorHAnsi"/>
                <w:b/>
                <w:bCs/>
                <w:i/>
                <w:sz w:val="20"/>
              </w:rPr>
            </w:pPr>
            <w:r w:rsidRPr="000A7545">
              <w:rPr>
                <w:rFonts w:ascii="Arial Narrow" w:hAnsi="Arial Narrow" w:cstheme="minorHAnsi"/>
                <w:i/>
                <w:sz w:val="20"/>
              </w:rPr>
              <w:t>142,508.76</w:t>
            </w:r>
          </w:p>
        </w:tc>
        <w:tc>
          <w:tcPr>
            <w:tcW w:w="1689" w:type="dxa"/>
            <w:tcBorders>
              <w:top w:val="nil"/>
              <w:left w:val="nil"/>
              <w:bottom w:val="single" w:sz="4" w:space="0" w:color="auto"/>
              <w:right w:val="single" w:sz="4" w:space="0" w:color="auto"/>
            </w:tcBorders>
            <w:vAlign w:val="center"/>
          </w:tcPr>
          <w:p w14:paraId="13B55FAD" w14:textId="77777777" w:rsidR="00BD0D31" w:rsidRPr="000A7545" w:rsidRDefault="00BD0D31" w:rsidP="00BD0D31">
            <w:pPr>
              <w:spacing w:before="120"/>
              <w:jc w:val="right"/>
              <w:rPr>
                <w:rFonts w:ascii="Arial Narrow" w:hAnsi="Arial Narrow" w:cstheme="minorHAnsi"/>
                <w:b/>
                <w:bCs/>
                <w:i/>
                <w:sz w:val="20"/>
              </w:rPr>
            </w:pPr>
            <w:r w:rsidRPr="000A7545">
              <w:rPr>
                <w:rFonts w:ascii="Arial Narrow" w:hAnsi="Arial Narrow" w:cstheme="minorHAnsi"/>
                <w:i/>
                <w:sz w:val="20"/>
              </w:rPr>
              <w:t>292,737.90</w:t>
            </w:r>
          </w:p>
        </w:tc>
      </w:tr>
      <w:tr w:rsidR="00BD0D31" w:rsidRPr="000A7545" w14:paraId="13B55FB3" w14:textId="77777777" w:rsidTr="00677EEB">
        <w:trPr>
          <w:trHeight w:val="420"/>
          <w:jc w:val="center"/>
        </w:trPr>
        <w:tc>
          <w:tcPr>
            <w:tcW w:w="27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3B55FAF" w14:textId="77777777" w:rsidR="00BD0D31" w:rsidRPr="000A7545" w:rsidRDefault="00BD0D31" w:rsidP="00BD0D31">
            <w:pPr>
              <w:spacing w:before="120"/>
              <w:rPr>
                <w:rFonts w:ascii="Arial Narrow" w:hAnsi="Arial Narrow" w:cstheme="minorHAnsi"/>
                <w:sz w:val="20"/>
              </w:rPr>
            </w:pPr>
            <w:r w:rsidRPr="000A7545">
              <w:rPr>
                <w:rFonts w:ascii="Arial Narrow" w:hAnsi="Arial Narrow" w:cstheme="minorHAnsi"/>
                <w:sz w:val="20"/>
              </w:rPr>
              <w:t>Total</w:t>
            </w:r>
          </w:p>
        </w:tc>
        <w:tc>
          <w:tcPr>
            <w:tcW w:w="2382" w:type="dxa"/>
            <w:tcBorders>
              <w:top w:val="nil"/>
              <w:left w:val="nil"/>
              <w:bottom w:val="single" w:sz="4" w:space="0" w:color="auto"/>
              <w:right w:val="single" w:sz="4" w:space="0" w:color="auto"/>
            </w:tcBorders>
            <w:shd w:val="clear" w:color="auto" w:fill="auto"/>
            <w:vAlign w:val="center"/>
          </w:tcPr>
          <w:p w14:paraId="13B55FB0" w14:textId="77777777" w:rsidR="00BD0D31" w:rsidRPr="000A7545" w:rsidRDefault="00BD0D31" w:rsidP="00BD0D31">
            <w:pPr>
              <w:spacing w:before="120"/>
              <w:jc w:val="right"/>
              <w:rPr>
                <w:rFonts w:ascii="Arial Narrow" w:hAnsi="Arial Narrow" w:cstheme="minorHAnsi"/>
                <w:sz w:val="20"/>
              </w:rPr>
            </w:pPr>
            <w:r w:rsidRPr="000A7545">
              <w:rPr>
                <w:rFonts w:ascii="Arial Narrow" w:hAnsi="Arial Narrow" w:cstheme="minorHAnsi"/>
                <w:sz w:val="20"/>
              </w:rPr>
              <w:t>2,297,081.67</w:t>
            </w:r>
          </w:p>
        </w:tc>
        <w:tc>
          <w:tcPr>
            <w:tcW w:w="2264" w:type="dxa"/>
            <w:tcBorders>
              <w:top w:val="nil"/>
              <w:left w:val="nil"/>
              <w:bottom w:val="single" w:sz="4" w:space="0" w:color="auto"/>
              <w:right w:val="single" w:sz="4" w:space="0" w:color="auto"/>
            </w:tcBorders>
            <w:vAlign w:val="center"/>
          </w:tcPr>
          <w:p w14:paraId="13B55FB1" w14:textId="77777777" w:rsidR="00BD0D31" w:rsidRPr="000A7545" w:rsidRDefault="00BD0D31" w:rsidP="00BD0D31">
            <w:pPr>
              <w:spacing w:before="120"/>
              <w:jc w:val="right"/>
              <w:rPr>
                <w:rFonts w:ascii="Arial Narrow" w:hAnsi="Arial Narrow" w:cstheme="minorHAnsi"/>
                <w:sz w:val="20"/>
              </w:rPr>
            </w:pPr>
            <w:r w:rsidRPr="000A7545">
              <w:rPr>
                <w:rFonts w:ascii="Arial Narrow" w:hAnsi="Arial Narrow" w:cstheme="minorHAnsi"/>
                <w:sz w:val="20"/>
              </w:rPr>
              <w:t>2,179,032.99</w:t>
            </w:r>
          </w:p>
        </w:tc>
        <w:tc>
          <w:tcPr>
            <w:tcW w:w="1689" w:type="dxa"/>
            <w:tcBorders>
              <w:top w:val="nil"/>
              <w:left w:val="nil"/>
              <w:bottom w:val="single" w:sz="4" w:space="0" w:color="auto"/>
              <w:right w:val="single" w:sz="4" w:space="0" w:color="auto"/>
            </w:tcBorders>
            <w:vAlign w:val="center"/>
          </w:tcPr>
          <w:p w14:paraId="13B55FB2" w14:textId="77777777" w:rsidR="00BD0D31" w:rsidRPr="000A7545" w:rsidRDefault="00BD0D31" w:rsidP="00BD0D31">
            <w:pPr>
              <w:spacing w:before="120"/>
              <w:jc w:val="right"/>
              <w:rPr>
                <w:rFonts w:ascii="Arial Narrow" w:hAnsi="Arial Narrow" w:cstheme="minorHAnsi"/>
                <w:sz w:val="20"/>
              </w:rPr>
            </w:pPr>
            <w:r w:rsidRPr="000A7545">
              <w:rPr>
                <w:rFonts w:ascii="Arial Narrow" w:hAnsi="Arial Narrow" w:cstheme="minorHAnsi"/>
                <w:sz w:val="20"/>
              </w:rPr>
              <w:t>4,476,114.66</w:t>
            </w:r>
          </w:p>
        </w:tc>
      </w:tr>
    </w:tbl>
    <w:p w14:paraId="13B55FB4" w14:textId="77777777" w:rsidR="00BD0D31" w:rsidRPr="000A7545" w:rsidRDefault="00677EEB" w:rsidP="00BD0D31">
      <w:pPr>
        <w:rPr>
          <w:rFonts w:cs="Arial"/>
          <w:i/>
          <w:sz w:val="20"/>
        </w:rPr>
      </w:pPr>
      <w:bookmarkStart w:id="94" w:name="_Toc298239227"/>
      <w:bookmarkStart w:id="95" w:name="_Toc298338703"/>
      <w:bookmarkStart w:id="96" w:name="_Toc298338756"/>
      <w:r w:rsidRPr="000A7545">
        <w:rPr>
          <w:rFonts w:cs="Arial"/>
          <w:i/>
          <w:sz w:val="20"/>
        </w:rPr>
        <w:t xml:space="preserve">NB: </w:t>
      </w:r>
      <w:r w:rsidR="00BD0D31" w:rsidRPr="000A7545">
        <w:rPr>
          <w:rFonts w:cs="Arial"/>
          <w:i/>
          <w:sz w:val="20"/>
        </w:rPr>
        <w:t>The amount</w:t>
      </w:r>
      <w:r w:rsidR="00715C13" w:rsidRPr="000A7545">
        <w:rPr>
          <w:rFonts w:cs="Arial"/>
          <w:i/>
          <w:sz w:val="20"/>
        </w:rPr>
        <w:t>s</w:t>
      </w:r>
      <w:r w:rsidR="00BD0D31" w:rsidRPr="000A7545">
        <w:rPr>
          <w:rFonts w:cs="Arial"/>
          <w:i/>
          <w:sz w:val="20"/>
        </w:rPr>
        <w:t xml:space="preserve"> reflect the figures available at the field office level and should be considered as indicative. Actual expenditures will be reflected in the Statement of Accounts prepared by the Division of Financial Management, New York.</w:t>
      </w:r>
      <w:bookmarkEnd w:id="94"/>
      <w:bookmarkEnd w:id="95"/>
      <w:bookmarkEnd w:id="96"/>
    </w:p>
    <w:p w14:paraId="13B55FB5" w14:textId="77777777" w:rsidR="00677EEB" w:rsidRPr="000A7545" w:rsidRDefault="00677EEB" w:rsidP="00677EEB"/>
    <w:p w14:paraId="13B55FB6" w14:textId="77777777" w:rsidR="00BD0D31" w:rsidRPr="000A7545" w:rsidRDefault="00BD0D31" w:rsidP="00677EEB">
      <w:pPr>
        <w:pStyle w:val="Heading3"/>
        <w:rPr>
          <w:lang w:val="en-GB"/>
        </w:rPr>
      </w:pPr>
      <w:bookmarkStart w:id="97" w:name="_Toc289259706"/>
      <w:bookmarkStart w:id="98" w:name="_Toc298341106"/>
      <w:bookmarkStart w:id="99" w:name="_Toc322702784"/>
      <w:r w:rsidRPr="000A7545">
        <w:rPr>
          <w:lang w:val="en-GB"/>
        </w:rPr>
        <w:t xml:space="preserve">Detailed Utilization of Australia-UNICEF Education Assistance Funds from 01 March 2010 to </w:t>
      </w:r>
      <w:bookmarkEnd w:id="97"/>
      <w:bookmarkEnd w:id="98"/>
      <w:r w:rsidRPr="000A7545">
        <w:rPr>
          <w:lang w:val="en-GB"/>
        </w:rPr>
        <w:t>27 March 2012</w:t>
      </w:r>
      <w:bookmarkEnd w:id="99"/>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1801"/>
        <w:gridCol w:w="1767"/>
        <w:gridCol w:w="1324"/>
      </w:tblGrid>
      <w:tr w:rsidR="00BD0D31" w:rsidRPr="000A7545" w14:paraId="13B55FBD" w14:textId="77777777" w:rsidTr="00677EEB">
        <w:trPr>
          <w:trHeight w:val="1007"/>
          <w:tblHeader/>
          <w:jc w:val="center"/>
        </w:trPr>
        <w:tc>
          <w:tcPr>
            <w:tcW w:w="4684" w:type="dxa"/>
            <w:shd w:val="clear" w:color="000000" w:fill="C6D9F1" w:themeFill="text2" w:themeFillTint="33"/>
            <w:vAlign w:val="center"/>
            <w:hideMark/>
          </w:tcPr>
          <w:p w14:paraId="13B55FB7" w14:textId="77777777" w:rsidR="00BD0D31" w:rsidRPr="000A7545" w:rsidRDefault="00BD0D31" w:rsidP="00677EEB">
            <w:pPr>
              <w:spacing w:before="120" w:line="240" w:lineRule="auto"/>
              <w:jc w:val="center"/>
              <w:rPr>
                <w:rFonts w:ascii="Arial Narrow" w:hAnsi="Arial Narrow" w:cstheme="minorHAnsi"/>
                <w:b/>
                <w:color w:val="000000"/>
                <w:sz w:val="20"/>
                <w:szCs w:val="20"/>
              </w:rPr>
            </w:pPr>
            <w:r w:rsidRPr="000A7545">
              <w:rPr>
                <w:rFonts w:ascii="Arial Narrow" w:hAnsi="Arial Narrow" w:cstheme="minorHAnsi"/>
                <w:b/>
                <w:color w:val="000000"/>
                <w:sz w:val="20"/>
                <w:szCs w:val="20"/>
              </w:rPr>
              <w:t>Description</w:t>
            </w:r>
          </w:p>
        </w:tc>
        <w:tc>
          <w:tcPr>
            <w:tcW w:w="1801" w:type="dxa"/>
            <w:shd w:val="clear" w:color="000000" w:fill="C6D9F1" w:themeFill="text2" w:themeFillTint="33"/>
            <w:vAlign w:val="center"/>
            <w:hideMark/>
          </w:tcPr>
          <w:p w14:paraId="13B55FB8" w14:textId="77777777" w:rsidR="00BD0D31" w:rsidRPr="000A7545" w:rsidRDefault="00BD0D31" w:rsidP="00677EEB">
            <w:pPr>
              <w:spacing w:before="120" w:line="240" w:lineRule="auto"/>
              <w:jc w:val="center"/>
              <w:rPr>
                <w:rFonts w:ascii="Arial Narrow" w:hAnsi="Arial Narrow" w:cstheme="minorHAnsi"/>
                <w:b/>
                <w:color w:val="000000"/>
                <w:sz w:val="20"/>
                <w:szCs w:val="20"/>
              </w:rPr>
            </w:pPr>
            <w:r w:rsidRPr="000A7545">
              <w:rPr>
                <w:rFonts w:ascii="Arial Narrow" w:hAnsi="Arial Narrow" w:cstheme="minorHAnsi"/>
                <w:b/>
                <w:color w:val="000000"/>
                <w:sz w:val="20"/>
                <w:szCs w:val="20"/>
              </w:rPr>
              <w:t>Expenditure</w:t>
            </w:r>
          </w:p>
          <w:p w14:paraId="13B55FB9" w14:textId="77777777" w:rsidR="00BD0D31" w:rsidRPr="000A7545" w:rsidRDefault="00BD0D31" w:rsidP="00677EEB">
            <w:pPr>
              <w:spacing w:before="120" w:line="240" w:lineRule="auto"/>
              <w:jc w:val="center"/>
              <w:rPr>
                <w:rFonts w:ascii="Arial Narrow" w:hAnsi="Arial Narrow" w:cstheme="minorHAnsi"/>
                <w:b/>
                <w:color w:val="000000"/>
                <w:sz w:val="20"/>
                <w:szCs w:val="20"/>
              </w:rPr>
            </w:pPr>
            <w:r w:rsidRPr="000A7545">
              <w:rPr>
                <w:rFonts w:ascii="Arial Narrow" w:hAnsi="Arial Narrow" w:cstheme="minorHAnsi"/>
                <w:b/>
                <w:color w:val="000000"/>
                <w:sz w:val="20"/>
                <w:szCs w:val="20"/>
              </w:rPr>
              <w:t>01</w:t>
            </w:r>
            <w:r w:rsidR="00677EEB" w:rsidRPr="000A7545">
              <w:rPr>
                <w:rFonts w:ascii="Arial Narrow" w:hAnsi="Arial Narrow" w:cstheme="minorHAnsi"/>
                <w:b/>
                <w:color w:val="000000"/>
                <w:sz w:val="20"/>
                <w:szCs w:val="20"/>
              </w:rPr>
              <w:t>/03/</w:t>
            </w:r>
            <w:r w:rsidRPr="000A7545">
              <w:rPr>
                <w:rFonts w:ascii="Arial Narrow" w:hAnsi="Arial Narrow" w:cstheme="minorHAnsi"/>
                <w:b/>
                <w:color w:val="000000"/>
                <w:sz w:val="20"/>
                <w:szCs w:val="20"/>
              </w:rPr>
              <w:t>10</w:t>
            </w:r>
            <w:r w:rsidR="00677EEB" w:rsidRPr="000A7545">
              <w:rPr>
                <w:rFonts w:ascii="Arial Narrow" w:hAnsi="Arial Narrow" w:cstheme="minorHAnsi"/>
                <w:b/>
                <w:color w:val="000000"/>
                <w:sz w:val="20"/>
                <w:szCs w:val="20"/>
              </w:rPr>
              <w:t xml:space="preserve"> – </w:t>
            </w:r>
            <w:r w:rsidRPr="000A7545">
              <w:rPr>
                <w:rFonts w:ascii="Arial Narrow" w:hAnsi="Arial Narrow" w:cstheme="minorHAnsi"/>
                <w:b/>
                <w:color w:val="000000"/>
                <w:sz w:val="20"/>
                <w:szCs w:val="20"/>
              </w:rPr>
              <w:t>28</w:t>
            </w:r>
            <w:r w:rsidR="00677EEB" w:rsidRPr="000A7545">
              <w:rPr>
                <w:rFonts w:ascii="Arial Narrow" w:hAnsi="Arial Narrow" w:cstheme="minorHAnsi"/>
                <w:b/>
                <w:color w:val="000000"/>
                <w:sz w:val="20"/>
                <w:szCs w:val="20"/>
              </w:rPr>
              <w:t>/02/</w:t>
            </w:r>
            <w:r w:rsidRPr="000A7545">
              <w:rPr>
                <w:rFonts w:ascii="Arial Narrow" w:hAnsi="Arial Narrow" w:cstheme="minorHAnsi"/>
                <w:b/>
                <w:color w:val="000000"/>
                <w:sz w:val="20"/>
                <w:szCs w:val="20"/>
              </w:rPr>
              <w:t>11</w:t>
            </w:r>
          </w:p>
        </w:tc>
        <w:tc>
          <w:tcPr>
            <w:tcW w:w="1767" w:type="dxa"/>
            <w:shd w:val="clear" w:color="000000" w:fill="C6D9F1" w:themeFill="text2" w:themeFillTint="33"/>
            <w:vAlign w:val="center"/>
          </w:tcPr>
          <w:p w14:paraId="13B55FBA" w14:textId="77777777" w:rsidR="00BD0D31" w:rsidRPr="000A7545" w:rsidRDefault="00BD0D31" w:rsidP="00677EEB">
            <w:pPr>
              <w:spacing w:before="120" w:line="240" w:lineRule="auto"/>
              <w:jc w:val="center"/>
              <w:rPr>
                <w:rFonts w:ascii="Arial Narrow" w:hAnsi="Arial Narrow" w:cstheme="minorHAnsi"/>
                <w:b/>
                <w:color w:val="000000"/>
                <w:sz w:val="20"/>
                <w:szCs w:val="20"/>
              </w:rPr>
            </w:pPr>
            <w:r w:rsidRPr="000A7545">
              <w:rPr>
                <w:rFonts w:ascii="Arial Narrow" w:hAnsi="Arial Narrow" w:cstheme="minorHAnsi"/>
                <w:b/>
                <w:color w:val="000000"/>
                <w:sz w:val="20"/>
                <w:szCs w:val="20"/>
              </w:rPr>
              <w:t>Requisitioned</w:t>
            </w:r>
          </w:p>
          <w:p w14:paraId="13B55FBB" w14:textId="77777777" w:rsidR="00BD0D31" w:rsidRPr="000A7545" w:rsidRDefault="00BD0D31" w:rsidP="00677EEB">
            <w:pPr>
              <w:spacing w:before="120" w:line="240" w:lineRule="auto"/>
              <w:jc w:val="center"/>
              <w:rPr>
                <w:rFonts w:ascii="Arial Narrow" w:hAnsi="Arial Narrow" w:cstheme="minorHAnsi"/>
                <w:b/>
                <w:color w:val="000000"/>
                <w:sz w:val="20"/>
                <w:szCs w:val="20"/>
              </w:rPr>
            </w:pPr>
            <w:r w:rsidRPr="000A7545">
              <w:rPr>
                <w:rFonts w:ascii="Arial Narrow" w:hAnsi="Arial Narrow" w:cstheme="minorHAnsi"/>
                <w:b/>
                <w:color w:val="000000"/>
                <w:sz w:val="20"/>
                <w:szCs w:val="20"/>
              </w:rPr>
              <w:t>01</w:t>
            </w:r>
            <w:r w:rsidR="00677EEB" w:rsidRPr="000A7545">
              <w:rPr>
                <w:rFonts w:ascii="Arial Narrow" w:hAnsi="Arial Narrow" w:cstheme="minorHAnsi"/>
                <w:b/>
                <w:color w:val="000000"/>
                <w:sz w:val="20"/>
                <w:szCs w:val="20"/>
              </w:rPr>
              <w:t>/03/11 – 27/03/12</w:t>
            </w:r>
          </w:p>
        </w:tc>
        <w:tc>
          <w:tcPr>
            <w:tcW w:w="1324" w:type="dxa"/>
            <w:shd w:val="clear" w:color="000000" w:fill="C6D9F1" w:themeFill="text2" w:themeFillTint="33"/>
            <w:vAlign w:val="center"/>
          </w:tcPr>
          <w:p w14:paraId="13B55FBC" w14:textId="77777777" w:rsidR="00BD0D31" w:rsidRPr="000A7545" w:rsidRDefault="00677EEB" w:rsidP="00677EEB">
            <w:pPr>
              <w:spacing w:before="120" w:line="240" w:lineRule="auto"/>
              <w:jc w:val="center"/>
              <w:rPr>
                <w:rFonts w:ascii="Arial Narrow" w:hAnsi="Arial Narrow" w:cstheme="minorHAnsi"/>
                <w:b/>
                <w:color w:val="000000"/>
                <w:sz w:val="20"/>
                <w:szCs w:val="20"/>
              </w:rPr>
            </w:pPr>
            <w:r w:rsidRPr="000A7545">
              <w:rPr>
                <w:rFonts w:ascii="Arial Narrow" w:hAnsi="Arial Narrow" w:cstheme="minorHAnsi"/>
                <w:b/>
                <w:color w:val="000000"/>
                <w:sz w:val="20"/>
                <w:szCs w:val="20"/>
              </w:rPr>
              <w:t>TOTAL</w:t>
            </w:r>
          </w:p>
        </w:tc>
      </w:tr>
      <w:tr w:rsidR="00BD0D31" w:rsidRPr="000A7545" w14:paraId="13B55FC2" w14:textId="77777777" w:rsidTr="00677EEB">
        <w:trPr>
          <w:trHeight w:val="300"/>
          <w:jc w:val="center"/>
        </w:trPr>
        <w:tc>
          <w:tcPr>
            <w:tcW w:w="4684" w:type="dxa"/>
            <w:shd w:val="clear" w:color="auto" w:fill="auto"/>
            <w:vAlign w:val="bottom"/>
            <w:hideMark/>
          </w:tcPr>
          <w:p w14:paraId="13B55FBE" w14:textId="77777777" w:rsidR="00BD0D31" w:rsidRPr="000A7545" w:rsidRDefault="00BD0D31" w:rsidP="00677EEB">
            <w:pPr>
              <w:spacing w:before="120" w:line="240" w:lineRule="auto"/>
              <w:rPr>
                <w:rFonts w:ascii="Arial Narrow" w:hAnsi="Arial Narrow" w:cstheme="minorHAnsi"/>
                <w:color w:val="000000"/>
                <w:sz w:val="20"/>
                <w:szCs w:val="20"/>
              </w:rPr>
            </w:pPr>
            <w:r w:rsidRPr="000A7545">
              <w:rPr>
                <w:rFonts w:ascii="Arial Narrow" w:hAnsi="Arial Narrow" w:cstheme="minorHAnsi"/>
                <w:color w:val="000000"/>
                <w:sz w:val="20"/>
                <w:szCs w:val="20"/>
              </w:rPr>
              <w:t>Human Resources</w:t>
            </w:r>
          </w:p>
        </w:tc>
        <w:tc>
          <w:tcPr>
            <w:tcW w:w="1801" w:type="dxa"/>
            <w:shd w:val="clear" w:color="auto" w:fill="auto"/>
            <w:vAlign w:val="center"/>
            <w:hideMark/>
          </w:tcPr>
          <w:p w14:paraId="13B55FBF"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767" w:type="dxa"/>
            <w:vAlign w:val="center"/>
          </w:tcPr>
          <w:p w14:paraId="13B55FC0"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324" w:type="dxa"/>
            <w:vAlign w:val="center"/>
          </w:tcPr>
          <w:p w14:paraId="13B55FC1"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r>
      <w:tr w:rsidR="00BD0D31" w:rsidRPr="000A7545" w14:paraId="13B55FC7" w14:textId="77777777" w:rsidTr="00677EEB">
        <w:trPr>
          <w:trHeight w:val="251"/>
          <w:jc w:val="center"/>
        </w:trPr>
        <w:tc>
          <w:tcPr>
            <w:tcW w:w="4684" w:type="dxa"/>
            <w:shd w:val="clear" w:color="auto" w:fill="auto"/>
            <w:hideMark/>
          </w:tcPr>
          <w:p w14:paraId="13B55FC3"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Remuneration for 1 person of Chief of Field Office - L4</w:t>
            </w:r>
          </w:p>
        </w:tc>
        <w:tc>
          <w:tcPr>
            <w:tcW w:w="1801" w:type="dxa"/>
            <w:shd w:val="clear" w:color="auto" w:fill="auto"/>
            <w:vAlign w:val="center"/>
            <w:hideMark/>
          </w:tcPr>
          <w:p w14:paraId="13B55FC4"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180,000.00</w:t>
            </w:r>
          </w:p>
        </w:tc>
        <w:tc>
          <w:tcPr>
            <w:tcW w:w="1767" w:type="dxa"/>
            <w:vAlign w:val="center"/>
          </w:tcPr>
          <w:p w14:paraId="13B55FC5"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55,634.94</w:t>
            </w:r>
          </w:p>
        </w:tc>
        <w:tc>
          <w:tcPr>
            <w:tcW w:w="1324" w:type="dxa"/>
            <w:vAlign w:val="center"/>
          </w:tcPr>
          <w:p w14:paraId="13B55FC6"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235,634.94</w:t>
            </w:r>
          </w:p>
        </w:tc>
      </w:tr>
      <w:tr w:rsidR="00BD0D31" w:rsidRPr="000A7545" w14:paraId="13B55FCC" w14:textId="77777777" w:rsidTr="00677EEB">
        <w:trPr>
          <w:trHeight w:val="260"/>
          <w:jc w:val="center"/>
        </w:trPr>
        <w:tc>
          <w:tcPr>
            <w:tcW w:w="4684" w:type="dxa"/>
            <w:shd w:val="clear" w:color="auto" w:fill="auto"/>
            <w:hideMark/>
          </w:tcPr>
          <w:p w14:paraId="13B55FC8"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 xml:space="preserve">Remuneration for 1 person of International Programme Manager - L4 </w:t>
            </w:r>
          </w:p>
        </w:tc>
        <w:tc>
          <w:tcPr>
            <w:tcW w:w="1801" w:type="dxa"/>
            <w:shd w:val="clear" w:color="auto" w:fill="auto"/>
            <w:vAlign w:val="center"/>
            <w:hideMark/>
          </w:tcPr>
          <w:p w14:paraId="13B55FC9"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249,387.80</w:t>
            </w:r>
          </w:p>
        </w:tc>
        <w:tc>
          <w:tcPr>
            <w:tcW w:w="1767" w:type="dxa"/>
            <w:vAlign w:val="center"/>
          </w:tcPr>
          <w:p w14:paraId="13B55FCA"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4,542.64</w:t>
            </w:r>
          </w:p>
        </w:tc>
        <w:tc>
          <w:tcPr>
            <w:tcW w:w="1324" w:type="dxa"/>
            <w:vAlign w:val="center"/>
          </w:tcPr>
          <w:p w14:paraId="13B55FCB"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253,930.44</w:t>
            </w:r>
          </w:p>
        </w:tc>
      </w:tr>
      <w:tr w:rsidR="00BD0D31" w:rsidRPr="000A7545" w14:paraId="13B55FD1" w14:textId="77777777" w:rsidTr="00677EEB">
        <w:trPr>
          <w:trHeight w:val="251"/>
          <w:jc w:val="center"/>
        </w:trPr>
        <w:tc>
          <w:tcPr>
            <w:tcW w:w="4684" w:type="dxa"/>
            <w:shd w:val="clear" w:color="auto" w:fill="auto"/>
            <w:hideMark/>
          </w:tcPr>
          <w:p w14:paraId="13B55FCD"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 xml:space="preserve">Remuneration for 2 person of Project Officer - NO-C </w:t>
            </w:r>
          </w:p>
        </w:tc>
        <w:tc>
          <w:tcPr>
            <w:tcW w:w="1801" w:type="dxa"/>
            <w:shd w:val="clear" w:color="auto" w:fill="auto"/>
            <w:vAlign w:val="center"/>
            <w:hideMark/>
          </w:tcPr>
          <w:p w14:paraId="13B55FCE"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112,488.47</w:t>
            </w:r>
          </w:p>
        </w:tc>
        <w:tc>
          <w:tcPr>
            <w:tcW w:w="1767" w:type="dxa"/>
            <w:vAlign w:val="center"/>
          </w:tcPr>
          <w:p w14:paraId="13B55FCF"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273,115.89</w:t>
            </w:r>
          </w:p>
        </w:tc>
        <w:tc>
          <w:tcPr>
            <w:tcW w:w="1324" w:type="dxa"/>
            <w:vAlign w:val="center"/>
          </w:tcPr>
          <w:p w14:paraId="13B55FD0"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385,604.36</w:t>
            </w:r>
          </w:p>
        </w:tc>
      </w:tr>
      <w:tr w:rsidR="00BD0D31" w:rsidRPr="000A7545" w14:paraId="13B55FD6" w14:textId="77777777" w:rsidTr="00677EEB">
        <w:trPr>
          <w:trHeight w:val="260"/>
          <w:jc w:val="center"/>
        </w:trPr>
        <w:tc>
          <w:tcPr>
            <w:tcW w:w="4684" w:type="dxa"/>
            <w:shd w:val="clear" w:color="auto" w:fill="auto"/>
            <w:hideMark/>
          </w:tcPr>
          <w:p w14:paraId="13B55FD2"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Remuneration for 6 person of Project Officer - NO-B</w:t>
            </w:r>
          </w:p>
        </w:tc>
        <w:tc>
          <w:tcPr>
            <w:tcW w:w="1801" w:type="dxa"/>
            <w:shd w:val="clear" w:color="auto" w:fill="auto"/>
            <w:vAlign w:val="center"/>
            <w:hideMark/>
          </w:tcPr>
          <w:p w14:paraId="13B55FD3"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307,104.46</w:t>
            </w:r>
          </w:p>
        </w:tc>
        <w:tc>
          <w:tcPr>
            <w:tcW w:w="1767" w:type="dxa"/>
            <w:vAlign w:val="center"/>
          </w:tcPr>
          <w:p w14:paraId="13B55FD4"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255,402.04</w:t>
            </w:r>
          </w:p>
        </w:tc>
        <w:tc>
          <w:tcPr>
            <w:tcW w:w="1324" w:type="dxa"/>
            <w:vAlign w:val="center"/>
          </w:tcPr>
          <w:p w14:paraId="13B55FD5"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562,506.50</w:t>
            </w:r>
          </w:p>
        </w:tc>
      </w:tr>
      <w:tr w:rsidR="00BD0D31" w:rsidRPr="000A7545" w14:paraId="13B55FDB" w14:textId="77777777" w:rsidTr="00677EEB">
        <w:trPr>
          <w:trHeight w:val="269"/>
          <w:jc w:val="center"/>
        </w:trPr>
        <w:tc>
          <w:tcPr>
            <w:tcW w:w="4684" w:type="dxa"/>
            <w:shd w:val="clear" w:color="auto" w:fill="auto"/>
            <w:hideMark/>
          </w:tcPr>
          <w:p w14:paraId="13B55FD7"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 xml:space="preserve">Remuneration for 1 person of National Consultant </w:t>
            </w:r>
          </w:p>
        </w:tc>
        <w:tc>
          <w:tcPr>
            <w:tcW w:w="1801" w:type="dxa"/>
            <w:shd w:val="clear" w:color="auto" w:fill="auto"/>
            <w:vAlign w:val="center"/>
            <w:hideMark/>
          </w:tcPr>
          <w:p w14:paraId="13B55FD8"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162,894.53</w:t>
            </w:r>
          </w:p>
        </w:tc>
        <w:tc>
          <w:tcPr>
            <w:tcW w:w="1767" w:type="dxa"/>
            <w:vAlign w:val="center"/>
          </w:tcPr>
          <w:p w14:paraId="13B55FD9"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p>
        </w:tc>
        <w:tc>
          <w:tcPr>
            <w:tcW w:w="1324" w:type="dxa"/>
            <w:vAlign w:val="center"/>
          </w:tcPr>
          <w:p w14:paraId="13B55FDA"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162,894.53</w:t>
            </w:r>
          </w:p>
        </w:tc>
      </w:tr>
      <w:tr w:rsidR="00BD0D31" w:rsidRPr="000A7545" w14:paraId="13B55FE0" w14:textId="77777777" w:rsidTr="00677EEB">
        <w:trPr>
          <w:trHeight w:val="260"/>
          <w:jc w:val="center"/>
        </w:trPr>
        <w:tc>
          <w:tcPr>
            <w:tcW w:w="4684" w:type="dxa"/>
            <w:shd w:val="clear" w:color="auto" w:fill="auto"/>
            <w:hideMark/>
          </w:tcPr>
          <w:p w14:paraId="13B55FDC"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Remuneration for 1 person of International Part-time Consu</w:t>
            </w:r>
            <w:r w:rsidR="00677EEB" w:rsidRPr="000A7545">
              <w:rPr>
                <w:rFonts w:ascii="Arial Narrow" w:hAnsi="Arial Narrow" w:cstheme="minorHAnsi"/>
                <w:color w:val="000000"/>
                <w:sz w:val="20"/>
                <w:szCs w:val="20"/>
              </w:rPr>
              <w:t>ltant</w:t>
            </w:r>
          </w:p>
        </w:tc>
        <w:tc>
          <w:tcPr>
            <w:tcW w:w="1801" w:type="dxa"/>
            <w:shd w:val="clear" w:color="auto" w:fill="auto"/>
            <w:vAlign w:val="center"/>
            <w:hideMark/>
          </w:tcPr>
          <w:p w14:paraId="13B55FDD"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28,620.00</w:t>
            </w:r>
          </w:p>
        </w:tc>
        <w:tc>
          <w:tcPr>
            <w:tcW w:w="1767" w:type="dxa"/>
            <w:vAlign w:val="center"/>
          </w:tcPr>
          <w:p w14:paraId="13B55FDE"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p>
        </w:tc>
        <w:tc>
          <w:tcPr>
            <w:tcW w:w="1324" w:type="dxa"/>
            <w:vAlign w:val="center"/>
          </w:tcPr>
          <w:p w14:paraId="13B55FDF"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28,620.00</w:t>
            </w:r>
          </w:p>
        </w:tc>
      </w:tr>
      <w:tr w:rsidR="00BD0D31" w:rsidRPr="000A7545" w14:paraId="13B55FE5" w14:textId="77777777" w:rsidTr="00677EEB">
        <w:trPr>
          <w:trHeight w:val="269"/>
          <w:jc w:val="center"/>
        </w:trPr>
        <w:tc>
          <w:tcPr>
            <w:tcW w:w="4684" w:type="dxa"/>
            <w:shd w:val="clear" w:color="auto" w:fill="auto"/>
            <w:hideMark/>
          </w:tcPr>
          <w:p w14:paraId="13B55FE1"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Remuneration for 2 person of Programme Assistant - GS 6</w:t>
            </w:r>
          </w:p>
        </w:tc>
        <w:tc>
          <w:tcPr>
            <w:tcW w:w="1801" w:type="dxa"/>
            <w:shd w:val="clear" w:color="auto" w:fill="auto"/>
            <w:vAlign w:val="center"/>
            <w:hideMark/>
          </w:tcPr>
          <w:p w14:paraId="13B55FE2"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25,634.95</w:t>
            </w:r>
          </w:p>
        </w:tc>
        <w:tc>
          <w:tcPr>
            <w:tcW w:w="1767" w:type="dxa"/>
            <w:vAlign w:val="center"/>
          </w:tcPr>
          <w:p w14:paraId="13B55FE3"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22,605.88</w:t>
            </w:r>
          </w:p>
        </w:tc>
        <w:tc>
          <w:tcPr>
            <w:tcW w:w="1324" w:type="dxa"/>
            <w:vAlign w:val="center"/>
          </w:tcPr>
          <w:p w14:paraId="13B55FE4"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48,240.83</w:t>
            </w:r>
          </w:p>
        </w:tc>
      </w:tr>
      <w:tr w:rsidR="00BD0D31" w:rsidRPr="000A7545" w14:paraId="13B55FEA" w14:textId="77777777" w:rsidTr="00677EEB">
        <w:trPr>
          <w:trHeight w:val="278"/>
          <w:jc w:val="center"/>
        </w:trPr>
        <w:tc>
          <w:tcPr>
            <w:tcW w:w="4684" w:type="dxa"/>
            <w:shd w:val="clear" w:color="auto" w:fill="auto"/>
            <w:hideMark/>
          </w:tcPr>
          <w:p w14:paraId="13B55FE6" w14:textId="77777777" w:rsidR="00BD0D31" w:rsidRPr="000A7545" w:rsidRDefault="00BD0D31" w:rsidP="00677EEB">
            <w:pPr>
              <w:spacing w:before="120" w:line="240" w:lineRule="auto"/>
              <w:jc w:val="right"/>
              <w:rPr>
                <w:rFonts w:ascii="Arial Narrow" w:hAnsi="Arial Narrow" w:cstheme="minorHAnsi"/>
                <w:bCs/>
                <w:color w:val="000000"/>
                <w:sz w:val="20"/>
                <w:szCs w:val="20"/>
              </w:rPr>
            </w:pPr>
            <w:r w:rsidRPr="000A7545">
              <w:rPr>
                <w:rFonts w:ascii="Arial Narrow" w:hAnsi="Arial Narrow" w:cstheme="minorHAnsi"/>
                <w:color w:val="000000"/>
                <w:sz w:val="20"/>
                <w:szCs w:val="20"/>
              </w:rPr>
              <w:t>Sub</w:t>
            </w:r>
            <w:r w:rsidR="00677EEB" w:rsidRPr="000A7545">
              <w:rPr>
                <w:rFonts w:ascii="Arial Narrow" w:hAnsi="Arial Narrow" w:cstheme="minorHAnsi"/>
                <w:color w:val="000000"/>
                <w:sz w:val="20"/>
                <w:szCs w:val="20"/>
              </w:rPr>
              <w:t>-</w:t>
            </w:r>
            <w:r w:rsidRPr="000A7545">
              <w:rPr>
                <w:rFonts w:ascii="Arial Narrow" w:hAnsi="Arial Narrow" w:cstheme="minorHAnsi"/>
                <w:color w:val="000000"/>
                <w:sz w:val="20"/>
                <w:szCs w:val="20"/>
              </w:rPr>
              <w:t>total Human Resources</w:t>
            </w:r>
          </w:p>
        </w:tc>
        <w:tc>
          <w:tcPr>
            <w:tcW w:w="1801" w:type="dxa"/>
            <w:shd w:val="clear" w:color="auto" w:fill="auto"/>
            <w:vAlign w:val="center"/>
            <w:hideMark/>
          </w:tcPr>
          <w:p w14:paraId="13B55FE7" w14:textId="77777777" w:rsidR="00BD0D31" w:rsidRPr="000A7545" w:rsidRDefault="00BD0D31" w:rsidP="00677EEB">
            <w:pPr>
              <w:spacing w:before="120" w:line="240" w:lineRule="auto"/>
              <w:jc w:val="right"/>
              <w:rPr>
                <w:rFonts w:ascii="Arial Narrow" w:hAnsi="Arial Narrow" w:cstheme="minorHAnsi"/>
                <w:bCs/>
                <w:color w:val="000000"/>
                <w:sz w:val="20"/>
                <w:szCs w:val="20"/>
              </w:rPr>
            </w:pPr>
            <w:r w:rsidRPr="000A7545">
              <w:rPr>
                <w:rFonts w:ascii="Arial Narrow" w:hAnsi="Arial Narrow" w:cstheme="minorHAnsi"/>
                <w:color w:val="000000"/>
                <w:sz w:val="20"/>
                <w:szCs w:val="20"/>
              </w:rPr>
              <w:t>1,066,130.21</w:t>
            </w:r>
          </w:p>
        </w:tc>
        <w:tc>
          <w:tcPr>
            <w:tcW w:w="1767" w:type="dxa"/>
            <w:vAlign w:val="center"/>
          </w:tcPr>
          <w:p w14:paraId="13B55FE8" w14:textId="77777777" w:rsidR="00BD0D31" w:rsidRPr="000A7545" w:rsidRDefault="00BD0D31" w:rsidP="00677EEB">
            <w:pPr>
              <w:spacing w:before="120" w:line="240" w:lineRule="auto"/>
              <w:jc w:val="right"/>
              <w:rPr>
                <w:rFonts w:ascii="Arial Narrow" w:hAnsi="Arial Narrow" w:cstheme="minorHAnsi"/>
                <w:bCs/>
                <w:color w:val="000000"/>
                <w:sz w:val="20"/>
                <w:szCs w:val="20"/>
              </w:rPr>
            </w:pPr>
            <w:r w:rsidRPr="000A7545">
              <w:rPr>
                <w:rFonts w:ascii="Arial Narrow" w:hAnsi="Arial Narrow" w:cstheme="minorHAnsi"/>
                <w:color w:val="000000"/>
                <w:sz w:val="20"/>
                <w:szCs w:val="20"/>
              </w:rPr>
              <w:t>611,301.39</w:t>
            </w:r>
          </w:p>
        </w:tc>
        <w:tc>
          <w:tcPr>
            <w:tcW w:w="1324" w:type="dxa"/>
            <w:vAlign w:val="center"/>
          </w:tcPr>
          <w:p w14:paraId="13B55FE9"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1,677,431.60</w:t>
            </w:r>
          </w:p>
        </w:tc>
      </w:tr>
      <w:tr w:rsidR="00BD0D31" w:rsidRPr="000A7545" w14:paraId="13B55FEF" w14:textId="77777777" w:rsidTr="00677EEB">
        <w:trPr>
          <w:trHeight w:val="360"/>
          <w:jc w:val="center"/>
        </w:trPr>
        <w:tc>
          <w:tcPr>
            <w:tcW w:w="4684" w:type="dxa"/>
            <w:shd w:val="clear" w:color="auto" w:fill="auto"/>
            <w:vAlign w:val="bottom"/>
            <w:hideMark/>
          </w:tcPr>
          <w:p w14:paraId="13B55FEB" w14:textId="77777777" w:rsidR="00BD0D31" w:rsidRPr="000A7545" w:rsidRDefault="00BD0D31" w:rsidP="00677EEB">
            <w:pPr>
              <w:spacing w:before="120" w:line="240" w:lineRule="auto"/>
              <w:rPr>
                <w:rFonts w:ascii="Arial Narrow" w:hAnsi="Arial Narrow" w:cstheme="minorHAnsi"/>
                <w:color w:val="000000"/>
                <w:sz w:val="20"/>
                <w:szCs w:val="20"/>
              </w:rPr>
            </w:pPr>
            <w:r w:rsidRPr="000A7545">
              <w:rPr>
                <w:rFonts w:ascii="Arial Narrow" w:hAnsi="Arial Narrow" w:cstheme="minorHAnsi"/>
                <w:color w:val="000000"/>
                <w:sz w:val="20"/>
                <w:szCs w:val="20"/>
              </w:rPr>
              <w:t>Staff Travel</w:t>
            </w:r>
          </w:p>
        </w:tc>
        <w:tc>
          <w:tcPr>
            <w:tcW w:w="1801" w:type="dxa"/>
            <w:shd w:val="clear" w:color="auto" w:fill="auto"/>
            <w:vAlign w:val="center"/>
            <w:hideMark/>
          </w:tcPr>
          <w:p w14:paraId="13B55FEC"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767" w:type="dxa"/>
            <w:vAlign w:val="center"/>
          </w:tcPr>
          <w:p w14:paraId="13B55FED"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324" w:type="dxa"/>
            <w:vAlign w:val="center"/>
          </w:tcPr>
          <w:p w14:paraId="13B55FEE"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0.00</w:t>
            </w:r>
          </w:p>
        </w:tc>
      </w:tr>
      <w:tr w:rsidR="00BD0D31" w:rsidRPr="000A7545" w14:paraId="13B55FF4" w14:textId="77777777" w:rsidTr="00677EEB">
        <w:trPr>
          <w:trHeight w:val="300"/>
          <w:jc w:val="center"/>
        </w:trPr>
        <w:tc>
          <w:tcPr>
            <w:tcW w:w="4684" w:type="dxa"/>
            <w:shd w:val="clear" w:color="auto" w:fill="auto"/>
            <w:hideMark/>
          </w:tcPr>
          <w:p w14:paraId="13B55FF0"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 xml:space="preserve">Travel international consultant </w:t>
            </w:r>
          </w:p>
        </w:tc>
        <w:tc>
          <w:tcPr>
            <w:tcW w:w="1801" w:type="dxa"/>
            <w:shd w:val="clear" w:color="auto" w:fill="auto"/>
            <w:vAlign w:val="center"/>
            <w:hideMark/>
          </w:tcPr>
          <w:p w14:paraId="13B55FF1"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23,049.61</w:t>
            </w:r>
          </w:p>
        </w:tc>
        <w:tc>
          <w:tcPr>
            <w:tcW w:w="1767" w:type="dxa"/>
            <w:vAlign w:val="center"/>
          </w:tcPr>
          <w:p w14:paraId="13B55FF2"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10,665.00</w:t>
            </w:r>
          </w:p>
        </w:tc>
        <w:tc>
          <w:tcPr>
            <w:tcW w:w="1324" w:type="dxa"/>
            <w:vAlign w:val="center"/>
          </w:tcPr>
          <w:p w14:paraId="13B55FF3"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33,714.61</w:t>
            </w:r>
          </w:p>
        </w:tc>
      </w:tr>
      <w:tr w:rsidR="00BD0D31" w:rsidRPr="000A7545" w14:paraId="13B55FF9" w14:textId="77777777" w:rsidTr="00677EEB">
        <w:trPr>
          <w:trHeight w:val="300"/>
          <w:jc w:val="center"/>
        </w:trPr>
        <w:tc>
          <w:tcPr>
            <w:tcW w:w="4684" w:type="dxa"/>
            <w:shd w:val="clear" w:color="auto" w:fill="auto"/>
            <w:hideMark/>
          </w:tcPr>
          <w:p w14:paraId="13B55FF5"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 xml:space="preserve">Travel International part-time consultant </w:t>
            </w:r>
          </w:p>
        </w:tc>
        <w:tc>
          <w:tcPr>
            <w:tcW w:w="1801" w:type="dxa"/>
            <w:shd w:val="clear" w:color="auto" w:fill="auto"/>
            <w:vAlign w:val="center"/>
            <w:hideMark/>
          </w:tcPr>
          <w:p w14:paraId="13B55FF6"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w:t>
            </w:r>
          </w:p>
        </w:tc>
        <w:tc>
          <w:tcPr>
            <w:tcW w:w="1767" w:type="dxa"/>
            <w:vAlign w:val="center"/>
          </w:tcPr>
          <w:p w14:paraId="13B55FF7"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w:t>
            </w:r>
          </w:p>
        </w:tc>
        <w:tc>
          <w:tcPr>
            <w:tcW w:w="1324" w:type="dxa"/>
            <w:vAlign w:val="center"/>
          </w:tcPr>
          <w:p w14:paraId="13B55FF8"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w:t>
            </w:r>
          </w:p>
        </w:tc>
      </w:tr>
      <w:tr w:rsidR="00BD0D31" w:rsidRPr="000A7545" w14:paraId="13B55FFE" w14:textId="77777777" w:rsidTr="00677EEB">
        <w:trPr>
          <w:trHeight w:val="300"/>
          <w:jc w:val="center"/>
        </w:trPr>
        <w:tc>
          <w:tcPr>
            <w:tcW w:w="4684" w:type="dxa"/>
            <w:shd w:val="clear" w:color="auto" w:fill="auto"/>
            <w:hideMark/>
          </w:tcPr>
          <w:p w14:paraId="13B55FFA"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Travel National consultants</w:t>
            </w:r>
          </w:p>
        </w:tc>
        <w:tc>
          <w:tcPr>
            <w:tcW w:w="1801" w:type="dxa"/>
            <w:shd w:val="clear" w:color="auto" w:fill="auto"/>
            <w:vAlign w:val="center"/>
            <w:hideMark/>
          </w:tcPr>
          <w:p w14:paraId="13B55FFB"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23,881.04</w:t>
            </w:r>
          </w:p>
        </w:tc>
        <w:tc>
          <w:tcPr>
            <w:tcW w:w="1767" w:type="dxa"/>
            <w:vAlign w:val="center"/>
          </w:tcPr>
          <w:p w14:paraId="13B55FFC"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p>
        </w:tc>
        <w:tc>
          <w:tcPr>
            <w:tcW w:w="1324" w:type="dxa"/>
            <w:vAlign w:val="center"/>
          </w:tcPr>
          <w:p w14:paraId="13B55FFD"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23,881.04</w:t>
            </w:r>
          </w:p>
        </w:tc>
      </w:tr>
      <w:tr w:rsidR="00BD0D31" w:rsidRPr="000A7545" w14:paraId="13B56003" w14:textId="77777777" w:rsidTr="00677EEB">
        <w:trPr>
          <w:trHeight w:val="260"/>
          <w:jc w:val="center"/>
        </w:trPr>
        <w:tc>
          <w:tcPr>
            <w:tcW w:w="4684" w:type="dxa"/>
            <w:shd w:val="clear" w:color="auto" w:fill="auto"/>
            <w:hideMark/>
          </w:tcPr>
          <w:p w14:paraId="13B55FFF"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 xml:space="preserve">Travel 6 persons at Programme Officer-NO-B &amp;2 Project Officers - NO-C </w:t>
            </w:r>
          </w:p>
        </w:tc>
        <w:tc>
          <w:tcPr>
            <w:tcW w:w="1801" w:type="dxa"/>
            <w:shd w:val="clear" w:color="auto" w:fill="auto"/>
            <w:vAlign w:val="center"/>
            <w:hideMark/>
          </w:tcPr>
          <w:p w14:paraId="13B56000"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60,267.92</w:t>
            </w:r>
          </w:p>
        </w:tc>
        <w:tc>
          <w:tcPr>
            <w:tcW w:w="1767" w:type="dxa"/>
            <w:vAlign w:val="center"/>
          </w:tcPr>
          <w:p w14:paraId="13B56001"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58,288.27</w:t>
            </w:r>
          </w:p>
        </w:tc>
        <w:tc>
          <w:tcPr>
            <w:tcW w:w="1324" w:type="dxa"/>
            <w:vAlign w:val="center"/>
          </w:tcPr>
          <w:p w14:paraId="13B56002"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118,556.19</w:t>
            </w:r>
          </w:p>
        </w:tc>
      </w:tr>
      <w:tr w:rsidR="00BD0D31" w:rsidRPr="000A7545" w14:paraId="13B56008" w14:textId="77777777" w:rsidTr="00677EEB">
        <w:trPr>
          <w:trHeight w:val="251"/>
          <w:jc w:val="center"/>
        </w:trPr>
        <w:tc>
          <w:tcPr>
            <w:tcW w:w="4684" w:type="dxa"/>
            <w:shd w:val="clear" w:color="auto" w:fill="auto"/>
            <w:hideMark/>
          </w:tcPr>
          <w:p w14:paraId="13B56004" w14:textId="77777777" w:rsidR="00BD0D31" w:rsidRPr="000A7545" w:rsidRDefault="00677EEB"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Travel Project Officer</w:t>
            </w:r>
          </w:p>
        </w:tc>
        <w:tc>
          <w:tcPr>
            <w:tcW w:w="1801" w:type="dxa"/>
            <w:shd w:val="clear" w:color="auto" w:fill="auto"/>
            <w:vAlign w:val="center"/>
            <w:hideMark/>
          </w:tcPr>
          <w:p w14:paraId="13B56005"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6,600.05</w:t>
            </w:r>
          </w:p>
        </w:tc>
        <w:tc>
          <w:tcPr>
            <w:tcW w:w="1767" w:type="dxa"/>
            <w:vAlign w:val="center"/>
          </w:tcPr>
          <w:p w14:paraId="13B56006"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10,868.19</w:t>
            </w:r>
          </w:p>
        </w:tc>
        <w:tc>
          <w:tcPr>
            <w:tcW w:w="1324" w:type="dxa"/>
            <w:vAlign w:val="center"/>
          </w:tcPr>
          <w:p w14:paraId="13B56007"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17,468.24</w:t>
            </w:r>
          </w:p>
        </w:tc>
      </w:tr>
      <w:tr w:rsidR="00BD0D31" w:rsidRPr="000A7545" w14:paraId="13B5600D" w14:textId="77777777" w:rsidTr="00677EEB">
        <w:trPr>
          <w:trHeight w:val="300"/>
          <w:jc w:val="center"/>
        </w:trPr>
        <w:tc>
          <w:tcPr>
            <w:tcW w:w="4684" w:type="dxa"/>
            <w:shd w:val="clear" w:color="auto" w:fill="auto"/>
            <w:hideMark/>
          </w:tcPr>
          <w:p w14:paraId="13B56009"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Programme Assistant</w:t>
            </w:r>
            <w:r w:rsidR="00677EEB" w:rsidRPr="000A7545">
              <w:rPr>
                <w:rFonts w:ascii="Arial Narrow" w:hAnsi="Arial Narrow" w:cstheme="minorHAnsi"/>
                <w:color w:val="000000"/>
                <w:sz w:val="20"/>
                <w:szCs w:val="20"/>
              </w:rPr>
              <w:t xml:space="preserve"> </w:t>
            </w:r>
            <w:r w:rsidRPr="000A7545">
              <w:rPr>
                <w:rFonts w:ascii="Arial Narrow" w:hAnsi="Arial Narrow" w:cstheme="minorHAnsi"/>
                <w:color w:val="000000"/>
                <w:sz w:val="20"/>
                <w:szCs w:val="20"/>
              </w:rPr>
              <w:t>-</w:t>
            </w:r>
            <w:r w:rsidR="00677EEB" w:rsidRPr="000A7545">
              <w:rPr>
                <w:rFonts w:ascii="Arial Narrow" w:hAnsi="Arial Narrow" w:cstheme="minorHAnsi"/>
                <w:color w:val="000000"/>
                <w:sz w:val="20"/>
                <w:szCs w:val="20"/>
              </w:rPr>
              <w:t xml:space="preserve"> </w:t>
            </w:r>
            <w:r w:rsidRPr="000A7545">
              <w:rPr>
                <w:rFonts w:ascii="Arial Narrow" w:hAnsi="Arial Narrow" w:cstheme="minorHAnsi"/>
                <w:color w:val="000000"/>
                <w:sz w:val="20"/>
                <w:szCs w:val="20"/>
              </w:rPr>
              <w:t xml:space="preserve">GS </w:t>
            </w:r>
          </w:p>
        </w:tc>
        <w:tc>
          <w:tcPr>
            <w:tcW w:w="1801" w:type="dxa"/>
            <w:shd w:val="clear" w:color="auto" w:fill="auto"/>
            <w:vAlign w:val="center"/>
            <w:hideMark/>
          </w:tcPr>
          <w:p w14:paraId="13B5600A"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543.90</w:t>
            </w:r>
          </w:p>
        </w:tc>
        <w:tc>
          <w:tcPr>
            <w:tcW w:w="1767" w:type="dxa"/>
            <w:vAlign w:val="center"/>
          </w:tcPr>
          <w:p w14:paraId="13B5600B"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2,803.73</w:t>
            </w:r>
          </w:p>
        </w:tc>
        <w:tc>
          <w:tcPr>
            <w:tcW w:w="1324" w:type="dxa"/>
            <w:vAlign w:val="center"/>
          </w:tcPr>
          <w:p w14:paraId="13B5600C"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3,347.63</w:t>
            </w:r>
          </w:p>
        </w:tc>
      </w:tr>
      <w:tr w:rsidR="00BD0D31" w:rsidRPr="000A7545" w14:paraId="13B56012" w14:textId="77777777" w:rsidTr="00677EEB">
        <w:trPr>
          <w:trHeight w:val="300"/>
          <w:jc w:val="center"/>
        </w:trPr>
        <w:tc>
          <w:tcPr>
            <w:tcW w:w="4684" w:type="dxa"/>
            <w:shd w:val="clear" w:color="auto" w:fill="auto"/>
            <w:hideMark/>
          </w:tcPr>
          <w:p w14:paraId="13B5600E"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 xml:space="preserve">International Programme Manager </w:t>
            </w:r>
            <w:r w:rsidR="00677EEB" w:rsidRPr="000A7545">
              <w:rPr>
                <w:rFonts w:ascii="Arial Narrow" w:hAnsi="Arial Narrow" w:cstheme="minorHAnsi"/>
                <w:color w:val="000000"/>
                <w:sz w:val="20"/>
                <w:szCs w:val="20"/>
              </w:rPr>
              <w:t xml:space="preserve"> - </w:t>
            </w:r>
            <w:r w:rsidRPr="000A7545">
              <w:rPr>
                <w:rFonts w:ascii="Arial Narrow" w:hAnsi="Arial Narrow" w:cstheme="minorHAnsi"/>
                <w:color w:val="000000"/>
                <w:sz w:val="20"/>
                <w:szCs w:val="20"/>
              </w:rPr>
              <w:t>L-4</w:t>
            </w:r>
          </w:p>
        </w:tc>
        <w:tc>
          <w:tcPr>
            <w:tcW w:w="1801" w:type="dxa"/>
            <w:shd w:val="clear" w:color="auto" w:fill="auto"/>
            <w:vAlign w:val="center"/>
            <w:hideMark/>
          </w:tcPr>
          <w:p w14:paraId="13B5600F"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3,631.00</w:t>
            </w:r>
          </w:p>
        </w:tc>
        <w:tc>
          <w:tcPr>
            <w:tcW w:w="1767" w:type="dxa"/>
            <w:vAlign w:val="center"/>
          </w:tcPr>
          <w:p w14:paraId="13B56010"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16,144.31</w:t>
            </w:r>
          </w:p>
        </w:tc>
        <w:tc>
          <w:tcPr>
            <w:tcW w:w="1324" w:type="dxa"/>
            <w:vAlign w:val="center"/>
          </w:tcPr>
          <w:p w14:paraId="13B56011"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19,775.31</w:t>
            </w:r>
          </w:p>
        </w:tc>
      </w:tr>
      <w:tr w:rsidR="00BD0D31" w:rsidRPr="000A7545" w14:paraId="13B56017" w14:textId="77777777" w:rsidTr="00677EEB">
        <w:trPr>
          <w:trHeight w:val="188"/>
          <w:jc w:val="center"/>
        </w:trPr>
        <w:tc>
          <w:tcPr>
            <w:tcW w:w="4684" w:type="dxa"/>
            <w:shd w:val="clear" w:color="auto" w:fill="auto"/>
            <w:hideMark/>
          </w:tcPr>
          <w:p w14:paraId="13B56013"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Chief of Field Office</w:t>
            </w:r>
            <w:r w:rsidR="00677EEB" w:rsidRPr="000A7545">
              <w:rPr>
                <w:rFonts w:ascii="Arial Narrow" w:hAnsi="Arial Narrow" w:cstheme="minorHAnsi"/>
                <w:color w:val="000000"/>
                <w:sz w:val="20"/>
                <w:szCs w:val="20"/>
              </w:rPr>
              <w:t xml:space="preserve"> -</w:t>
            </w:r>
            <w:r w:rsidRPr="000A7545">
              <w:rPr>
                <w:rFonts w:ascii="Arial Narrow" w:hAnsi="Arial Narrow" w:cstheme="minorHAnsi"/>
                <w:color w:val="000000"/>
                <w:sz w:val="20"/>
                <w:szCs w:val="20"/>
              </w:rPr>
              <w:t xml:space="preserve"> L-4</w:t>
            </w:r>
          </w:p>
        </w:tc>
        <w:tc>
          <w:tcPr>
            <w:tcW w:w="1801" w:type="dxa"/>
            <w:shd w:val="clear" w:color="auto" w:fill="auto"/>
            <w:vAlign w:val="center"/>
            <w:hideMark/>
          </w:tcPr>
          <w:p w14:paraId="13B56014"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9,899.74</w:t>
            </w:r>
          </w:p>
        </w:tc>
        <w:tc>
          <w:tcPr>
            <w:tcW w:w="1767" w:type="dxa"/>
            <w:vAlign w:val="center"/>
          </w:tcPr>
          <w:p w14:paraId="13B56015"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7,901.29</w:t>
            </w:r>
          </w:p>
        </w:tc>
        <w:tc>
          <w:tcPr>
            <w:tcW w:w="1324" w:type="dxa"/>
            <w:vAlign w:val="center"/>
          </w:tcPr>
          <w:p w14:paraId="13B56016"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17,801.03</w:t>
            </w:r>
          </w:p>
        </w:tc>
      </w:tr>
      <w:tr w:rsidR="00BD0D31" w:rsidRPr="000A7545" w14:paraId="13B5601C" w14:textId="77777777" w:rsidTr="00677EEB">
        <w:trPr>
          <w:trHeight w:val="287"/>
          <w:jc w:val="center"/>
        </w:trPr>
        <w:tc>
          <w:tcPr>
            <w:tcW w:w="4684" w:type="dxa"/>
            <w:shd w:val="clear" w:color="auto" w:fill="auto"/>
            <w:hideMark/>
          </w:tcPr>
          <w:p w14:paraId="13B56018"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Sub</w:t>
            </w:r>
            <w:r w:rsidR="00677EEB" w:rsidRPr="000A7545">
              <w:rPr>
                <w:rFonts w:ascii="Arial Narrow" w:hAnsi="Arial Narrow" w:cstheme="minorHAnsi"/>
                <w:color w:val="000000"/>
                <w:sz w:val="20"/>
                <w:szCs w:val="20"/>
              </w:rPr>
              <w:t>-</w:t>
            </w:r>
            <w:r w:rsidRPr="000A7545">
              <w:rPr>
                <w:rFonts w:ascii="Arial Narrow" w:hAnsi="Arial Narrow" w:cstheme="minorHAnsi"/>
                <w:color w:val="000000"/>
                <w:sz w:val="20"/>
                <w:szCs w:val="20"/>
              </w:rPr>
              <w:t>total Travel</w:t>
            </w:r>
          </w:p>
        </w:tc>
        <w:tc>
          <w:tcPr>
            <w:tcW w:w="1801" w:type="dxa"/>
            <w:shd w:val="clear" w:color="auto" w:fill="auto"/>
            <w:vAlign w:val="center"/>
            <w:hideMark/>
          </w:tcPr>
          <w:p w14:paraId="13B56019"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127,873.26</w:t>
            </w:r>
          </w:p>
        </w:tc>
        <w:tc>
          <w:tcPr>
            <w:tcW w:w="1767" w:type="dxa"/>
            <w:vAlign w:val="center"/>
          </w:tcPr>
          <w:p w14:paraId="13B5601A"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106,670.79</w:t>
            </w:r>
          </w:p>
        </w:tc>
        <w:tc>
          <w:tcPr>
            <w:tcW w:w="1324" w:type="dxa"/>
            <w:vAlign w:val="center"/>
          </w:tcPr>
          <w:p w14:paraId="13B5601B" w14:textId="77777777" w:rsidR="00BD0D31" w:rsidRPr="000A7545" w:rsidRDefault="00BD0D31" w:rsidP="00677EEB">
            <w:pPr>
              <w:spacing w:before="120" w:line="240" w:lineRule="auto"/>
              <w:jc w:val="right"/>
              <w:rPr>
                <w:rFonts w:ascii="Arial Narrow" w:hAnsi="Arial Narrow" w:cs="Calibri"/>
                <w:color w:val="000000"/>
                <w:sz w:val="20"/>
                <w:szCs w:val="20"/>
              </w:rPr>
            </w:pPr>
            <w:r w:rsidRPr="000A7545">
              <w:rPr>
                <w:rFonts w:ascii="Arial Narrow" w:hAnsi="Arial Narrow" w:cs="Calibri"/>
                <w:color w:val="000000"/>
                <w:sz w:val="20"/>
                <w:szCs w:val="20"/>
              </w:rPr>
              <w:t>234,544.05</w:t>
            </w:r>
          </w:p>
        </w:tc>
      </w:tr>
      <w:tr w:rsidR="00BD0D31" w:rsidRPr="000A7545" w14:paraId="13B56021" w14:textId="77777777" w:rsidTr="00677EEB">
        <w:trPr>
          <w:trHeight w:val="300"/>
          <w:jc w:val="center"/>
        </w:trPr>
        <w:tc>
          <w:tcPr>
            <w:tcW w:w="4684" w:type="dxa"/>
            <w:shd w:val="clear" w:color="auto" w:fill="auto"/>
            <w:vAlign w:val="bottom"/>
            <w:hideMark/>
          </w:tcPr>
          <w:p w14:paraId="13B5601D" w14:textId="77777777" w:rsidR="00BD0D31" w:rsidRPr="000A7545" w:rsidRDefault="00BD0D31" w:rsidP="00677EEB">
            <w:pPr>
              <w:spacing w:before="120" w:line="240" w:lineRule="auto"/>
              <w:rPr>
                <w:rFonts w:ascii="Arial Narrow" w:hAnsi="Arial Narrow" w:cstheme="minorHAnsi"/>
                <w:color w:val="000000"/>
                <w:sz w:val="20"/>
                <w:szCs w:val="20"/>
              </w:rPr>
            </w:pPr>
            <w:r w:rsidRPr="000A7545">
              <w:rPr>
                <w:rFonts w:ascii="Arial Narrow" w:hAnsi="Arial Narrow" w:cstheme="minorHAnsi"/>
                <w:color w:val="000000"/>
                <w:sz w:val="20"/>
                <w:szCs w:val="20"/>
              </w:rPr>
              <w:t>Equipment &amp; Supplies</w:t>
            </w:r>
          </w:p>
        </w:tc>
        <w:tc>
          <w:tcPr>
            <w:tcW w:w="1801" w:type="dxa"/>
            <w:shd w:val="clear" w:color="auto" w:fill="auto"/>
            <w:vAlign w:val="center"/>
            <w:hideMark/>
          </w:tcPr>
          <w:p w14:paraId="13B5601E"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767" w:type="dxa"/>
            <w:vAlign w:val="center"/>
          </w:tcPr>
          <w:p w14:paraId="13B5601F"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324" w:type="dxa"/>
            <w:vAlign w:val="center"/>
          </w:tcPr>
          <w:p w14:paraId="13B56020" w14:textId="77777777" w:rsidR="00BD0D31" w:rsidRPr="000A7545" w:rsidRDefault="00BD0D31" w:rsidP="00677EEB">
            <w:pPr>
              <w:spacing w:before="120" w:line="240" w:lineRule="auto"/>
              <w:jc w:val="right"/>
              <w:rPr>
                <w:rFonts w:ascii="Arial Narrow" w:hAnsi="Arial Narrow" w:cs="Calibri"/>
                <w:b/>
                <w:color w:val="000000"/>
                <w:sz w:val="20"/>
                <w:szCs w:val="20"/>
              </w:rPr>
            </w:pPr>
          </w:p>
        </w:tc>
      </w:tr>
      <w:tr w:rsidR="00BD0D31" w:rsidRPr="000A7545" w14:paraId="13B56026" w14:textId="77777777" w:rsidTr="00677EEB">
        <w:trPr>
          <w:trHeight w:val="224"/>
          <w:jc w:val="center"/>
        </w:trPr>
        <w:tc>
          <w:tcPr>
            <w:tcW w:w="4684" w:type="dxa"/>
            <w:shd w:val="clear" w:color="auto" w:fill="auto"/>
            <w:hideMark/>
          </w:tcPr>
          <w:p w14:paraId="13B56022"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color w:val="000000"/>
                <w:sz w:val="20"/>
                <w:szCs w:val="20"/>
              </w:rPr>
              <w:t>Printing CLCC Advocacy material</w:t>
            </w:r>
          </w:p>
        </w:tc>
        <w:tc>
          <w:tcPr>
            <w:tcW w:w="1801" w:type="dxa"/>
            <w:shd w:val="clear" w:color="auto" w:fill="auto"/>
            <w:vAlign w:val="center"/>
            <w:hideMark/>
          </w:tcPr>
          <w:p w14:paraId="13B56023"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1,785.20</w:t>
            </w:r>
          </w:p>
        </w:tc>
        <w:tc>
          <w:tcPr>
            <w:tcW w:w="1767" w:type="dxa"/>
            <w:vAlign w:val="center"/>
          </w:tcPr>
          <w:p w14:paraId="13B56024"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59,497.19</w:t>
            </w:r>
          </w:p>
        </w:tc>
        <w:tc>
          <w:tcPr>
            <w:tcW w:w="1324" w:type="dxa"/>
            <w:vAlign w:val="center"/>
          </w:tcPr>
          <w:p w14:paraId="13B56025"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61,282.39</w:t>
            </w:r>
          </w:p>
        </w:tc>
      </w:tr>
      <w:tr w:rsidR="00BD0D31" w:rsidRPr="000A7545" w14:paraId="13B5602B" w14:textId="77777777" w:rsidTr="00677EEB">
        <w:trPr>
          <w:trHeight w:val="242"/>
          <w:jc w:val="center"/>
        </w:trPr>
        <w:tc>
          <w:tcPr>
            <w:tcW w:w="4684" w:type="dxa"/>
            <w:shd w:val="clear" w:color="auto" w:fill="auto"/>
            <w:hideMark/>
          </w:tcPr>
          <w:p w14:paraId="13B56027"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Sub</w:t>
            </w:r>
            <w:r w:rsidR="00677EEB" w:rsidRPr="000A7545">
              <w:rPr>
                <w:rFonts w:ascii="Arial Narrow" w:hAnsi="Arial Narrow" w:cstheme="minorHAnsi"/>
                <w:color w:val="000000"/>
                <w:sz w:val="20"/>
                <w:szCs w:val="20"/>
              </w:rPr>
              <w:t>-</w:t>
            </w:r>
            <w:r w:rsidRPr="000A7545">
              <w:rPr>
                <w:rFonts w:ascii="Arial Narrow" w:hAnsi="Arial Narrow" w:cstheme="minorHAnsi"/>
                <w:color w:val="000000"/>
                <w:sz w:val="20"/>
                <w:szCs w:val="20"/>
              </w:rPr>
              <w:t>total Equipment &amp;Supplies</w:t>
            </w:r>
          </w:p>
        </w:tc>
        <w:tc>
          <w:tcPr>
            <w:tcW w:w="1801" w:type="dxa"/>
            <w:shd w:val="clear" w:color="auto" w:fill="auto"/>
            <w:vAlign w:val="center"/>
            <w:hideMark/>
          </w:tcPr>
          <w:p w14:paraId="13B56028" w14:textId="77777777" w:rsidR="00BD0D31" w:rsidRPr="000A7545" w:rsidRDefault="00BD0D31" w:rsidP="00677EEB">
            <w:pPr>
              <w:spacing w:before="120" w:line="240" w:lineRule="auto"/>
              <w:jc w:val="right"/>
              <w:rPr>
                <w:rFonts w:ascii="Arial Narrow" w:hAnsi="Arial Narrow" w:cstheme="minorHAnsi"/>
                <w:bCs/>
                <w:color w:val="000000"/>
                <w:sz w:val="20"/>
                <w:szCs w:val="20"/>
              </w:rPr>
            </w:pPr>
            <w:r w:rsidRPr="000A7545">
              <w:rPr>
                <w:rFonts w:ascii="Arial Narrow" w:hAnsi="Arial Narrow" w:cstheme="minorHAnsi"/>
                <w:color w:val="000000"/>
                <w:sz w:val="20"/>
                <w:szCs w:val="20"/>
              </w:rPr>
              <w:t>1,785.20</w:t>
            </w:r>
          </w:p>
        </w:tc>
        <w:tc>
          <w:tcPr>
            <w:tcW w:w="1767" w:type="dxa"/>
            <w:vAlign w:val="center"/>
          </w:tcPr>
          <w:p w14:paraId="13B56029" w14:textId="77777777" w:rsidR="00BD0D31" w:rsidRPr="000A7545" w:rsidRDefault="00BD0D31" w:rsidP="00677EEB">
            <w:pPr>
              <w:spacing w:before="120" w:line="240" w:lineRule="auto"/>
              <w:jc w:val="right"/>
              <w:rPr>
                <w:rFonts w:ascii="Arial Narrow" w:hAnsi="Arial Narrow" w:cstheme="minorHAnsi"/>
                <w:bCs/>
                <w:color w:val="000000"/>
                <w:sz w:val="20"/>
                <w:szCs w:val="20"/>
              </w:rPr>
            </w:pPr>
            <w:r w:rsidRPr="000A7545">
              <w:rPr>
                <w:rFonts w:ascii="Arial Narrow" w:hAnsi="Arial Narrow" w:cstheme="minorHAnsi"/>
                <w:color w:val="000000"/>
                <w:sz w:val="20"/>
                <w:szCs w:val="20"/>
              </w:rPr>
              <w:t>59,497.19</w:t>
            </w:r>
          </w:p>
        </w:tc>
        <w:tc>
          <w:tcPr>
            <w:tcW w:w="1324" w:type="dxa"/>
            <w:vAlign w:val="center"/>
          </w:tcPr>
          <w:p w14:paraId="13B5602A"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61,282.39</w:t>
            </w:r>
          </w:p>
        </w:tc>
      </w:tr>
      <w:tr w:rsidR="00BD0D31" w:rsidRPr="000A7545" w14:paraId="13B56030" w14:textId="77777777" w:rsidTr="00677EEB">
        <w:trPr>
          <w:trHeight w:val="300"/>
          <w:jc w:val="center"/>
        </w:trPr>
        <w:tc>
          <w:tcPr>
            <w:tcW w:w="4684" w:type="dxa"/>
            <w:shd w:val="clear" w:color="auto" w:fill="auto"/>
            <w:vAlign w:val="bottom"/>
            <w:hideMark/>
          </w:tcPr>
          <w:p w14:paraId="13B5602C" w14:textId="77777777" w:rsidR="00BD0D31" w:rsidRPr="000A7545" w:rsidRDefault="00BD0D31" w:rsidP="00677EEB">
            <w:pPr>
              <w:spacing w:before="120" w:line="240" w:lineRule="auto"/>
              <w:rPr>
                <w:rFonts w:ascii="Arial Narrow" w:hAnsi="Arial Narrow" w:cstheme="minorHAnsi"/>
                <w:color w:val="000000"/>
                <w:sz w:val="20"/>
                <w:szCs w:val="20"/>
              </w:rPr>
            </w:pPr>
          </w:p>
        </w:tc>
        <w:tc>
          <w:tcPr>
            <w:tcW w:w="1801" w:type="dxa"/>
            <w:shd w:val="clear" w:color="auto" w:fill="auto"/>
            <w:vAlign w:val="center"/>
            <w:hideMark/>
          </w:tcPr>
          <w:p w14:paraId="13B5602D"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767" w:type="dxa"/>
            <w:vAlign w:val="center"/>
          </w:tcPr>
          <w:p w14:paraId="13B5602E"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324" w:type="dxa"/>
            <w:vAlign w:val="center"/>
          </w:tcPr>
          <w:p w14:paraId="13B5602F"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0.00</w:t>
            </w:r>
          </w:p>
        </w:tc>
      </w:tr>
      <w:tr w:rsidR="00BD0D31" w:rsidRPr="000A7545" w14:paraId="13B56035" w14:textId="77777777" w:rsidTr="00677EEB">
        <w:trPr>
          <w:trHeight w:val="300"/>
          <w:jc w:val="center"/>
        </w:trPr>
        <w:tc>
          <w:tcPr>
            <w:tcW w:w="4684" w:type="dxa"/>
            <w:shd w:val="clear" w:color="auto" w:fill="auto"/>
            <w:vAlign w:val="bottom"/>
            <w:hideMark/>
          </w:tcPr>
          <w:p w14:paraId="13B56031" w14:textId="77777777" w:rsidR="00BD0D31" w:rsidRPr="000A7545" w:rsidRDefault="00BD0D31" w:rsidP="00677EEB">
            <w:pPr>
              <w:spacing w:before="120" w:line="240" w:lineRule="auto"/>
              <w:rPr>
                <w:rFonts w:ascii="Arial Narrow" w:hAnsi="Arial Narrow" w:cstheme="minorHAnsi"/>
                <w:color w:val="000000"/>
                <w:sz w:val="20"/>
                <w:szCs w:val="20"/>
              </w:rPr>
            </w:pPr>
            <w:r w:rsidRPr="000A7545">
              <w:rPr>
                <w:rFonts w:ascii="Arial Narrow" w:hAnsi="Arial Narrow" w:cstheme="minorHAnsi"/>
                <w:color w:val="000000"/>
                <w:sz w:val="20"/>
                <w:szCs w:val="20"/>
              </w:rPr>
              <w:t xml:space="preserve">Field office Running Cost </w:t>
            </w:r>
          </w:p>
        </w:tc>
        <w:tc>
          <w:tcPr>
            <w:tcW w:w="1801" w:type="dxa"/>
            <w:shd w:val="clear" w:color="auto" w:fill="auto"/>
            <w:vAlign w:val="center"/>
            <w:hideMark/>
          </w:tcPr>
          <w:p w14:paraId="13B56032"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14,218.77</w:t>
            </w:r>
          </w:p>
        </w:tc>
        <w:tc>
          <w:tcPr>
            <w:tcW w:w="1767" w:type="dxa"/>
            <w:vAlign w:val="center"/>
          </w:tcPr>
          <w:p w14:paraId="13B56033"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64,435. 85</w:t>
            </w:r>
          </w:p>
        </w:tc>
        <w:tc>
          <w:tcPr>
            <w:tcW w:w="1324" w:type="dxa"/>
            <w:vAlign w:val="center"/>
          </w:tcPr>
          <w:p w14:paraId="13B56034"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78,654.62</w:t>
            </w:r>
          </w:p>
        </w:tc>
      </w:tr>
      <w:tr w:rsidR="00BD0D31" w:rsidRPr="000A7545" w14:paraId="13B5603A" w14:textId="77777777" w:rsidTr="00677EEB">
        <w:trPr>
          <w:trHeight w:val="300"/>
          <w:jc w:val="center"/>
        </w:trPr>
        <w:tc>
          <w:tcPr>
            <w:tcW w:w="4684" w:type="dxa"/>
            <w:shd w:val="clear" w:color="auto" w:fill="auto"/>
            <w:vAlign w:val="bottom"/>
            <w:hideMark/>
          </w:tcPr>
          <w:p w14:paraId="13B56036" w14:textId="77777777" w:rsidR="00BD0D31" w:rsidRPr="000A7545" w:rsidRDefault="00BD0D31" w:rsidP="00677EEB">
            <w:pPr>
              <w:spacing w:before="120" w:line="240" w:lineRule="auto"/>
              <w:rPr>
                <w:rFonts w:ascii="Arial Narrow" w:hAnsi="Arial Narrow" w:cstheme="minorHAnsi"/>
                <w:color w:val="000000"/>
                <w:sz w:val="20"/>
                <w:szCs w:val="20"/>
              </w:rPr>
            </w:pPr>
          </w:p>
        </w:tc>
        <w:tc>
          <w:tcPr>
            <w:tcW w:w="1801" w:type="dxa"/>
            <w:shd w:val="clear" w:color="auto" w:fill="auto"/>
            <w:vAlign w:val="center"/>
            <w:hideMark/>
          </w:tcPr>
          <w:p w14:paraId="13B56037"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767" w:type="dxa"/>
            <w:vAlign w:val="center"/>
          </w:tcPr>
          <w:p w14:paraId="13B56038"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324" w:type="dxa"/>
            <w:vAlign w:val="center"/>
          </w:tcPr>
          <w:p w14:paraId="13B56039"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0.00</w:t>
            </w:r>
          </w:p>
        </w:tc>
      </w:tr>
      <w:tr w:rsidR="00BD0D31" w:rsidRPr="000A7545" w14:paraId="13B5603F" w14:textId="77777777" w:rsidTr="00677EEB">
        <w:trPr>
          <w:trHeight w:val="300"/>
          <w:jc w:val="center"/>
        </w:trPr>
        <w:tc>
          <w:tcPr>
            <w:tcW w:w="4684" w:type="dxa"/>
            <w:shd w:val="clear" w:color="auto" w:fill="auto"/>
            <w:vAlign w:val="bottom"/>
            <w:hideMark/>
          </w:tcPr>
          <w:p w14:paraId="13B5603B" w14:textId="77777777" w:rsidR="00BD0D31" w:rsidRPr="000A7545" w:rsidRDefault="00BD0D31" w:rsidP="00677EEB">
            <w:pPr>
              <w:spacing w:before="120" w:line="240" w:lineRule="auto"/>
              <w:rPr>
                <w:rFonts w:ascii="Arial Narrow" w:hAnsi="Arial Narrow" w:cstheme="minorHAnsi"/>
                <w:color w:val="000000"/>
                <w:sz w:val="20"/>
                <w:szCs w:val="20"/>
              </w:rPr>
            </w:pPr>
            <w:r w:rsidRPr="000A7545">
              <w:rPr>
                <w:rFonts w:ascii="Arial Narrow" w:hAnsi="Arial Narrow" w:cstheme="minorHAnsi"/>
                <w:color w:val="000000"/>
                <w:sz w:val="20"/>
                <w:szCs w:val="20"/>
              </w:rPr>
              <w:t>Activities</w:t>
            </w:r>
          </w:p>
        </w:tc>
        <w:tc>
          <w:tcPr>
            <w:tcW w:w="1801" w:type="dxa"/>
            <w:shd w:val="clear" w:color="auto" w:fill="auto"/>
            <w:vAlign w:val="center"/>
            <w:hideMark/>
          </w:tcPr>
          <w:p w14:paraId="13B5603C"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767" w:type="dxa"/>
            <w:vAlign w:val="center"/>
          </w:tcPr>
          <w:p w14:paraId="13B5603D"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324" w:type="dxa"/>
            <w:vAlign w:val="center"/>
          </w:tcPr>
          <w:p w14:paraId="13B5603E"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0.00</w:t>
            </w:r>
          </w:p>
        </w:tc>
      </w:tr>
      <w:tr w:rsidR="00BD0D31" w:rsidRPr="000A7545" w14:paraId="13B56044" w14:textId="77777777" w:rsidTr="00677EEB">
        <w:trPr>
          <w:trHeight w:val="287"/>
          <w:jc w:val="center"/>
        </w:trPr>
        <w:tc>
          <w:tcPr>
            <w:tcW w:w="4684" w:type="dxa"/>
            <w:shd w:val="clear" w:color="auto" w:fill="auto"/>
            <w:hideMark/>
          </w:tcPr>
          <w:p w14:paraId="13B56040" w14:textId="77777777" w:rsidR="00BD0D31" w:rsidRPr="000A7545" w:rsidRDefault="00BD0D31" w:rsidP="00677EEB">
            <w:pPr>
              <w:spacing w:before="120" w:line="240" w:lineRule="auto"/>
              <w:rPr>
                <w:rFonts w:ascii="Arial Narrow" w:hAnsi="Arial Narrow" w:cstheme="minorHAnsi"/>
                <w:color w:val="000000"/>
                <w:sz w:val="20"/>
                <w:szCs w:val="20"/>
              </w:rPr>
            </w:pPr>
            <w:r w:rsidRPr="000A7545">
              <w:rPr>
                <w:rFonts w:ascii="Arial Narrow" w:hAnsi="Arial Narrow" w:cstheme="minorHAnsi"/>
                <w:color w:val="000000"/>
                <w:sz w:val="20"/>
                <w:szCs w:val="20"/>
              </w:rPr>
              <w:t>Component 1</w:t>
            </w:r>
          </w:p>
        </w:tc>
        <w:tc>
          <w:tcPr>
            <w:tcW w:w="1801" w:type="dxa"/>
            <w:shd w:val="clear" w:color="auto" w:fill="auto"/>
            <w:vAlign w:val="center"/>
            <w:hideMark/>
          </w:tcPr>
          <w:p w14:paraId="13B56041"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767" w:type="dxa"/>
            <w:vAlign w:val="center"/>
          </w:tcPr>
          <w:p w14:paraId="13B56042"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324" w:type="dxa"/>
            <w:vAlign w:val="center"/>
          </w:tcPr>
          <w:p w14:paraId="13B56043"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0.00</w:t>
            </w:r>
          </w:p>
        </w:tc>
      </w:tr>
      <w:tr w:rsidR="00BD0D31" w:rsidRPr="000A7545" w14:paraId="13B56049" w14:textId="77777777" w:rsidTr="00677EEB">
        <w:trPr>
          <w:trHeight w:val="510"/>
          <w:jc w:val="center"/>
        </w:trPr>
        <w:tc>
          <w:tcPr>
            <w:tcW w:w="4684" w:type="dxa"/>
            <w:shd w:val="clear" w:color="auto" w:fill="auto"/>
            <w:vAlign w:val="center"/>
            <w:hideMark/>
          </w:tcPr>
          <w:p w14:paraId="13B56045"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Conduct school baseline data and capacity analysis and mapping on the education sector planning and budgeting process as well as monitoring and evaluation plan at province and district levels in Papua and Papua Barat</w:t>
            </w:r>
          </w:p>
        </w:tc>
        <w:tc>
          <w:tcPr>
            <w:tcW w:w="1801" w:type="dxa"/>
            <w:shd w:val="clear" w:color="auto" w:fill="auto"/>
            <w:vAlign w:val="center"/>
            <w:hideMark/>
          </w:tcPr>
          <w:p w14:paraId="13B56046" w14:textId="77777777" w:rsidR="00BD0D31" w:rsidRPr="000A7545" w:rsidRDefault="00BD0D31" w:rsidP="00677EEB">
            <w:pPr>
              <w:tabs>
                <w:tab w:val="left" w:pos="667"/>
              </w:tabs>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154,668.21</w:t>
            </w:r>
          </w:p>
        </w:tc>
        <w:tc>
          <w:tcPr>
            <w:tcW w:w="1767" w:type="dxa"/>
            <w:vAlign w:val="center"/>
          </w:tcPr>
          <w:p w14:paraId="13B56047" w14:textId="77777777" w:rsidR="00BD0D31" w:rsidRPr="000A7545" w:rsidRDefault="00BD0D31" w:rsidP="00677EEB">
            <w:pPr>
              <w:tabs>
                <w:tab w:val="left" w:pos="667"/>
              </w:tabs>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17,955.35</w:t>
            </w:r>
          </w:p>
        </w:tc>
        <w:tc>
          <w:tcPr>
            <w:tcW w:w="1324" w:type="dxa"/>
            <w:vAlign w:val="center"/>
          </w:tcPr>
          <w:p w14:paraId="13B56048"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172,623.56</w:t>
            </w:r>
          </w:p>
        </w:tc>
      </w:tr>
      <w:tr w:rsidR="00BD0D31" w:rsidRPr="000A7545" w14:paraId="13B5604E" w14:textId="77777777" w:rsidTr="00677EEB">
        <w:trPr>
          <w:trHeight w:val="300"/>
          <w:jc w:val="center"/>
        </w:trPr>
        <w:tc>
          <w:tcPr>
            <w:tcW w:w="4684" w:type="dxa"/>
            <w:shd w:val="clear" w:color="auto" w:fill="auto"/>
            <w:vAlign w:val="center"/>
            <w:hideMark/>
          </w:tcPr>
          <w:p w14:paraId="13B5604A"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Undertake a gender audit and vulnerability assessment of the education sector in the 2 Provinces and 6 Districts</w:t>
            </w:r>
          </w:p>
        </w:tc>
        <w:tc>
          <w:tcPr>
            <w:tcW w:w="1801" w:type="dxa"/>
            <w:shd w:val="clear" w:color="auto" w:fill="auto"/>
            <w:vAlign w:val="center"/>
            <w:hideMark/>
          </w:tcPr>
          <w:p w14:paraId="13B5604B"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14,975.69</w:t>
            </w:r>
          </w:p>
        </w:tc>
        <w:tc>
          <w:tcPr>
            <w:tcW w:w="1767" w:type="dxa"/>
            <w:vAlign w:val="center"/>
          </w:tcPr>
          <w:p w14:paraId="13B5604C"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(707.80)</w:t>
            </w:r>
          </w:p>
        </w:tc>
        <w:tc>
          <w:tcPr>
            <w:tcW w:w="1324" w:type="dxa"/>
            <w:vAlign w:val="center"/>
          </w:tcPr>
          <w:p w14:paraId="13B5604D"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14,267.89</w:t>
            </w:r>
          </w:p>
        </w:tc>
      </w:tr>
      <w:tr w:rsidR="00BD0D31" w:rsidRPr="000A7545" w14:paraId="13B56053" w14:textId="77777777" w:rsidTr="00677EEB">
        <w:trPr>
          <w:trHeight w:val="300"/>
          <w:jc w:val="center"/>
        </w:trPr>
        <w:tc>
          <w:tcPr>
            <w:tcW w:w="4684" w:type="dxa"/>
            <w:shd w:val="clear" w:color="auto" w:fill="auto"/>
            <w:vAlign w:val="center"/>
            <w:hideMark/>
          </w:tcPr>
          <w:p w14:paraId="13B5604F"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Consultancy and capacity building for education planners on strategic planning process and use of available information</w:t>
            </w:r>
          </w:p>
        </w:tc>
        <w:tc>
          <w:tcPr>
            <w:tcW w:w="1801" w:type="dxa"/>
            <w:shd w:val="clear" w:color="auto" w:fill="auto"/>
            <w:vAlign w:val="center"/>
            <w:hideMark/>
          </w:tcPr>
          <w:p w14:paraId="13B56050"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32,427.84</w:t>
            </w:r>
          </w:p>
        </w:tc>
        <w:tc>
          <w:tcPr>
            <w:tcW w:w="1767" w:type="dxa"/>
            <w:vAlign w:val="center"/>
          </w:tcPr>
          <w:p w14:paraId="13B56051"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197,298.71</w:t>
            </w:r>
          </w:p>
        </w:tc>
        <w:tc>
          <w:tcPr>
            <w:tcW w:w="1324" w:type="dxa"/>
            <w:vAlign w:val="center"/>
          </w:tcPr>
          <w:p w14:paraId="13B56052"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229,726.55</w:t>
            </w:r>
          </w:p>
        </w:tc>
      </w:tr>
      <w:tr w:rsidR="00BD0D31" w:rsidRPr="000A7545" w14:paraId="13B56058" w14:textId="77777777" w:rsidTr="00677EEB">
        <w:trPr>
          <w:trHeight w:val="510"/>
          <w:jc w:val="center"/>
        </w:trPr>
        <w:tc>
          <w:tcPr>
            <w:tcW w:w="4684" w:type="dxa"/>
            <w:shd w:val="clear" w:color="auto" w:fill="auto"/>
            <w:vAlign w:val="bottom"/>
            <w:hideMark/>
          </w:tcPr>
          <w:p w14:paraId="13B56054"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Series of workshops and consultations to draft the Education sector Strategic Plan at the province and in 6 districts</w:t>
            </w:r>
          </w:p>
        </w:tc>
        <w:tc>
          <w:tcPr>
            <w:tcW w:w="1801" w:type="dxa"/>
            <w:shd w:val="clear" w:color="auto" w:fill="auto"/>
            <w:vAlign w:val="center"/>
            <w:hideMark/>
          </w:tcPr>
          <w:p w14:paraId="13B56055"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76,854.69</w:t>
            </w:r>
          </w:p>
        </w:tc>
        <w:tc>
          <w:tcPr>
            <w:tcW w:w="1767" w:type="dxa"/>
            <w:vAlign w:val="center"/>
          </w:tcPr>
          <w:p w14:paraId="13B56056"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317,365.87</w:t>
            </w:r>
          </w:p>
        </w:tc>
        <w:tc>
          <w:tcPr>
            <w:tcW w:w="1324" w:type="dxa"/>
            <w:vAlign w:val="center"/>
          </w:tcPr>
          <w:p w14:paraId="13B56057"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394,220.56</w:t>
            </w:r>
          </w:p>
        </w:tc>
      </w:tr>
      <w:tr w:rsidR="00BD0D31" w:rsidRPr="000A7545" w14:paraId="13B5605D" w14:textId="77777777" w:rsidTr="00677EEB">
        <w:trPr>
          <w:trHeight w:val="255"/>
          <w:jc w:val="center"/>
        </w:trPr>
        <w:tc>
          <w:tcPr>
            <w:tcW w:w="4684" w:type="dxa"/>
            <w:shd w:val="clear" w:color="auto" w:fill="auto"/>
            <w:vAlign w:val="center"/>
            <w:hideMark/>
          </w:tcPr>
          <w:p w14:paraId="13B56059"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Mid-Year and annual review meeting at province level to monitor the progress of in the Education Programme in the province &amp;districts level  (Q2 and Q4)</w:t>
            </w:r>
          </w:p>
        </w:tc>
        <w:tc>
          <w:tcPr>
            <w:tcW w:w="1801" w:type="dxa"/>
            <w:shd w:val="clear" w:color="auto" w:fill="auto"/>
            <w:vAlign w:val="center"/>
            <w:hideMark/>
          </w:tcPr>
          <w:p w14:paraId="13B5605A"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7,728.47</w:t>
            </w:r>
          </w:p>
        </w:tc>
        <w:tc>
          <w:tcPr>
            <w:tcW w:w="1767" w:type="dxa"/>
            <w:vAlign w:val="center"/>
          </w:tcPr>
          <w:p w14:paraId="13B5605B"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(51,940.47)</w:t>
            </w:r>
          </w:p>
        </w:tc>
        <w:tc>
          <w:tcPr>
            <w:tcW w:w="1324" w:type="dxa"/>
            <w:vAlign w:val="center"/>
          </w:tcPr>
          <w:p w14:paraId="13B5605C"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44,212.00</w:t>
            </w:r>
          </w:p>
        </w:tc>
      </w:tr>
      <w:tr w:rsidR="00BD0D31" w:rsidRPr="000A7545" w14:paraId="13B56062" w14:textId="77777777" w:rsidTr="00677EEB">
        <w:trPr>
          <w:trHeight w:val="215"/>
          <w:jc w:val="center"/>
        </w:trPr>
        <w:tc>
          <w:tcPr>
            <w:tcW w:w="4684" w:type="dxa"/>
            <w:shd w:val="clear" w:color="auto" w:fill="auto"/>
            <w:vAlign w:val="center"/>
            <w:hideMark/>
          </w:tcPr>
          <w:p w14:paraId="13B5605E"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Adoption of the strategic plans with M&amp;E Plan by the DINAS of Education</w:t>
            </w:r>
          </w:p>
        </w:tc>
        <w:tc>
          <w:tcPr>
            <w:tcW w:w="1801" w:type="dxa"/>
            <w:shd w:val="clear" w:color="auto" w:fill="auto"/>
            <w:vAlign w:val="center"/>
            <w:hideMark/>
          </w:tcPr>
          <w:p w14:paraId="13B5605F"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53,235.29</w:t>
            </w:r>
          </w:p>
        </w:tc>
        <w:tc>
          <w:tcPr>
            <w:tcW w:w="1767" w:type="dxa"/>
            <w:vAlign w:val="center"/>
          </w:tcPr>
          <w:p w14:paraId="13B56060"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20,985.74</w:t>
            </w:r>
          </w:p>
        </w:tc>
        <w:tc>
          <w:tcPr>
            <w:tcW w:w="1324" w:type="dxa"/>
            <w:vAlign w:val="center"/>
          </w:tcPr>
          <w:p w14:paraId="13B56061"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74,221.03</w:t>
            </w:r>
          </w:p>
        </w:tc>
      </w:tr>
      <w:tr w:rsidR="00BD0D31" w:rsidRPr="000A7545" w14:paraId="13B56067" w14:textId="77777777" w:rsidTr="00677EEB">
        <w:trPr>
          <w:trHeight w:val="458"/>
          <w:jc w:val="center"/>
        </w:trPr>
        <w:tc>
          <w:tcPr>
            <w:tcW w:w="4684" w:type="dxa"/>
            <w:shd w:val="clear" w:color="auto" w:fill="auto"/>
            <w:vAlign w:val="center"/>
            <w:hideMark/>
          </w:tcPr>
          <w:p w14:paraId="13B56063" w14:textId="77777777" w:rsidR="00BD0D31" w:rsidRPr="000A7545" w:rsidRDefault="00BD0D31" w:rsidP="00677EEB">
            <w:pPr>
              <w:spacing w:before="120" w:line="240" w:lineRule="auto"/>
              <w:rPr>
                <w:rFonts w:ascii="Arial Narrow" w:hAnsi="Arial Narrow" w:cstheme="minorHAnsi"/>
                <w:b/>
                <w:bCs/>
                <w:sz w:val="20"/>
                <w:szCs w:val="20"/>
              </w:rPr>
            </w:pPr>
            <w:r w:rsidRPr="000A7545">
              <w:rPr>
                <w:rFonts w:ascii="Arial Narrow" w:hAnsi="Arial Narrow" w:cstheme="minorHAnsi"/>
                <w:sz w:val="20"/>
                <w:szCs w:val="20"/>
              </w:rPr>
              <w:t>Develop annual operation plans for the Education sector in the 2 Provinces and the 6 districts</w:t>
            </w:r>
          </w:p>
        </w:tc>
        <w:tc>
          <w:tcPr>
            <w:tcW w:w="1801" w:type="dxa"/>
            <w:shd w:val="clear" w:color="auto" w:fill="auto"/>
            <w:vAlign w:val="center"/>
            <w:hideMark/>
          </w:tcPr>
          <w:p w14:paraId="13B56064"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28,492.49</w:t>
            </w:r>
          </w:p>
        </w:tc>
        <w:tc>
          <w:tcPr>
            <w:tcW w:w="1767" w:type="dxa"/>
            <w:vAlign w:val="center"/>
          </w:tcPr>
          <w:p w14:paraId="13B56065"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17,120.46</w:t>
            </w:r>
          </w:p>
        </w:tc>
        <w:tc>
          <w:tcPr>
            <w:tcW w:w="1324" w:type="dxa"/>
            <w:vAlign w:val="center"/>
          </w:tcPr>
          <w:p w14:paraId="13B56066"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45,612.95</w:t>
            </w:r>
          </w:p>
        </w:tc>
      </w:tr>
      <w:tr w:rsidR="00BD0D31" w:rsidRPr="000A7545" w14:paraId="13B5606C" w14:textId="77777777" w:rsidTr="00677EEB">
        <w:trPr>
          <w:trHeight w:val="395"/>
          <w:jc w:val="center"/>
        </w:trPr>
        <w:tc>
          <w:tcPr>
            <w:tcW w:w="4684" w:type="dxa"/>
            <w:shd w:val="clear" w:color="auto" w:fill="auto"/>
            <w:hideMark/>
          </w:tcPr>
          <w:p w14:paraId="13B56068"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Sub</w:t>
            </w:r>
            <w:r w:rsidR="00677EEB" w:rsidRPr="000A7545">
              <w:rPr>
                <w:rFonts w:ascii="Arial Narrow" w:hAnsi="Arial Narrow" w:cstheme="minorHAnsi"/>
                <w:color w:val="000000"/>
                <w:sz w:val="20"/>
                <w:szCs w:val="20"/>
              </w:rPr>
              <w:t>-</w:t>
            </w:r>
            <w:r w:rsidRPr="000A7545">
              <w:rPr>
                <w:rFonts w:ascii="Arial Narrow" w:hAnsi="Arial Narrow" w:cstheme="minorHAnsi"/>
                <w:color w:val="000000"/>
                <w:sz w:val="20"/>
                <w:szCs w:val="20"/>
              </w:rPr>
              <w:t>total Component 1</w:t>
            </w:r>
          </w:p>
        </w:tc>
        <w:tc>
          <w:tcPr>
            <w:tcW w:w="1801" w:type="dxa"/>
            <w:shd w:val="clear" w:color="auto" w:fill="auto"/>
            <w:vAlign w:val="center"/>
            <w:hideMark/>
          </w:tcPr>
          <w:p w14:paraId="13B56069" w14:textId="77777777" w:rsidR="00BD0D31" w:rsidRPr="000A7545" w:rsidRDefault="00BD0D31" w:rsidP="00677EEB">
            <w:pPr>
              <w:spacing w:before="120" w:line="240" w:lineRule="auto"/>
              <w:jc w:val="right"/>
              <w:rPr>
                <w:rFonts w:ascii="Arial Narrow" w:hAnsi="Arial Narrow" w:cstheme="minorHAnsi"/>
                <w:bCs/>
                <w:color w:val="000000"/>
                <w:sz w:val="20"/>
                <w:szCs w:val="20"/>
              </w:rPr>
            </w:pPr>
            <w:r w:rsidRPr="000A7545">
              <w:rPr>
                <w:rFonts w:ascii="Arial Narrow" w:hAnsi="Arial Narrow" w:cstheme="minorHAnsi"/>
                <w:color w:val="000000"/>
                <w:sz w:val="20"/>
                <w:szCs w:val="20"/>
              </w:rPr>
              <w:t>368,382.68</w:t>
            </w:r>
          </w:p>
        </w:tc>
        <w:tc>
          <w:tcPr>
            <w:tcW w:w="1767" w:type="dxa"/>
            <w:vAlign w:val="center"/>
          </w:tcPr>
          <w:p w14:paraId="13B5606A" w14:textId="77777777" w:rsidR="00BD0D31" w:rsidRPr="000A7545" w:rsidRDefault="00BD0D31" w:rsidP="00677EEB">
            <w:pPr>
              <w:spacing w:before="120" w:line="240" w:lineRule="auto"/>
              <w:jc w:val="right"/>
              <w:rPr>
                <w:rFonts w:ascii="Arial Narrow" w:hAnsi="Arial Narrow" w:cstheme="minorHAnsi"/>
                <w:bCs/>
                <w:color w:val="000000"/>
                <w:sz w:val="20"/>
                <w:szCs w:val="20"/>
              </w:rPr>
            </w:pPr>
            <w:r w:rsidRPr="000A7545">
              <w:rPr>
                <w:rFonts w:ascii="Arial Narrow" w:hAnsi="Arial Narrow" w:cstheme="minorHAnsi"/>
                <w:color w:val="000000"/>
                <w:sz w:val="20"/>
                <w:szCs w:val="20"/>
              </w:rPr>
              <w:t>518,077.86</w:t>
            </w:r>
          </w:p>
        </w:tc>
        <w:tc>
          <w:tcPr>
            <w:tcW w:w="1324" w:type="dxa"/>
            <w:vAlign w:val="center"/>
          </w:tcPr>
          <w:p w14:paraId="13B5606B" w14:textId="77777777" w:rsidR="00BD0D31" w:rsidRPr="000A7545" w:rsidRDefault="00BD0D31" w:rsidP="00677EEB">
            <w:pPr>
              <w:spacing w:before="120" w:line="240" w:lineRule="auto"/>
              <w:jc w:val="right"/>
              <w:rPr>
                <w:rFonts w:ascii="Arial Narrow" w:hAnsi="Arial Narrow" w:cs="Calibri"/>
                <w:color w:val="000000"/>
                <w:sz w:val="20"/>
                <w:szCs w:val="20"/>
              </w:rPr>
            </w:pPr>
            <w:r w:rsidRPr="000A7545">
              <w:rPr>
                <w:rFonts w:ascii="Arial Narrow" w:hAnsi="Arial Narrow" w:cs="Calibri"/>
                <w:color w:val="000000"/>
                <w:sz w:val="20"/>
                <w:szCs w:val="20"/>
              </w:rPr>
              <w:t>886,460.54</w:t>
            </w:r>
          </w:p>
        </w:tc>
      </w:tr>
      <w:tr w:rsidR="00BD0D31" w:rsidRPr="000A7545" w14:paraId="13B56071" w14:textId="77777777" w:rsidTr="00677EEB">
        <w:trPr>
          <w:trHeight w:val="212"/>
          <w:jc w:val="center"/>
        </w:trPr>
        <w:tc>
          <w:tcPr>
            <w:tcW w:w="4684" w:type="dxa"/>
            <w:shd w:val="clear" w:color="auto" w:fill="auto"/>
            <w:vAlign w:val="bottom"/>
            <w:hideMark/>
          </w:tcPr>
          <w:p w14:paraId="13B5606D" w14:textId="77777777" w:rsidR="00BD0D31" w:rsidRPr="000A7545" w:rsidRDefault="00BD0D31" w:rsidP="00677EEB">
            <w:pPr>
              <w:spacing w:before="120" w:line="240" w:lineRule="auto"/>
              <w:rPr>
                <w:rFonts w:ascii="Arial Narrow" w:hAnsi="Arial Narrow" w:cstheme="minorHAnsi"/>
                <w:bCs/>
                <w:color w:val="000000"/>
                <w:sz w:val="20"/>
                <w:szCs w:val="20"/>
              </w:rPr>
            </w:pPr>
            <w:r w:rsidRPr="000A7545">
              <w:rPr>
                <w:rFonts w:ascii="Arial Narrow" w:hAnsi="Arial Narrow" w:cstheme="minorHAnsi"/>
                <w:color w:val="000000"/>
                <w:sz w:val="20"/>
                <w:szCs w:val="20"/>
              </w:rPr>
              <w:t>Component 2</w:t>
            </w:r>
          </w:p>
        </w:tc>
        <w:tc>
          <w:tcPr>
            <w:tcW w:w="1801" w:type="dxa"/>
            <w:shd w:val="clear" w:color="auto" w:fill="auto"/>
            <w:vAlign w:val="center"/>
            <w:hideMark/>
          </w:tcPr>
          <w:p w14:paraId="13B5606E"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767" w:type="dxa"/>
            <w:vAlign w:val="center"/>
          </w:tcPr>
          <w:p w14:paraId="13B5606F" w14:textId="77777777" w:rsidR="00BD0D31" w:rsidRPr="000A7545" w:rsidRDefault="00BD0D31" w:rsidP="00677EEB">
            <w:pPr>
              <w:spacing w:before="120" w:line="240" w:lineRule="auto"/>
              <w:jc w:val="right"/>
              <w:rPr>
                <w:rFonts w:ascii="Arial Narrow" w:hAnsi="Arial Narrow" w:cstheme="minorHAnsi"/>
                <w:color w:val="000000"/>
                <w:sz w:val="20"/>
                <w:szCs w:val="20"/>
              </w:rPr>
            </w:pPr>
          </w:p>
        </w:tc>
        <w:tc>
          <w:tcPr>
            <w:tcW w:w="1324" w:type="dxa"/>
            <w:vAlign w:val="center"/>
          </w:tcPr>
          <w:p w14:paraId="13B56070" w14:textId="77777777" w:rsidR="00BD0D31" w:rsidRPr="000A7545" w:rsidRDefault="00BD0D31" w:rsidP="00677EEB">
            <w:pPr>
              <w:spacing w:before="120" w:line="240" w:lineRule="auto"/>
              <w:jc w:val="right"/>
              <w:rPr>
                <w:rFonts w:ascii="Arial Narrow" w:hAnsi="Arial Narrow" w:cs="Calibri"/>
                <w:b/>
                <w:color w:val="000000"/>
                <w:sz w:val="20"/>
                <w:szCs w:val="20"/>
              </w:rPr>
            </w:pPr>
          </w:p>
        </w:tc>
      </w:tr>
      <w:tr w:rsidR="00BD0D31" w:rsidRPr="000A7545" w14:paraId="13B56076" w14:textId="77777777" w:rsidTr="00677EEB">
        <w:trPr>
          <w:trHeight w:val="476"/>
          <w:jc w:val="center"/>
        </w:trPr>
        <w:tc>
          <w:tcPr>
            <w:tcW w:w="4684" w:type="dxa"/>
            <w:shd w:val="clear" w:color="auto" w:fill="auto"/>
            <w:vAlign w:val="center"/>
            <w:hideMark/>
          </w:tcPr>
          <w:p w14:paraId="13B56072"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National coordination meeting for preparation of programme implementation</w:t>
            </w:r>
          </w:p>
        </w:tc>
        <w:tc>
          <w:tcPr>
            <w:tcW w:w="1801" w:type="dxa"/>
            <w:shd w:val="clear" w:color="auto" w:fill="auto"/>
            <w:vAlign w:val="center"/>
            <w:hideMark/>
          </w:tcPr>
          <w:p w14:paraId="13B56073"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8,969.71</w:t>
            </w:r>
          </w:p>
        </w:tc>
        <w:tc>
          <w:tcPr>
            <w:tcW w:w="1767" w:type="dxa"/>
            <w:vAlign w:val="center"/>
          </w:tcPr>
          <w:p w14:paraId="13B56074"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29,167.20</w:t>
            </w:r>
          </w:p>
        </w:tc>
        <w:tc>
          <w:tcPr>
            <w:tcW w:w="1324" w:type="dxa"/>
            <w:vAlign w:val="center"/>
          </w:tcPr>
          <w:p w14:paraId="13B56075"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38,136.91</w:t>
            </w:r>
          </w:p>
        </w:tc>
      </w:tr>
      <w:tr w:rsidR="00BD0D31" w:rsidRPr="000A7545" w14:paraId="13B5607B" w14:textId="77777777" w:rsidTr="00677EEB">
        <w:trPr>
          <w:trHeight w:val="251"/>
          <w:jc w:val="center"/>
        </w:trPr>
        <w:tc>
          <w:tcPr>
            <w:tcW w:w="4684" w:type="dxa"/>
            <w:shd w:val="clear" w:color="auto" w:fill="auto"/>
            <w:vAlign w:val="center"/>
            <w:hideMark/>
          </w:tcPr>
          <w:p w14:paraId="13B56077"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Workshop to prepare training materials for Papua and West Papua</w:t>
            </w:r>
          </w:p>
        </w:tc>
        <w:tc>
          <w:tcPr>
            <w:tcW w:w="1801" w:type="dxa"/>
            <w:shd w:val="clear" w:color="auto" w:fill="auto"/>
            <w:vAlign w:val="center"/>
            <w:hideMark/>
          </w:tcPr>
          <w:p w14:paraId="13B56078"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0</w:t>
            </w:r>
          </w:p>
        </w:tc>
        <w:tc>
          <w:tcPr>
            <w:tcW w:w="1767" w:type="dxa"/>
            <w:vAlign w:val="center"/>
          </w:tcPr>
          <w:p w14:paraId="13B56079"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13,308.33</w:t>
            </w:r>
          </w:p>
        </w:tc>
        <w:tc>
          <w:tcPr>
            <w:tcW w:w="1324" w:type="dxa"/>
            <w:vAlign w:val="center"/>
          </w:tcPr>
          <w:p w14:paraId="13B5607A"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13,308.33</w:t>
            </w:r>
          </w:p>
        </w:tc>
      </w:tr>
      <w:tr w:rsidR="00BD0D31" w:rsidRPr="000A7545" w14:paraId="13B56080" w14:textId="77777777" w:rsidTr="00677EEB">
        <w:trPr>
          <w:trHeight w:val="350"/>
          <w:jc w:val="center"/>
        </w:trPr>
        <w:tc>
          <w:tcPr>
            <w:tcW w:w="4684" w:type="dxa"/>
            <w:shd w:val="clear" w:color="auto" w:fill="auto"/>
            <w:vAlign w:val="center"/>
            <w:hideMark/>
          </w:tcPr>
          <w:p w14:paraId="13B5607C"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 xml:space="preserve">Printing of the repackaged training materials </w:t>
            </w:r>
          </w:p>
        </w:tc>
        <w:tc>
          <w:tcPr>
            <w:tcW w:w="1801" w:type="dxa"/>
            <w:shd w:val="clear" w:color="auto" w:fill="auto"/>
            <w:vAlign w:val="center"/>
            <w:hideMark/>
          </w:tcPr>
          <w:p w14:paraId="13B5607D"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0</w:t>
            </w:r>
          </w:p>
        </w:tc>
        <w:tc>
          <w:tcPr>
            <w:tcW w:w="1767" w:type="dxa"/>
            <w:vAlign w:val="center"/>
          </w:tcPr>
          <w:p w14:paraId="13B5607E"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p>
        </w:tc>
        <w:tc>
          <w:tcPr>
            <w:tcW w:w="1324" w:type="dxa"/>
            <w:vAlign w:val="center"/>
          </w:tcPr>
          <w:p w14:paraId="13B5607F"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0.00</w:t>
            </w:r>
          </w:p>
        </w:tc>
      </w:tr>
      <w:tr w:rsidR="00BD0D31" w:rsidRPr="000A7545" w14:paraId="13B56085" w14:textId="77777777" w:rsidTr="00677EEB">
        <w:trPr>
          <w:trHeight w:val="440"/>
          <w:jc w:val="center"/>
        </w:trPr>
        <w:tc>
          <w:tcPr>
            <w:tcW w:w="4684" w:type="dxa"/>
            <w:shd w:val="clear" w:color="auto" w:fill="auto"/>
            <w:vAlign w:val="center"/>
            <w:hideMark/>
          </w:tcPr>
          <w:p w14:paraId="13B56081"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Development, reproduction, and distribution of IEC materials for advocating CLCC programme to wider stakeholders in Papua and West Papua</w:t>
            </w:r>
          </w:p>
        </w:tc>
        <w:tc>
          <w:tcPr>
            <w:tcW w:w="1801" w:type="dxa"/>
            <w:shd w:val="clear" w:color="auto" w:fill="auto"/>
            <w:vAlign w:val="center"/>
            <w:hideMark/>
          </w:tcPr>
          <w:p w14:paraId="13B56082"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0</w:t>
            </w:r>
          </w:p>
        </w:tc>
        <w:tc>
          <w:tcPr>
            <w:tcW w:w="1767" w:type="dxa"/>
            <w:vAlign w:val="center"/>
          </w:tcPr>
          <w:p w14:paraId="13B56083"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63,937.49</w:t>
            </w:r>
          </w:p>
        </w:tc>
        <w:tc>
          <w:tcPr>
            <w:tcW w:w="1324" w:type="dxa"/>
            <w:vAlign w:val="center"/>
          </w:tcPr>
          <w:p w14:paraId="13B56084"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63,937.49</w:t>
            </w:r>
          </w:p>
        </w:tc>
      </w:tr>
      <w:tr w:rsidR="00BD0D31" w:rsidRPr="000A7545" w14:paraId="13B5608A" w14:textId="77777777" w:rsidTr="00677EEB">
        <w:trPr>
          <w:trHeight w:val="692"/>
          <w:jc w:val="center"/>
        </w:trPr>
        <w:tc>
          <w:tcPr>
            <w:tcW w:w="4684" w:type="dxa"/>
            <w:shd w:val="clear" w:color="auto" w:fill="auto"/>
            <w:vAlign w:val="center"/>
            <w:hideMark/>
          </w:tcPr>
          <w:p w14:paraId="13B56086"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Facilitate the establishment of education sub-group (e.g. CLCC Development team) as a taskforce of KHPPIA to address EFA, CLCC &amp; ECD at the province and district levels.</w:t>
            </w:r>
          </w:p>
        </w:tc>
        <w:tc>
          <w:tcPr>
            <w:tcW w:w="1801" w:type="dxa"/>
            <w:shd w:val="clear" w:color="auto" w:fill="auto"/>
            <w:vAlign w:val="center"/>
            <w:hideMark/>
          </w:tcPr>
          <w:p w14:paraId="13B56087"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2,010.11</w:t>
            </w:r>
          </w:p>
        </w:tc>
        <w:tc>
          <w:tcPr>
            <w:tcW w:w="1767" w:type="dxa"/>
            <w:vAlign w:val="center"/>
          </w:tcPr>
          <w:p w14:paraId="13B56088"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135,510.02</w:t>
            </w:r>
          </w:p>
        </w:tc>
        <w:tc>
          <w:tcPr>
            <w:tcW w:w="1324" w:type="dxa"/>
            <w:vAlign w:val="center"/>
          </w:tcPr>
          <w:p w14:paraId="13B56089"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137,520.13</w:t>
            </w:r>
          </w:p>
        </w:tc>
      </w:tr>
      <w:tr w:rsidR="00BD0D31" w:rsidRPr="000A7545" w14:paraId="13B5608F" w14:textId="77777777" w:rsidTr="00677EEB">
        <w:trPr>
          <w:trHeight w:val="530"/>
          <w:jc w:val="center"/>
        </w:trPr>
        <w:tc>
          <w:tcPr>
            <w:tcW w:w="4684" w:type="dxa"/>
            <w:shd w:val="clear" w:color="auto" w:fill="auto"/>
            <w:vAlign w:val="center"/>
            <w:hideMark/>
          </w:tcPr>
          <w:p w14:paraId="13B5608B"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Develop advocacy kit and conduct advocacy workshop and visit on CLCC for key policy makers and stakeholders</w:t>
            </w:r>
          </w:p>
        </w:tc>
        <w:tc>
          <w:tcPr>
            <w:tcW w:w="1801" w:type="dxa"/>
            <w:shd w:val="clear" w:color="auto" w:fill="auto"/>
            <w:vAlign w:val="center"/>
            <w:hideMark/>
          </w:tcPr>
          <w:p w14:paraId="13B5608C"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34,267.11</w:t>
            </w:r>
          </w:p>
        </w:tc>
        <w:tc>
          <w:tcPr>
            <w:tcW w:w="1767" w:type="dxa"/>
            <w:vAlign w:val="center"/>
          </w:tcPr>
          <w:p w14:paraId="13B5608D"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12,471.46</w:t>
            </w:r>
          </w:p>
        </w:tc>
        <w:tc>
          <w:tcPr>
            <w:tcW w:w="1324" w:type="dxa"/>
            <w:vAlign w:val="center"/>
          </w:tcPr>
          <w:p w14:paraId="13B5608E"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46,738.57</w:t>
            </w:r>
          </w:p>
        </w:tc>
      </w:tr>
      <w:tr w:rsidR="00BD0D31" w:rsidRPr="000A7545" w14:paraId="13B56094" w14:textId="77777777" w:rsidTr="00677EEB">
        <w:trPr>
          <w:trHeight w:val="449"/>
          <w:jc w:val="center"/>
        </w:trPr>
        <w:tc>
          <w:tcPr>
            <w:tcW w:w="4684" w:type="dxa"/>
            <w:shd w:val="clear" w:color="auto" w:fill="auto"/>
            <w:vAlign w:val="center"/>
            <w:hideMark/>
          </w:tcPr>
          <w:p w14:paraId="13B56090"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Support coordination meetings of the Education Sub-group of the KHPPIA with focus on CLCC replication</w:t>
            </w:r>
          </w:p>
        </w:tc>
        <w:tc>
          <w:tcPr>
            <w:tcW w:w="1801" w:type="dxa"/>
            <w:shd w:val="clear" w:color="auto" w:fill="auto"/>
            <w:vAlign w:val="center"/>
            <w:hideMark/>
          </w:tcPr>
          <w:p w14:paraId="13B56091"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30,726.54</w:t>
            </w:r>
          </w:p>
        </w:tc>
        <w:tc>
          <w:tcPr>
            <w:tcW w:w="1767" w:type="dxa"/>
            <w:vAlign w:val="center"/>
          </w:tcPr>
          <w:p w14:paraId="13B56092"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63,561.57</w:t>
            </w:r>
          </w:p>
        </w:tc>
        <w:tc>
          <w:tcPr>
            <w:tcW w:w="1324" w:type="dxa"/>
            <w:vAlign w:val="center"/>
          </w:tcPr>
          <w:p w14:paraId="13B56093"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94,288.11</w:t>
            </w:r>
          </w:p>
        </w:tc>
      </w:tr>
      <w:tr w:rsidR="00BD0D31" w:rsidRPr="000A7545" w14:paraId="13B56099" w14:textId="77777777" w:rsidTr="00677EEB">
        <w:trPr>
          <w:trHeight w:val="332"/>
          <w:jc w:val="center"/>
        </w:trPr>
        <w:tc>
          <w:tcPr>
            <w:tcW w:w="4684" w:type="dxa"/>
            <w:shd w:val="clear" w:color="auto" w:fill="auto"/>
            <w:vAlign w:val="center"/>
            <w:hideMark/>
          </w:tcPr>
          <w:p w14:paraId="13B56095"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Basic and Refreshing Training of Trainer for CLCC district master trainers</w:t>
            </w:r>
          </w:p>
        </w:tc>
        <w:tc>
          <w:tcPr>
            <w:tcW w:w="1801" w:type="dxa"/>
            <w:shd w:val="clear" w:color="auto" w:fill="auto"/>
            <w:vAlign w:val="center"/>
            <w:hideMark/>
          </w:tcPr>
          <w:p w14:paraId="13B56096"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48,091.57</w:t>
            </w:r>
          </w:p>
        </w:tc>
        <w:tc>
          <w:tcPr>
            <w:tcW w:w="1767" w:type="dxa"/>
            <w:vAlign w:val="center"/>
          </w:tcPr>
          <w:p w14:paraId="13B56097" w14:textId="77777777" w:rsidR="00BD0D31" w:rsidRPr="000A7545" w:rsidRDefault="00BD0D31" w:rsidP="00677EEB">
            <w:pPr>
              <w:spacing w:before="120" w:line="240" w:lineRule="auto"/>
              <w:jc w:val="right"/>
              <w:rPr>
                <w:rFonts w:ascii="Arial Narrow" w:hAnsi="Arial Narrow" w:cstheme="minorHAnsi"/>
                <w:b/>
                <w:bCs/>
                <w:color w:val="000000"/>
                <w:sz w:val="20"/>
                <w:szCs w:val="20"/>
              </w:rPr>
            </w:pPr>
            <w:r w:rsidRPr="000A7545">
              <w:rPr>
                <w:rFonts w:ascii="Arial Narrow" w:hAnsi="Arial Narrow" w:cstheme="minorHAnsi"/>
                <w:color w:val="000000"/>
                <w:sz w:val="20"/>
                <w:szCs w:val="20"/>
              </w:rPr>
              <w:t>89,736.66</w:t>
            </w:r>
          </w:p>
        </w:tc>
        <w:tc>
          <w:tcPr>
            <w:tcW w:w="1324" w:type="dxa"/>
            <w:vAlign w:val="center"/>
          </w:tcPr>
          <w:p w14:paraId="13B56098"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137,828.23</w:t>
            </w:r>
          </w:p>
        </w:tc>
      </w:tr>
      <w:tr w:rsidR="00BD0D31" w:rsidRPr="000A7545" w14:paraId="13B5609E" w14:textId="77777777" w:rsidTr="00677EEB">
        <w:trPr>
          <w:trHeight w:val="530"/>
          <w:jc w:val="center"/>
        </w:trPr>
        <w:tc>
          <w:tcPr>
            <w:tcW w:w="4684" w:type="dxa"/>
            <w:shd w:val="clear" w:color="auto" w:fill="auto"/>
            <w:vAlign w:val="center"/>
            <w:hideMark/>
          </w:tcPr>
          <w:p w14:paraId="13B5609A"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Training and regular meetings for supervisors to improve their capacity to monitor and assist the CLCC implementation</w:t>
            </w:r>
          </w:p>
        </w:tc>
        <w:tc>
          <w:tcPr>
            <w:tcW w:w="1801" w:type="dxa"/>
            <w:shd w:val="clear" w:color="auto" w:fill="auto"/>
            <w:vAlign w:val="center"/>
            <w:hideMark/>
          </w:tcPr>
          <w:p w14:paraId="13B5609B"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46,944.16</w:t>
            </w:r>
          </w:p>
        </w:tc>
        <w:tc>
          <w:tcPr>
            <w:tcW w:w="1767" w:type="dxa"/>
            <w:vAlign w:val="center"/>
          </w:tcPr>
          <w:p w14:paraId="13B5609C"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58,344.43</w:t>
            </w:r>
          </w:p>
        </w:tc>
        <w:tc>
          <w:tcPr>
            <w:tcW w:w="1324" w:type="dxa"/>
            <w:vAlign w:val="center"/>
          </w:tcPr>
          <w:p w14:paraId="13B5609D"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105,288.59</w:t>
            </w:r>
          </w:p>
        </w:tc>
      </w:tr>
      <w:tr w:rsidR="00BD0D31" w:rsidRPr="000A7545" w14:paraId="13B560A3" w14:textId="77777777" w:rsidTr="00677EEB">
        <w:trPr>
          <w:trHeight w:val="440"/>
          <w:jc w:val="center"/>
        </w:trPr>
        <w:tc>
          <w:tcPr>
            <w:tcW w:w="4684" w:type="dxa"/>
            <w:shd w:val="clear" w:color="auto" w:fill="auto"/>
            <w:vAlign w:val="center"/>
            <w:hideMark/>
          </w:tcPr>
          <w:p w14:paraId="13B5609F"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In-Service Training(s) on CLCC for head masters, teachers, and school committee members</w:t>
            </w:r>
          </w:p>
        </w:tc>
        <w:tc>
          <w:tcPr>
            <w:tcW w:w="1801" w:type="dxa"/>
            <w:shd w:val="clear" w:color="auto" w:fill="auto"/>
            <w:vAlign w:val="center"/>
            <w:hideMark/>
          </w:tcPr>
          <w:p w14:paraId="13B560A0"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82,043.93</w:t>
            </w:r>
          </w:p>
        </w:tc>
        <w:tc>
          <w:tcPr>
            <w:tcW w:w="1767" w:type="dxa"/>
            <w:vAlign w:val="center"/>
          </w:tcPr>
          <w:p w14:paraId="13B560A1"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52,157.91</w:t>
            </w:r>
          </w:p>
        </w:tc>
        <w:tc>
          <w:tcPr>
            <w:tcW w:w="1324" w:type="dxa"/>
            <w:vAlign w:val="center"/>
          </w:tcPr>
          <w:p w14:paraId="13B560A2"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134,201.84</w:t>
            </w:r>
          </w:p>
        </w:tc>
      </w:tr>
      <w:tr w:rsidR="00BD0D31" w:rsidRPr="000A7545" w14:paraId="13B560A8" w14:textId="77777777" w:rsidTr="00677EEB">
        <w:trPr>
          <w:trHeight w:val="503"/>
          <w:jc w:val="center"/>
        </w:trPr>
        <w:tc>
          <w:tcPr>
            <w:tcW w:w="4684" w:type="dxa"/>
            <w:shd w:val="clear" w:color="auto" w:fill="auto"/>
            <w:vAlign w:val="center"/>
            <w:hideMark/>
          </w:tcPr>
          <w:p w14:paraId="13B560A4" w14:textId="77777777" w:rsidR="00BD0D31" w:rsidRPr="000A7545" w:rsidRDefault="00BD0D31" w:rsidP="00677EEB">
            <w:pPr>
              <w:spacing w:before="120" w:line="240" w:lineRule="auto"/>
              <w:rPr>
                <w:rFonts w:ascii="Arial Narrow" w:hAnsi="Arial Narrow" w:cstheme="minorHAnsi"/>
                <w:b/>
                <w:bCs/>
                <w:color w:val="000000"/>
                <w:sz w:val="20"/>
                <w:szCs w:val="20"/>
              </w:rPr>
            </w:pPr>
            <w:r w:rsidRPr="000A7545">
              <w:rPr>
                <w:rFonts w:ascii="Arial Narrow" w:hAnsi="Arial Narrow" w:cstheme="minorHAnsi"/>
                <w:sz w:val="20"/>
                <w:szCs w:val="20"/>
              </w:rPr>
              <w:t>On the Job mentoring on CLCC in the targeted schools through clinical supervision by supervisors assisted by district master trainers.</w:t>
            </w:r>
          </w:p>
        </w:tc>
        <w:tc>
          <w:tcPr>
            <w:tcW w:w="1801" w:type="dxa"/>
            <w:shd w:val="clear" w:color="auto" w:fill="auto"/>
            <w:vAlign w:val="center"/>
            <w:hideMark/>
          </w:tcPr>
          <w:p w14:paraId="13B560A5"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7,985.49</w:t>
            </w:r>
          </w:p>
        </w:tc>
        <w:tc>
          <w:tcPr>
            <w:tcW w:w="1767" w:type="dxa"/>
            <w:vAlign w:val="center"/>
          </w:tcPr>
          <w:p w14:paraId="13B560A6"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77,197.17</w:t>
            </w:r>
          </w:p>
        </w:tc>
        <w:tc>
          <w:tcPr>
            <w:tcW w:w="1324" w:type="dxa"/>
            <w:vAlign w:val="center"/>
          </w:tcPr>
          <w:p w14:paraId="13B560A7"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85,182.66</w:t>
            </w:r>
          </w:p>
        </w:tc>
      </w:tr>
      <w:tr w:rsidR="00BD0D31" w:rsidRPr="000A7545" w14:paraId="13B560AD" w14:textId="77777777" w:rsidTr="00677EEB">
        <w:trPr>
          <w:trHeight w:val="440"/>
          <w:jc w:val="center"/>
        </w:trPr>
        <w:tc>
          <w:tcPr>
            <w:tcW w:w="4684" w:type="dxa"/>
            <w:shd w:val="clear" w:color="auto" w:fill="auto"/>
            <w:vAlign w:val="center"/>
            <w:hideMark/>
          </w:tcPr>
          <w:p w14:paraId="13B560A9"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Cluster meeting of  teachers/principles (KKG/KKKS) to influence replication of CLCC at the district levels</w:t>
            </w:r>
          </w:p>
        </w:tc>
        <w:tc>
          <w:tcPr>
            <w:tcW w:w="1801" w:type="dxa"/>
            <w:shd w:val="clear" w:color="auto" w:fill="auto"/>
            <w:vAlign w:val="center"/>
            <w:hideMark/>
          </w:tcPr>
          <w:p w14:paraId="13B560AA"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56,723.42</w:t>
            </w:r>
          </w:p>
        </w:tc>
        <w:tc>
          <w:tcPr>
            <w:tcW w:w="1767" w:type="dxa"/>
            <w:vAlign w:val="center"/>
          </w:tcPr>
          <w:p w14:paraId="13B560AB"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49,322.32</w:t>
            </w:r>
          </w:p>
        </w:tc>
        <w:tc>
          <w:tcPr>
            <w:tcW w:w="1324" w:type="dxa"/>
            <w:vAlign w:val="center"/>
          </w:tcPr>
          <w:p w14:paraId="13B560AC"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106,045.74</w:t>
            </w:r>
          </w:p>
        </w:tc>
      </w:tr>
      <w:tr w:rsidR="00BD0D31" w:rsidRPr="000A7545" w14:paraId="13B560B2" w14:textId="77777777" w:rsidTr="00677EEB">
        <w:trPr>
          <w:trHeight w:val="521"/>
          <w:jc w:val="center"/>
        </w:trPr>
        <w:tc>
          <w:tcPr>
            <w:tcW w:w="4684" w:type="dxa"/>
            <w:shd w:val="clear" w:color="auto" w:fill="auto"/>
            <w:vAlign w:val="center"/>
            <w:hideMark/>
          </w:tcPr>
          <w:p w14:paraId="13B560AE" w14:textId="77777777" w:rsidR="00BD0D31" w:rsidRPr="000A7545" w:rsidRDefault="00BD0D31" w:rsidP="00677EEB">
            <w:pPr>
              <w:spacing w:before="120" w:line="240" w:lineRule="auto"/>
              <w:rPr>
                <w:rFonts w:ascii="Arial Narrow" w:hAnsi="Arial Narrow" w:cstheme="minorHAnsi"/>
                <w:b/>
                <w:sz w:val="20"/>
                <w:szCs w:val="20"/>
              </w:rPr>
            </w:pPr>
            <w:r w:rsidRPr="000A7545">
              <w:rPr>
                <w:rFonts w:ascii="Arial Narrow" w:hAnsi="Arial Narrow" w:cstheme="minorHAnsi"/>
                <w:sz w:val="20"/>
                <w:szCs w:val="20"/>
              </w:rPr>
              <w:t>Training for key district stakeholders including CLCC Development Team members to support planning and implementation of CLCC</w:t>
            </w:r>
          </w:p>
        </w:tc>
        <w:tc>
          <w:tcPr>
            <w:tcW w:w="1801" w:type="dxa"/>
            <w:shd w:val="clear" w:color="auto" w:fill="auto"/>
            <w:vAlign w:val="center"/>
            <w:hideMark/>
          </w:tcPr>
          <w:p w14:paraId="13B560AF"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27,443.84</w:t>
            </w:r>
          </w:p>
        </w:tc>
        <w:tc>
          <w:tcPr>
            <w:tcW w:w="1767" w:type="dxa"/>
            <w:vAlign w:val="center"/>
          </w:tcPr>
          <w:p w14:paraId="13B560B0"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33,148.28</w:t>
            </w:r>
          </w:p>
        </w:tc>
        <w:tc>
          <w:tcPr>
            <w:tcW w:w="1324" w:type="dxa"/>
            <w:vAlign w:val="center"/>
          </w:tcPr>
          <w:p w14:paraId="13B560B1"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60,592.12</w:t>
            </w:r>
          </w:p>
        </w:tc>
      </w:tr>
      <w:tr w:rsidR="00BD0D31" w:rsidRPr="000A7545" w14:paraId="13B560B7" w14:textId="77777777" w:rsidTr="00677EEB">
        <w:trPr>
          <w:trHeight w:val="431"/>
          <w:jc w:val="center"/>
        </w:trPr>
        <w:tc>
          <w:tcPr>
            <w:tcW w:w="4684" w:type="dxa"/>
            <w:shd w:val="clear" w:color="auto" w:fill="auto"/>
            <w:vAlign w:val="center"/>
            <w:hideMark/>
          </w:tcPr>
          <w:p w14:paraId="13B560B3" w14:textId="77777777" w:rsidR="00BD0D31" w:rsidRPr="000A7545" w:rsidRDefault="00BD0D31" w:rsidP="00677EEB">
            <w:pPr>
              <w:spacing w:before="120" w:line="240" w:lineRule="auto"/>
              <w:rPr>
                <w:rFonts w:ascii="Arial Narrow" w:hAnsi="Arial Narrow" w:cstheme="minorHAnsi"/>
                <w:b/>
                <w:color w:val="000000"/>
                <w:sz w:val="20"/>
                <w:szCs w:val="20"/>
              </w:rPr>
            </w:pPr>
            <w:r w:rsidRPr="000A7545">
              <w:rPr>
                <w:rFonts w:ascii="Arial Narrow" w:hAnsi="Arial Narrow" w:cstheme="minorHAnsi"/>
                <w:color w:val="000000"/>
                <w:sz w:val="20"/>
                <w:szCs w:val="20"/>
              </w:rPr>
              <w:t>Develop, print and distribute curriculum, teacher resource materials for multi-grade teaching in rural and remote schools</w:t>
            </w:r>
          </w:p>
        </w:tc>
        <w:tc>
          <w:tcPr>
            <w:tcW w:w="1801" w:type="dxa"/>
            <w:shd w:val="clear" w:color="auto" w:fill="auto"/>
            <w:vAlign w:val="center"/>
            <w:hideMark/>
          </w:tcPr>
          <w:p w14:paraId="13B560B4" w14:textId="77777777" w:rsidR="00BD0D31" w:rsidRPr="000A7545" w:rsidRDefault="00BD0D31" w:rsidP="00677EEB">
            <w:pPr>
              <w:spacing w:before="120" w:line="240" w:lineRule="auto"/>
              <w:jc w:val="right"/>
              <w:rPr>
                <w:rFonts w:ascii="Arial Narrow" w:hAnsi="Arial Narrow" w:cstheme="minorHAnsi"/>
                <w:b/>
                <w:color w:val="000000"/>
                <w:sz w:val="20"/>
                <w:szCs w:val="20"/>
              </w:rPr>
            </w:pPr>
          </w:p>
        </w:tc>
        <w:tc>
          <w:tcPr>
            <w:tcW w:w="1767" w:type="dxa"/>
            <w:vAlign w:val="center"/>
          </w:tcPr>
          <w:p w14:paraId="13B560B5"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10,728.20</w:t>
            </w:r>
          </w:p>
        </w:tc>
        <w:tc>
          <w:tcPr>
            <w:tcW w:w="1324" w:type="dxa"/>
            <w:vAlign w:val="center"/>
          </w:tcPr>
          <w:p w14:paraId="13B560B6"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10,728.20</w:t>
            </w:r>
          </w:p>
        </w:tc>
      </w:tr>
      <w:tr w:rsidR="00BD0D31" w:rsidRPr="000A7545" w14:paraId="13B560BC" w14:textId="77777777" w:rsidTr="00677EEB">
        <w:trPr>
          <w:trHeight w:val="332"/>
          <w:jc w:val="center"/>
        </w:trPr>
        <w:tc>
          <w:tcPr>
            <w:tcW w:w="4684" w:type="dxa"/>
            <w:shd w:val="clear" w:color="auto" w:fill="auto"/>
            <w:vAlign w:val="center"/>
            <w:hideMark/>
          </w:tcPr>
          <w:p w14:paraId="13B560B8" w14:textId="77777777" w:rsidR="00BD0D31" w:rsidRPr="000A7545" w:rsidRDefault="00BD0D31" w:rsidP="00677EEB">
            <w:pPr>
              <w:spacing w:before="120" w:line="240" w:lineRule="auto"/>
              <w:rPr>
                <w:rFonts w:ascii="Arial Narrow" w:hAnsi="Arial Narrow" w:cstheme="minorHAnsi"/>
                <w:b/>
                <w:color w:val="000000"/>
                <w:sz w:val="20"/>
                <w:szCs w:val="20"/>
              </w:rPr>
            </w:pPr>
            <w:r w:rsidRPr="000A7545">
              <w:rPr>
                <w:rFonts w:ascii="Arial Narrow" w:hAnsi="Arial Narrow" w:cstheme="minorHAnsi"/>
                <w:color w:val="000000"/>
                <w:sz w:val="20"/>
                <w:szCs w:val="20"/>
              </w:rPr>
              <w:t>Conduct  Multi-grade teaching Trai</w:t>
            </w:r>
            <w:r w:rsidR="00677EEB" w:rsidRPr="000A7545">
              <w:rPr>
                <w:rFonts w:ascii="Arial Narrow" w:hAnsi="Arial Narrow" w:cstheme="minorHAnsi"/>
                <w:color w:val="000000"/>
                <w:sz w:val="20"/>
                <w:szCs w:val="20"/>
              </w:rPr>
              <w:t>ning in coordination with LPMP</w:t>
            </w:r>
          </w:p>
        </w:tc>
        <w:tc>
          <w:tcPr>
            <w:tcW w:w="1801" w:type="dxa"/>
            <w:shd w:val="clear" w:color="auto" w:fill="auto"/>
            <w:vAlign w:val="center"/>
            <w:hideMark/>
          </w:tcPr>
          <w:p w14:paraId="13B560B9"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223,256.53</w:t>
            </w:r>
          </w:p>
        </w:tc>
        <w:tc>
          <w:tcPr>
            <w:tcW w:w="1767" w:type="dxa"/>
            <w:vAlign w:val="center"/>
          </w:tcPr>
          <w:p w14:paraId="13B560BA"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(181,628.91)</w:t>
            </w:r>
          </w:p>
        </w:tc>
        <w:tc>
          <w:tcPr>
            <w:tcW w:w="1324" w:type="dxa"/>
            <w:vAlign w:val="center"/>
          </w:tcPr>
          <w:p w14:paraId="13B560BB"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41,627.62</w:t>
            </w:r>
          </w:p>
        </w:tc>
      </w:tr>
      <w:tr w:rsidR="00BD0D31" w:rsidRPr="000A7545" w14:paraId="13B560C1" w14:textId="77777777" w:rsidTr="00677EEB">
        <w:trPr>
          <w:trHeight w:val="390"/>
          <w:jc w:val="center"/>
        </w:trPr>
        <w:tc>
          <w:tcPr>
            <w:tcW w:w="4684" w:type="dxa"/>
            <w:shd w:val="clear" w:color="auto" w:fill="auto"/>
            <w:vAlign w:val="center"/>
            <w:hideMark/>
          </w:tcPr>
          <w:p w14:paraId="13B560BD" w14:textId="77777777" w:rsidR="00BD0D31" w:rsidRPr="000A7545" w:rsidRDefault="00BD0D31" w:rsidP="00677EEB">
            <w:pPr>
              <w:spacing w:before="120" w:line="240" w:lineRule="auto"/>
              <w:rPr>
                <w:rFonts w:ascii="Arial Narrow" w:hAnsi="Arial Narrow" w:cstheme="minorHAnsi"/>
                <w:b/>
                <w:color w:val="000000"/>
                <w:sz w:val="20"/>
                <w:szCs w:val="20"/>
              </w:rPr>
            </w:pPr>
            <w:r w:rsidRPr="000A7545">
              <w:rPr>
                <w:rFonts w:ascii="Arial Narrow" w:hAnsi="Arial Narrow" w:cstheme="minorHAnsi"/>
                <w:color w:val="000000"/>
                <w:sz w:val="20"/>
                <w:szCs w:val="20"/>
              </w:rPr>
              <w:t>Development and distribution of curriculum, teacher resource materials, schoo</w:t>
            </w:r>
            <w:r w:rsidR="00677EEB" w:rsidRPr="000A7545">
              <w:rPr>
                <w:rFonts w:ascii="Arial Narrow" w:hAnsi="Arial Narrow" w:cstheme="minorHAnsi"/>
                <w:color w:val="000000"/>
                <w:sz w:val="20"/>
                <w:szCs w:val="20"/>
              </w:rPr>
              <w:t>l numeracy and literacy package</w:t>
            </w:r>
          </w:p>
        </w:tc>
        <w:tc>
          <w:tcPr>
            <w:tcW w:w="1801" w:type="dxa"/>
            <w:shd w:val="clear" w:color="auto" w:fill="auto"/>
            <w:vAlign w:val="center"/>
            <w:hideMark/>
          </w:tcPr>
          <w:p w14:paraId="13B560BE" w14:textId="77777777" w:rsidR="00BD0D31" w:rsidRPr="000A7545" w:rsidRDefault="00BD0D31" w:rsidP="00677EEB">
            <w:pPr>
              <w:spacing w:before="120" w:line="240" w:lineRule="auto"/>
              <w:jc w:val="right"/>
              <w:rPr>
                <w:rFonts w:ascii="Arial Narrow" w:hAnsi="Arial Narrow" w:cstheme="minorHAnsi"/>
                <w:b/>
                <w:color w:val="000000"/>
                <w:sz w:val="20"/>
                <w:szCs w:val="20"/>
              </w:rPr>
            </w:pPr>
          </w:p>
        </w:tc>
        <w:tc>
          <w:tcPr>
            <w:tcW w:w="1767" w:type="dxa"/>
            <w:vAlign w:val="center"/>
          </w:tcPr>
          <w:p w14:paraId="13B560BF"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60,890.34</w:t>
            </w:r>
          </w:p>
        </w:tc>
        <w:tc>
          <w:tcPr>
            <w:tcW w:w="1324" w:type="dxa"/>
            <w:vAlign w:val="center"/>
          </w:tcPr>
          <w:p w14:paraId="13B560C0"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60,890.34</w:t>
            </w:r>
          </w:p>
        </w:tc>
      </w:tr>
      <w:tr w:rsidR="00BD0D31" w:rsidRPr="000A7545" w14:paraId="13B560C6" w14:textId="77777777" w:rsidTr="00677EEB">
        <w:trPr>
          <w:trHeight w:val="233"/>
          <w:jc w:val="center"/>
        </w:trPr>
        <w:tc>
          <w:tcPr>
            <w:tcW w:w="4684" w:type="dxa"/>
            <w:shd w:val="clear" w:color="auto" w:fill="auto"/>
            <w:vAlign w:val="center"/>
            <w:hideMark/>
          </w:tcPr>
          <w:p w14:paraId="13B560C2" w14:textId="77777777" w:rsidR="00BD0D31" w:rsidRPr="000A7545" w:rsidRDefault="00BD0D31" w:rsidP="00677EEB">
            <w:pPr>
              <w:spacing w:before="120" w:line="240" w:lineRule="auto"/>
              <w:rPr>
                <w:rFonts w:ascii="Arial Narrow" w:hAnsi="Arial Narrow" w:cstheme="minorHAnsi"/>
                <w:b/>
                <w:color w:val="000000"/>
                <w:sz w:val="20"/>
                <w:szCs w:val="20"/>
              </w:rPr>
            </w:pPr>
            <w:r w:rsidRPr="000A7545">
              <w:rPr>
                <w:rFonts w:ascii="Arial Narrow" w:hAnsi="Arial Narrow" w:cstheme="minorHAnsi"/>
                <w:color w:val="000000"/>
                <w:sz w:val="20"/>
                <w:szCs w:val="20"/>
              </w:rPr>
              <w:t>Conduct  Early-grade teaching intensive training</w:t>
            </w:r>
            <w:r w:rsidR="00677EEB" w:rsidRPr="000A7545">
              <w:rPr>
                <w:rFonts w:ascii="Arial Narrow" w:hAnsi="Arial Narrow" w:cstheme="minorHAnsi"/>
                <w:color w:val="000000"/>
                <w:sz w:val="20"/>
                <w:szCs w:val="20"/>
              </w:rPr>
              <w:t xml:space="preserve"> in coordination with LPMP</w:t>
            </w:r>
          </w:p>
        </w:tc>
        <w:tc>
          <w:tcPr>
            <w:tcW w:w="1801" w:type="dxa"/>
            <w:shd w:val="clear" w:color="auto" w:fill="auto"/>
            <w:vAlign w:val="center"/>
            <w:hideMark/>
          </w:tcPr>
          <w:p w14:paraId="13B560C3"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0</w:t>
            </w:r>
          </w:p>
        </w:tc>
        <w:tc>
          <w:tcPr>
            <w:tcW w:w="1767" w:type="dxa"/>
            <w:vAlign w:val="center"/>
          </w:tcPr>
          <w:p w14:paraId="13B560C4" w14:textId="77777777" w:rsidR="00BD0D31" w:rsidRPr="000A7545" w:rsidRDefault="00BD0D31" w:rsidP="00677EEB">
            <w:pPr>
              <w:spacing w:before="120" w:line="240" w:lineRule="auto"/>
              <w:jc w:val="right"/>
              <w:rPr>
                <w:rFonts w:ascii="Arial Narrow" w:hAnsi="Arial Narrow" w:cstheme="minorHAnsi"/>
                <w:b/>
                <w:color w:val="000000"/>
                <w:sz w:val="20"/>
                <w:szCs w:val="20"/>
              </w:rPr>
            </w:pPr>
            <w:r w:rsidRPr="000A7545">
              <w:rPr>
                <w:rFonts w:ascii="Arial Narrow" w:hAnsi="Arial Narrow" w:cstheme="minorHAnsi"/>
                <w:color w:val="000000"/>
                <w:sz w:val="20"/>
                <w:szCs w:val="20"/>
              </w:rPr>
              <w:t>108,688.68</w:t>
            </w:r>
          </w:p>
        </w:tc>
        <w:tc>
          <w:tcPr>
            <w:tcW w:w="1324" w:type="dxa"/>
            <w:vAlign w:val="center"/>
          </w:tcPr>
          <w:p w14:paraId="13B560C5" w14:textId="77777777" w:rsidR="00BD0D31" w:rsidRPr="000A7545" w:rsidRDefault="00BD0D31" w:rsidP="00677EEB">
            <w:pPr>
              <w:spacing w:before="120" w:line="240" w:lineRule="auto"/>
              <w:jc w:val="right"/>
              <w:rPr>
                <w:rFonts w:ascii="Arial Narrow" w:hAnsi="Arial Narrow" w:cs="Calibri"/>
                <w:b/>
                <w:color w:val="000000"/>
                <w:sz w:val="20"/>
                <w:szCs w:val="20"/>
              </w:rPr>
            </w:pPr>
            <w:r w:rsidRPr="000A7545">
              <w:rPr>
                <w:rFonts w:ascii="Arial Narrow" w:hAnsi="Arial Narrow" w:cs="Calibri"/>
                <w:color w:val="000000"/>
                <w:sz w:val="20"/>
                <w:szCs w:val="20"/>
              </w:rPr>
              <w:t>108,688.68</w:t>
            </w:r>
          </w:p>
        </w:tc>
      </w:tr>
      <w:tr w:rsidR="00BD0D31" w:rsidRPr="000A7545" w14:paraId="13B560CB" w14:textId="77777777" w:rsidTr="00677EEB">
        <w:trPr>
          <w:trHeight w:val="359"/>
          <w:jc w:val="center"/>
        </w:trPr>
        <w:tc>
          <w:tcPr>
            <w:tcW w:w="4684" w:type="dxa"/>
            <w:shd w:val="clear" w:color="auto" w:fill="auto"/>
            <w:hideMark/>
          </w:tcPr>
          <w:p w14:paraId="13B560C7" w14:textId="77777777" w:rsidR="00BD0D31" w:rsidRPr="000A7545" w:rsidRDefault="00BD0D31" w:rsidP="00677EEB">
            <w:pPr>
              <w:spacing w:before="120" w:line="240" w:lineRule="auto"/>
              <w:jc w:val="right"/>
              <w:rPr>
                <w:rFonts w:ascii="Arial Narrow" w:hAnsi="Arial Narrow" w:cstheme="minorHAnsi"/>
                <w:bCs/>
                <w:color w:val="000000"/>
                <w:sz w:val="20"/>
                <w:szCs w:val="20"/>
              </w:rPr>
            </w:pPr>
            <w:r w:rsidRPr="000A7545">
              <w:rPr>
                <w:rFonts w:ascii="Arial Narrow" w:hAnsi="Arial Narrow" w:cstheme="minorHAnsi"/>
                <w:color w:val="000000"/>
                <w:sz w:val="20"/>
                <w:szCs w:val="20"/>
              </w:rPr>
              <w:t>Sub</w:t>
            </w:r>
            <w:r w:rsidR="00677EEB" w:rsidRPr="000A7545">
              <w:rPr>
                <w:rFonts w:ascii="Arial Narrow" w:hAnsi="Arial Narrow" w:cstheme="minorHAnsi"/>
                <w:color w:val="000000"/>
                <w:sz w:val="20"/>
                <w:szCs w:val="20"/>
              </w:rPr>
              <w:t>-</w:t>
            </w:r>
            <w:r w:rsidRPr="000A7545">
              <w:rPr>
                <w:rFonts w:ascii="Arial Narrow" w:hAnsi="Arial Narrow" w:cstheme="minorHAnsi"/>
                <w:color w:val="000000"/>
                <w:sz w:val="20"/>
                <w:szCs w:val="20"/>
              </w:rPr>
              <w:t>total Component 2</w:t>
            </w:r>
          </w:p>
        </w:tc>
        <w:tc>
          <w:tcPr>
            <w:tcW w:w="1801" w:type="dxa"/>
            <w:shd w:val="clear" w:color="auto" w:fill="auto"/>
            <w:vAlign w:val="center"/>
            <w:hideMark/>
          </w:tcPr>
          <w:p w14:paraId="13B560C8"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568,462.41</w:t>
            </w:r>
          </w:p>
        </w:tc>
        <w:tc>
          <w:tcPr>
            <w:tcW w:w="1767" w:type="dxa"/>
            <w:vAlign w:val="center"/>
          </w:tcPr>
          <w:p w14:paraId="13B560C9"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676,541.15</w:t>
            </w:r>
          </w:p>
        </w:tc>
        <w:tc>
          <w:tcPr>
            <w:tcW w:w="1324" w:type="dxa"/>
            <w:vAlign w:val="center"/>
          </w:tcPr>
          <w:p w14:paraId="13B560CA" w14:textId="77777777" w:rsidR="00BD0D31" w:rsidRPr="000A7545" w:rsidRDefault="00BD0D31" w:rsidP="00677EEB">
            <w:pPr>
              <w:spacing w:before="120" w:line="240" w:lineRule="auto"/>
              <w:jc w:val="right"/>
              <w:rPr>
                <w:rFonts w:ascii="Arial Narrow" w:hAnsi="Arial Narrow" w:cs="Calibri"/>
                <w:color w:val="000000"/>
                <w:sz w:val="20"/>
                <w:szCs w:val="20"/>
              </w:rPr>
            </w:pPr>
            <w:r w:rsidRPr="000A7545">
              <w:rPr>
                <w:rFonts w:ascii="Arial Narrow" w:hAnsi="Arial Narrow" w:cs="Calibri"/>
                <w:color w:val="000000"/>
                <w:sz w:val="20"/>
                <w:szCs w:val="20"/>
              </w:rPr>
              <w:t>1,245,003.56</w:t>
            </w:r>
          </w:p>
        </w:tc>
      </w:tr>
      <w:tr w:rsidR="00BD0D31" w:rsidRPr="000A7545" w14:paraId="13B560D0" w14:textId="77777777" w:rsidTr="00677EEB">
        <w:trPr>
          <w:trHeight w:val="330"/>
          <w:jc w:val="center"/>
        </w:trPr>
        <w:tc>
          <w:tcPr>
            <w:tcW w:w="4684" w:type="dxa"/>
            <w:shd w:val="clear" w:color="auto" w:fill="auto"/>
            <w:vAlign w:val="center"/>
          </w:tcPr>
          <w:p w14:paraId="13B560CC" w14:textId="77777777" w:rsidR="00BD0D31" w:rsidRPr="00A667A4" w:rsidRDefault="00BD0D31" w:rsidP="00677EEB">
            <w:pPr>
              <w:spacing w:before="120" w:line="240" w:lineRule="auto"/>
              <w:rPr>
                <w:rFonts w:ascii="Arial Narrow" w:hAnsi="Arial Narrow" w:cstheme="minorHAnsi"/>
                <w:color w:val="000000"/>
                <w:sz w:val="20"/>
                <w:szCs w:val="20"/>
                <w:lang w:val="fr-FR"/>
              </w:rPr>
            </w:pPr>
            <w:r w:rsidRPr="00A667A4">
              <w:rPr>
                <w:rFonts w:ascii="Arial Narrow" w:hAnsi="Arial Narrow" w:cstheme="minorHAnsi"/>
                <w:color w:val="000000"/>
                <w:sz w:val="20"/>
                <w:szCs w:val="20"/>
                <w:lang w:val="fr-FR"/>
              </w:rPr>
              <w:t>Total Programme activities + Programme Support</w:t>
            </w:r>
          </w:p>
        </w:tc>
        <w:tc>
          <w:tcPr>
            <w:tcW w:w="1801" w:type="dxa"/>
            <w:shd w:val="clear" w:color="auto" w:fill="auto"/>
            <w:vAlign w:val="center"/>
          </w:tcPr>
          <w:p w14:paraId="13B560CD"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2,146,852.53</w:t>
            </w:r>
          </w:p>
        </w:tc>
        <w:tc>
          <w:tcPr>
            <w:tcW w:w="1767" w:type="dxa"/>
            <w:vAlign w:val="center"/>
          </w:tcPr>
          <w:p w14:paraId="13B560CE"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2,036,524.23</w:t>
            </w:r>
          </w:p>
        </w:tc>
        <w:tc>
          <w:tcPr>
            <w:tcW w:w="1324" w:type="dxa"/>
            <w:vAlign w:val="center"/>
          </w:tcPr>
          <w:p w14:paraId="13B560CF"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4,183,376.76</w:t>
            </w:r>
          </w:p>
        </w:tc>
      </w:tr>
      <w:tr w:rsidR="00BD0D31" w:rsidRPr="000A7545" w14:paraId="13B560D5" w14:textId="77777777" w:rsidTr="00677EEB">
        <w:trPr>
          <w:trHeight w:val="330"/>
          <w:jc w:val="center"/>
        </w:trPr>
        <w:tc>
          <w:tcPr>
            <w:tcW w:w="4684" w:type="dxa"/>
            <w:shd w:val="clear" w:color="auto" w:fill="auto"/>
            <w:vAlign w:val="center"/>
            <w:hideMark/>
          </w:tcPr>
          <w:p w14:paraId="13B560D1" w14:textId="77777777" w:rsidR="00BD0D31" w:rsidRPr="000A7545" w:rsidRDefault="00BD0D31" w:rsidP="00677EEB">
            <w:pPr>
              <w:spacing w:before="120" w:line="240" w:lineRule="auto"/>
              <w:rPr>
                <w:rFonts w:ascii="Arial Narrow" w:hAnsi="Arial Narrow" w:cstheme="minorHAnsi"/>
                <w:b/>
                <w:i/>
                <w:color w:val="000000"/>
                <w:sz w:val="20"/>
                <w:szCs w:val="20"/>
              </w:rPr>
            </w:pPr>
            <w:r w:rsidRPr="000A7545">
              <w:rPr>
                <w:rFonts w:ascii="Arial Narrow" w:hAnsi="Arial Narrow" w:cstheme="minorHAnsi"/>
                <w:i/>
                <w:color w:val="000000"/>
                <w:sz w:val="20"/>
                <w:szCs w:val="20"/>
              </w:rPr>
              <w:t>Recovery Costs (7%)</w:t>
            </w:r>
          </w:p>
        </w:tc>
        <w:tc>
          <w:tcPr>
            <w:tcW w:w="1801" w:type="dxa"/>
            <w:shd w:val="clear" w:color="auto" w:fill="auto"/>
            <w:vAlign w:val="center"/>
            <w:hideMark/>
          </w:tcPr>
          <w:p w14:paraId="13B560D2" w14:textId="77777777" w:rsidR="00BD0D31" w:rsidRPr="000A7545" w:rsidRDefault="00BD0D31" w:rsidP="00677EEB">
            <w:pPr>
              <w:spacing w:before="120" w:line="240" w:lineRule="auto"/>
              <w:jc w:val="right"/>
              <w:rPr>
                <w:rFonts w:ascii="Arial Narrow" w:hAnsi="Arial Narrow" w:cstheme="minorHAnsi"/>
                <w:b/>
                <w:bCs/>
                <w:i/>
                <w:sz w:val="20"/>
                <w:szCs w:val="20"/>
              </w:rPr>
            </w:pPr>
            <w:r w:rsidRPr="000A7545">
              <w:rPr>
                <w:rFonts w:ascii="Arial Narrow" w:hAnsi="Arial Narrow" w:cstheme="minorHAnsi"/>
                <w:i/>
                <w:sz w:val="20"/>
                <w:szCs w:val="20"/>
              </w:rPr>
              <w:t>150,229.14</w:t>
            </w:r>
          </w:p>
        </w:tc>
        <w:tc>
          <w:tcPr>
            <w:tcW w:w="1767" w:type="dxa"/>
            <w:vAlign w:val="center"/>
          </w:tcPr>
          <w:p w14:paraId="13B560D3" w14:textId="77777777" w:rsidR="00BD0D31" w:rsidRPr="000A7545" w:rsidRDefault="00BD0D31" w:rsidP="00677EEB">
            <w:pPr>
              <w:spacing w:before="120" w:line="240" w:lineRule="auto"/>
              <w:jc w:val="right"/>
              <w:rPr>
                <w:rFonts w:ascii="Arial Narrow" w:hAnsi="Arial Narrow" w:cstheme="minorHAnsi"/>
                <w:b/>
                <w:bCs/>
                <w:i/>
                <w:sz w:val="20"/>
                <w:szCs w:val="20"/>
              </w:rPr>
            </w:pPr>
            <w:r w:rsidRPr="000A7545">
              <w:rPr>
                <w:rFonts w:ascii="Arial Narrow" w:hAnsi="Arial Narrow" w:cstheme="minorHAnsi"/>
                <w:i/>
                <w:sz w:val="20"/>
                <w:szCs w:val="20"/>
              </w:rPr>
              <w:t>142,508.76</w:t>
            </w:r>
          </w:p>
        </w:tc>
        <w:tc>
          <w:tcPr>
            <w:tcW w:w="1324" w:type="dxa"/>
            <w:vAlign w:val="center"/>
          </w:tcPr>
          <w:p w14:paraId="13B560D4" w14:textId="77777777" w:rsidR="00BD0D31" w:rsidRPr="000A7545" w:rsidRDefault="00BD0D31" w:rsidP="00677EEB">
            <w:pPr>
              <w:spacing w:before="120" w:line="240" w:lineRule="auto"/>
              <w:jc w:val="right"/>
              <w:rPr>
                <w:rFonts w:ascii="Arial Narrow" w:hAnsi="Arial Narrow" w:cstheme="minorHAnsi"/>
                <w:b/>
                <w:bCs/>
                <w:i/>
                <w:sz w:val="20"/>
                <w:szCs w:val="20"/>
              </w:rPr>
            </w:pPr>
            <w:r w:rsidRPr="000A7545">
              <w:rPr>
                <w:rFonts w:ascii="Arial Narrow" w:hAnsi="Arial Narrow" w:cstheme="minorHAnsi"/>
                <w:i/>
                <w:sz w:val="20"/>
                <w:szCs w:val="20"/>
              </w:rPr>
              <w:t>292,737.90</w:t>
            </w:r>
          </w:p>
        </w:tc>
      </w:tr>
      <w:tr w:rsidR="00BD0D31" w:rsidRPr="000A7545" w14:paraId="13B560DA" w14:textId="77777777" w:rsidTr="00677EEB">
        <w:trPr>
          <w:trHeight w:val="345"/>
          <w:jc w:val="center"/>
        </w:trPr>
        <w:tc>
          <w:tcPr>
            <w:tcW w:w="4684" w:type="dxa"/>
            <w:shd w:val="clear" w:color="auto" w:fill="auto"/>
            <w:vAlign w:val="center"/>
            <w:hideMark/>
          </w:tcPr>
          <w:p w14:paraId="13B560D6" w14:textId="77777777" w:rsidR="00BD0D31" w:rsidRPr="000A7545" w:rsidRDefault="00BD0D31" w:rsidP="00677EEB">
            <w:pPr>
              <w:spacing w:before="120" w:line="240" w:lineRule="auto"/>
              <w:jc w:val="right"/>
              <w:rPr>
                <w:rFonts w:ascii="Arial Narrow" w:hAnsi="Arial Narrow" w:cstheme="minorHAnsi"/>
                <w:color w:val="000000"/>
                <w:sz w:val="20"/>
                <w:szCs w:val="20"/>
              </w:rPr>
            </w:pPr>
            <w:r w:rsidRPr="000A7545">
              <w:rPr>
                <w:rFonts w:ascii="Arial Narrow" w:hAnsi="Arial Narrow" w:cstheme="minorHAnsi"/>
                <w:color w:val="000000"/>
                <w:sz w:val="20"/>
                <w:szCs w:val="20"/>
              </w:rPr>
              <w:t>TOTAL</w:t>
            </w:r>
          </w:p>
        </w:tc>
        <w:tc>
          <w:tcPr>
            <w:tcW w:w="1801" w:type="dxa"/>
            <w:shd w:val="clear" w:color="auto" w:fill="auto"/>
            <w:vAlign w:val="center"/>
            <w:hideMark/>
          </w:tcPr>
          <w:p w14:paraId="13B560D7" w14:textId="77777777" w:rsidR="00BD0D31" w:rsidRPr="000A7545" w:rsidRDefault="00BD0D31" w:rsidP="00677EEB">
            <w:pPr>
              <w:spacing w:before="120" w:line="240" w:lineRule="auto"/>
              <w:jc w:val="right"/>
              <w:rPr>
                <w:rFonts w:ascii="Arial Narrow" w:hAnsi="Arial Narrow" w:cstheme="minorHAnsi"/>
                <w:sz w:val="20"/>
                <w:szCs w:val="20"/>
              </w:rPr>
            </w:pPr>
            <w:r w:rsidRPr="000A7545">
              <w:rPr>
                <w:rFonts w:ascii="Arial Narrow" w:hAnsi="Arial Narrow" w:cstheme="minorHAnsi"/>
                <w:sz w:val="20"/>
                <w:szCs w:val="20"/>
              </w:rPr>
              <w:t>2,297,081.67</w:t>
            </w:r>
          </w:p>
        </w:tc>
        <w:tc>
          <w:tcPr>
            <w:tcW w:w="1767" w:type="dxa"/>
            <w:vAlign w:val="center"/>
          </w:tcPr>
          <w:p w14:paraId="13B560D8" w14:textId="77777777" w:rsidR="00BD0D31" w:rsidRPr="000A7545" w:rsidRDefault="00BD0D31" w:rsidP="00677EEB">
            <w:pPr>
              <w:spacing w:before="120" w:line="240" w:lineRule="auto"/>
              <w:jc w:val="right"/>
              <w:rPr>
                <w:rFonts w:ascii="Arial Narrow" w:hAnsi="Arial Narrow" w:cstheme="minorHAnsi"/>
                <w:sz w:val="20"/>
                <w:szCs w:val="20"/>
              </w:rPr>
            </w:pPr>
            <w:r w:rsidRPr="000A7545">
              <w:rPr>
                <w:rFonts w:ascii="Arial Narrow" w:hAnsi="Arial Narrow" w:cstheme="minorHAnsi"/>
                <w:sz w:val="20"/>
                <w:szCs w:val="20"/>
              </w:rPr>
              <w:t>2,179,032.99</w:t>
            </w:r>
          </w:p>
        </w:tc>
        <w:tc>
          <w:tcPr>
            <w:tcW w:w="1324" w:type="dxa"/>
            <w:vAlign w:val="center"/>
          </w:tcPr>
          <w:p w14:paraId="13B560D9" w14:textId="77777777" w:rsidR="00BD0D31" w:rsidRPr="000A7545" w:rsidRDefault="00BD0D31" w:rsidP="00677EEB">
            <w:pPr>
              <w:spacing w:before="120" w:line="240" w:lineRule="auto"/>
              <w:jc w:val="right"/>
              <w:rPr>
                <w:rFonts w:ascii="Arial Narrow" w:hAnsi="Arial Narrow" w:cstheme="minorHAnsi"/>
                <w:sz w:val="20"/>
                <w:szCs w:val="20"/>
              </w:rPr>
            </w:pPr>
            <w:r w:rsidRPr="000A7545">
              <w:rPr>
                <w:rFonts w:ascii="Arial Narrow" w:hAnsi="Arial Narrow" w:cstheme="minorHAnsi"/>
                <w:sz w:val="20"/>
                <w:szCs w:val="20"/>
              </w:rPr>
              <w:t>4,476,114.66</w:t>
            </w:r>
          </w:p>
        </w:tc>
      </w:tr>
    </w:tbl>
    <w:p w14:paraId="13B560DB" w14:textId="77777777" w:rsidR="00677EEB" w:rsidRPr="000A7545" w:rsidRDefault="00677EEB" w:rsidP="00677EEB">
      <w:pPr>
        <w:rPr>
          <w:rFonts w:cs="Arial"/>
          <w:i/>
          <w:sz w:val="18"/>
        </w:rPr>
      </w:pPr>
      <w:r w:rsidRPr="000A7545">
        <w:rPr>
          <w:rFonts w:cs="Arial"/>
          <w:i/>
          <w:sz w:val="18"/>
        </w:rPr>
        <w:t>NB: The amount</w:t>
      </w:r>
      <w:r w:rsidR="00715C13" w:rsidRPr="000A7545">
        <w:rPr>
          <w:rFonts w:cs="Arial"/>
          <w:i/>
          <w:sz w:val="18"/>
        </w:rPr>
        <w:t>s</w:t>
      </w:r>
      <w:r w:rsidRPr="000A7545">
        <w:rPr>
          <w:rFonts w:cs="Arial"/>
          <w:i/>
          <w:sz w:val="18"/>
        </w:rPr>
        <w:t xml:space="preserve"> reflect the figures available at the field office level and should be considered as indicative. Actual expenditures will be reflected in the Statement of Accounts prepared by the Division of Financial Management, New York.</w:t>
      </w:r>
    </w:p>
    <w:p w14:paraId="13B560DC" w14:textId="77777777" w:rsidR="00BD0D31" w:rsidRPr="000A7545" w:rsidRDefault="00BD0D31" w:rsidP="00BD0D31"/>
    <w:p w14:paraId="13B560DD" w14:textId="77777777" w:rsidR="005B50E4" w:rsidRPr="000A7545" w:rsidRDefault="005B50E4" w:rsidP="007C578C">
      <w:r w:rsidRPr="000A7545">
        <w:br w:type="page"/>
      </w:r>
    </w:p>
    <w:p w14:paraId="13B560DE" w14:textId="77777777" w:rsidR="007C578C" w:rsidRPr="000A7545" w:rsidRDefault="007C578C" w:rsidP="007C578C">
      <w:pPr>
        <w:pStyle w:val="Heading1"/>
      </w:pPr>
      <w:bookmarkStart w:id="100" w:name="_Toc303330156"/>
      <w:bookmarkStart w:id="101" w:name="_Toc322507191"/>
      <w:bookmarkStart w:id="102" w:name="_Toc322702785"/>
      <w:r w:rsidRPr="000A7545">
        <w:t>Expression of Thanks</w:t>
      </w:r>
      <w:bookmarkEnd w:id="100"/>
      <w:bookmarkEnd w:id="101"/>
      <w:bookmarkEnd w:id="102"/>
    </w:p>
    <w:p w14:paraId="13B560DF" w14:textId="77777777" w:rsidR="004677B3" w:rsidRPr="000A7545" w:rsidRDefault="004677B3" w:rsidP="004677B3">
      <w:r w:rsidRPr="000A7545">
        <w:t>UNICEF would like to express its gratitude to AusAID and USAID for their generous contribution towards improving the quality of education services delivery for all boys and girls in basic education in Papua and West Papua provinces of Indonesia.</w:t>
      </w:r>
    </w:p>
    <w:p w14:paraId="13B560E0" w14:textId="77777777" w:rsidR="005B50E4" w:rsidRPr="000A7545" w:rsidRDefault="005B50E4" w:rsidP="004677B3"/>
    <w:p w14:paraId="13B560E1" w14:textId="77777777" w:rsidR="005B50E4" w:rsidRPr="000A7545" w:rsidRDefault="005B50E4" w:rsidP="004677B3">
      <w:pPr>
        <w:rPr>
          <w:highlight w:val="yellow"/>
        </w:rPr>
        <w:sectPr w:rsidR="005B50E4" w:rsidRPr="000A7545" w:rsidSect="002A0B4D">
          <w:headerReference w:type="default" r:id="rId28"/>
          <w:footerReference w:type="default" r:id="rId29"/>
          <w:pgSz w:w="11906" w:h="16838"/>
          <w:pgMar w:top="1440" w:right="1440" w:bottom="1440" w:left="1440" w:header="720" w:footer="720" w:gutter="0"/>
          <w:pgNumType w:start="1"/>
          <w:cols w:space="720"/>
          <w:docGrid w:linePitch="360"/>
        </w:sectPr>
      </w:pPr>
    </w:p>
    <w:p w14:paraId="13B560E2" w14:textId="77777777" w:rsidR="007C578C" w:rsidRPr="000A7545" w:rsidRDefault="007C578C" w:rsidP="001A5080">
      <w:pPr>
        <w:pStyle w:val="Heading1"/>
        <w:numPr>
          <w:ilvl w:val="0"/>
          <w:numId w:val="0"/>
        </w:numPr>
        <w:ind w:left="360" w:hanging="360"/>
      </w:pPr>
      <w:bookmarkStart w:id="103" w:name="_Toc322702786"/>
      <w:r w:rsidRPr="000A7545">
        <w:t xml:space="preserve">Annex 1: </w:t>
      </w:r>
      <w:r w:rsidR="001A5080" w:rsidRPr="000A7545">
        <w:t>Merged Performance Monitoring Matrix</w:t>
      </w:r>
      <w:bookmarkEnd w:id="103"/>
    </w:p>
    <w:tbl>
      <w:tblPr>
        <w:tblW w:w="5136" w:type="pct"/>
        <w:tblInd w:w="-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668"/>
        <w:gridCol w:w="27"/>
        <w:gridCol w:w="13"/>
        <w:gridCol w:w="38"/>
        <w:gridCol w:w="13"/>
        <w:gridCol w:w="3152"/>
        <w:gridCol w:w="3517"/>
        <w:gridCol w:w="1574"/>
        <w:gridCol w:w="3426"/>
        <w:gridCol w:w="13"/>
        <w:gridCol w:w="882"/>
        <w:gridCol w:w="31"/>
        <w:gridCol w:w="1389"/>
      </w:tblGrid>
      <w:tr w:rsidR="000A7545" w:rsidRPr="000A7545" w14:paraId="13B560EB" w14:textId="77777777" w:rsidTr="000A7545">
        <w:trPr>
          <w:trHeight w:val="205"/>
          <w:tblHeader/>
        </w:trPr>
        <w:tc>
          <w:tcPr>
            <w:tcW w:w="539" w:type="pct"/>
            <w:gridSpan w:val="2"/>
            <w:shd w:val="clear" w:color="000000" w:fill="B8CCE4"/>
            <w:vAlign w:val="center"/>
            <w:hideMark/>
          </w:tcPr>
          <w:p w14:paraId="13B560E3" w14:textId="77777777" w:rsidR="000A7545" w:rsidRPr="000A7545" w:rsidRDefault="000A7545" w:rsidP="000A7545">
            <w:pPr>
              <w:spacing w:after="0" w:line="240" w:lineRule="auto"/>
              <w:jc w:val="center"/>
              <w:rPr>
                <w:rFonts w:asciiTheme="minorHAnsi" w:eastAsia="Times New Roman" w:hAnsiTheme="minorHAnsi" w:cstheme="minorHAnsi"/>
                <w:b/>
                <w:bCs/>
                <w:lang w:val="en-US"/>
              </w:rPr>
            </w:pPr>
            <w:r w:rsidRPr="000A7545">
              <w:rPr>
                <w:rFonts w:asciiTheme="minorHAnsi" w:eastAsia="Times New Roman" w:hAnsiTheme="minorHAnsi" w:cstheme="minorHAnsi"/>
                <w:b/>
                <w:bCs/>
                <w:lang w:val="en-US"/>
              </w:rPr>
              <w:t>Result</w:t>
            </w:r>
          </w:p>
        </w:tc>
        <w:tc>
          <w:tcPr>
            <w:tcW w:w="1021" w:type="pct"/>
            <w:gridSpan w:val="4"/>
            <w:shd w:val="clear" w:color="000000" w:fill="B8CCE4"/>
            <w:vAlign w:val="center"/>
            <w:hideMark/>
          </w:tcPr>
          <w:p w14:paraId="13B560E4" w14:textId="77777777" w:rsidR="000A7545" w:rsidRPr="000A7545" w:rsidRDefault="000A7545" w:rsidP="000A7545">
            <w:pPr>
              <w:spacing w:after="0" w:line="240" w:lineRule="auto"/>
              <w:jc w:val="center"/>
              <w:rPr>
                <w:rFonts w:asciiTheme="minorHAnsi" w:eastAsia="Times New Roman" w:hAnsiTheme="minorHAnsi" w:cstheme="minorHAnsi"/>
                <w:b/>
                <w:bCs/>
                <w:lang w:val="en-US"/>
              </w:rPr>
            </w:pPr>
            <w:r w:rsidRPr="000A7545">
              <w:rPr>
                <w:rFonts w:asciiTheme="minorHAnsi" w:eastAsia="Times New Roman" w:hAnsiTheme="minorHAnsi" w:cstheme="minorHAnsi"/>
                <w:b/>
                <w:bCs/>
                <w:lang w:val="id-ID"/>
              </w:rPr>
              <w:t>Performance Indicators</w:t>
            </w:r>
          </w:p>
        </w:tc>
        <w:tc>
          <w:tcPr>
            <w:tcW w:w="1117" w:type="pct"/>
            <w:shd w:val="clear" w:color="000000" w:fill="B8CCE4"/>
            <w:vAlign w:val="center"/>
            <w:hideMark/>
          </w:tcPr>
          <w:p w14:paraId="13B560E5" w14:textId="77777777" w:rsidR="000A7545" w:rsidRPr="000A7545" w:rsidRDefault="000A7545" w:rsidP="000A7545">
            <w:pPr>
              <w:spacing w:after="0" w:line="240" w:lineRule="auto"/>
              <w:jc w:val="center"/>
              <w:rPr>
                <w:rFonts w:asciiTheme="minorHAnsi" w:eastAsia="Times New Roman" w:hAnsiTheme="minorHAnsi" w:cstheme="minorHAnsi"/>
                <w:b/>
                <w:bCs/>
                <w:lang w:val="en-US"/>
              </w:rPr>
            </w:pPr>
            <w:r w:rsidRPr="000A7545">
              <w:rPr>
                <w:rFonts w:asciiTheme="minorHAnsi" w:eastAsia="Times New Roman" w:hAnsiTheme="minorHAnsi" w:cstheme="minorHAnsi"/>
                <w:b/>
                <w:bCs/>
                <w:lang w:val="en-US"/>
              </w:rPr>
              <w:t>Baseline</w:t>
            </w:r>
          </w:p>
        </w:tc>
        <w:tc>
          <w:tcPr>
            <w:tcW w:w="500" w:type="pct"/>
            <w:shd w:val="clear" w:color="000000" w:fill="B8CCE4"/>
            <w:vAlign w:val="center"/>
            <w:hideMark/>
          </w:tcPr>
          <w:p w14:paraId="13B560E6" w14:textId="77777777" w:rsidR="000A7545" w:rsidRPr="000A7545" w:rsidRDefault="000A7545" w:rsidP="000A7545">
            <w:pPr>
              <w:spacing w:after="0" w:line="240" w:lineRule="auto"/>
              <w:jc w:val="center"/>
              <w:rPr>
                <w:rFonts w:asciiTheme="minorHAnsi" w:eastAsia="Times New Roman" w:hAnsiTheme="minorHAnsi" w:cstheme="minorHAnsi"/>
                <w:b/>
                <w:bCs/>
                <w:lang w:val="en-US"/>
              </w:rPr>
            </w:pPr>
            <w:r w:rsidRPr="000A7545">
              <w:rPr>
                <w:rFonts w:asciiTheme="minorHAnsi" w:eastAsia="Times New Roman" w:hAnsiTheme="minorHAnsi" w:cstheme="minorHAnsi"/>
                <w:b/>
                <w:bCs/>
                <w:lang w:val="id-ID"/>
              </w:rPr>
              <w:t>Targets</w:t>
            </w:r>
          </w:p>
        </w:tc>
        <w:tc>
          <w:tcPr>
            <w:tcW w:w="1092" w:type="pct"/>
            <w:gridSpan w:val="2"/>
            <w:shd w:val="clear" w:color="000000" w:fill="B8CCE4"/>
            <w:vAlign w:val="center"/>
          </w:tcPr>
          <w:p w14:paraId="13B560E7" w14:textId="77777777" w:rsidR="000A7545" w:rsidRPr="000A7545" w:rsidRDefault="000A7545" w:rsidP="000A7545">
            <w:pPr>
              <w:spacing w:after="0" w:line="240" w:lineRule="auto"/>
              <w:jc w:val="center"/>
              <w:rPr>
                <w:rFonts w:asciiTheme="minorHAnsi" w:eastAsia="Times New Roman" w:hAnsiTheme="minorHAnsi" w:cstheme="minorHAnsi"/>
                <w:b/>
                <w:bCs/>
                <w:lang w:val="en-US"/>
              </w:rPr>
            </w:pPr>
            <w:r w:rsidRPr="000A7545">
              <w:rPr>
                <w:rFonts w:asciiTheme="minorHAnsi" w:eastAsia="Times New Roman" w:hAnsiTheme="minorHAnsi" w:cstheme="minorHAnsi"/>
                <w:b/>
                <w:bCs/>
                <w:lang w:val="en-US"/>
              </w:rPr>
              <w:t>Progress in Reporting Period</w:t>
            </w:r>
          </w:p>
        </w:tc>
        <w:tc>
          <w:tcPr>
            <w:tcW w:w="290" w:type="pct"/>
            <w:gridSpan w:val="2"/>
            <w:shd w:val="clear" w:color="000000" w:fill="B8CCE4"/>
            <w:vAlign w:val="center"/>
          </w:tcPr>
          <w:p w14:paraId="13B560E8" w14:textId="77777777" w:rsidR="000A7545" w:rsidRPr="000A7545" w:rsidRDefault="000A7545" w:rsidP="000A7545">
            <w:pPr>
              <w:spacing w:after="0" w:line="240" w:lineRule="auto"/>
              <w:jc w:val="center"/>
              <w:rPr>
                <w:rFonts w:asciiTheme="minorHAnsi" w:eastAsia="Times New Roman" w:hAnsiTheme="minorHAnsi" w:cstheme="minorHAnsi"/>
                <w:b/>
                <w:bCs/>
                <w:lang w:val="en-US"/>
              </w:rPr>
            </w:pPr>
            <w:r w:rsidRPr="000A7545">
              <w:rPr>
                <w:rFonts w:asciiTheme="minorHAnsi" w:eastAsia="Times New Roman" w:hAnsiTheme="minorHAnsi" w:cstheme="minorHAnsi"/>
                <w:b/>
                <w:bCs/>
                <w:lang w:val="id-ID"/>
              </w:rPr>
              <w:t>End</w:t>
            </w:r>
          </w:p>
          <w:p w14:paraId="13B560E9" w14:textId="77777777" w:rsidR="000A7545" w:rsidRPr="000A7545" w:rsidRDefault="000A7545" w:rsidP="000A7545">
            <w:pPr>
              <w:spacing w:after="0" w:line="240" w:lineRule="auto"/>
              <w:jc w:val="center"/>
              <w:rPr>
                <w:rFonts w:asciiTheme="minorHAnsi" w:eastAsia="Times New Roman" w:hAnsiTheme="minorHAnsi" w:cstheme="minorHAnsi"/>
                <w:b/>
                <w:bCs/>
                <w:lang w:val="id-ID"/>
              </w:rPr>
            </w:pPr>
            <w:r w:rsidRPr="000A7545">
              <w:rPr>
                <w:rFonts w:asciiTheme="minorHAnsi" w:eastAsia="Times New Roman" w:hAnsiTheme="minorHAnsi" w:cstheme="minorHAnsi"/>
                <w:b/>
                <w:bCs/>
                <w:lang w:val="id-ID"/>
              </w:rPr>
              <w:t>line 2012</w:t>
            </w:r>
          </w:p>
        </w:tc>
        <w:tc>
          <w:tcPr>
            <w:tcW w:w="441" w:type="pct"/>
            <w:shd w:val="clear" w:color="000000" w:fill="B8CCE4"/>
            <w:vAlign w:val="center"/>
            <w:hideMark/>
          </w:tcPr>
          <w:p w14:paraId="13B560EA" w14:textId="77777777" w:rsidR="000A7545" w:rsidRPr="000A7545" w:rsidRDefault="000A7545" w:rsidP="000A7545">
            <w:pPr>
              <w:spacing w:after="0" w:line="240" w:lineRule="auto"/>
              <w:jc w:val="center"/>
              <w:rPr>
                <w:rFonts w:asciiTheme="minorHAnsi" w:eastAsia="Times New Roman" w:hAnsiTheme="minorHAnsi" w:cstheme="minorHAnsi"/>
                <w:b/>
                <w:bCs/>
                <w:lang w:val="en-US"/>
              </w:rPr>
            </w:pPr>
            <w:r w:rsidRPr="000A7545">
              <w:rPr>
                <w:rFonts w:asciiTheme="minorHAnsi" w:eastAsia="Times New Roman" w:hAnsiTheme="minorHAnsi" w:cstheme="minorHAnsi"/>
                <w:b/>
                <w:bCs/>
                <w:lang w:val="id-ID"/>
              </w:rPr>
              <w:t xml:space="preserve">Means of </w:t>
            </w:r>
            <w:r w:rsidRPr="000A7545">
              <w:rPr>
                <w:rFonts w:asciiTheme="minorHAnsi" w:eastAsia="Times New Roman" w:hAnsiTheme="minorHAnsi" w:cstheme="minorHAnsi"/>
                <w:b/>
                <w:bCs/>
                <w:sz w:val="20"/>
                <w:szCs w:val="20"/>
                <w:lang w:val="id-ID"/>
              </w:rPr>
              <w:t>Verification</w:t>
            </w:r>
          </w:p>
        </w:tc>
      </w:tr>
      <w:tr w:rsidR="000A7545" w:rsidRPr="000A7545" w14:paraId="13B560ED" w14:textId="77777777" w:rsidTr="000A7545">
        <w:trPr>
          <w:trHeight w:val="300"/>
        </w:trPr>
        <w:tc>
          <w:tcPr>
            <w:tcW w:w="5000" w:type="pct"/>
            <w:gridSpan w:val="13"/>
          </w:tcPr>
          <w:p w14:paraId="13B560EC" w14:textId="77777777" w:rsidR="000A7545" w:rsidRPr="000A7545" w:rsidRDefault="000A7545" w:rsidP="000A7545">
            <w:pPr>
              <w:spacing w:after="0" w:line="240" w:lineRule="auto"/>
              <w:rPr>
                <w:rFonts w:asciiTheme="minorHAnsi" w:eastAsia="Times New Roman" w:hAnsiTheme="minorHAnsi" w:cstheme="minorHAnsi"/>
                <w:b/>
                <w:bCs/>
                <w:lang w:val="en-US"/>
              </w:rPr>
            </w:pPr>
            <w:r w:rsidRPr="000A7545">
              <w:rPr>
                <w:rFonts w:asciiTheme="minorHAnsi" w:eastAsia="Times New Roman" w:hAnsiTheme="minorHAnsi" w:cstheme="minorHAnsi"/>
                <w:b/>
                <w:bCs/>
                <w:lang w:val="id-ID"/>
              </w:rPr>
              <w:t>Goal</w:t>
            </w:r>
          </w:p>
        </w:tc>
      </w:tr>
      <w:tr w:rsidR="000A7545" w:rsidRPr="000A7545" w14:paraId="13B560FD" w14:textId="77777777" w:rsidTr="00B812C8">
        <w:trPr>
          <w:trHeight w:val="718"/>
        </w:trPr>
        <w:tc>
          <w:tcPr>
            <w:tcW w:w="539" w:type="pct"/>
            <w:gridSpan w:val="2"/>
            <w:vMerge w:val="restart"/>
            <w:shd w:val="clear" w:color="auto" w:fill="auto"/>
            <w:hideMark/>
          </w:tcPr>
          <w:p w14:paraId="13B560EE" w14:textId="77777777" w:rsidR="000A7545" w:rsidRPr="000A7545" w:rsidRDefault="000A7545" w:rsidP="008A2172">
            <w:pPr>
              <w:spacing w:after="0" w:line="240" w:lineRule="auto"/>
              <w:rPr>
                <w:rFonts w:asciiTheme="minorHAnsi" w:eastAsia="Times New Roman" w:hAnsiTheme="minorHAnsi" w:cstheme="minorHAnsi"/>
                <w:b/>
                <w:lang w:val="en-US"/>
              </w:rPr>
            </w:pPr>
            <w:r w:rsidRPr="000A7545">
              <w:rPr>
                <w:rFonts w:asciiTheme="minorHAnsi" w:eastAsia="Times New Roman" w:hAnsiTheme="minorHAnsi" w:cstheme="minorHAnsi"/>
                <w:b/>
                <w:lang w:val="id-ID"/>
              </w:rPr>
              <w:t>To improve</w:t>
            </w:r>
            <w:r w:rsidRPr="000A7545">
              <w:rPr>
                <w:rFonts w:asciiTheme="minorHAnsi" w:eastAsia="Times New Roman" w:hAnsiTheme="minorHAnsi" w:cstheme="minorHAnsi"/>
                <w:b/>
                <w:lang w:val="en-US"/>
              </w:rPr>
              <w:t xml:space="preserve"> participation in</w:t>
            </w:r>
            <w:r w:rsidRPr="000A7545">
              <w:rPr>
                <w:rFonts w:asciiTheme="minorHAnsi" w:eastAsia="Times New Roman" w:hAnsiTheme="minorHAnsi" w:cstheme="minorHAnsi"/>
                <w:b/>
                <w:lang w:val="id-ID"/>
              </w:rPr>
              <w:t xml:space="preserve"> primary education in </w:t>
            </w:r>
            <w:r w:rsidRPr="000A7545">
              <w:rPr>
                <w:rFonts w:asciiTheme="minorHAnsi" w:eastAsia="Times New Roman" w:hAnsiTheme="minorHAnsi" w:cstheme="minorHAnsi"/>
                <w:b/>
                <w:lang w:val="en-US"/>
              </w:rPr>
              <w:t xml:space="preserve">selected districts of </w:t>
            </w:r>
            <w:r w:rsidRPr="000A7545">
              <w:rPr>
                <w:rFonts w:asciiTheme="minorHAnsi" w:eastAsia="Times New Roman" w:hAnsiTheme="minorHAnsi" w:cstheme="minorHAnsi"/>
                <w:b/>
                <w:lang w:val="id-ID"/>
              </w:rPr>
              <w:t xml:space="preserve">Papua and West Papua </w:t>
            </w:r>
          </w:p>
        </w:tc>
        <w:tc>
          <w:tcPr>
            <w:tcW w:w="1021" w:type="pct"/>
            <w:gridSpan w:val="4"/>
            <w:shd w:val="clear" w:color="auto" w:fill="auto"/>
            <w:vAlign w:val="center"/>
            <w:hideMark/>
          </w:tcPr>
          <w:p w14:paraId="13B560E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hAnsiTheme="minorHAnsi" w:cstheme="minorHAnsi"/>
                <w:sz w:val="20"/>
                <w:szCs w:val="20"/>
                <w:lang w:val="id-ID"/>
              </w:rPr>
              <w:t>Net enrolment ratio of boys and girls in primary education in targeted districts</w:t>
            </w:r>
          </w:p>
        </w:tc>
        <w:tc>
          <w:tcPr>
            <w:tcW w:w="1117" w:type="pct"/>
            <w:shd w:val="clear" w:color="auto" w:fill="auto"/>
            <w:vAlign w:val="center"/>
          </w:tcPr>
          <w:p w14:paraId="13B560F0" w14:textId="77777777" w:rsidR="000A7545" w:rsidRPr="000A7545" w:rsidRDefault="000A7545" w:rsidP="000A7545">
            <w:pPr>
              <w:spacing w:after="0" w:line="240" w:lineRule="auto"/>
              <w:rPr>
                <w:rFonts w:asciiTheme="minorHAnsi" w:hAnsiTheme="minorHAnsi" w:cstheme="minorHAnsi"/>
                <w:sz w:val="20"/>
                <w:szCs w:val="20"/>
                <w:u w:val="single"/>
                <w:lang w:val="en-US"/>
              </w:rPr>
            </w:pPr>
            <w:r w:rsidRPr="000A7545">
              <w:rPr>
                <w:rFonts w:asciiTheme="minorHAnsi" w:hAnsiTheme="minorHAnsi" w:cstheme="minorHAnsi"/>
                <w:sz w:val="20"/>
                <w:szCs w:val="20"/>
                <w:u w:val="single"/>
                <w:lang w:val="id-ID"/>
              </w:rPr>
              <w:t>NER by district</w:t>
            </w:r>
          </w:p>
          <w:p w14:paraId="13B560F1"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 xml:space="preserve">PAPUA: 76.2 (Susenas 2010) </w:t>
            </w:r>
          </w:p>
          <w:p w14:paraId="13B560F2" w14:textId="77777777" w:rsidR="000A7545" w:rsidRPr="000A7545" w:rsidRDefault="000A7545" w:rsidP="000A7545">
            <w:pPr>
              <w:spacing w:after="0" w:line="240" w:lineRule="auto"/>
              <w:rPr>
                <w:rFonts w:asciiTheme="minorHAnsi" w:hAnsiTheme="minorHAnsi" w:cstheme="minorHAnsi"/>
                <w:sz w:val="20"/>
                <w:szCs w:val="20"/>
                <w:lang w:val="es-US"/>
              </w:rPr>
            </w:pPr>
            <w:r w:rsidRPr="000A7545">
              <w:rPr>
                <w:rFonts w:asciiTheme="minorHAnsi" w:hAnsiTheme="minorHAnsi" w:cstheme="minorHAnsi"/>
                <w:sz w:val="20"/>
                <w:szCs w:val="20"/>
                <w:lang w:val="en-US"/>
              </w:rPr>
              <w:t xml:space="preserve">   </w:t>
            </w:r>
            <w:r w:rsidRPr="000A7545">
              <w:rPr>
                <w:rFonts w:asciiTheme="minorHAnsi" w:hAnsiTheme="minorHAnsi" w:cstheme="minorHAnsi"/>
                <w:sz w:val="20"/>
                <w:szCs w:val="20"/>
                <w:lang w:val="es-US"/>
              </w:rPr>
              <w:t>Jayapura: 97.8 (Susenas 2010)</w:t>
            </w:r>
          </w:p>
          <w:p w14:paraId="13B560F3" w14:textId="77777777" w:rsidR="000A7545" w:rsidRPr="000A7545" w:rsidRDefault="000A7545" w:rsidP="000A7545">
            <w:pPr>
              <w:spacing w:after="0" w:line="240" w:lineRule="auto"/>
              <w:rPr>
                <w:rFonts w:asciiTheme="minorHAnsi" w:hAnsiTheme="minorHAnsi" w:cstheme="minorHAnsi"/>
                <w:sz w:val="20"/>
                <w:szCs w:val="20"/>
                <w:lang w:val="es-US"/>
              </w:rPr>
            </w:pPr>
            <w:r w:rsidRPr="000A7545">
              <w:rPr>
                <w:rFonts w:asciiTheme="minorHAnsi" w:hAnsiTheme="minorHAnsi" w:cstheme="minorHAnsi"/>
                <w:sz w:val="20"/>
                <w:szCs w:val="20"/>
                <w:lang w:val="es-US"/>
              </w:rPr>
              <w:t xml:space="preserve">   Mimika: 94.7 (Susenas 2010)</w:t>
            </w:r>
          </w:p>
          <w:p w14:paraId="13B560F4" w14:textId="77777777" w:rsidR="000A7545" w:rsidRPr="000A7545" w:rsidRDefault="000A7545" w:rsidP="000A7545">
            <w:pPr>
              <w:spacing w:after="0" w:line="240" w:lineRule="auto"/>
              <w:rPr>
                <w:rFonts w:asciiTheme="minorHAnsi" w:hAnsiTheme="minorHAnsi" w:cstheme="minorHAnsi"/>
                <w:sz w:val="20"/>
                <w:szCs w:val="20"/>
                <w:lang w:val="es-US"/>
              </w:rPr>
            </w:pPr>
            <w:r w:rsidRPr="000A7545">
              <w:rPr>
                <w:rFonts w:asciiTheme="minorHAnsi" w:hAnsiTheme="minorHAnsi" w:cstheme="minorHAnsi"/>
                <w:sz w:val="20"/>
                <w:szCs w:val="20"/>
                <w:lang w:val="es-US"/>
              </w:rPr>
              <w:t xml:space="preserve">   Biak: 97.3 (Susenas 2010)</w:t>
            </w:r>
          </w:p>
          <w:p w14:paraId="13B560F5" w14:textId="77777777" w:rsidR="000A7545" w:rsidRPr="000A7545" w:rsidRDefault="000A7545" w:rsidP="000A7545">
            <w:pPr>
              <w:spacing w:after="0" w:line="240" w:lineRule="auto"/>
              <w:rPr>
                <w:rFonts w:asciiTheme="minorHAnsi" w:hAnsiTheme="minorHAnsi" w:cstheme="minorHAnsi"/>
                <w:sz w:val="20"/>
                <w:szCs w:val="20"/>
                <w:lang w:val="es-US"/>
              </w:rPr>
            </w:pPr>
            <w:r w:rsidRPr="000A7545">
              <w:rPr>
                <w:rFonts w:asciiTheme="minorHAnsi" w:hAnsiTheme="minorHAnsi" w:cstheme="minorHAnsi"/>
                <w:sz w:val="20"/>
                <w:szCs w:val="20"/>
                <w:lang w:val="es-US"/>
              </w:rPr>
              <w:t xml:space="preserve">   Jayawijaya: 85.9 (Susenas2010)</w:t>
            </w:r>
          </w:p>
          <w:p w14:paraId="13B560F6" w14:textId="77777777" w:rsidR="000A7545" w:rsidRPr="000A7545" w:rsidRDefault="000A7545" w:rsidP="000A7545">
            <w:pPr>
              <w:spacing w:after="0" w:line="240" w:lineRule="auto"/>
              <w:rPr>
                <w:rFonts w:asciiTheme="minorHAnsi" w:hAnsiTheme="minorHAnsi" w:cstheme="minorHAnsi"/>
                <w:sz w:val="20"/>
                <w:szCs w:val="20"/>
                <w:lang w:val="es-US"/>
              </w:rPr>
            </w:pPr>
            <w:r w:rsidRPr="000A7545">
              <w:rPr>
                <w:rFonts w:asciiTheme="minorHAnsi" w:hAnsiTheme="minorHAnsi" w:cstheme="minorHAnsi"/>
                <w:sz w:val="20"/>
                <w:szCs w:val="20"/>
                <w:lang w:val="es-US"/>
              </w:rPr>
              <w:t>WEST PAPUA: 91.9 (Susenas 2010)</w:t>
            </w:r>
          </w:p>
          <w:p w14:paraId="13B560F7" w14:textId="77777777" w:rsidR="000A7545" w:rsidRPr="000A7545" w:rsidRDefault="000A7545" w:rsidP="000A7545">
            <w:pPr>
              <w:spacing w:after="0" w:line="240" w:lineRule="auto"/>
              <w:rPr>
                <w:rFonts w:asciiTheme="minorHAnsi" w:hAnsiTheme="minorHAnsi" w:cstheme="minorHAnsi"/>
                <w:sz w:val="20"/>
                <w:szCs w:val="20"/>
                <w:lang w:val="es-US"/>
              </w:rPr>
            </w:pPr>
            <w:r w:rsidRPr="000A7545">
              <w:rPr>
                <w:rFonts w:asciiTheme="minorHAnsi" w:hAnsiTheme="minorHAnsi" w:cstheme="minorHAnsi"/>
                <w:sz w:val="20"/>
                <w:szCs w:val="20"/>
                <w:lang w:val="es-US"/>
              </w:rPr>
              <w:t xml:space="preserve">   Sorong 88.79 (Susenas 2009)</w:t>
            </w:r>
          </w:p>
          <w:p w14:paraId="13B560F8" w14:textId="77777777" w:rsidR="000A7545" w:rsidRPr="000A7545" w:rsidRDefault="000A7545" w:rsidP="000A7545">
            <w:pPr>
              <w:spacing w:after="0" w:line="240" w:lineRule="auto"/>
              <w:rPr>
                <w:rFonts w:asciiTheme="minorHAnsi" w:hAnsiTheme="minorHAnsi" w:cstheme="minorHAnsi"/>
                <w:sz w:val="20"/>
                <w:szCs w:val="20"/>
                <w:lang w:val="es-US"/>
              </w:rPr>
            </w:pPr>
            <w:r w:rsidRPr="000A7545">
              <w:rPr>
                <w:rFonts w:asciiTheme="minorHAnsi" w:hAnsiTheme="minorHAnsi" w:cstheme="minorHAnsi"/>
                <w:sz w:val="20"/>
                <w:szCs w:val="20"/>
                <w:lang w:val="es-US"/>
              </w:rPr>
              <w:t xml:space="preserve">   Manokwari: 88.40 (Susenas 2009) </w:t>
            </w:r>
          </w:p>
        </w:tc>
        <w:tc>
          <w:tcPr>
            <w:tcW w:w="500" w:type="pct"/>
            <w:shd w:val="clear" w:color="auto" w:fill="auto"/>
            <w:hideMark/>
          </w:tcPr>
          <w:p w14:paraId="13B560F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MDG are the broader targets</w:t>
            </w:r>
          </w:p>
        </w:tc>
        <w:tc>
          <w:tcPr>
            <w:tcW w:w="1092" w:type="pct"/>
            <w:gridSpan w:val="2"/>
          </w:tcPr>
          <w:p w14:paraId="13B560F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290" w:type="pct"/>
            <w:gridSpan w:val="2"/>
          </w:tcPr>
          <w:p w14:paraId="13B560FB"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vMerge w:val="restart"/>
            <w:shd w:val="clear" w:color="auto" w:fill="auto"/>
            <w:vAlign w:val="center"/>
            <w:hideMark/>
          </w:tcPr>
          <w:p w14:paraId="13B560FC" w14:textId="77777777" w:rsidR="000A7545" w:rsidRPr="00B812C8" w:rsidRDefault="000A7545" w:rsidP="000A7545">
            <w:pPr>
              <w:spacing w:after="0" w:line="240" w:lineRule="auto"/>
              <w:jc w:val="center"/>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SUSENAS</w:t>
            </w:r>
          </w:p>
        </w:tc>
      </w:tr>
      <w:tr w:rsidR="000A7545" w:rsidRPr="000A7545" w14:paraId="13B5610D" w14:textId="77777777" w:rsidTr="000A7545">
        <w:trPr>
          <w:trHeight w:val="781"/>
        </w:trPr>
        <w:tc>
          <w:tcPr>
            <w:tcW w:w="539" w:type="pct"/>
            <w:gridSpan w:val="2"/>
            <w:vMerge/>
            <w:shd w:val="clear" w:color="auto" w:fill="auto"/>
            <w:vAlign w:val="center"/>
          </w:tcPr>
          <w:p w14:paraId="13B560FE" w14:textId="77777777" w:rsidR="000A7545" w:rsidRPr="000A7545" w:rsidRDefault="000A7545" w:rsidP="000A7545">
            <w:pPr>
              <w:spacing w:after="0" w:line="240" w:lineRule="auto"/>
              <w:rPr>
                <w:rFonts w:asciiTheme="minorHAnsi" w:eastAsia="Times New Roman" w:hAnsiTheme="minorHAnsi" w:cstheme="minorHAnsi"/>
                <w:lang w:val="id-ID"/>
              </w:rPr>
            </w:pPr>
          </w:p>
        </w:tc>
        <w:tc>
          <w:tcPr>
            <w:tcW w:w="1021" w:type="pct"/>
            <w:gridSpan w:val="4"/>
            <w:shd w:val="clear" w:color="auto" w:fill="auto"/>
            <w:vAlign w:val="center"/>
          </w:tcPr>
          <w:p w14:paraId="13B560F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hAnsiTheme="minorHAnsi" w:cstheme="minorHAnsi"/>
                <w:sz w:val="20"/>
                <w:szCs w:val="20"/>
                <w:lang w:val="id-ID"/>
              </w:rPr>
              <w:t xml:space="preserve">Net </w:t>
            </w:r>
            <w:r w:rsidRPr="000A7545">
              <w:rPr>
                <w:rFonts w:asciiTheme="minorHAnsi" w:hAnsiTheme="minorHAnsi" w:cstheme="minorHAnsi"/>
                <w:sz w:val="20"/>
                <w:szCs w:val="20"/>
                <w:lang w:val="en-US"/>
              </w:rPr>
              <w:t>attendance</w:t>
            </w:r>
            <w:r w:rsidRPr="000A7545">
              <w:rPr>
                <w:rFonts w:asciiTheme="minorHAnsi" w:hAnsiTheme="minorHAnsi" w:cstheme="minorHAnsi"/>
                <w:sz w:val="20"/>
                <w:szCs w:val="20"/>
                <w:lang w:val="id-ID"/>
              </w:rPr>
              <w:t xml:space="preserve"> ratio of boys and girls in primary education in targeted districts</w:t>
            </w:r>
          </w:p>
        </w:tc>
        <w:tc>
          <w:tcPr>
            <w:tcW w:w="1117" w:type="pct"/>
            <w:shd w:val="clear" w:color="auto" w:fill="auto"/>
            <w:vAlign w:val="center"/>
          </w:tcPr>
          <w:p w14:paraId="13B56100" w14:textId="77777777" w:rsidR="000A7545" w:rsidRPr="000A7545" w:rsidRDefault="000A7545" w:rsidP="000A7545">
            <w:pPr>
              <w:spacing w:after="0" w:line="240" w:lineRule="auto"/>
              <w:rPr>
                <w:rFonts w:asciiTheme="minorHAnsi" w:hAnsiTheme="minorHAnsi" w:cstheme="minorHAnsi"/>
                <w:sz w:val="20"/>
                <w:szCs w:val="20"/>
                <w:u w:val="single"/>
                <w:lang w:val="en-US"/>
              </w:rPr>
            </w:pPr>
            <w:r w:rsidRPr="000A7545">
              <w:rPr>
                <w:rFonts w:asciiTheme="minorHAnsi" w:hAnsiTheme="minorHAnsi" w:cstheme="minorHAnsi"/>
                <w:sz w:val="20"/>
                <w:szCs w:val="20"/>
                <w:u w:val="single"/>
                <w:lang w:val="id-ID"/>
              </w:rPr>
              <w:t xml:space="preserve">NAR by district </w:t>
            </w:r>
          </w:p>
          <w:p w14:paraId="13B56101"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PAPUA – Total: 60.7; girls: 61.3; boys: 60.2 (Census 2010)</w:t>
            </w:r>
          </w:p>
          <w:p w14:paraId="13B56102" w14:textId="77777777" w:rsidR="000A7545" w:rsidRPr="000A7545" w:rsidRDefault="000A7545" w:rsidP="000A7545">
            <w:pPr>
              <w:spacing w:after="0" w:line="240" w:lineRule="auto"/>
              <w:ind w:left="106"/>
              <w:rPr>
                <w:rFonts w:asciiTheme="minorHAnsi" w:hAnsiTheme="minorHAnsi" w:cstheme="minorHAnsi"/>
                <w:sz w:val="20"/>
                <w:szCs w:val="20"/>
                <w:lang w:val="es-US"/>
              </w:rPr>
            </w:pPr>
            <w:r w:rsidRPr="000A7545">
              <w:rPr>
                <w:rFonts w:asciiTheme="minorHAnsi" w:hAnsiTheme="minorHAnsi" w:cstheme="minorHAnsi"/>
                <w:sz w:val="20"/>
                <w:szCs w:val="20"/>
                <w:lang w:val="es-US"/>
              </w:rPr>
              <w:t xml:space="preserve">Jayapura: 47.2 (Susenas 2009) </w:t>
            </w:r>
          </w:p>
          <w:p w14:paraId="13B56103" w14:textId="77777777" w:rsidR="000A7545" w:rsidRPr="000A7545" w:rsidRDefault="000A7545" w:rsidP="000A7545">
            <w:pPr>
              <w:spacing w:after="0" w:line="240" w:lineRule="auto"/>
              <w:ind w:left="106"/>
              <w:rPr>
                <w:rFonts w:asciiTheme="minorHAnsi" w:hAnsiTheme="minorHAnsi" w:cstheme="minorHAnsi"/>
                <w:sz w:val="20"/>
                <w:szCs w:val="20"/>
                <w:lang w:val="es-US"/>
              </w:rPr>
            </w:pPr>
            <w:r w:rsidRPr="000A7545">
              <w:rPr>
                <w:rFonts w:asciiTheme="minorHAnsi" w:hAnsiTheme="minorHAnsi" w:cstheme="minorHAnsi"/>
                <w:sz w:val="20"/>
                <w:szCs w:val="20"/>
                <w:lang w:val="es-US"/>
              </w:rPr>
              <w:t>Mimika: 62.0 (Susenas 2009)</w:t>
            </w:r>
          </w:p>
          <w:p w14:paraId="13B56104" w14:textId="77777777" w:rsidR="000A7545" w:rsidRPr="000A7545" w:rsidRDefault="000A7545" w:rsidP="000A7545">
            <w:pPr>
              <w:spacing w:after="0" w:line="240" w:lineRule="auto"/>
              <w:ind w:left="106"/>
              <w:rPr>
                <w:rFonts w:asciiTheme="minorHAnsi" w:hAnsiTheme="minorHAnsi" w:cstheme="minorHAnsi"/>
                <w:sz w:val="20"/>
                <w:szCs w:val="20"/>
                <w:lang w:val="es-US"/>
              </w:rPr>
            </w:pPr>
            <w:r w:rsidRPr="000A7545">
              <w:rPr>
                <w:rFonts w:asciiTheme="minorHAnsi" w:hAnsiTheme="minorHAnsi" w:cstheme="minorHAnsi"/>
                <w:sz w:val="20"/>
                <w:szCs w:val="20"/>
                <w:lang w:val="es-US"/>
              </w:rPr>
              <w:t>Biak: 44.4 (Susenas 2009)</w:t>
            </w:r>
          </w:p>
          <w:p w14:paraId="13B56105" w14:textId="77777777" w:rsidR="000A7545" w:rsidRPr="000A7545" w:rsidRDefault="000A7545" w:rsidP="000A7545">
            <w:pPr>
              <w:spacing w:after="0" w:line="240" w:lineRule="auto"/>
              <w:ind w:left="106"/>
              <w:rPr>
                <w:rFonts w:asciiTheme="minorHAnsi" w:hAnsiTheme="minorHAnsi" w:cstheme="minorHAnsi"/>
                <w:sz w:val="20"/>
                <w:szCs w:val="20"/>
                <w:lang w:val="en-US"/>
              </w:rPr>
            </w:pPr>
            <w:r w:rsidRPr="000A7545">
              <w:rPr>
                <w:rFonts w:asciiTheme="minorHAnsi" w:hAnsiTheme="minorHAnsi" w:cstheme="minorHAnsi"/>
                <w:sz w:val="20"/>
                <w:szCs w:val="20"/>
                <w:lang w:val="en-US"/>
              </w:rPr>
              <w:t>Jayawijaya: 56.2 (Susenas2009)</w:t>
            </w:r>
          </w:p>
          <w:p w14:paraId="13B56106"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WEST PAPUA – Total:89.0; girls:89.2; boys:88.9 (Census 2010)</w:t>
            </w:r>
          </w:p>
          <w:p w14:paraId="13B56107" w14:textId="77777777" w:rsidR="000A7545" w:rsidRPr="000A7545" w:rsidRDefault="000A7545" w:rsidP="000A7545">
            <w:pPr>
              <w:spacing w:after="0" w:line="240" w:lineRule="auto"/>
              <w:ind w:left="106"/>
              <w:rPr>
                <w:rFonts w:asciiTheme="minorHAnsi" w:hAnsiTheme="minorHAnsi" w:cstheme="minorHAnsi"/>
                <w:sz w:val="20"/>
                <w:szCs w:val="20"/>
                <w:lang w:val="en-US"/>
              </w:rPr>
            </w:pPr>
            <w:r w:rsidRPr="000A7545">
              <w:rPr>
                <w:rFonts w:asciiTheme="minorHAnsi" w:hAnsiTheme="minorHAnsi" w:cstheme="minorHAnsi"/>
                <w:sz w:val="20"/>
                <w:szCs w:val="20"/>
                <w:lang w:val="en-US"/>
              </w:rPr>
              <w:t>Sorong: 88.79 (Susenas 2009)</w:t>
            </w:r>
          </w:p>
          <w:p w14:paraId="13B56108" w14:textId="77777777" w:rsidR="000A7545" w:rsidRPr="000A7545" w:rsidRDefault="000A7545" w:rsidP="000A7545">
            <w:pPr>
              <w:spacing w:after="0" w:line="240" w:lineRule="auto"/>
              <w:ind w:left="106"/>
              <w:rPr>
                <w:rFonts w:asciiTheme="minorHAnsi" w:hAnsiTheme="minorHAnsi" w:cstheme="minorHAnsi"/>
                <w:sz w:val="20"/>
                <w:szCs w:val="20"/>
                <w:lang w:val="en-US"/>
              </w:rPr>
            </w:pPr>
            <w:r w:rsidRPr="000A7545">
              <w:rPr>
                <w:rFonts w:asciiTheme="minorHAnsi" w:hAnsiTheme="minorHAnsi" w:cstheme="minorHAnsi"/>
                <w:sz w:val="20"/>
                <w:szCs w:val="20"/>
                <w:lang w:val="en-US"/>
              </w:rPr>
              <w:t>Manokwari: 91.24 (Susenas2009)</w:t>
            </w:r>
          </w:p>
        </w:tc>
        <w:tc>
          <w:tcPr>
            <w:tcW w:w="500" w:type="pct"/>
            <w:shd w:val="clear" w:color="auto" w:fill="auto"/>
          </w:tcPr>
          <w:p w14:paraId="13B5610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MDG are the broader targets</w:t>
            </w:r>
          </w:p>
        </w:tc>
        <w:tc>
          <w:tcPr>
            <w:tcW w:w="1092" w:type="pct"/>
            <w:gridSpan w:val="2"/>
          </w:tcPr>
          <w:p w14:paraId="13B5610A"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290" w:type="pct"/>
            <w:gridSpan w:val="2"/>
          </w:tcPr>
          <w:p w14:paraId="13B5610B"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vMerge/>
            <w:shd w:val="clear" w:color="auto" w:fill="auto"/>
            <w:vAlign w:val="center"/>
          </w:tcPr>
          <w:p w14:paraId="13B5610C"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r>
      <w:tr w:rsidR="000A7545" w:rsidRPr="000A7545" w14:paraId="13B56110" w14:textId="77777777" w:rsidTr="000A7545">
        <w:trPr>
          <w:trHeight w:val="610"/>
        </w:trPr>
        <w:tc>
          <w:tcPr>
            <w:tcW w:w="539" w:type="pct"/>
            <w:gridSpan w:val="2"/>
            <w:shd w:val="clear" w:color="auto" w:fill="FDE9D9" w:themeFill="accent6" w:themeFillTint="33"/>
            <w:vAlign w:val="center"/>
          </w:tcPr>
          <w:p w14:paraId="13B5610E" w14:textId="77777777" w:rsidR="000A7545" w:rsidRPr="000A7545" w:rsidRDefault="000A7545" w:rsidP="000A7545">
            <w:pPr>
              <w:spacing w:after="0" w:line="240" w:lineRule="auto"/>
              <w:rPr>
                <w:rFonts w:asciiTheme="minorHAnsi" w:eastAsia="Times New Roman" w:hAnsiTheme="minorHAnsi" w:cstheme="minorHAnsi"/>
                <w:bCs/>
                <w:lang w:val="en-US"/>
              </w:rPr>
            </w:pPr>
            <w:r w:rsidRPr="000A7545">
              <w:rPr>
                <w:rFonts w:asciiTheme="minorHAnsi" w:eastAsia="Times New Roman" w:hAnsiTheme="minorHAnsi" w:cstheme="minorHAnsi"/>
                <w:bCs/>
                <w:lang w:val="en-US"/>
              </w:rPr>
              <w:t>Outcome 1.1</w:t>
            </w:r>
          </w:p>
        </w:tc>
        <w:tc>
          <w:tcPr>
            <w:tcW w:w="4461" w:type="pct"/>
            <w:gridSpan w:val="11"/>
            <w:shd w:val="clear" w:color="auto" w:fill="DBE5F1" w:themeFill="accent1" w:themeFillTint="33"/>
            <w:vAlign w:val="center"/>
          </w:tcPr>
          <w:p w14:paraId="13B5610F" w14:textId="77777777" w:rsidR="000A7545" w:rsidRPr="000A7545" w:rsidRDefault="000A7545" w:rsidP="008951AA">
            <w:pPr>
              <w:spacing w:after="0" w:line="240" w:lineRule="auto"/>
              <w:rPr>
                <w:rFonts w:asciiTheme="minorHAnsi" w:eastAsia="Times New Roman" w:hAnsiTheme="minorHAnsi" w:cstheme="minorHAnsi"/>
                <w:bCs/>
                <w:lang w:val="en-US"/>
              </w:rPr>
            </w:pPr>
            <w:r w:rsidRPr="000A7545">
              <w:rPr>
                <w:rFonts w:asciiTheme="minorHAnsi" w:eastAsia="Times New Roman" w:hAnsiTheme="minorHAnsi" w:cstheme="minorHAnsi"/>
                <w:bCs/>
                <w:lang w:val="en-US"/>
              </w:rPr>
              <w:t xml:space="preserve">Provincial and Selected District Education Offices use </w:t>
            </w:r>
            <w:r w:rsidRPr="000A7545">
              <w:rPr>
                <w:rFonts w:asciiTheme="minorHAnsi" w:eastAsia="Times New Roman" w:hAnsiTheme="minorHAnsi" w:cstheme="minorHAnsi"/>
                <w:bCs/>
                <w:lang w:val="id-ID"/>
              </w:rPr>
              <w:t xml:space="preserve">plans </w:t>
            </w:r>
            <w:r w:rsidRPr="000A7545">
              <w:rPr>
                <w:rFonts w:asciiTheme="minorHAnsi" w:eastAsia="Times New Roman" w:hAnsiTheme="minorHAnsi" w:cstheme="minorHAnsi"/>
                <w:bCs/>
                <w:lang w:val="en-US"/>
              </w:rPr>
              <w:t>(</w:t>
            </w:r>
            <w:r w:rsidR="008951AA">
              <w:rPr>
                <w:rFonts w:asciiTheme="minorHAnsi" w:eastAsia="Times New Roman" w:hAnsiTheme="minorHAnsi" w:cstheme="minorHAnsi"/>
                <w:bCs/>
                <w:lang w:val="en-US"/>
              </w:rPr>
              <w:t>Renstra</w:t>
            </w:r>
            <w:r w:rsidRPr="000A7545">
              <w:rPr>
                <w:rFonts w:asciiTheme="minorHAnsi" w:eastAsia="Times New Roman" w:hAnsiTheme="minorHAnsi" w:cstheme="minorHAnsi"/>
                <w:bCs/>
                <w:lang w:val="en-US"/>
              </w:rPr>
              <w:t xml:space="preserve"> and R</w:t>
            </w:r>
            <w:r w:rsidR="008951AA">
              <w:rPr>
                <w:rFonts w:asciiTheme="minorHAnsi" w:eastAsia="Times New Roman" w:hAnsiTheme="minorHAnsi" w:cstheme="minorHAnsi"/>
                <w:bCs/>
                <w:lang w:val="en-US"/>
              </w:rPr>
              <w:t>enja</w:t>
            </w:r>
            <w:r w:rsidRPr="000A7545">
              <w:rPr>
                <w:rFonts w:asciiTheme="minorHAnsi" w:eastAsia="Times New Roman" w:hAnsiTheme="minorHAnsi" w:cstheme="minorHAnsi"/>
                <w:bCs/>
                <w:lang w:val="en-US"/>
              </w:rPr>
              <w:t>)</w:t>
            </w:r>
            <w:r w:rsidRPr="000A7545">
              <w:rPr>
                <w:rFonts w:asciiTheme="minorHAnsi" w:eastAsia="Times New Roman" w:hAnsiTheme="minorHAnsi" w:cstheme="minorHAnsi"/>
                <w:bCs/>
                <w:lang w:val="id-ID"/>
              </w:rPr>
              <w:t xml:space="preserve"> </w:t>
            </w:r>
            <w:r w:rsidRPr="000A7545">
              <w:rPr>
                <w:rFonts w:asciiTheme="minorHAnsi" w:eastAsia="Times New Roman" w:hAnsiTheme="minorHAnsi" w:cstheme="minorHAnsi"/>
                <w:bCs/>
                <w:lang w:val="en-US"/>
              </w:rPr>
              <w:t>including improved budgeting and financial management system (AusAID and USAID)</w:t>
            </w:r>
          </w:p>
        </w:tc>
      </w:tr>
      <w:tr w:rsidR="000A7545" w:rsidRPr="000A7545" w14:paraId="13B56113" w14:textId="77777777" w:rsidTr="000A7545">
        <w:trPr>
          <w:trHeight w:val="439"/>
        </w:trPr>
        <w:tc>
          <w:tcPr>
            <w:tcW w:w="539" w:type="pct"/>
            <w:gridSpan w:val="2"/>
            <w:shd w:val="clear" w:color="auto" w:fill="FDE9D9" w:themeFill="accent6" w:themeFillTint="33"/>
            <w:vAlign w:val="center"/>
          </w:tcPr>
          <w:p w14:paraId="13B56111" w14:textId="77777777" w:rsidR="000A7545" w:rsidRPr="000A7545" w:rsidRDefault="000A7545" w:rsidP="000A7545">
            <w:pPr>
              <w:spacing w:after="0" w:line="240" w:lineRule="auto"/>
              <w:rPr>
                <w:rFonts w:asciiTheme="minorHAnsi" w:eastAsia="Times New Roman" w:hAnsiTheme="minorHAnsi" w:cstheme="minorHAnsi"/>
                <w:bCs/>
                <w:lang w:val="en-US"/>
              </w:rPr>
            </w:pPr>
            <w:r w:rsidRPr="000A7545">
              <w:rPr>
                <w:rFonts w:asciiTheme="minorHAnsi" w:eastAsia="Times New Roman" w:hAnsiTheme="minorHAnsi" w:cstheme="minorHAnsi"/>
                <w:bCs/>
                <w:lang w:val="en-US"/>
              </w:rPr>
              <w:t>Outcome 1.2</w:t>
            </w:r>
          </w:p>
        </w:tc>
        <w:tc>
          <w:tcPr>
            <w:tcW w:w="4461" w:type="pct"/>
            <w:gridSpan w:val="11"/>
            <w:shd w:val="clear" w:color="auto" w:fill="DAEEF3" w:themeFill="accent5" w:themeFillTint="33"/>
            <w:vAlign w:val="center"/>
          </w:tcPr>
          <w:p w14:paraId="13B56112" w14:textId="77777777" w:rsidR="000A7545" w:rsidRPr="000A7545" w:rsidRDefault="000A7545" w:rsidP="000A7545">
            <w:pPr>
              <w:spacing w:after="0" w:line="240" w:lineRule="auto"/>
              <w:rPr>
                <w:rFonts w:asciiTheme="minorHAnsi" w:eastAsia="Times New Roman" w:hAnsiTheme="minorHAnsi" w:cstheme="minorHAnsi"/>
                <w:bCs/>
                <w:lang w:val="id-ID"/>
              </w:rPr>
            </w:pPr>
            <w:r w:rsidRPr="000A7545">
              <w:rPr>
                <w:rFonts w:asciiTheme="minorHAnsi" w:eastAsia="Times New Roman" w:hAnsiTheme="minorHAnsi" w:cstheme="minorHAnsi"/>
                <w:bCs/>
                <w:color w:val="000000"/>
                <w:lang w:val="en-US"/>
              </w:rPr>
              <w:t>Primary school children in selected schools in target districts are benefit from improved teaching (AusAID)</w:t>
            </w:r>
          </w:p>
        </w:tc>
      </w:tr>
      <w:tr w:rsidR="000A7545" w:rsidRPr="000A7545" w14:paraId="13B56116" w14:textId="77777777" w:rsidTr="000A7545">
        <w:trPr>
          <w:trHeight w:val="520"/>
        </w:trPr>
        <w:tc>
          <w:tcPr>
            <w:tcW w:w="539" w:type="pct"/>
            <w:gridSpan w:val="2"/>
            <w:shd w:val="clear" w:color="auto" w:fill="FDE9D9" w:themeFill="accent6" w:themeFillTint="33"/>
            <w:vAlign w:val="center"/>
          </w:tcPr>
          <w:p w14:paraId="13B56114" w14:textId="77777777" w:rsidR="000A7545" w:rsidRPr="000A7545" w:rsidRDefault="000A7545" w:rsidP="000A7545">
            <w:pPr>
              <w:spacing w:after="0" w:line="240" w:lineRule="auto"/>
              <w:rPr>
                <w:rFonts w:asciiTheme="minorHAnsi" w:eastAsia="Times New Roman" w:hAnsiTheme="minorHAnsi" w:cstheme="minorHAnsi"/>
                <w:bCs/>
                <w:lang w:val="en-US"/>
              </w:rPr>
            </w:pPr>
            <w:r w:rsidRPr="000A7545">
              <w:rPr>
                <w:rFonts w:asciiTheme="minorHAnsi" w:eastAsia="Times New Roman" w:hAnsiTheme="minorHAnsi" w:cstheme="minorHAnsi"/>
                <w:bCs/>
                <w:lang w:val="en-US"/>
              </w:rPr>
              <w:t>Outcome 1.3</w:t>
            </w:r>
          </w:p>
        </w:tc>
        <w:tc>
          <w:tcPr>
            <w:tcW w:w="4461" w:type="pct"/>
            <w:gridSpan w:val="11"/>
            <w:shd w:val="clear" w:color="auto" w:fill="DAEEF3" w:themeFill="accent5" w:themeFillTint="33"/>
            <w:vAlign w:val="center"/>
          </w:tcPr>
          <w:p w14:paraId="13B56115" w14:textId="77777777" w:rsidR="000A7545" w:rsidRPr="000A7545" w:rsidRDefault="000A7545" w:rsidP="000A7545">
            <w:pPr>
              <w:spacing w:after="0" w:line="240" w:lineRule="auto"/>
              <w:rPr>
                <w:rFonts w:asciiTheme="minorHAnsi" w:eastAsia="Times New Roman" w:hAnsiTheme="minorHAnsi" w:cstheme="minorHAnsi"/>
                <w:bCs/>
                <w:color w:val="000000"/>
                <w:lang w:val="en-US"/>
              </w:rPr>
            </w:pPr>
            <w:r w:rsidRPr="000A7545">
              <w:rPr>
                <w:rFonts w:asciiTheme="minorHAnsi" w:eastAsia="Times New Roman" w:hAnsiTheme="minorHAnsi" w:cstheme="minorHAnsi"/>
                <w:bCs/>
                <w:color w:val="000000"/>
                <w:lang w:val="en-US"/>
              </w:rPr>
              <w:t>P</w:t>
            </w:r>
            <w:r w:rsidRPr="000A7545">
              <w:rPr>
                <w:rFonts w:asciiTheme="minorHAnsi" w:eastAsia="Times New Roman" w:hAnsiTheme="minorHAnsi" w:cstheme="minorHAnsi"/>
                <w:bCs/>
                <w:color w:val="000000"/>
                <w:lang w:val="id-ID"/>
              </w:rPr>
              <w:t>rincipals</w:t>
            </w:r>
            <w:r w:rsidRPr="000A7545">
              <w:rPr>
                <w:rFonts w:asciiTheme="minorHAnsi" w:eastAsia="Times New Roman" w:hAnsiTheme="minorHAnsi" w:cstheme="minorHAnsi"/>
                <w:bCs/>
                <w:color w:val="000000"/>
                <w:lang w:val="en-US"/>
              </w:rPr>
              <w:t>,</w:t>
            </w:r>
            <w:r w:rsidRPr="000A7545">
              <w:rPr>
                <w:rFonts w:asciiTheme="minorHAnsi" w:eastAsia="Times New Roman" w:hAnsiTheme="minorHAnsi" w:cstheme="minorHAnsi"/>
                <w:bCs/>
                <w:color w:val="000000"/>
                <w:lang w:val="id-ID"/>
              </w:rPr>
              <w:t xml:space="preserve"> supervisors</w:t>
            </w:r>
            <w:r w:rsidRPr="000A7545">
              <w:rPr>
                <w:rFonts w:asciiTheme="minorHAnsi" w:eastAsia="Times New Roman" w:hAnsiTheme="minorHAnsi" w:cstheme="minorHAnsi"/>
                <w:bCs/>
                <w:color w:val="000000"/>
                <w:lang w:val="en-US"/>
              </w:rPr>
              <w:t xml:space="preserve"> and school committees have stronger </w:t>
            </w:r>
            <w:r w:rsidRPr="000A7545">
              <w:rPr>
                <w:rFonts w:asciiTheme="minorHAnsi" w:eastAsia="Times New Roman" w:hAnsiTheme="minorHAnsi" w:cstheme="minorHAnsi"/>
                <w:bCs/>
                <w:color w:val="000000"/>
                <w:lang w:val="id-ID"/>
              </w:rPr>
              <w:t xml:space="preserve">leadership </w:t>
            </w:r>
            <w:r w:rsidRPr="000A7545">
              <w:rPr>
                <w:rFonts w:asciiTheme="minorHAnsi" w:eastAsia="Times New Roman" w:hAnsiTheme="minorHAnsi" w:cstheme="minorHAnsi"/>
                <w:bCs/>
                <w:color w:val="000000"/>
                <w:lang w:val="en-US"/>
              </w:rPr>
              <w:t>and management skills</w:t>
            </w:r>
            <w:r w:rsidRPr="000A7545">
              <w:rPr>
                <w:rFonts w:asciiTheme="minorHAnsi" w:eastAsia="Times New Roman" w:hAnsiTheme="minorHAnsi" w:cstheme="minorHAnsi"/>
                <w:bCs/>
                <w:color w:val="000000"/>
                <w:lang w:val="id-ID"/>
              </w:rPr>
              <w:t xml:space="preserve"> </w:t>
            </w:r>
            <w:r w:rsidRPr="000A7545">
              <w:rPr>
                <w:rFonts w:asciiTheme="minorHAnsi" w:eastAsia="Times New Roman" w:hAnsiTheme="minorHAnsi" w:cstheme="minorHAnsi"/>
                <w:bCs/>
                <w:lang w:val="en-US"/>
              </w:rPr>
              <w:t>(AusAID and USAID)</w:t>
            </w:r>
          </w:p>
        </w:tc>
      </w:tr>
      <w:tr w:rsidR="000A7545" w:rsidRPr="000A7545" w14:paraId="13B56118" w14:textId="77777777" w:rsidTr="000A7545">
        <w:trPr>
          <w:trHeight w:val="439"/>
        </w:trPr>
        <w:tc>
          <w:tcPr>
            <w:tcW w:w="5000" w:type="pct"/>
            <w:gridSpan w:val="13"/>
            <w:shd w:val="clear" w:color="auto" w:fill="8DB3E2" w:themeFill="text2" w:themeFillTint="66"/>
            <w:vAlign w:val="center"/>
          </w:tcPr>
          <w:p w14:paraId="13B56117" w14:textId="77777777" w:rsidR="000A7545" w:rsidRPr="000A7545" w:rsidRDefault="000A7545" w:rsidP="000A7545">
            <w:pPr>
              <w:spacing w:after="0" w:line="240" w:lineRule="auto"/>
              <w:rPr>
                <w:rFonts w:asciiTheme="minorHAnsi" w:eastAsia="Times New Roman" w:hAnsiTheme="minorHAnsi" w:cstheme="minorHAnsi"/>
                <w:b/>
                <w:bCs/>
                <w:lang w:val="en-US"/>
              </w:rPr>
            </w:pPr>
            <w:r w:rsidRPr="000A7545">
              <w:rPr>
                <w:rFonts w:ascii="Times New Roman" w:hAnsi="Times New Roman" w:cs="Times New Roman"/>
                <w:sz w:val="24"/>
                <w:szCs w:val="24"/>
                <w:lang w:val="id-ID"/>
              </w:rPr>
              <w:br w:type="page"/>
            </w:r>
            <w:r w:rsidRPr="000A7545">
              <w:rPr>
                <w:rFonts w:asciiTheme="minorHAnsi" w:eastAsia="Times New Roman" w:hAnsiTheme="minorHAnsi" w:cstheme="minorHAnsi"/>
                <w:b/>
                <w:bCs/>
                <w:lang w:val="en-US"/>
              </w:rPr>
              <w:t xml:space="preserve">OUTCOME </w:t>
            </w:r>
            <w:r w:rsidRPr="000A7545">
              <w:rPr>
                <w:rFonts w:asciiTheme="minorHAnsi" w:eastAsia="Times New Roman" w:hAnsiTheme="minorHAnsi" w:cstheme="minorHAnsi"/>
                <w:b/>
                <w:bCs/>
                <w:lang w:val="id-ID"/>
              </w:rPr>
              <w:t>1</w:t>
            </w:r>
            <w:r w:rsidRPr="000A7545">
              <w:rPr>
                <w:rFonts w:asciiTheme="minorHAnsi" w:eastAsia="Times New Roman" w:hAnsiTheme="minorHAnsi" w:cstheme="minorHAnsi"/>
                <w:b/>
                <w:bCs/>
                <w:lang w:val="en-US"/>
              </w:rPr>
              <w:t>.1</w:t>
            </w:r>
            <w:r w:rsidRPr="000A7545">
              <w:rPr>
                <w:rFonts w:asciiTheme="minorHAnsi" w:eastAsia="Times New Roman" w:hAnsiTheme="minorHAnsi" w:cstheme="minorHAnsi"/>
                <w:b/>
                <w:bCs/>
                <w:lang w:val="id-ID"/>
              </w:rPr>
              <w:t>: Strengthened education strategic planning</w:t>
            </w:r>
            <w:r w:rsidRPr="000A7545">
              <w:rPr>
                <w:rFonts w:asciiTheme="minorHAnsi" w:eastAsia="Times New Roman" w:hAnsiTheme="minorHAnsi" w:cstheme="minorHAnsi"/>
                <w:b/>
                <w:bCs/>
                <w:lang w:val="en-US"/>
              </w:rPr>
              <w:t xml:space="preserve"> (AusAID and USAID)</w:t>
            </w:r>
          </w:p>
        </w:tc>
      </w:tr>
      <w:tr w:rsidR="000A7545" w:rsidRPr="000A7545" w14:paraId="13B56133" w14:textId="77777777" w:rsidTr="000A7545">
        <w:trPr>
          <w:trHeight w:val="322"/>
        </w:trPr>
        <w:tc>
          <w:tcPr>
            <w:tcW w:w="530" w:type="pct"/>
            <w:vMerge w:val="restart"/>
            <w:shd w:val="clear" w:color="auto" w:fill="FDE9D9" w:themeFill="accent6" w:themeFillTint="33"/>
            <w:hideMark/>
          </w:tcPr>
          <w:p w14:paraId="13B56119" w14:textId="77777777" w:rsidR="000A7545" w:rsidRPr="000A7545" w:rsidRDefault="000A7545" w:rsidP="008951AA">
            <w:pPr>
              <w:spacing w:after="0" w:line="240" w:lineRule="auto"/>
              <w:rPr>
                <w:rFonts w:asciiTheme="minorHAnsi" w:eastAsia="Times New Roman" w:hAnsiTheme="minorHAnsi" w:cstheme="minorHAnsi"/>
                <w:b/>
                <w:bCs/>
                <w:sz w:val="20"/>
                <w:szCs w:val="20"/>
                <w:lang w:val="en-US"/>
              </w:rPr>
            </w:pPr>
            <w:r w:rsidRPr="000A7545">
              <w:rPr>
                <w:rFonts w:asciiTheme="minorHAnsi" w:eastAsia="Times New Roman" w:hAnsiTheme="minorHAnsi" w:cstheme="minorHAnsi"/>
                <w:b/>
                <w:bCs/>
                <w:sz w:val="20"/>
                <w:szCs w:val="20"/>
                <w:lang w:val="id-ID"/>
              </w:rPr>
              <w:t xml:space="preserve">Outcome 1.1: </w:t>
            </w:r>
            <w:r w:rsidRPr="000A7545">
              <w:rPr>
                <w:rFonts w:asciiTheme="minorHAnsi" w:eastAsia="Times New Roman" w:hAnsiTheme="minorHAnsi" w:cstheme="minorHAnsi"/>
                <w:b/>
                <w:bCs/>
                <w:sz w:val="20"/>
                <w:szCs w:val="20"/>
                <w:lang w:val="en-US"/>
              </w:rPr>
              <w:t>Provincial and Selected District Education Offices use p</w:t>
            </w:r>
            <w:r w:rsidRPr="000A7545">
              <w:rPr>
                <w:rFonts w:asciiTheme="minorHAnsi" w:eastAsia="Times New Roman" w:hAnsiTheme="minorHAnsi" w:cstheme="minorHAnsi"/>
                <w:b/>
                <w:bCs/>
                <w:sz w:val="20"/>
                <w:szCs w:val="20"/>
                <w:lang w:val="id-ID"/>
              </w:rPr>
              <w:t xml:space="preserve">lans </w:t>
            </w:r>
            <w:r w:rsidRPr="000A7545">
              <w:rPr>
                <w:rFonts w:asciiTheme="minorHAnsi" w:eastAsia="Times New Roman" w:hAnsiTheme="minorHAnsi" w:cstheme="minorHAnsi"/>
                <w:b/>
                <w:bCs/>
                <w:sz w:val="20"/>
                <w:szCs w:val="20"/>
                <w:lang w:val="en-US"/>
              </w:rPr>
              <w:t>(</w:t>
            </w:r>
            <w:r w:rsidR="008951AA">
              <w:rPr>
                <w:rFonts w:asciiTheme="minorHAnsi" w:eastAsia="Times New Roman" w:hAnsiTheme="minorHAnsi" w:cstheme="minorHAnsi"/>
                <w:b/>
                <w:bCs/>
                <w:sz w:val="20"/>
                <w:szCs w:val="20"/>
                <w:lang w:val="en-US"/>
              </w:rPr>
              <w:t>Renstra</w:t>
            </w:r>
            <w:r w:rsidRPr="000A7545">
              <w:rPr>
                <w:rFonts w:asciiTheme="minorHAnsi" w:eastAsia="Times New Roman" w:hAnsiTheme="minorHAnsi" w:cstheme="minorHAnsi"/>
                <w:b/>
                <w:bCs/>
                <w:sz w:val="20"/>
                <w:szCs w:val="20"/>
                <w:lang w:val="en-US"/>
              </w:rPr>
              <w:t xml:space="preserve"> </w:t>
            </w:r>
            <w:r w:rsidRPr="000A7545">
              <w:rPr>
                <w:rFonts w:asciiTheme="minorHAnsi" w:eastAsia="Times New Roman" w:hAnsiTheme="minorHAnsi" w:cstheme="minorHAnsi"/>
                <w:b/>
                <w:bCs/>
                <w:sz w:val="20"/>
                <w:szCs w:val="20"/>
                <w:lang w:val="id-ID"/>
              </w:rPr>
              <w:t xml:space="preserve">and </w:t>
            </w:r>
            <w:r w:rsidR="008951AA">
              <w:rPr>
                <w:rFonts w:asciiTheme="minorHAnsi" w:eastAsia="Times New Roman" w:hAnsiTheme="minorHAnsi" w:cstheme="minorHAnsi"/>
                <w:b/>
                <w:bCs/>
                <w:sz w:val="20"/>
                <w:szCs w:val="20"/>
                <w:lang w:val="en-US"/>
              </w:rPr>
              <w:t>Renja</w:t>
            </w:r>
            <w:r w:rsidRPr="000A7545">
              <w:rPr>
                <w:rFonts w:asciiTheme="minorHAnsi" w:eastAsia="Times New Roman" w:hAnsiTheme="minorHAnsi" w:cstheme="minorHAnsi"/>
                <w:b/>
                <w:bCs/>
                <w:sz w:val="20"/>
                <w:szCs w:val="20"/>
                <w:lang w:val="en-US"/>
              </w:rPr>
              <w:t>)</w:t>
            </w:r>
            <w:r w:rsidRPr="000A7545">
              <w:rPr>
                <w:rFonts w:asciiTheme="minorHAnsi" w:eastAsia="Times New Roman" w:hAnsiTheme="minorHAnsi" w:cstheme="minorHAnsi"/>
                <w:b/>
                <w:bCs/>
                <w:sz w:val="20"/>
                <w:szCs w:val="20"/>
                <w:lang w:val="id-ID"/>
              </w:rPr>
              <w:t xml:space="preserve"> </w:t>
            </w:r>
            <w:r w:rsidRPr="000A7545">
              <w:rPr>
                <w:rFonts w:asciiTheme="minorHAnsi" w:eastAsia="Times New Roman" w:hAnsiTheme="minorHAnsi" w:cstheme="minorHAnsi"/>
                <w:b/>
                <w:bCs/>
                <w:sz w:val="20"/>
                <w:szCs w:val="20"/>
                <w:lang w:val="en-US"/>
              </w:rPr>
              <w:t>including improved budgeting and financial management system (AusAID and USAID)</w:t>
            </w:r>
          </w:p>
        </w:tc>
        <w:tc>
          <w:tcPr>
            <w:tcW w:w="1030" w:type="pct"/>
            <w:gridSpan w:val="5"/>
            <w:shd w:val="clear" w:color="000000" w:fill="DBE5F1"/>
            <w:hideMark/>
          </w:tcPr>
          <w:p w14:paraId="13B5611A" w14:textId="77777777" w:rsidR="000A7545" w:rsidRPr="000A7545" w:rsidRDefault="000A7545" w:rsidP="000A7545">
            <w:pPr>
              <w:spacing w:after="0" w:line="240" w:lineRule="auto"/>
              <w:rPr>
                <w:rFonts w:asciiTheme="minorHAnsi" w:eastAsia="Symbol" w:hAnsiTheme="minorHAnsi" w:cstheme="minorHAnsi"/>
                <w:sz w:val="20"/>
                <w:szCs w:val="20"/>
                <w:lang w:val="en-US"/>
              </w:rPr>
            </w:pPr>
            <w:r w:rsidRPr="000A7545">
              <w:rPr>
                <w:rFonts w:asciiTheme="minorHAnsi" w:eastAsia="Symbol" w:hAnsiTheme="minorHAnsi" w:cstheme="minorHAnsi"/>
                <w:sz w:val="20"/>
                <w:szCs w:val="20"/>
                <w:lang w:val="en-US"/>
              </w:rPr>
              <w:t xml:space="preserve">1.1a. </w:t>
            </w:r>
            <w:r w:rsidRPr="000A7545">
              <w:rPr>
                <w:rFonts w:asciiTheme="minorHAnsi" w:eastAsia="Symbol" w:hAnsiTheme="minorHAnsi" w:cstheme="minorHAnsi"/>
                <w:sz w:val="20"/>
                <w:szCs w:val="20"/>
                <w:lang w:val="id-ID"/>
              </w:rPr>
              <w:t>% of education offices in target districts</w:t>
            </w:r>
            <w:r w:rsidRPr="000A7545">
              <w:rPr>
                <w:rFonts w:asciiTheme="minorHAnsi" w:eastAsia="Symbol" w:hAnsiTheme="minorHAnsi" w:cstheme="minorHAnsi"/>
                <w:sz w:val="20"/>
                <w:szCs w:val="20"/>
                <w:lang w:val="en-US"/>
              </w:rPr>
              <w:t xml:space="preserve"> and </w:t>
            </w:r>
            <w:r w:rsidRPr="000A7545">
              <w:rPr>
                <w:rFonts w:asciiTheme="minorHAnsi" w:eastAsia="Symbol" w:hAnsiTheme="minorHAnsi" w:cstheme="minorHAnsi"/>
                <w:sz w:val="20"/>
                <w:szCs w:val="20"/>
                <w:lang w:val="id-ID"/>
              </w:rPr>
              <w:t>provinces using</w:t>
            </w:r>
            <w:r w:rsidRPr="000A7545">
              <w:rPr>
                <w:rFonts w:asciiTheme="minorHAnsi" w:eastAsia="Symbol" w:hAnsiTheme="minorHAnsi" w:cstheme="minorHAnsi"/>
                <w:sz w:val="20"/>
                <w:szCs w:val="20"/>
                <w:lang w:val="en-US"/>
              </w:rPr>
              <w:t xml:space="preserve"> </w:t>
            </w:r>
            <w:r w:rsidRPr="000A7545">
              <w:rPr>
                <w:rFonts w:asciiTheme="minorHAnsi" w:eastAsia="Symbol" w:hAnsiTheme="minorHAnsi" w:cstheme="minorHAnsi"/>
                <w:sz w:val="20"/>
                <w:szCs w:val="20"/>
                <w:lang w:val="id-ID"/>
              </w:rPr>
              <w:t>improved quality education strategic plans</w:t>
            </w:r>
            <w:r w:rsidRPr="000A7545">
              <w:rPr>
                <w:rFonts w:asciiTheme="minorHAnsi" w:eastAsia="Symbol" w:hAnsiTheme="minorHAnsi" w:cstheme="minorHAnsi"/>
                <w:sz w:val="20"/>
                <w:szCs w:val="20"/>
                <w:lang w:val="en-US"/>
              </w:rPr>
              <w:t xml:space="preserve"> with</w:t>
            </w:r>
          </w:p>
          <w:p w14:paraId="13B5611B" w14:textId="77777777" w:rsidR="000A7545" w:rsidRPr="000A7545" w:rsidRDefault="000A7545" w:rsidP="00FA09D3">
            <w:pPr>
              <w:numPr>
                <w:ilvl w:val="0"/>
                <w:numId w:val="20"/>
              </w:numPr>
              <w:spacing w:after="0" w:line="240" w:lineRule="auto"/>
              <w:ind w:left="251" w:hanging="27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Child focussed budgeting</w:t>
            </w:r>
          </w:p>
          <w:p w14:paraId="13B5611C" w14:textId="77777777" w:rsidR="000A7545" w:rsidRPr="000A7545" w:rsidRDefault="000A7545" w:rsidP="00FA09D3">
            <w:pPr>
              <w:numPr>
                <w:ilvl w:val="0"/>
                <w:numId w:val="20"/>
              </w:numPr>
              <w:spacing w:after="0" w:line="240" w:lineRule="auto"/>
              <w:ind w:left="251" w:hanging="27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Alignment with higher level plans</w:t>
            </w:r>
          </w:p>
          <w:p w14:paraId="13B5611D" w14:textId="77777777" w:rsidR="000A7545" w:rsidRPr="000A7545" w:rsidRDefault="000A7545" w:rsidP="00FA09D3">
            <w:pPr>
              <w:numPr>
                <w:ilvl w:val="0"/>
                <w:numId w:val="20"/>
              </w:numPr>
              <w:spacing w:after="0" w:line="240" w:lineRule="auto"/>
              <w:ind w:left="251" w:hanging="27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Participation</w:t>
            </w:r>
            <w:r w:rsidRPr="000A7545">
              <w:rPr>
                <w:rFonts w:asciiTheme="minorHAnsi" w:eastAsia="Times New Roman" w:hAnsiTheme="minorHAnsi" w:cstheme="minorHAnsi"/>
                <w:sz w:val="20"/>
                <w:szCs w:val="20"/>
                <w:lang w:val="en-US"/>
              </w:rPr>
              <w:t xml:space="preserve"> process</w:t>
            </w:r>
          </w:p>
        </w:tc>
        <w:tc>
          <w:tcPr>
            <w:tcW w:w="1117" w:type="pct"/>
            <w:shd w:val="clear" w:color="000000" w:fill="DBE5F1"/>
            <w:hideMark/>
          </w:tcPr>
          <w:p w14:paraId="13B5611E" w14:textId="77777777" w:rsidR="000A7545" w:rsidRPr="000A7545" w:rsidRDefault="000A7545" w:rsidP="000A7545">
            <w:pPr>
              <w:tabs>
                <w:tab w:val="left" w:pos="0"/>
              </w:tabs>
              <w:autoSpaceDE w:val="0"/>
              <w:autoSpaceDN w:val="0"/>
              <w:adjustRightInd w:val="0"/>
              <w:spacing w:after="0" w:line="240" w:lineRule="auto"/>
              <w:ind w:right="-225"/>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2 </w:t>
            </w:r>
            <w:r w:rsidRPr="000A7545">
              <w:rPr>
                <w:rFonts w:asciiTheme="minorHAnsi" w:eastAsia="Times New Roman" w:hAnsiTheme="minorHAnsi" w:cstheme="minorHAnsi"/>
                <w:b/>
                <w:sz w:val="20"/>
                <w:szCs w:val="20"/>
                <w:lang w:val="en-US"/>
              </w:rPr>
              <w:t>Provinces</w:t>
            </w:r>
            <w:r w:rsidRPr="000A7545">
              <w:rPr>
                <w:rFonts w:asciiTheme="minorHAnsi" w:eastAsia="Times New Roman" w:hAnsiTheme="minorHAnsi" w:cstheme="minorHAnsi"/>
                <w:sz w:val="20"/>
                <w:szCs w:val="20"/>
                <w:lang w:val="en-US"/>
              </w:rPr>
              <w:t xml:space="preserve"> have </w:t>
            </w:r>
            <w:r w:rsidRPr="000A7545">
              <w:rPr>
                <w:rFonts w:asciiTheme="minorHAnsi" w:eastAsia="Times New Roman" w:hAnsiTheme="minorHAnsi" w:cstheme="minorHAnsi"/>
                <w:i/>
                <w:sz w:val="20"/>
                <w:szCs w:val="20"/>
                <w:lang w:val="en-US"/>
              </w:rPr>
              <w:t>Renstra</w:t>
            </w:r>
          </w:p>
          <w:p w14:paraId="13B5611F" w14:textId="77777777" w:rsidR="000A7545" w:rsidRPr="000A7545" w:rsidRDefault="000A7545" w:rsidP="00FA09D3">
            <w:pPr>
              <w:numPr>
                <w:ilvl w:val="0"/>
                <w:numId w:val="30"/>
              </w:numPr>
              <w:autoSpaceDE w:val="0"/>
              <w:autoSpaceDN w:val="0"/>
              <w:adjustRightInd w:val="0"/>
              <w:spacing w:after="0" w:line="240" w:lineRule="auto"/>
              <w:ind w:left="249" w:hanging="249"/>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u w:val="single"/>
                <w:lang w:val="en-US"/>
              </w:rPr>
              <w:t>Child focused budgeting:</w:t>
            </w:r>
            <w:r w:rsidRPr="000A7545">
              <w:rPr>
                <w:rFonts w:asciiTheme="minorHAnsi" w:eastAsia="Times New Roman" w:hAnsiTheme="minorHAnsi" w:cstheme="minorHAnsi"/>
                <w:sz w:val="20"/>
                <w:szCs w:val="20"/>
                <w:lang w:val="en-US"/>
              </w:rPr>
              <w:t xml:space="preserve"> </w:t>
            </w:r>
            <w:r w:rsidRPr="000A7545">
              <w:rPr>
                <w:rFonts w:asciiTheme="minorHAnsi" w:eastAsia="Times New Roman" w:hAnsiTheme="minorHAnsi" w:cstheme="minorHAnsi"/>
                <w:b/>
                <w:sz w:val="20"/>
                <w:szCs w:val="20"/>
                <w:lang w:val="en-US"/>
              </w:rPr>
              <w:t xml:space="preserve">Papua Province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(2006-2011) strong focus on infrastructure inputs and teacher certification, pro-poor focus through scholarship programs; </w:t>
            </w:r>
            <w:r w:rsidRPr="000A7545">
              <w:rPr>
                <w:rFonts w:asciiTheme="minorHAnsi" w:eastAsia="Times New Roman" w:hAnsiTheme="minorHAnsi" w:cstheme="minorHAnsi"/>
                <w:b/>
                <w:sz w:val="20"/>
                <w:szCs w:val="20"/>
                <w:lang w:val="en-US"/>
              </w:rPr>
              <w:t>West Papua</w:t>
            </w:r>
            <w:r w:rsidRPr="000A7545">
              <w:rPr>
                <w:rFonts w:asciiTheme="minorHAnsi" w:eastAsia="Times New Roman" w:hAnsiTheme="minorHAnsi" w:cstheme="minorHAnsi"/>
                <w:sz w:val="20"/>
                <w:szCs w:val="20"/>
                <w:lang w:val="en-US"/>
              </w:rPr>
              <w:t xml:space="preserv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(2008 – 2012) focused</w:t>
            </w:r>
            <w:r w:rsidRPr="000A7545">
              <w:rPr>
                <w:rFonts w:asciiTheme="minorHAnsi" w:hAnsiTheme="minorHAnsi" w:cstheme="minorHAnsi"/>
                <w:color w:val="000000"/>
                <w:sz w:val="20"/>
                <w:szCs w:val="20"/>
              </w:rPr>
              <w:t xml:space="preserve"> more on facilities and not on quality or equity for children.</w:t>
            </w:r>
          </w:p>
          <w:p w14:paraId="13B56120" w14:textId="77777777" w:rsidR="000A7545" w:rsidRPr="000A7545" w:rsidRDefault="000A7545" w:rsidP="00FA09D3">
            <w:pPr>
              <w:numPr>
                <w:ilvl w:val="0"/>
                <w:numId w:val="30"/>
              </w:numPr>
              <w:autoSpaceDE w:val="0"/>
              <w:autoSpaceDN w:val="0"/>
              <w:adjustRightInd w:val="0"/>
              <w:spacing w:after="0" w:line="240" w:lineRule="auto"/>
              <w:ind w:left="249" w:right="-3" w:hanging="249"/>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u w:val="single"/>
                <w:lang w:val="en-US"/>
              </w:rPr>
              <w:t>Alignment with higher level plans:</w:t>
            </w:r>
            <w:r w:rsidRPr="000A7545">
              <w:rPr>
                <w:rFonts w:asciiTheme="minorHAnsi" w:eastAsia="Times New Roman" w:hAnsiTheme="minorHAnsi" w:cstheme="minorHAnsi"/>
                <w:sz w:val="20"/>
                <w:szCs w:val="20"/>
                <w:lang w:val="en-US"/>
              </w:rPr>
              <w:t xml:space="preserve"> Quality of </w:t>
            </w:r>
            <w:r w:rsidRPr="000A7545">
              <w:rPr>
                <w:rFonts w:asciiTheme="minorHAnsi" w:eastAsia="Times New Roman" w:hAnsiTheme="minorHAnsi" w:cstheme="minorHAnsi"/>
                <w:b/>
                <w:sz w:val="20"/>
                <w:szCs w:val="20"/>
                <w:lang w:val="en-US"/>
              </w:rPr>
              <w:t>Papua Province</w:t>
            </w:r>
            <w:r w:rsidRPr="000A7545">
              <w:rPr>
                <w:rFonts w:asciiTheme="minorHAnsi" w:eastAsia="Times New Roman" w:hAnsiTheme="minorHAnsi" w:cstheme="minorHAnsi"/>
                <w:sz w:val="20"/>
                <w:szCs w:val="20"/>
                <w:lang w:val="en-US"/>
              </w:rPr>
              <w:t xml:space="preserv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w:t>
            </w:r>
            <w:r w:rsidR="00A54926">
              <w:rPr>
                <w:rFonts w:asciiTheme="minorHAnsi" w:eastAsia="Times New Roman" w:hAnsiTheme="minorHAnsi" w:cstheme="minorHAnsi"/>
                <w:sz w:val="20"/>
                <w:szCs w:val="20"/>
                <w:lang w:val="en-US"/>
              </w:rPr>
              <w:t xml:space="preserve"> needs to be strengthened</w:t>
            </w:r>
            <w:r w:rsidRPr="000A7545">
              <w:rPr>
                <w:rFonts w:asciiTheme="minorHAnsi" w:eastAsia="Times New Roman" w:hAnsiTheme="minorHAnsi" w:cstheme="minorHAnsi"/>
                <w:sz w:val="20"/>
                <w:szCs w:val="20"/>
                <w:lang w:val="en-US"/>
              </w:rPr>
              <w:t xml:space="preserve">; </w:t>
            </w:r>
            <w:r w:rsidRPr="000A7545">
              <w:rPr>
                <w:rFonts w:asciiTheme="minorHAnsi" w:hAnsiTheme="minorHAnsi" w:cstheme="minorHAnsi"/>
                <w:color w:val="000000"/>
                <w:sz w:val="20"/>
                <w:szCs w:val="20"/>
              </w:rPr>
              <w:t xml:space="preserve">not linked clearly to National </w:t>
            </w:r>
            <w:r w:rsidRPr="000A7545">
              <w:rPr>
                <w:rFonts w:asciiTheme="minorHAnsi" w:hAnsiTheme="minorHAnsi" w:cstheme="minorHAnsi"/>
                <w:i/>
                <w:iCs/>
                <w:color w:val="000000"/>
                <w:sz w:val="20"/>
                <w:szCs w:val="20"/>
              </w:rPr>
              <w:t>Renstra</w:t>
            </w:r>
            <w:r w:rsidRPr="000A7545">
              <w:rPr>
                <w:rFonts w:asciiTheme="minorHAnsi" w:hAnsiTheme="minorHAnsi" w:cstheme="minorHAnsi"/>
                <w:color w:val="000000"/>
                <w:sz w:val="20"/>
                <w:szCs w:val="20"/>
              </w:rPr>
              <w:t xml:space="preserve">; analysis and M&amp;E components need improvement; </w:t>
            </w:r>
            <w:r w:rsidRPr="000A7545">
              <w:rPr>
                <w:rFonts w:asciiTheme="minorHAnsi" w:hAnsiTheme="minorHAnsi" w:cstheme="minorHAnsi"/>
                <w:b/>
                <w:color w:val="000000"/>
                <w:sz w:val="20"/>
                <w:szCs w:val="20"/>
              </w:rPr>
              <w:t>West Papua</w:t>
            </w:r>
            <w:r w:rsidRPr="000A7545">
              <w:rPr>
                <w:rFonts w:asciiTheme="minorHAnsi" w:hAnsiTheme="minorHAnsi" w:cstheme="minorHAnsi"/>
                <w:color w:val="000000"/>
                <w:sz w:val="20"/>
                <w:szCs w:val="20"/>
              </w:rPr>
              <w:t xml:space="preserve"> </w:t>
            </w:r>
            <w:r w:rsidRPr="000A7545">
              <w:rPr>
                <w:rFonts w:asciiTheme="minorHAnsi" w:hAnsiTheme="minorHAnsi" w:cstheme="minorHAnsi"/>
                <w:i/>
                <w:color w:val="000000"/>
                <w:sz w:val="20"/>
                <w:szCs w:val="20"/>
              </w:rPr>
              <w:t xml:space="preserve">Renstra: </w:t>
            </w:r>
            <w:r w:rsidRPr="000A7545">
              <w:rPr>
                <w:rFonts w:asciiTheme="minorHAnsi" w:hAnsiTheme="minorHAnsi" w:cstheme="minorHAnsi"/>
                <w:color w:val="000000"/>
                <w:sz w:val="20"/>
                <w:szCs w:val="20"/>
              </w:rPr>
              <w:t>same as Papua province.</w:t>
            </w:r>
          </w:p>
          <w:p w14:paraId="13B56121" w14:textId="77777777" w:rsidR="000A7545" w:rsidRPr="000A7545" w:rsidRDefault="000A7545" w:rsidP="00FA09D3">
            <w:pPr>
              <w:numPr>
                <w:ilvl w:val="0"/>
                <w:numId w:val="30"/>
              </w:numPr>
              <w:autoSpaceDE w:val="0"/>
              <w:autoSpaceDN w:val="0"/>
              <w:adjustRightInd w:val="0"/>
              <w:spacing w:after="0" w:line="240" w:lineRule="auto"/>
              <w:ind w:left="249" w:right="-3" w:hanging="249"/>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u w:val="single"/>
                <w:lang w:val="en-US"/>
              </w:rPr>
              <w:t>Participatory process</w:t>
            </w:r>
            <w:r w:rsidRPr="000A7545">
              <w:rPr>
                <w:rFonts w:asciiTheme="minorHAnsi" w:eastAsia="Times New Roman" w:hAnsiTheme="minorHAnsi" w:cstheme="minorHAnsi"/>
                <w:sz w:val="20"/>
                <w:szCs w:val="20"/>
                <w:lang w:val="en-US"/>
              </w:rPr>
              <w:t xml:space="preserve">: </w:t>
            </w:r>
            <w:r w:rsidRPr="000A7545">
              <w:rPr>
                <w:rFonts w:asciiTheme="minorHAnsi" w:eastAsia="Times New Roman" w:hAnsiTheme="minorHAnsi" w:cstheme="minorHAnsi"/>
                <w:b/>
                <w:sz w:val="20"/>
                <w:szCs w:val="20"/>
                <w:lang w:val="en-US"/>
              </w:rPr>
              <w:t xml:space="preserve">Papua Province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(2007)was based on </w:t>
            </w:r>
            <w:r w:rsidRPr="000A7545">
              <w:rPr>
                <w:rFonts w:asciiTheme="minorHAnsi" w:hAnsiTheme="minorHAnsi" w:cstheme="minorHAnsi"/>
                <w:color w:val="000000"/>
                <w:sz w:val="20"/>
                <w:szCs w:val="20"/>
              </w:rPr>
              <w:t>two public consultations initially; revisions were internal; not widely distributed within office</w:t>
            </w:r>
            <w:r w:rsidRPr="000A7545">
              <w:rPr>
                <w:rFonts w:asciiTheme="minorHAnsi" w:hAnsiTheme="minorHAnsi" w:cstheme="minorHAnsi"/>
                <w:b/>
                <w:color w:val="000000"/>
                <w:sz w:val="20"/>
                <w:szCs w:val="20"/>
              </w:rPr>
              <w:t>;  West Papua</w:t>
            </w:r>
            <w:r w:rsidRPr="000A7545">
              <w:rPr>
                <w:rFonts w:asciiTheme="minorHAnsi" w:hAnsiTheme="minorHAnsi" w:cstheme="minorHAnsi"/>
                <w:color w:val="000000"/>
                <w:sz w:val="20"/>
                <w:szCs w:val="20"/>
              </w:rPr>
              <w:t xml:space="preserve"> </w:t>
            </w:r>
            <w:r w:rsidRPr="000A7545">
              <w:rPr>
                <w:rFonts w:asciiTheme="minorHAnsi" w:hAnsiTheme="minorHAnsi" w:cstheme="minorHAnsi"/>
                <w:i/>
                <w:color w:val="000000"/>
                <w:sz w:val="20"/>
                <w:szCs w:val="20"/>
              </w:rPr>
              <w:t>Renstra</w:t>
            </w:r>
            <w:r w:rsidRPr="000A7545">
              <w:rPr>
                <w:rFonts w:asciiTheme="minorHAnsi" w:hAnsiTheme="minorHAnsi" w:cstheme="minorHAnsi"/>
                <w:color w:val="000000"/>
                <w:sz w:val="20"/>
                <w:szCs w:val="20"/>
              </w:rPr>
              <w:t xml:space="preserve"> (2008) had limited public participation in drafting of plans.</w:t>
            </w:r>
          </w:p>
          <w:p w14:paraId="13B56122" w14:textId="77777777" w:rsidR="000A7545" w:rsidRPr="000A7545" w:rsidRDefault="000A7545" w:rsidP="000A7545">
            <w:pPr>
              <w:spacing w:after="0" w:line="240" w:lineRule="auto"/>
              <w:rPr>
                <w:rFonts w:asciiTheme="minorHAnsi" w:eastAsia="Times New Roman" w:hAnsiTheme="minorHAnsi" w:cstheme="minorHAnsi"/>
                <w:sz w:val="20"/>
                <w:szCs w:val="20"/>
              </w:rPr>
            </w:pPr>
          </w:p>
          <w:p w14:paraId="13B5612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rPr>
              <w:t>3</w:t>
            </w:r>
            <w:r w:rsidRPr="000A7545">
              <w:rPr>
                <w:rFonts w:asciiTheme="minorHAnsi" w:eastAsia="Times New Roman" w:hAnsiTheme="minorHAnsi" w:cstheme="minorHAnsi"/>
                <w:sz w:val="20"/>
                <w:szCs w:val="20"/>
                <w:lang w:val="en-US"/>
              </w:rPr>
              <w:t xml:space="preserve"> of 6 </w:t>
            </w:r>
            <w:r w:rsidRPr="000A7545">
              <w:rPr>
                <w:rFonts w:asciiTheme="minorHAnsi" w:eastAsia="Times New Roman" w:hAnsiTheme="minorHAnsi" w:cstheme="minorHAnsi"/>
                <w:b/>
                <w:sz w:val="20"/>
                <w:szCs w:val="20"/>
                <w:lang w:val="en-US"/>
              </w:rPr>
              <w:t>target districts</w:t>
            </w:r>
            <w:r w:rsidRPr="000A7545">
              <w:rPr>
                <w:rFonts w:asciiTheme="minorHAnsi" w:eastAsia="Times New Roman" w:hAnsiTheme="minorHAnsi" w:cstheme="minorHAnsi"/>
                <w:sz w:val="20"/>
                <w:szCs w:val="20"/>
                <w:lang w:val="en-US"/>
              </w:rPr>
              <w:t xml:space="preserve"> have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in place (Biak, Mimika, Jayapura – baseline survey)</w:t>
            </w:r>
          </w:p>
          <w:p w14:paraId="13B56124" w14:textId="77777777" w:rsidR="000A7545" w:rsidRPr="000A7545" w:rsidRDefault="000A7545" w:rsidP="00FA09D3">
            <w:pPr>
              <w:numPr>
                <w:ilvl w:val="0"/>
                <w:numId w:val="29"/>
              </w:numPr>
              <w:autoSpaceDE w:val="0"/>
              <w:autoSpaceDN w:val="0"/>
              <w:adjustRightInd w:val="0"/>
              <w:spacing w:after="0" w:line="240" w:lineRule="auto"/>
              <w:ind w:left="249" w:hanging="270"/>
              <w:rPr>
                <w:rFonts w:asciiTheme="minorHAnsi" w:eastAsia="Times New Roman" w:hAnsiTheme="minorHAnsi" w:cstheme="minorHAnsi"/>
                <w:color w:val="000000"/>
                <w:sz w:val="20"/>
                <w:szCs w:val="20"/>
                <w:u w:val="single"/>
                <w:lang w:val="en-US"/>
              </w:rPr>
            </w:pPr>
            <w:r w:rsidRPr="000A7545">
              <w:rPr>
                <w:rFonts w:asciiTheme="minorHAnsi" w:hAnsiTheme="minorHAnsi" w:cstheme="minorHAnsi"/>
                <w:sz w:val="20"/>
                <w:szCs w:val="20"/>
                <w:u w:val="single"/>
                <w:lang w:val="en-US"/>
              </w:rPr>
              <w:t>Child-focused budgeting</w:t>
            </w:r>
            <w:r w:rsidRPr="000A7545">
              <w:rPr>
                <w:rFonts w:asciiTheme="minorHAnsi" w:hAnsiTheme="minorHAnsi" w:cstheme="minorHAnsi"/>
                <w:sz w:val="20"/>
                <w:szCs w:val="20"/>
                <w:lang w:val="en-US"/>
              </w:rPr>
              <w:t xml:space="preserve">:   </w:t>
            </w:r>
            <w:r w:rsidRPr="000A7545">
              <w:rPr>
                <w:rFonts w:asciiTheme="minorHAnsi" w:hAnsiTheme="minorHAnsi" w:cstheme="minorHAnsi"/>
                <w:color w:val="000000"/>
                <w:sz w:val="20"/>
                <w:szCs w:val="20"/>
              </w:rPr>
              <w:t>have limited and out of date data; focus on construction and have weak M&amp;E components.</w:t>
            </w:r>
          </w:p>
          <w:p w14:paraId="13B56125" w14:textId="77777777" w:rsidR="000A7545" w:rsidRPr="000A7545" w:rsidRDefault="000A7545" w:rsidP="00FA09D3">
            <w:pPr>
              <w:numPr>
                <w:ilvl w:val="0"/>
                <w:numId w:val="29"/>
              </w:numPr>
              <w:autoSpaceDE w:val="0"/>
              <w:autoSpaceDN w:val="0"/>
              <w:adjustRightInd w:val="0"/>
              <w:spacing w:after="0" w:line="240" w:lineRule="auto"/>
              <w:ind w:left="249" w:hanging="270"/>
              <w:rPr>
                <w:rFonts w:asciiTheme="minorHAnsi" w:eastAsia="Times New Roman" w:hAnsiTheme="minorHAnsi" w:cstheme="minorHAnsi"/>
                <w:color w:val="000000"/>
                <w:sz w:val="20"/>
                <w:szCs w:val="20"/>
                <w:u w:val="single"/>
                <w:lang w:val="en-US"/>
              </w:rPr>
            </w:pPr>
            <w:r w:rsidRPr="000A7545">
              <w:rPr>
                <w:rFonts w:asciiTheme="minorHAnsi" w:hAnsiTheme="minorHAnsi" w:cstheme="minorHAnsi"/>
                <w:sz w:val="20"/>
                <w:szCs w:val="20"/>
                <w:u w:val="single"/>
                <w:lang w:val="en-US"/>
              </w:rPr>
              <w:t xml:space="preserve">Alignment with higher level plans: </w:t>
            </w:r>
            <w:r w:rsidRPr="000A7545">
              <w:rPr>
                <w:rFonts w:asciiTheme="minorHAnsi" w:hAnsiTheme="minorHAnsi" w:cstheme="minorHAnsi"/>
                <w:sz w:val="20"/>
                <w:szCs w:val="20"/>
                <w:lang w:val="en-US"/>
              </w:rPr>
              <w:t>P</w:t>
            </w:r>
            <w:r w:rsidRPr="000A7545">
              <w:rPr>
                <w:rFonts w:asciiTheme="minorHAnsi" w:hAnsiTheme="minorHAnsi" w:cstheme="minorHAnsi"/>
                <w:color w:val="000000"/>
                <w:sz w:val="20"/>
                <w:szCs w:val="20"/>
              </w:rPr>
              <w:t xml:space="preserve">lans have only limited reference to District long term plans (RPJMD); they were developed internally (Biak Numfor) or by external consultants (Jayapura and Mimika); </w:t>
            </w:r>
          </w:p>
          <w:p w14:paraId="13B56126" w14:textId="77777777" w:rsidR="000A7545" w:rsidRPr="000A7545" w:rsidRDefault="000A7545" w:rsidP="00FA09D3">
            <w:pPr>
              <w:numPr>
                <w:ilvl w:val="0"/>
                <w:numId w:val="29"/>
              </w:numPr>
              <w:autoSpaceDE w:val="0"/>
              <w:autoSpaceDN w:val="0"/>
              <w:adjustRightInd w:val="0"/>
              <w:spacing w:after="0" w:line="240" w:lineRule="auto"/>
              <w:ind w:left="249" w:hanging="270"/>
              <w:rPr>
                <w:rFonts w:asciiTheme="minorHAnsi" w:eastAsia="Times New Roman" w:hAnsiTheme="minorHAnsi" w:cstheme="minorHAnsi"/>
                <w:color w:val="000000"/>
                <w:sz w:val="20"/>
                <w:szCs w:val="20"/>
                <w:u w:val="single"/>
                <w:lang w:val="en-US"/>
              </w:rPr>
            </w:pPr>
            <w:r w:rsidRPr="000A7545">
              <w:rPr>
                <w:rFonts w:asciiTheme="minorHAnsi" w:hAnsiTheme="minorHAnsi" w:cstheme="minorHAnsi"/>
                <w:sz w:val="20"/>
                <w:szCs w:val="20"/>
                <w:u w:val="single"/>
                <w:lang w:val="en-US"/>
              </w:rPr>
              <w:t>Participatory process:</w:t>
            </w:r>
            <w:r w:rsidRPr="000A7545">
              <w:rPr>
                <w:rFonts w:asciiTheme="minorHAnsi" w:eastAsia="Times New Roman" w:hAnsiTheme="minorHAnsi" w:cstheme="minorHAnsi"/>
                <w:color w:val="000000"/>
                <w:sz w:val="20"/>
                <w:szCs w:val="20"/>
                <w:u w:val="single"/>
                <w:lang w:val="en-US"/>
              </w:rPr>
              <w:t xml:space="preserve"> </w:t>
            </w:r>
            <w:r w:rsidRPr="000A7545">
              <w:rPr>
                <w:rFonts w:asciiTheme="minorHAnsi" w:hAnsiTheme="minorHAnsi" w:cstheme="minorHAnsi"/>
                <w:color w:val="000000"/>
                <w:sz w:val="20"/>
                <w:szCs w:val="20"/>
              </w:rPr>
              <w:t xml:space="preserve">Some districts note participation of external stakeholders (i.e. </w:t>
            </w:r>
            <w:r w:rsidRPr="000A7545">
              <w:rPr>
                <w:rFonts w:asciiTheme="minorHAnsi" w:hAnsiTheme="minorHAnsi" w:cstheme="minorHAnsi"/>
                <w:i/>
                <w:iCs/>
                <w:color w:val="000000"/>
                <w:sz w:val="20"/>
                <w:szCs w:val="20"/>
              </w:rPr>
              <w:t>Yayasan</w:t>
            </w:r>
            <w:r w:rsidRPr="000A7545">
              <w:rPr>
                <w:rFonts w:asciiTheme="minorHAnsi" w:hAnsiTheme="minorHAnsi" w:cstheme="minorHAnsi"/>
                <w:color w:val="000000"/>
                <w:sz w:val="20"/>
                <w:szCs w:val="20"/>
              </w:rPr>
              <w:t>), but participation not systematic</w:t>
            </w:r>
          </w:p>
        </w:tc>
        <w:tc>
          <w:tcPr>
            <w:tcW w:w="500" w:type="pct"/>
            <w:shd w:val="clear" w:color="000000" w:fill="DBE5F1"/>
            <w:hideMark/>
          </w:tcPr>
          <w:p w14:paraId="13B5612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2 provinc</w:t>
            </w:r>
            <w:r w:rsidRPr="000A7545">
              <w:rPr>
                <w:rFonts w:asciiTheme="minorHAnsi" w:eastAsia="Times New Roman" w:hAnsiTheme="minorHAnsi" w:cstheme="minorHAnsi"/>
                <w:sz w:val="20"/>
                <w:szCs w:val="20"/>
                <w:lang w:val="en-US"/>
              </w:rPr>
              <w:t>es</w:t>
            </w:r>
            <w:r w:rsidRPr="000A7545">
              <w:rPr>
                <w:rFonts w:asciiTheme="minorHAnsi" w:eastAsia="Times New Roman" w:hAnsiTheme="minorHAnsi" w:cstheme="minorHAnsi"/>
                <w:sz w:val="20"/>
                <w:szCs w:val="20"/>
                <w:lang w:val="id-ID"/>
              </w:rPr>
              <w:t xml:space="preserve"> and 6 district education offices with improved quality strategic plans </w:t>
            </w:r>
            <w:r w:rsidRPr="000A7545">
              <w:rPr>
                <w:rFonts w:asciiTheme="minorHAnsi" w:eastAsia="Times New Roman" w:hAnsiTheme="minorHAnsi" w:cstheme="minorHAnsi"/>
                <w:sz w:val="20"/>
                <w:szCs w:val="20"/>
                <w:lang w:val="en-US"/>
              </w:rPr>
              <w:t>and annual workplans</w:t>
            </w:r>
          </w:p>
        </w:tc>
        <w:tc>
          <w:tcPr>
            <w:tcW w:w="1092" w:type="pct"/>
            <w:gridSpan w:val="2"/>
            <w:shd w:val="clear" w:color="000000" w:fill="DBE5F1"/>
            <w:vAlign w:val="center"/>
          </w:tcPr>
          <w:p w14:paraId="13B56128" w14:textId="77777777" w:rsidR="000A7545" w:rsidRPr="000A7545" w:rsidRDefault="000A7545" w:rsidP="000A7545">
            <w:pPr>
              <w:tabs>
                <w:tab w:val="left" w:pos="-144"/>
                <w:tab w:val="left" w:pos="216"/>
                <w:tab w:val="left" w:pos="1925"/>
                <w:tab w:val="left" w:pos="2105"/>
              </w:tabs>
              <w:autoSpaceDE w:val="0"/>
              <w:autoSpaceDN w:val="0"/>
              <w:adjustRightInd w:val="0"/>
              <w:spacing w:after="0" w:line="240" w:lineRule="auto"/>
              <w:ind w:left="-54" w:right="84"/>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2 Provinces have Renstra: documents revised/ developed for both provincial education offices</w:t>
            </w:r>
          </w:p>
          <w:p w14:paraId="13B56129" w14:textId="77777777" w:rsidR="000A7545" w:rsidRPr="000A7545" w:rsidRDefault="000A7545" w:rsidP="00FA09D3">
            <w:pPr>
              <w:numPr>
                <w:ilvl w:val="0"/>
                <w:numId w:val="37"/>
              </w:numPr>
              <w:tabs>
                <w:tab w:val="left" w:pos="-144"/>
              </w:tabs>
              <w:autoSpaceDE w:val="0"/>
              <w:autoSpaceDN w:val="0"/>
              <w:adjustRightInd w:val="0"/>
              <w:spacing w:after="0" w:line="240" w:lineRule="auto"/>
              <w:ind w:left="202" w:right="84" w:hanging="27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u w:val="single"/>
                <w:lang w:val="en-US"/>
              </w:rPr>
              <w:t>Child focused budgeting:</w:t>
            </w:r>
            <w:r w:rsidRPr="000A7545">
              <w:rPr>
                <w:rFonts w:asciiTheme="minorHAnsi" w:eastAsia="Times New Roman" w:hAnsiTheme="minorHAnsi" w:cstheme="minorHAnsi"/>
                <w:sz w:val="20"/>
                <w:szCs w:val="20"/>
                <w:lang w:val="en-US"/>
              </w:rPr>
              <w:t xml:space="preserve"> </w:t>
            </w:r>
            <w:r w:rsidRPr="000A7545">
              <w:rPr>
                <w:rFonts w:asciiTheme="minorHAnsi" w:eastAsia="Times New Roman" w:hAnsiTheme="minorHAnsi" w:cstheme="minorHAnsi"/>
                <w:b/>
                <w:sz w:val="20"/>
                <w:szCs w:val="20"/>
                <w:lang w:val="en-US"/>
              </w:rPr>
              <w:t xml:space="preserve">Papua Province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(2012-2016) strong focus on improving service delivery; quality of school infrastructure; promoting access for children in rural and remote areas (IDR 7 billion for 2012); capacity development/support for quality assurance to districts in the province (IDR 4 billion for 2012). </w:t>
            </w:r>
            <w:r w:rsidRPr="000A7545">
              <w:rPr>
                <w:rFonts w:asciiTheme="minorHAnsi" w:eastAsia="Times New Roman" w:hAnsiTheme="minorHAnsi" w:cstheme="minorHAnsi"/>
                <w:b/>
                <w:sz w:val="20"/>
                <w:szCs w:val="20"/>
                <w:lang w:val="en-US"/>
              </w:rPr>
              <w:t>West Papua</w:t>
            </w:r>
            <w:r w:rsidRPr="000A7545">
              <w:rPr>
                <w:rFonts w:asciiTheme="minorHAnsi" w:eastAsia="Times New Roman" w:hAnsiTheme="minorHAnsi" w:cstheme="minorHAnsi"/>
                <w:sz w:val="20"/>
                <w:szCs w:val="20"/>
                <w:lang w:val="en-US"/>
              </w:rPr>
              <w:t xml:space="preserv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(2012 – 2016) strong focus on improving service delivery; quality of school infrastructure; promoting access for children in rural and remote areas; capacity development/support for quality assurance to districts in the province.</w:t>
            </w:r>
          </w:p>
          <w:p w14:paraId="13B5612A" w14:textId="77777777" w:rsidR="000A7545" w:rsidRPr="000A7545" w:rsidRDefault="000A7545" w:rsidP="00FA09D3">
            <w:pPr>
              <w:numPr>
                <w:ilvl w:val="0"/>
                <w:numId w:val="37"/>
              </w:numPr>
              <w:tabs>
                <w:tab w:val="left" w:pos="-144"/>
              </w:tabs>
              <w:autoSpaceDE w:val="0"/>
              <w:autoSpaceDN w:val="0"/>
              <w:adjustRightInd w:val="0"/>
              <w:spacing w:after="0" w:line="240" w:lineRule="auto"/>
              <w:ind w:left="202" w:right="84" w:hanging="27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u w:val="single"/>
                <w:lang w:val="en-US"/>
              </w:rPr>
              <w:t>Alignment with higher level plans:</w:t>
            </w:r>
            <w:r w:rsidRPr="000A7545">
              <w:rPr>
                <w:rFonts w:asciiTheme="minorHAnsi" w:eastAsia="Times New Roman" w:hAnsiTheme="minorHAnsi" w:cstheme="minorHAnsi"/>
                <w:sz w:val="20"/>
                <w:szCs w:val="20"/>
                <w:lang w:val="en-US"/>
              </w:rPr>
              <w:t xml:space="preserve"> Quality of </w:t>
            </w:r>
            <w:r w:rsidRPr="000A7545">
              <w:rPr>
                <w:rFonts w:asciiTheme="minorHAnsi" w:eastAsia="Times New Roman" w:hAnsiTheme="minorHAnsi" w:cstheme="minorHAnsi"/>
                <w:b/>
                <w:sz w:val="20"/>
                <w:szCs w:val="20"/>
                <w:lang w:val="en-US"/>
              </w:rPr>
              <w:t>Papua Province</w:t>
            </w:r>
            <w:r w:rsidRPr="000A7545">
              <w:rPr>
                <w:rFonts w:asciiTheme="minorHAnsi" w:eastAsia="Times New Roman" w:hAnsiTheme="minorHAnsi" w:cstheme="minorHAnsi"/>
                <w:sz w:val="20"/>
                <w:szCs w:val="20"/>
                <w:lang w:val="en-US"/>
              </w:rPr>
              <w:t xml:space="preserv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is strong and clearly linked to national priorities;</w:t>
            </w:r>
            <w:r w:rsidRPr="000A7545">
              <w:rPr>
                <w:rFonts w:asciiTheme="minorHAnsi" w:hAnsiTheme="minorHAnsi" w:cstheme="minorHAnsi"/>
                <w:color w:val="000000"/>
                <w:sz w:val="20"/>
                <w:szCs w:val="20"/>
              </w:rPr>
              <w:t xml:space="preserve"> analysis and M&amp;E components improved. </w:t>
            </w:r>
            <w:r w:rsidRPr="000A7545">
              <w:rPr>
                <w:rFonts w:asciiTheme="minorHAnsi" w:hAnsiTheme="minorHAnsi" w:cstheme="minorHAnsi"/>
                <w:b/>
                <w:color w:val="000000"/>
                <w:sz w:val="20"/>
                <w:szCs w:val="20"/>
              </w:rPr>
              <w:t>West Papua</w:t>
            </w:r>
            <w:r w:rsidRPr="000A7545">
              <w:rPr>
                <w:rFonts w:asciiTheme="minorHAnsi" w:hAnsiTheme="minorHAnsi" w:cstheme="minorHAnsi"/>
                <w:color w:val="000000"/>
                <w:sz w:val="20"/>
                <w:szCs w:val="20"/>
              </w:rPr>
              <w:t xml:space="preserve"> </w:t>
            </w:r>
            <w:r w:rsidRPr="000A7545">
              <w:rPr>
                <w:rFonts w:asciiTheme="minorHAnsi" w:hAnsiTheme="minorHAnsi" w:cstheme="minorHAnsi"/>
                <w:i/>
                <w:color w:val="000000"/>
                <w:sz w:val="20"/>
                <w:szCs w:val="20"/>
              </w:rPr>
              <w:t xml:space="preserve">Renstra: </w:t>
            </w:r>
            <w:r w:rsidRPr="000A7545">
              <w:rPr>
                <w:rFonts w:asciiTheme="minorHAnsi" w:hAnsiTheme="minorHAnsi" w:cstheme="minorHAnsi"/>
                <w:color w:val="000000"/>
                <w:sz w:val="20"/>
                <w:szCs w:val="20"/>
              </w:rPr>
              <w:t>same as Papua province.</w:t>
            </w:r>
          </w:p>
          <w:p w14:paraId="13B5612B" w14:textId="77777777" w:rsidR="000A7545" w:rsidRPr="000A7545" w:rsidRDefault="000A7545" w:rsidP="00FA09D3">
            <w:pPr>
              <w:numPr>
                <w:ilvl w:val="0"/>
                <w:numId w:val="37"/>
              </w:numPr>
              <w:tabs>
                <w:tab w:val="left" w:pos="-144"/>
              </w:tabs>
              <w:autoSpaceDE w:val="0"/>
              <w:autoSpaceDN w:val="0"/>
              <w:adjustRightInd w:val="0"/>
              <w:spacing w:after="0" w:line="240" w:lineRule="auto"/>
              <w:ind w:left="202" w:right="84" w:hanging="270"/>
              <w:contextualSpacing/>
              <w:rPr>
                <w:rFonts w:asciiTheme="minorHAnsi" w:eastAsia="Times New Roman" w:hAnsiTheme="minorHAnsi" w:cstheme="minorHAnsi"/>
                <w:sz w:val="20"/>
                <w:szCs w:val="20"/>
                <w:lang w:val="en-US"/>
              </w:rPr>
            </w:pPr>
            <w:r w:rsidRPr="000A7545">
              <w:rPr>
                <w:rFonts w:asciiTheme="minorHAnsi" w:hAnsiTheme="minorHAnsi" w:cstheme="minorHAnsi"/>
                <w:sz w:val="20"/>
                <w:szCs w:val="20"/>
                <w:u w:val="single"/>
                <w:lang w:val="en-US"/>
              </w:rPr>
              <w:t xml:space="preserve">Participatory process: </w:t>
            </w:r>
            <w:r w:rsidRPr="000A7545">
              <w:rPr>
                <w:rFonts w:asciiTheme="minorHAnsi" w:eastAsia="Times New Roman" w:hAnsiTheme="minorHAnsi" w:cstheme="minorHAnsi"/>
                <w:b/>
                <w:sz w:val="20"/>
                <w:szCs w:val="20"/>
                <w:lang w:val="en-US"/>
              </w:rPr>
              <w:t xml:space="preserve">Papua Province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(2012) participatory planning process at all stages; broad stakeholders in public consultations at completion of document development</w:t>
            </w:r>
            <w:r w:rsidRPr="000A7545">
              <w:rPr>
                <w:rFonts w:asciiTheme="minorHAnsi" w:hAnsiTheme="minorHAnsi" w:cstheme="minorHAnsi"/>
                <w:color w:val="000000"/>
                <w:sz w:val="20"/>
                <w:szCs w:val="20"/>
              </w:rPr>
              <w:t>; revisions conducted with external public partners; widely distributed within the education office and to all districts</w:t>
            </w:r>
            <w:r w:rsidRPr="000A7545">
              <w:rPr>
                <w:rFonts w:asciiTheme="minorHAnsi" w:hAnsiTheme="minorHAnsi" w:cstheme="minorHAnsi"/>
                <w:b/>
                <w:color w:val="000000"/>
                <w:sz w:val="20"/>
                <w:szCs w:val="20"/>
              </w:rPr>
              <w:t>; West Papua</w:t>
            </w:r>
            <w:r w:rsidRPr="000A7545">
              <w:rPr>
                <w:rFonts w:asciiTheme="minorHAnsi" w:hAnsiTheme="minorHAnsi" w:cstheme="minorHAnsi"/>
                <w:color w:val="000000"/>
                <w:sz w:val="20"/>
                <w:szCs w:val="20"/>
              </w:rPr>
              <w:t xml:space="preserve"> </w:t>
            </w:r>
            <w:r w:rsidRPr="000A7545">
              <w:rPr>
                <w:rFonts w:asciiTheme="minorHAnsi" w:hAnsiTheme="minorHAnsi" w:cstheme="minorHAnsi"/>
                <w:i/>
                <w:color w:val="000000"/>
                <w:sz w:val="20"/>
                <w:szCs w:val="20"/>
              </w:rPr>
              <w:t>Renstra</w:t>
            </w:r>
            <w:r w:rsidRPr="000A7545">
              <w:rPr>
                <w:rFonts w:asciiTheme="minorHAnsi" w:hAnsiTheme="minorHAnsi" w:cstheme="minorHAnsi"/>
                <w:color w:val="000000"/>
                <w:sz w:val="20"/>
                <w:szCs w:val="20"/>
              </w:rPr>
              <w:t xml:space="preserve"> (2012) same as Papua Province.</w:t>
            </w:r>
          </w:p>
          <w:p w14:paraId="13B5612C" w14:textId="77777777" w:rsidR="000A7545" w:rsidRPr="000A7545" w:rsidRDefault="000A7545" w:rsidP="000A7545">
            <w:pPr>
              <w:tabs>
                <w:tab w:val="left" w:pos="0"/>
              </w:tabs>
              <w:spacing w:after="0" w:line="240" w:lineRule="auto"/>
              <w:ind w:right="-15"/>
              <w:rPr>
                <w:rFonts w:asciiTheme="minorHAnsi" w:eastAsia="Times New Roman" w:hAnsiTheme="minorHAnsi" w:cstheme="minorHAnsi"/>
                <w:sz w:val="20"/>
                <w:szCs w:val="20"/>
              </w:rPr>
            </w:pPr>
          </w:p>
          <w:p w14:paraId="13B5612D" w14:textId="77777777" w:rsidR="000A7545" w:rsidRPr="000A7545" w:rsidRDefault="000A7545" w:rsidP="000A7545">
            <w:pPr>
              <w:tabs>
                <w:tab w:val="left" w:pos="0"/>
              </w:tabs>
              <w:spacing w:after="0" w:line="240" w:lineRule="auto"/>
              <w:ind w:right="-15"/>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rPr>
              <w:t>6</w:t>
            </w:r>
            <w:r w:rsidRPr="000A7545">
              <w:rPr>
                <w:rFonts w:asciiTheme="minorHAnsi" w:eastAsia="Times New Roman" w:hAnsiTheme="minorHAnsi" w:cstheme="minorHAnsi"/>
                <w:sz w:val="20"/>
                <w:szCs w:val="20"/>
                <w:lang w:val="en-US"/>
              </w:rPr>
              <w:t xml:space="preserve"> of 6 </w:t>
            </w:r>
            <w:r w:rsidRPr="000A7545">
              <w:rPr>
                <w:rFonts w:asciiTheme="minorHAnsi" w:eastAsia="Times New Roman" w:hAnsiTheme="minorHAnsi" w:cstheme="minorHAnsi"/>
                <w:b/>
                <w:sz w:val="20"/>
                <w:szCs w:val="20"/>
                <w:lang w:val="en-US"/>
              </w:rPr>
              <w:t>target districts</w:t>
            </w:r>
            <w:r w:rsidRPr="000A7545">
              <w:rPr>
                <w:rFonts w:asciiTheme="minorHAnsi" w:eastAsia="Times New Roman" w:hAnsiTheme="minorHAnsi" w:cstheme="minorHAnsi"/>
                <w:sz w:val="20"/>
                <w:szCs w:val="20"/>
                <w:lang w:val="en-US"/>
              </w:rPr>
              <w:t xml:space="preserve"> have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in place (Biak, Mimika, Jayapura, Jayawijaya, Sorong, Manokwari)</w:t>
            </w:r>
          </w:p>
          <w:p w14:paraId="13B5612E" w14:textId="77777777" w:rsidR="000A7545" w:rsidRPr="000A7545" w:rsidRDefault="000A7545" w:rsidP="00FA09D3">
            <w:pPr>
              <w:numPr>
                <w:ilvl w:val="0"/>
                <w:numId w:val="34"/>
              </w:numPr>
              <w:tabs>
                <w:tab w:val="left" w:pos="0"/>
              </w:tabs>
              <w:autoSpaceDE w:val="0"/>
              <w:autoSpaceDN w:val="0"/>
              <w:adjustRightInd w:val="0"/>
              <w:spacing w:after="0" w:line="240" w:lineRule="auto"/>
              <w:ind w:left="202" w:right="-15" w:hanging="270"/>
              <w:rPr>
                <w:rFonts w:asciiTheme="minorHAnsi" w:eastAsia="Times New Roman" w:hAnsiTheme="minorHAnsi" w:cstheme="minorHAnsi"/>
                <w:color w:val="000000"/>
                <w:sz w:val="20"/>
                <w:szCs w:val="20"/>
                <w:u w:val="single"/>
                <w:lang w:val="en-US"/>
              </w:rPr>
            </w:pPr>
            <w:r w:rsidRPr="000A7545">
              <w:rPr>
                <w:rFonts w:asciiTheme="minorHAnsi" w:hAnsiTheme="minorHAnsi" w:cstheme="minorHAnsi"/>
                <w:sz w:val="20"/>
                <w:szCs w:val="20"/>
                <w:u w:val="single"/>
                <w:lang w:val="en-US"/>
              </w:rPr>
              <w:t>Child-focused budgeting</w:t>
            </w:r>
            <w:r w:rsidRPr="000A7545">
              <w:rPr>
                <w:rFonts w:asciiTheme="minorHAnsi" w:hAnsiTheme="minorHAnsi" w:cstheme="minorHAnsi"/>
                <w:sz w:val="20"/>
                <w:szCs w:val="20"/>
                <w:lang w:val="en-US"/>
              </w:rPr>
              <w:t xml:space="preserve">: </w:t>
            </w:r>
            <w:r w:rsidRPr="000A7545">
              <w:rPr>
                <w:rFonts w:asciiTheme="minorHAnsi" w:hAnsiTheme="minorHAnsi" w:cstheme="minorHAnsi"/>
                <w:color w:val="000000"/>
                <w:sz w:val="20"/>
                <w:szCs w:val="20"/>
              </w:rPr>
              <w:t>using updated and relevant data; stronger focus on quality improvement and children’s access to education services (increased BOS funding allocations to all target districts to fill operational gaps and ensure children can access school); stronger M&amp;E developed.</w:t>
            </w:r>
          </w:p>
          <w:p w14:paraId="13B5612F" w14:textId="77777777" w:rsidR="000A7545" w:rsidRPr="000A7545" w:rsidRDefault="000A7545" w:rsidP="00FA09D3">
            <w:pPr>
              <w:numPr>
                <w:ilvl w:val="0"/>
                <w:numId w:val="34"/>
              </w:numPr>
              <w:tabs>
                <w:tab w:val="left" w:pos="0"/>
              </w:tabs>
              <w:autoSpaceDE w:val="0"/>
              <w:autoSpaceDN w:val="0"/>
              <w:adjustRightInd w:val="0"/>
              <w:spacing w:after="0" w:line="240" w:lineRule="auto"/>
              <w:ind w:left="202" w:right="-15" w:hanging="270"/>
              <w:rPr>
                <w:rFonts w:asciiTheme="minorHAnsi" w:eastAsia="Times New Roman" w:hAnsiTheme="minorHAnsi" w:cstheme="minorHAnsi"/>
                <w:color w:val="000000"/>
                <w:sz w:val="20"/>
                <w:szCs w:val="20"/>
                <w:u w:val="single"/>
                <w:lang w:val="en-US"/>
              </w:rPr>
            </w:pPr>
            <w:r w:rsidRPr="000A7545">
              <w:rPr>
                <w:rFonts w:asciiTheme="minorHAnsi" w:hAnsiTheme="minorHAnsi" w:cstheme="minorHAnsi"/>
                <w:sz w:val="20"/>
                <w:szCs w:val="20"/>
                <w:u w:val="single"/>
                <w:lang w:val="en-US"/>
              </w:rPr>
              <w:t xml:space="preserve">Alignment with higher level plans: </w:t>
            </w:r>
            <w:r w:rsidRPr="000A7545">
              <w:rPr>
                <w:rFonts w:asciiTheme="minorHAnsi" w:hAnsiTheme="minorHAnsi" w:cstheme="minorHAnsi"/>
                <w:sz w:val="20"/>
                <w:szCs w:val="20"/>
                <w:lang w:val="en-US"/>
              </w:rPr>
              <w:t>P</w:t>
            </w:r>
            <w:r w:rsidRPr="000A7545">
              <w:rPr>
                <w:rFonts w:asciiTheme="minorHAnsi" w:hAnsiTheme="minorHAnsi" w:cstheme="minorHAnsi"/>
                <w:color w:val="000000"/>
                <w:sz w:val="20"/>
                <w:szCs w:val="20"/>
              </w:rPr>
              <w:t>lans have strong reference to District long term plans (RPJMD).</w:t>
            </w:r>
          </w:p>
          <w:p w14:paraId="13B56130" w14:textId="77777777" w:rsidR="000A7545" w:rsidRPr="000A7545" w:rsidRDefault="000A7545" w:rsidP="00FA09D3">
            <w:pPr>
              <w:numPr>
                <w:ilvl w:val="0"/>
                <w:numId w:val="34"/>
              </w:numPr>
              <w:tabs>
                <w:tab w:val="left" w:pos="0"/>
              </w:tabs>
              <w:autoSpaceDE w:val="0"/>
              <w:autoSpaceDN w:val="0"/>
              <w:adjustRightInd w:val="0"/>
              <w:spacing w:after="0" w:line="240" w:lineRule="auto"/>
              <w:ind w:left="202" w:right="-15" w:hanging="270"/>
              <w:rPr>
                <w:rFonts w:asciiTheme="minorHAnsi" w:eastAsia="Times New Roman" w:hAnsiTheme="minorHAnsi" w:cstheme="minorHAnsi"/>
                <w:color w:val="000000"/>
                <w:sz w:val="20"/>
                <w:szCs w:val="20"/>
                <w:u w:val="single"/>
                <w:lang w:val="en-US"/>
              </w:rPr>
            </w:pPr>
            <w:r w:rsidRPr="000A7545">
              <w:rPr>
                <w:rFonts w:asciiTheme="minorHAnsi" w:hAnsiTheme="minorHAnsi" w:cstheme="minorHAnsi"/>
                <w:sz w:val="20"/>
                <w:szCs w:val="20"/>
                <w:u w:val="single"/>
                <w:lang w:val="en-US"/>
              </w:rPr>
              <w:t xml:space="preserve">Participatory processes: </w:t>
            </w:r>
            <w:r w:rsidRPr="000A7545">
              <w:rPr>
                <w:rFonts w:asciiTheme="minorHAnsi" w:hAnsiTheme="minorHAnsi" w:cstheme="minorHAnsi"/>
                <w:sz w:val="20"/>
                <w:szCs w:val="20"/>
                <w:lang w:val="en-US"/>
              </w:rPr>
              <w:t xml:space="preserve">High level of participation in all districts including Yayasan, local education institutes, DPRD (local parliament), Bappeda, children, CSOs, media; </w:t>
            </w:r>
            <w:r w:rsidRPr="000A7545">
              <w:rPr>
                <w:rFonts w:asciiTheme="minorHAnsi" w:hAnsiTheme="minorHAnsi" w:cstheme="minorHAnsi"/>
                <w:color w:val="000000"/>
                <w:sz w:val="20"/>
                <w:szCs w:val="20"/>
              </w:rPr>
              <w:t>plans developed  with high level of participation across SKPD (or Dinas) by government teams with stakeholder participation; strongly owned locally</w:t>
            </w:r>
          </w:p>
        </w:tc>
        <w:tc>
          <w:tcPr>
            <w:tcW w:w="280" w:type="pct"/>
            <w:shd w:val="clear" w:color="000000" w:fill="DBE5F1"/>
          </w:tcPr>
          <w:p w14:paraId="13B56131"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51" w:type="pct"/>
            <w:gridSpan w:val="2"/>
            <w:shd w:val="clear" w:color="000000" w:fill="DBE5F1"/>
            <w:hideMark/>
          </w:tcPr>
          <w:p w14:paraId="13B5613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Education planning quality assessments</w:t>
            </w:r>
          </w:p>
        </w:tc>
      </w:tr>
      <w:tr w:rsidR="000A7545" w:rsidRPr="000A7545" w14:paraId="13B56144" w14:textId="77777777" w:rsidTr="000A7545">
        <w:trPr>
          <w:trHeight w:val="1762"/>
        </w:trPr>
        <w:tc>
          <w:tcPr>
            <w:tcW w:w="530" w:type="pct"/>
            <w:vMerge/>
            <w:shd w:val="clear" w:color="auto" w:fill="FDE9D9" w:themeFill="accent6" w:themeFillTint="33"/>
            <w:vAlign w:val="center"/>
            <w:hideMark/>
          </w:tcPr>
          <w:p w14:paraId="13B56134"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30" w:type="pct"/>
            <w:gridSpan w:val="5"/>
            <w:shd w:val="clear" w:color="000000" w:fill="DBE5F1"/>
            <w:hideMark/>
          </w:tcPr>
          <w:p w14:paraId="13B56135"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1.1b. % of education offices in target districts and provinces using improved quality annual work plans that include:</w:t>
            </w:r>
          </w:p>
          <w:p w14:paraId="13B56136" w14:textId="77777777" w:rsidR="000A7545" w:rsidRPr="000A7545" w:rsidRDefault="000A7545" w:rsidP="00FA09D3">
            <w:pPr>
              <w:numPr>
                <w:ilvl w:val="0"/>
                <w:numId w:val="22"/>
              </w:numPr>
              <w:spacing w:after="0" w:line="240" w:lineRule="auto"/>
              <w:ind w:left="251" w:hanging="27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Child focused budgeting</w:t>
            </w:r>
          </w:p>
          <w:p w14:paraId="13B56137" w14:textId="77777777" w:rsidR="000A7545" w:rsidRPr="000A7545" w:rsidRDefault="000A7545" w:rsidP="00FA09D3">
            <w:pPr>
              <w:numPr>
                <w:ilvl w:val="0"/>
                <w:numId w:val="22"/>
              </w:numPr>
              <w:spacing w:after="0" w:line="240" w:lineRule="auto"/>
              <w:ind w:left="251" w:hanging="27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Participatory process</w:t>
            </w:r>
          </w:p>
        </w:tc>
        <w:tc>
          <w:tcPr>
            <w:tcW w:w="1117" w:type="pct"/>
            <w:shd w:val="clear" w:color="000000" w:fill="DBE5F1"/>
            <w:hideMark/>
          </w:tcPr>
          <w:p w14:paraId="13B56138" w14:textId="77777777" w:rsidR="000A7545" w:rsidRPr="000A7545" w:rsidRDefault="000A7545" w:rsidP="00FA09D3">
            <w:pPr>
              <w:numPr>
                <w:ilvl w:val="0"/>
                <w:numId w:val="19"/>
              </w:numPr>
              <w:spacing w:after="0" w:line="240" w:lineRule="auto"/>
              <w:ind w:left="69" w:hanging="18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b/>
                <w:sz w:val="20"/>
                <w:szCs w:val="20"/>
                <w:lang w:val="en-US"/>
              </w:rPr>
              <w:t>Papua province</w:t>
            </w:r>
            <w:r w:rsidRPr="000A7545">
              <w:rPr>
                <w:rFonts w:asciiTheme="minorHAnsi" w:eastAsia="Times New Roman" w:hAnsiTheme="minorHAnsi" w:cstheme="minorHAnsi"/>
                <w:sz w:val="20"/>
                <w:szCs w:val="20"/>
                <w:lang w:val="en-US"/>
              </w:rPr>
              <w:t xml:space="preserve"> collected LI data from 29 districts; results of analysis used for planning. </w:t>
            </w:r>
            <w:r w:rsidRPr="000A7545">
              <w:rPr>
                <w:rFonts w:asciiTheme="minorHAnsi" w:eastAsia="Times New Roman" w:hAnsiTheme="minorHAnsi" w:cstheme="minorHAnsi"/>
                <w:b/>
                <w:sz w:val="20"/>
                <w:szCs w:val="20"/>
                <w:lang w:val="en-US"/>
              </w:rPr>
              <w:t xml:space="preserve">West Papua province: </w:t>
            </w:r>
            <w:r w:rsidRPr="000A7545">
              <w:rPr>
                <w:rFonts w:asciiTheme="minorHAnsi" w:eastAsia="Times New Roman" w:hAnsiTheme="minorHAnsi" w:cstheme="minorHAnsi"/>
                <w:sz w:val="20"/>
                <w:szCs w:val="20"/>
                <w:lang w:val="en-US"/>
              </w:rPr>
              <w:t>data not available</w:t>
            </w:r>
          </w:p>
          <w:p w14:paraId="13B56139" w14:textId="77777777" w:rsidR="000A7545" w:rsidRPr="000A7545" w:rsidRDefault="000A7545" w:rsidP="00FA09D3">
            <w:pPr>
              <w:numPr>
                <w:ilvl w:val="0"/>
                <w:numId w:val="19"/>
              </w:numPr>
              <w:spacing w:after="0" w:line="240" w:lineRule="auto"/>
              <w:ind w:left="69" w:hanging="18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In six districts, LI data collected yearly; the coverage varies among districts. Jayapura and Biak use the data for planning.</w:t>
            </w:r>
          </w:p>
        </w:tc>
        <w:tc>
          <w:tcPr>
            <w:tcW w:w="500" w:type="pct"/>
            <w:shd w:val="clear" w:color="000000" w:fill="DBE5F1"/>
            <w:hideMark/>
          </w:tcPr>
          <w:p w14:paraId="13B5613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2 provincial and 6 district education offices with improved quality annual work plans</w:t>
            </w:r>
          </w:p>
        </w:tc>
        <w:tc>
          <w:tcPr>
            <w:tcW w:w="1092" w:type="pct"/>
            <w:gridSpan w:val="2"/>
            <w:shd w:val="clear" w:color="000000" w:fill="DBE5F1"/>
            <w:vAlign w:val="center"/>
          </w:tcPr>
          <w:p w14:paraId="13B5613B" w14:textId="77777777" w:rsidR="000A7545" w:rsidRPr="000A7545" w:rsidRDefault="000A7545" w:rsidP="000A7545">
            <w:pPr>
              <w:spacing w:after="0" w:line="240" w:lineRule="auto"/>
              <w:ind w:left="-19"/>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b/>
                <w:i/>
                <w:sz w:val="20"/>
                <w:szCs w:val="20"/>
                <w:u w:val="single"/>
                <w:lang w:val="en-US"/>
              </w:rPr>
              <w:t>2/2 provinces use improved annual workplans</w:t>
            </w:r>
            <w:r w:rsidRPr="000A7545">
              <w:rPr>
                <w:rFonts w:asciiTheme="minorHAnsi" w:eastAsia="Times New Roman" w:hAnsiTheme="minorHAnsi" w:cstheme="minorHAnsi"/>
                <w:sz w:val="20"/>
                <w:szCs w:val="20"/>
                <w:lang w:val="en-US"/>
              </w:rPr>
              <w:t xml:space="preserve"> based on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development priorities with M&amp;E framework in place</w:t>
            </w:r>
          </w:p>
          <w:p w14:paraId="13B5613C" w14:textId="77777777" w:rsidR="000A7545" w:rsidRPr="000A7545" w:rsidRDefault="000A7545" w:rsidP="00FA09D3">
            <w:pPr>
              <w:numPr>
                <w:ilvl w:val="0"/>
                <w:numId w:val="19"/>
              </w:numPr>
              <w:spacing w:after="0" w:line="240" w:lineRule="auto"/>
              <w:ind w:left="161" w:hanging="18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b/>
                <w:sz w:val="20"/>
                <w:szCs w:val="20"/>
                <w:lang w:val="en-US"/>
              </w:rPr>
              <w:t>Papua province:</w:t>
            </w:r>
            <w:r w:rsidRPr="000A7545">
              <w:rPr>
                <w:rFonts w:asciiTheme="minorHAnsi" w:eastAsia="Times New Roman" w:hAnsiTheme="minorHAnsi" w:cstheme="minorHAnsi"/>
                <w:sz w:val="20"/>
                <w:szCs w:val="20"/>
                <w:lang w:val="en-US"/>
              </w:rPr>
              <w:t xml:space="preserve"> collected LI data from 29 districts; results of analysis were used for planning; data from district education offices and Padati web also used. </w:t>
            </w:r>
            <w:r w:rsidRPr="000A7545">
              <w:rPr>
                <w:rFonts w:asciiTheme="minorHAnsi" w:eastAsia="Times New Roman" w:hAnsiTheme="minorHAnsi" w:cstheme="minorHAnsi"/>
                <w:b/>
                <w:sz w:val="20"/>
                <w:szCs w:val="20"/>
                <w:lang w:val="en-US"/>
              </w:rPr>
              <w:t xml:space="preserve">West Papua province: </w:t>
            </w:r>
            <w:r w:rsidRPr="000A7545">
              <w:rPr>
                <w:rFonts w:asciiTheme="minorHAnsi" w:eastAsia="Times New Roman" w:hAnsiTheme="minorHAnsi" w:cstheme="minorHAnsi"/>
                <w:sz w:val="20"/>
                <w:szCs w:val="20"/>
                <w:lang w:val="en-US"/>
              </w:rPr>
              <w:t>collected LI data from 11 districts; results of analysis were used for planning; data from district education offices and Padati web also used.</w:t>
            </w:r>
          </w:p>
          <w:p w14:paraId="13B5613D" w14:textId="77777777" w:rsidR="000A7545" w:rsidRPr="000A7545" w:rsidRDefault="000A7545" w:rsidP="00FA09D3">
            <w:pPr>
              <w:numPr>
                <w:ilvl w:val="0"/>
                <w:numId w:val="19"/>
              </w:numPr>
              <w:spacing w:after="0" w:line="240" w:lineRule="auto"/>
              <w:ind w:left="161" w:hanging="18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Public consultations conducted to review and verify plans.</w:t>
            </w:r>
          </w:p>
          <w:p w14:paraId="13B5613E" w14:textId="77777777" w:rsidR="000A7545" w:rsidRPr="000A7545" w:rsidRDefault="000A7545" w:rsidP="000A7545">
            <w:pPr>
              <w:spacing w:after="0" w:line="240" w:lineRule="auto"/>
              <w:ind w:left="-19"/>
              <w:contextualSpacing/>
              <w:rPr>
                <w:rFonts w:asciiTheme="minorHAnsi" w:eastAsia="Times New Roman" w:hAnsiTheme="minorHAnsi" w:cstheme="minorHAnsi"/>
                <w:sz w:val="20"/>
                <w:szCs w:val="20"/>
                <w:lang w:val="en-US"/>
              </w:rPr>
            </w:pPr>
          </w:p>
          <w:p w14:paraId="13B5613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b/>
                <w:i/>
                <w:sz w:val="20"/>
                <w:szCs w:val="20"/>
                <w:u w:val="single"/>
                <w:lang w:val="en-US"/>
              </w:rPr>
              <w:t>6/6 districts use improved annual workplans</w:t>
            </w:r>
            <w:r w:rsidRPr="000A7545">
              <w:rPr>
                <w:rFonts w:asciiTheme="minorHAnsi" w:eastAsia="Times New Roman" w:hAnsiTheme="minorHAnsi" w:cstheme="minorHAnsi"/>
                <w:sz w:val="20"/>
                <w:szCs w:val="20"/>
                <w:lang w:val="en-US"/>
              </w:rPr>
              <w:t xml:space="preserve"> based on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development priorities with M&amp;E framework in place</w:t>
            </w:r>
          </w:p>
          <w:p w14:paraId="13B56140" w14:textId="77777777" w:rsidR="000A7545" w:rsidRPr="000A7545" w:rsidRDefault="000A7545" w:rsidP="00FA09D3">
            <w:pPr>
              <w:numPr>
                <w:ilvl w:val="0"/>
                <w:numId w:val="19"/>
              </w:numPr>
              <w:spacing w:after="0" w:line="240" w:lineRule="auto"/>
              <w:ind w:left="161" w:hanging="18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All districts make stronger use of school LI data and other sources for developing </w:t>
            </w:r>
            <w:r w:rsidRPr="000A7545">
              <w:rPr>
                <w:rFonts w:asciiTheme="minorHAnsi" w:eastAsia="Times New Roman" w:hAnsiTheme="minorHAnsi" w:cstheme="minorHAnsi"/>
                <w:i/>
                <w:sz w:val="20"/>
                <w:szCs w:val="20"/>
                <w:lang w:val="en-US"/>
              </w:rPr>
              <w:t>Renja</w:t>
            </w:r>
            <w:r w:rsidRPr="000A7545">
              <w:rPr>
                <w:rFonts w:asciiTheme="minorHAnsi" w:eastAsia="Times New Roman" w:hAnsiTheme="minorHAnsi" w:cstheme="minorHAnsi"/>
                <w:sz w:val="20"/>
                <w:szCs w:val="20"/>
                <w:lang w:val="en-US"/>
              </w:rPr>
              <w:t xml:space="preserve"> (based on </w:t>
            </w:r>
            <w:r w:rsidRPr="000A7545">
              <w:rPr>
                <w:rFonts w:asciiTheme="minorHAnsi" w:eastAsia="Times New Roman" w:hAnsiTheme="minorHAnsi" w:cstheme="minorHAnsi"/>
                <w:i/>
                <w:sz w:val="20"/>
                <w:szCs w:val="20"/>
                <w:lang w:val="en-US"/>
              </w:rPr>
              <w:t xml:space="preserve">Renstra </w:t>
            </w:r>
            <w:r w:rsidRPr="000A7545">
              <w:rPr>
                <w:rFonts w:asciiTheme="minorHAnsi" w:eastAsia="Times New Roman" w:hAnsiTheme="minorHAnsi" w:cstheme="minorHAnsi"/>
                <w:sz w:val="20"/>
                <w:szCs w:val="20"/>
                <w:lang w:val="en-US"/>
              </w:rPr>
              <w:t>data).</w:t>
            </w:r>
          </w:p>
          <w:p w14:paraId="13B56141" w14:textId="77777777" w:rsidR="000A7545" w:rsidRPr="000A7545" w:rsidRDefault="000A7545" w:rsidP="00FA09D3">
            <w:pPr>
              <w:numPr>
                <w:ilvl w:val="0"/>
                <w:numId w:val="19"/>
              </w:numPr>
              <w:spacing w:after="0" w:line="240" w:lineRule="auto"/>
              <w:ind w:left="161" w:hanging="180"/>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Public consultations conducted to review and verify plans.</w:t>
            </w:r>
          </w:p>
        </w:tc>
        <w:tc>
          <w:tcPr>
            <w:tcW w:w="280" w:type="pct"/>
            <w:shd w:val="clear" w:color="000000" w:fill="DBE5F1"/>
          </w:tcPr>
          <w:p w14:paraId="13B56142"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51" w:type="pct"/>
            <w:gridSpan w:val="2"/>
            <w:shd w:val="clear" w:color="000000" w:fill="DBE5F1"/>
            <w:hideMark/>
          </w:tcPr>
          <w:p w14:paraId="13B5614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Education planning quality assessments</w:t>
            </w:r>
          </w:p>
        </w:tc>
      </w:tr>
      <w:tr w:rsidR="000A7545" w:rsidRPr="000A7545" w14:paraId="13B5614C" w14:textId="77777777" w:rsidTr="000A7545">
        <w:trPr>
          <w:trHeight w:val="592"/>
        </w:trPr>
        <w:tc>
          <w:tcPr>
            <w:tcW w:w="530" w:type="pct"/>
            <w:vMerge/>
            <w:shd w:val="clear" w:color="auto" w:fill="FDE9D9" w:themeFill="accent6" w:themeFillTint="33"/>
            <w:vAlign w:val="center"/>
          </w:tcPr>
          <w:p w14:paraId="13B56145"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30" w:type="pct"/>
            <w:gridSpan w:val="5"/>
            <w:tcBorders>
              <w:bottom w:val="single" w:sz="8" w:space="0" w:color="4F81BD"/>
            </w:tcBorders>
            <w:shd w:val="clear" w:color="000000" w:fill="DBE5F1"/>
          </w:tcPr>
          <w:p w14:paraId="13B5614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1.1.c. </w:t>
            </w:r>
            <w:r w:rsidRPr="000A7545">
              <w:rPr>
                <w:rFonts w:asciiTheme="minorHAnsi" w:eastAsia="Times New Roman" w:hAnsiTheme="minorHAnsi" w:cstheme="minorHAnsi"/>
                <w:sz w:val="20"/>
                <w:szCs w:val="20"/>
                <w:lang w:val="id-ID"/>
              </w:rPr>
              <w:t xml:space="preserve">% of target districts allocating budgets to address identified inequities </w:t>
            </w:r>
            <w:r w:rsidRPr="000A7545">
              <w:rPr>
                <w:rFonts w:asciiTheme="minorHAnsi" w:eastAsia="Times New Roman" w:hAnsiTheme="minorHAnsi" w:cstheme="minorHAnsi"/>
                <w:sz w:val="20"/>
                <w:szCs w:val="20"/>
                <w:lang w:val="en-US"/>
              </w:rPr>
              <w:t xml:space="preserve">in </w:t>
            </w:r>
            <w:r w:rsidRPr="000A7545">
              <w:rPr>
                <w:rFonts w:asciiTheme="minorHAnsi" w:eastAsia="Times New Roman" w:hAnsiTheme="minorHAnsi" w:cstheme="minorHAnsi"/>
                <w:i/>
                <w:sz w:val="20"/>
                <w:szCs w:val="20"/>
                <w:lang w:val="en-US"/>
              </w:rPr>
              <w:t>Renstra</w:t>
            </w:r>
          </w:p>
        </w:tc>
        <w:tc>
          <w:tcPr>
            <w:tcW w:w="1117" w:type="pct"/>
            <w:shd w:val="clear" w:color="000000" w:fill="DBE5F1"/>
            <w:vAlign w:val="center"/>
          </w:tcPr>
          <w:p w14:paraId="13B5614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16% -- Only Papua Province has some analysis for targeting inequities. No equity focus for West Papua Province Districts did not identify inequities and instead allocated budgets mostly on routine expenditures</w:t>
            </w:r>
          </w:p>
        </w:tc>
        <w:tc>
          <w:tcPr>
            <w:tcW w:w="500" w:type="pct"/>
            <w:shd w:val="clear" w:color="000000" w:fill="DBE5F1"/>
          </w:tcPr>
          <w:p w14:paraId="13B56148" w14:textId="77777777" w:rsidR="000A7545" w:rsidRPr="000A7545" w:rsidRDefault="000A7545" w:rsidP="000A7545">
            <w:pPr>
              <w:spacing w:after="0" w:line="240" w:lineRule="auto"/>
              <w:jc w:val="center"/>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100%</w:t>
            </w:r>
          </w:p>
        </w:tc>
        <w:tc>
          <w:tcPr>
            <w:tcW w:w="1092" w:type="pct"/>
            <w:gridSpan w:val="2"/>
            <w:shd w:val="clear" w:color="000000" w:fill="DBE5F1"/>
          </w:tcPr>
          <w:p w14:paraId="13B56149"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sz w:val="20"/>
                <w:szCs w:val="20"/>
                <w:lang w:val="en-US"/>
              </w:rPr>
              <w:t>100% of districts have allocated funds to address identified inequities facing children. Examples include: budget allocations for teacher training, allocations for school monitoring, increased budgets for school operational funds to fill identified school funding gaps.</w:t>
            </w:r>
          </w:p>
        </w:tc>
        <w:tc>
          <w:tcPr>
            <w:tcW w:w="280" w:type="pct"/>
            <w:shd w:val="clear" w:color="000000" w:fill="DBE5F1"/>
          </w:tcPr>
          <w:p w14:paraId="13B5614A"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51" w:type="pct"/>
            <w:gridSpan w:val="2"/>
            <w:shd w:val="clear" w:color="000000" w:fill="DBE5F1"/>
          </w:tcPr>
          <w:p w14:paraId="13B5614B"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i/>
                <w:sz w:val="20"/>
                <w:szCs w:val="20"/>
                <w:lang w:val="id-ID"/>
              </w:rPr>
              <w:t>Renstra</w:t>
            </w:r>
            <w:r w:rsidRPr="000A7545">
              <w:rPr>
                <w:rFonts w:asciiTheme="minorHAnsi" w:eastAsia="Times New Roman" w:hAnsiTheme="minorHAnsi" w:cstheme="minorHAnsi"/>
                <w:sz w:val="20"/>
                <w:szCs w:val="20"/>
                <w:lang w:val="id-ID"/>
              </w:rPr>
              <w:t xml:space="preserve"> Chapter 3 and </w:t>
            </w:r>
            <w:r w:rsidRPr="000A7545">
              <w:rPr>
                <w:rFonts w:asciiTheme="minorHAnsi" w:eastAsia="Times New Roman" w:hAnsiTheme="minorHAnsi" w:cstheme="minorHAnsi"/>
                <w:i/>
                <w:sz w:val="20"/>
                <w:szCs w:val="20"/>
                <w:lang w:val="id-ID"/>
              </w:rPr>
              <w:t>R</w:t>
            </w:r>
            <w:r w:rsidRPr="000A7545">
              <w:rPr>
                <w:rFonts w:asciiTheme="minorHAnsi" w:eastAsia="Times New Roman" w:hAnsiTheme="minorHAnsi" w:cstheme="minorHAnsi"/>
                <w:i/>
                <w:sz w:val="20"/>
                <w:szCs w:val="20"/>
                <w:lang w:val="en-US"/>
              </w:rPr>
              <w:t>enja</w:t>
            </w:r>
          </w:p>
        </w:tc>
      </w:tr>
      <w:tr w:rsidR="000A7545" w:rsidRPr="000A7545" w14:paraId="13B56154" w14:textId="77777777" w:rsidTr="000A7545">
        <w:trPr>
          <w:trHeight w:val="1492"/>
        </w:trPr>
        <w:tc>
          <w:tcPr>
            <w:tcW w:w="530" w:type="pct"/>
            <w:vMerge/>
            <w:shd w:val="clear" w:color="auto" w:fill="FDE9D9" w:themeFill="accent6" w:themeFillTint="33"/>
            <w:vAlign w:val="center"/>
          </w:tcPr>
          <w:p w14:paraId="13B5614D"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30" w:type="pct"/>
            <w:gridSpan w:val="5"/>
            <w:shd w:val="clear" w:color="000000" w:fill="DBE5F1"/>
          </w:tcPr>
          <w:p w14:paraId="13B5614E"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1.1.d. </w:t>
            </w:r>
            <w:r w:rsidRPr="000A7545">
              <w:rPr>
                <w:rFonts w:asciiTheme="minorHAnsi" w:eastAsia="Times New Roman" w:hAnsiTheme="minorHAnsi" w:cstheme="minorHAnsi"/>
                <w:sz w:val="20"/>
                <w:szCs w:val="20"/>
                <w:lang w:val="id-ID"/>
              </w:rPr>
              <w:t>Number of regulation</w:t>
            </w:r>
            <w:r w:rsidRPr="000A7545">
              <w:rPr>
                <w:rFonts w:asciiTheme="minorHAnsi" w:eastAsia="Times New Roman" w:hAnsiTheme="minorHAnsi" w:cstheme="minorHAnsi"/>
                <w:sz w:val="20"/>
                <w:szCs w:val="20"/>
                <w:lang w:val="en-US"/>
              </w:rPr>
              <w:t>s</w:t>
            </w:r>
            <w:r w:rsidRPr="000A7545">
              <w:rPr>
                <w:rFonts w:asciiTheme="minorHAnsi" w:eastAsia="Times New Roman" w:hAnsiTheme="minorHAnsi" w:cstheme="minorHAnsi"/>
                <w:sz w:val="20"/>
                <w:szCs w:val="20"/>
                <w:lang w:val="id-ID"/>
              </w:rPr>
              <w:t xml:space="preserve"> passed to support replication in non</w:t>
            </w:r>
            <w:r w:rsidRPr="000A7545">
              <w:rPr>
                <w:rFonts w:asciiTheme="minorHAnsi" w:eastAsia="Times New Roman" w:hAnsiTheme="minorHAnsi" w:cstheme="minorHAnsi"/>
                <w:sz w:val="20"/>
                <w:szCs w:val="20"/>
                <w:lang w:val="en-US"/>
              </w:rPr>
              <w:t>-</w:t>
            </w:r>
            <w:r w:rsidRPr="000A7545">
              <w:rPr>
                <w:rFonts w:asciiTheme="minorHAnsi" w:eastAsia="Times New Roman" w:hAnsiTheme="minorHAnsi" w:cstheme="minorHAnsi"/>
                <w:sz w:val="20"/>
                <w:szCs w:val="20"/>
                <w:lang w:val="id-ID"/>
              </w:rPr>
              <w:t>target districts</w:t>
            </w:r>
          </w:p>
        </w:tc>
        <w:tc>
          <w:tcPr>
            <w:tcW w:w="1117" w:type="pct"/>
            <w:shd w:val="clear" w:color="000000" w:fill="DBE5F1"/>
          </w:tcPr>
          <w:p w14:paraId="13B5614F" w14:textId="77777777" w:rsidR="000A7545" w:rsidRPr="000A7545" w:rsidRDefault="000A7545" w:rsidP="000A7545">
            <w:pPr>
              <w:spacing w:after="0" w:line="240" w:lineRule="auto"/>
              <w:ind w:left="77"/>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000000" w:fill="DBE5F1"/>
          </w:tcPr>
          <w:p w14:paraId="13B56150" w14:textId="77777777" w:rsidR="000A7545" w:rsidRPr="000A7545" w:rsidRDefault="000A7545" w:rsidP="000A7545">
            <w:pPr>
              <w:spacing w:after="0" w:line="240" w:lineRule="auto"/>
              <w:jc w:val="center"/>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2 of 2 provinces</w:t>
            </w:r>
          </w:p>
        </w:tc>
        <w:tc>
          <w:tcPr>
            <w:tcW w:w="1092" w:type="pct"/>
            <w:gridSpan w:val="2"/>
            <w:shd w:val="clear" w:color="000000" w:fill="DBE5F1"/>
          </w:tcPr>
          <w:p w14:paraId="13B5615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Papua and West Papua provinces have included replication of </w:t>
            </w: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and </w:t>
            </w:r>
            <w:r w:rsidRPr="000A7545">
              <w:rPr>
                <w:rFonts w:asciiTheme="minorHAnsi" w:eastAsia="Times New Roman" w:hAnsiTheme="minorHAnsi" w:cstheme="minorHAnsi"/>
                <w:i/>
                <w:sz w:val="20"/>
                <w:szCs w:val="20"/>
                <w:lang w:val="en-US"/>
              </w:rPr>
              <w:t>Renja</w:t>
            </w:r>
            <w:r w:rsidRPr="000A7545">
              <w:rPr>
                <w:rFonts w:asciiTheme="minorHAnsi" w:eastAsia="Times New Roman" w:hAnsiTheme="minorHAnsi" w:cstheme="minorHAnsi"/>
                <w:sz w:val="20"/>
                <w:szCs w:val="20"/>
                <w:lang w:val="en-US"/>
              </w:rPr>
              <w:t xml:space="preserve"> training to all non-target districts in their strategic development plans for improving service delivery at district level</w:t>
            </w:r>
          </w:p>
        </w:tc>
        <w:tc>
          <w:tcPr>
            <w:tcW w:w="280" w:type="pct"/>
            <w:shd w:val="clear" w:color="000000" w:fill="DBE5F1"/>
          </w:tcPr>
          <w:p w14:paraId="13B56152"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51" w:type="pct"/>
            <w:gridSpan w:val="2"/>
            <w:shd w:val="clear" w:color="000000" w:fill="DBE5F1"/>
          </w:tcPr>
          <w:p w14:paraId="13B5615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Government records</w:t>
            </w:r>
          </w:p>
        </w:tc>
      </w:tr>
      <w:tr w:rsidR="000A7545" w:rsidRPr="000A7545" w14:paraId="13B5615C" w14:textId="77777777" w:rsidTr="000A7545">
        <w:trPr>
          <w:trHeight w:val="790"/>
        </w:trPr>
        <w:tc>
          <w:tcPr>
            <w:tcW w:w="530" w:type="pct"/>
            <w:vMerge/>
            <w:tcBorders>
              <w:bottom w:val="single" w:sz="4" w:space="0" w:color="auto"/>
            </w:tcBorders>
            <w:shd w:val="clear" w:color="auto" w:fill="FDE9D9" w:themeFill="accent6" w:themeFillTint="33"/>
            <w:vAlign w:val="center"/>
          </w:tcPr>
          <w:p w14:paraId="13B56155"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30" w:type="pct"/>
            <w:gridSpan w:val="5"/>
            <w:tcBorders>
              <w:bottom w:val="single" w:sz="4" w:space="0" w:color="auto"/>
            </w:tcBorders>
            <w:shd w:val="clear" w:color="000000" w:fill="DBE5F1"/>
          </w:tcPr>
          <w:p w14:paraId="13B5615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1.1.e. % of districts with M&amp;E frameworks for monitoring </w:t>
            </w:r>
            <w:r w:rsidRPr="000A7545">
              <w:rPr>
                <w:rFonts w:asciiTheme="minorHAnsi" w:eastAsia="Times New Roman" w:hAnsiTheme="minorHAnsi" w:cstheme="minorHAnsi"/>
                <w:i/>
                <w:sz w:val="20"/>
                <w:szCs w:val="20"/>
                <w:lang w:val="en-US"/>
              </w:rPr>
              <w:t>Renstra</w:t>
            </w:r>
          </w:p>
        </w:tc>
        <w:tc>
          <w:tcPr>
            <w:tcW w:w="1117" w:type="pct"/>
            <w:shd w:val="clear" w:color="000000" w:fill="DBE5F1"/>
          </w:tcPr>
          <w:p w14:paraId="13B56157" w14:textId="77777777" w:rsidR="000A7545" w:rsidRPr="000A7545" w:rsidRDefault="000A7545" w:rsidP="000A7545">
            <w:pPr>
              <w:spacing w:after="0" w:line="240" w:lineRule="auto"/>
              <w:ind w:left="77"/>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 of 2 provinces and 0 of 6 districts had an M&amp;E framework</w:t>
            </w:r>
          </w:p>
        </w:tc>
        <w:tc>
          <w:tcPr>
            <w:tcW w:w="500" w:type="pct"/>
            <w:shd w:val="clear" w:color="000000" w:fill="DBE5F1"/>
          </w:tcPr>
          <w:p w14:paraId="13B5615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2 of 2 provinces and 6 of 6 districts</w:t>
            </w:r>
          </w:p>
        </w:tc>
        <w:tc>
          <w:tcPr>
            <w:tcW w:w="1092" w:type="pct"/>
            <w:gridSpan w:val="2"/>
            <w:shd w:val="clear" w:color="000000" w:fill="DBE5F1"/>
          </w:tcPr>
          <w:p w14:paraId="13B56159" w14:textId="77777777" w:rsidR="000A7545" w:rsidRPr="000A7545" w:rsidRDefault="000A7545" w:rsidP="000A7545">
            <w:pPr>
              <w:spacing w:after="0" w:line="240" w:lineRule="auto"/>
              <w:rPr>
                <w:rFonts w:asciiTheme="minorHAnsi" w:eastAsia="Times New Roman" w:hAnsiTheme="minorHAnsi" w:cstheme="minorHAnsi"/>
                <w:i/>
                <w:sz w:val="20"/>
                <w:szCs w:val="20"/>
                <w:lang w:val="en-US"/>
              </w:rPr>
            </w:pPr>
            <w:r w:rsidRPr="000A7545">
              <w:rPr>
                <w:rFonts w:asciiTheme="minorHAnsi" w:eastAsia="Times New Roman" w:hAnsiTheme="minorHAnsi" w:cstheme="minorHAnsi"/>
                <w:sz w:val="20"/>
                <w:szCs w:val="20"/>
                <w:lang w:val="en-US"/>
              </w:rPr>
              <w:t xml:space="preserve">2 of 2 provinces and 6 of 6 districts have basic M&amp;E framework for monitoring </w:t>
            </w:r>
            <w:r w:rsidRPr="000A7545">
              <w:rPr>
                <w:rFonts w:asciiTheme="minorHAnsi" w:eastAsia="Times New Roman" w:hAnsiTheme="minorHAnsi" w:cstheme="minorHAnsi"/>
                <w:i/>
                <w:sz w:val="20"/>
                <w:szCs w:val="20"/>
                <w:lang w:val="en-US"/>
              </w:rPr>
              <w:t>Renstra</w:t>
            </w:r>
          </w:p>
        </w:tc>
        <w:tc>
          <w:tcPr>
            <w:tcW w:w="280" w:type="pct"/>
            <w:shd w:val="clear" w:color="000000" w:fill="DBE5F1"/>
          </w:tcPr>
          <w:p w14:paraId="13B5615A"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51" w:type="pct"/>
            <w:gridSpan w:val="2"/>
            <w:shd w:val="clear" w:color="000000" w:fill="DBE5F1"/>
          </w:tcPr>
          <w:p w14:paraId="13B5615B"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District records</w:t>
            </w:r>
          </w:p>
        </w:tc>
      </w:tr>
      <w:tr w:rsidR="000A7545" w:rsidRPr="000A7545" w14:paraId="13B5615E" w14:textId="77777777" w:rsidTr="000A7545">
        <w:trPr>
          <w:trHeight w:val="250"/>
        </w:trPr>
        <w:tc>
          <w:tcPr>
            <w:tcW w:w="5000" w:type="pct"/>
            <w:gridSpan w:val="13"/>
            <w:vAlign w:val="center"/>
          </w:tcPr>
          <w:p w14:paraId="13B5615D" w14:textId="77777777" w:rsidR="000A7545" w:rsidRPr="000A7545" w:rsidRDefault="000A7545" w:rsidP="000A7545">
            <w:pPr>
              <w:spacing w:after="0" w:line="240" w:lineRule="auto"/>
              <w:rPr>
                <w:rFonts w:asciiTheme="minorHAnsi" w:eastAsia="Times New Roman" w:hAnsiTheme="minorHAnsi" w:cstheme="minorHAnsi"/>
                <w:b/>
                <w:bCs/>
                <w:lang w:val="en-US"/>
              </w:rPr>
            </w:pPr>
            <w:r w:rsidRPr="000A7545">
              <w:rPr>
                <w:rFonts w:asciiTheme="minorHAnsi" w:eastAsia="Times New Roman" w:hAnsiTheme="minorHAnsi" w:cstheme="minorHAnsi"/>
                <w:b/>
                <w:bCs/>
                <w:lang w:val="id-ID"/>
              </w:rPr>
              <w:t>Outputs</w:t>
            </w:r>
          </w:p>
        </w:tc>
      </w:tr>
      <w:tr w:rsidR="000A7545" w:rsidRPr="000A7545" w14:paraId="13B56166" w14:textId="77777777" w:rsidTr="00B812C8">
        <w:trPr>
          <w:trHeight w:val="322"/>
        </w:trPr>
        <w:tc>
          <w:tcPr>
            <w:tcW w:w="543" w:type="pct"/>
            <w:gridSpan w:val="3"/>
            <w:vMerge w:val="restart"/>
            <w:shd w:val="clear" w:color="auto" w:fill="auto"/>
            <w:hideMark/>
          </w:tcPr>
          <w:p w14:paraId="13B5615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 xml:space="preserve">1.1.1 </w:t>
            </w:r>
            <w:r w:rsidRPr="000A7545">
              <w:rPr>
                <w:rFonts w:asciiTheme="minorHAnsi" w:eastAsia="Times New Roman" w:hAnsiTheme="minorHAnsi" w:cstheme="minorHAnsi"/>
                <w:sz w:val="20"/>
                <w:szCs w:val="20"/>
                <w:lang w:val="en-US"/>
              </w:rPr>
              <w:t xml:space="preserve">Government development partners participate in planning process at </w:t>
            </w:r>
            <w:r w:rsidRPr="000A7545">
              <w:rPr>
                <w:rFonts w:asciiTheme="minorHAnsi" w:eastAsia="Times New Roman" w:hAnsiTheme="minorHAnsi" w:cstheme="minorHAnsi"/>
                <w:sz w:val="20"/>
                <w:szCs w:val="20"/>
                <w:lang w:val="id-ID"/>
              </w:rPr>
              <w:t xml:space="preserve">Provincial and </w:t>
            </w:r>
            <w:r w:rsidRPr="000A7545">
              <w:rPr>
                <w:rFonts w:asciiTheme="minorHAnsi" w:eastAsia="Times New Roman" w:hAnsiTheme="minorHAnsi" w:cstheme="minorHAnsi"/>
                <w:sz w:val="20"/>
                <w:szCs w:val="20"/>
                <w:lang w:val="en-US"/>
              </w:rPr>
              <w:t>D</w:t>
            </w:r>
            <w:r w:rsidRPr="000A7545">
              <w:rPr>
                <w:rFonts w:asciiTheme="minorHAnsi" w:eastAsia="Times New Roman" w:hAnsiTheme="minorHAnsi" w:cstheme="minorHAnsi"/>
                <w:sz w:val="20"/>
                <w:szCs w:val="20"/>
                <w:lang w:val="id-ID"/>
              </w:rPr>
              <w:t xml:space="preserve">istrict </w:t>
            </w:r>
            <w:r w:rsidRPr="000A7545">
              <w:rPr>
                <w:rFonts w:asciiTheme="minorHAnsi" w:eastAsia="Times New Roman" w:hAnsiTheme="minorHAnsi" w:cstheme="minorHAnsi"/>
                <w:sz w:val="20"/>
                <w:szCs w:val="20"/>
                <w:lang w:val="en-US"/>
              </w:rPr>
              <w:t>levels (AusAID)</w:t>
            </w:r>
          </w:p>
        </w:tc>
        <w:tc>
          <w:tcPr>
            <w:tcW w:w="1017" w:type="pct"/>
            <w:gridSpan w:val="3"/>
            <w:shd w:val="clear" w:color="auto" w:fill="auto"/>
            <w:hideMark/>
          </w:tcPr>
          <w:p w14:paraId="13B5616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Symbol" w:hAnsiTheme="minorHAnsi" w:cstheme="minorHAnsi"/>
                <w:sz w:val="20"/>
                <w:szCs w:val="20"/>
                <w:lang w:val="en-US"/>
              </w:rPr>
              <w:t xml:space="preserve">1.1.1a. Capacity review of </w:t>
            </w:r>
            <w:r w:rsidRPr="000A7545">
              <w:rPr>
                <w:rFonts w:asciiTheme="minorHAnsi" w:eastAsia="Symbol" w:hAnsiTheme="minorHAnsi" w:cstheme="minorHAnsi"/>
                <w:sz w:val="20"/>
                <w:szCs w:val="20"/>
                <w:lang w:val="id-ID"/>
              </w:rPr>
              <w:t xml:space="preserve">Government development partners </w:t>
            </w:r>
            <w:r w:rsidRPr="000A7545">
              <w:rPr>
                <w:rFonts w:asciiTheme="minorHAnsi" w:eastAsia="Symbol" w:hAnsiTheme="minorHAnsi" w:cstheme="minorHAnsi"/>
                <w:sz w:val="20"/>
                <w:szCs w:val="20"/>
                <w:lang w:val="en-US"/>
              </w:rPr>
              <w:t>conducted (Y/N)</w:t>
            </w:r>
          </w:p>
        </w:tc>
        <w:tc>
          <w:tcPr>
            <w:tcW w:w="1117" w:type="pct"/>
            <w:shd w:val="clear" w:color="auto" w:fill="auto"/>
            <w:hideMark/>
          </w:tcPr>
          <w:p w14:paraId="13B5616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No evaluation previously done focusing on internal capacity (organizational or environmental)</w:t>
            </w:r>
          </w:p>
        </w:tc>
        <w:tc>
          <w:tcPr>
            <w:tcW w:w="500" w:type="pct"/>
            <w:shd w:val="clear" w:color="auto" w:fill="auto"/>
            <w:hideMark/>
          </w:tcPr>
          <w:p w14:paraId="13B5616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 xml:space="preserve">Provincial stakeholder </w:t>
            </w:r>
            <w:r w:rsidRPr="000A7545">
              <w:rPr>
                <w:rFonts w:asciiTheme="minorHAnsi" w:eastAsia="Times New Roman" w:hAnsiTheme="minorHAnsi" w:cstheme="minorHAnsi"/>
                <w:sz w:val="20"/>
                <w:szCs w:val="20"/>
                <w:lang w:val="en-US"/>
              </w:rPr>
              <w:t xml:space="preserve">capacity </w:t>
            </w:r>
            <w:r w:rsidRPr="000A7545">
              <w:rPr>
                <w:rFonts w:asciiTheme="minorHAnsi" w:eastAsia="Times New Roman" w:hAnsiTheme="minorHAnsi" w:cstheme="minorHAnsi"/>
                <w:sz w:val="20"/>
                <w:szCs w:val="20"/>
                <w:lang w:val="id-ID"/>
              </w:rPr>
              <w:t>analysis completed by end of January 2011</w:t>
            </w:r>
          </w:p>
        </w:tc>
        <w:tc>
          <w:tcPr>
            <w:tcW w:w="1092" w:type="pct"/>
            <w:gridSpan w:val="2"/>
          </w:tcPr>
          <w:p w14:paraId="13B5616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Institutional and organizational capacity reviews completed in both provinces and all target districts. Reports completed and available for each target district and province (2/2 provinces and 6/6 districts). Review covers 8 dimensions of service delivery capacity (1. Access to information, 2. Availability of educational data, 3. Openness to input, 4. Planning mechanism, 5. Strong education council, 6. Government support for local regulation, 7. Local political support, 8. Synchronization of work mechanism) and was used to inform strategic development plans for strengthening service delivery capacity.</w:t>
            </w:r>
          </w:p>
        </w:tc>
        <w:tc>
          <w:tcPr>
            <w:tcW w:w="290" w:type="pct"/>
            <w:gridSpan w:val="2"/>
          </w:tcPr>
          <w:p w14:paraId="13B56164"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hideMark/>
          </w:tcPr>
          <w:p w14:paraId="13B56165"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Workshop reports</w:t>
            </w:r>
            <w:r w:rsidRPr="000A7545">
              <w:rPr>
                <w:rFonts w:asciiTheme="minorHAnsi" w:eastAsia="Times New Roman" w:hAnsiTheme="minorHAnsi" w:cstheme="minorHAnsi"/>
                <w:sz w:val="20"/>
                <w:szCs w:val="20"/>
                <w:lang w:val="en-US"/>
              </w:rPr>
              <w:t>; Review reports for 2/2 and 6/6 districts</w:t>
            </w:r>
          </w:p>
        </w:tc>
      </w:tr>
      <w:tr w:rsidR="000A7545" w:rsidRPr="000A7545" w14:paraId="13B5616E" w14:textId="77777777" w:rsidTr="00B812C8">
        <w:trPr>
          <w:trHeight w:val="772"/>
        </w:trPr>
        <w:tc>
          <w:tcPr>
            <w:tcW w:w="543" w:type="pct"/>
            <w:gridSpan w:val="3"/>
            <w:vMerge/>
            <w:vAlign w:val="center"/>
            <w:hideMark/>
          </w:tcPr>
          <w:p w14:paraId="13B56167" w14:textId="77777777" w:rsidR="000A7545" w:rsidRPr="000A7545" w:rsidRDefault="000A7545" w:rsidP="000A7545">
            <w:pPr>
              <w:spacing w:after="0" w:line="240" w:lineRule="auto"/>
              <w:rPr>
                <w:rFonts w:asciiTheme="minorHAnsi" w:eastAsia="Times New Roman" w:hAnsiTheme="minorHAnsi" w:cstheme="minorHAnsi"/>
                <w:lang w:val="en-US"/>
              </w:rPr>
            </w:pPr>
          </w:p>
        </w:tc>
        <w:tc>
          <w:tcPr>
            <w:tcW w:w="1017" w:type="pct"/>
            <w:gridSpan w:val="3"/>
            <w:shd w:val="clear" w:color="auto" w:fill="auto"/>
          </w:tcPr>
          <w:p w14:paraId="13B5616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Symbol" w:hAnsiTheme="minorHAnsi" w:cstheme="minorHAnsi"/>
                <w:sz w:val="20"/>
                <w:szCs w:val="20"/>
                <w:lang w:val="en-US"/>
              </w:rPr>
              <w:t xml:space="preserve">1.1.1b. </w:t>
            </w:r>
            <w:r w:rsidRPr="000A7545">
              <w:rPr>
                <w:rFonts w:asciiTheme="minorHAnsi" w:eastAsia="Symbol" w:hAnsiTheme="minorHAnsi" w:cstheme="minorHAnsi"/>
                <w:sz w:val="20"/>
                <w:szCs w:val="20"/>
                <w:lang w:val="id-ID"/>
              </w:rPr>
              <w:t xml:space="preserve">% of women participants in planning stakeholder meetings </w:t>
            </w:r>
          </w:p>
        </w:tc>
        <w:tc>
          <w:tcPr>
            <w:tcW w:w="1117" w:type="pct"/>
            <w:shd w:val="clear" w:color="auto" w:fill="auto"/>
          </w:tcPr>
          <w:p w14:paraId="13B5616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n/a</w:t>
            </w:r>
          </w:p>
        </w:tc>
        <w:tc>
          <w:tcPr>
            <w:tcW w:w="500" w:type="pct"/>
            <w:shd w:val="clear" w:color="auto" w:fill="auto"/>
          </w:tcPr>
          <w:p w14:paraId="13B5616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At least 30% participation by women</w:t>
            </w:r>
          </w:p>
        </w:tc>
        <w:tc>
          <w:tcPr>
            <w:tcW w:w="1092" w:type="pct"/>
            <w:gridSpan w:val="2"/>
          </w:tcPr>
          <w:p w14:paraId="13B5616B"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34.8% women (male=370, female=129)</w:t>
            </w:r>
          </w:p>
        </w:tc>
        <w:tc>
          <w:tcPr>
            <w:tcW w:w="290" w:type="pct"/>
            <w:gridSpan w:val="2"/>
          </w:tcPr>
          <w:p w14:paraId="13B5616C"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vAlign w:val="center"/>
          </w:tcPr>
          <w:p w14:paraId="13B5616D"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Workshop attendance records</w:t>
            </w:r>
          </w:p>
        </w:tc>
      </w:tr>
      <w:tr w:rsidR="000A7545" w:rsidRPr="000A7545" w14:paraId="13B56177" w14:textId="77777777" w:rsidTr="00B812C8">
        <w:trPr>
          <w:trHeight w:val="412"/>
        </w:trPr>
        <w:tc>
          <w:tcPr>
            <w:tcW w:w="543" w:type="pct"/>
            <w:gridSpan w:val="3"/>
            <w:vMerge/>
            <w:shd w:val="clear" w:color="auto" w:fill="auto"/>
            <w:vAlign w:val="center"/>
          </w:tcPr>
          <w:p w14:paraId="13B5616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1017" w:type="pct"/>
            <w:gridSpan w:val="3"/>
            <w:shd w:val="clear" w:color="auto" w:fill="auto"/>
          </w:tcPr>
          <w:p w14:paraId="13B56170" w14:textId="77777777" w:rsidR="000A7545" w:rsidRPr="000A7545" w:rsidRDefault="000A7545" w:rsidP="000A7545">
            <w:pPr>
              <w:spacing w:after="0" w:line="240" w:lineRule="auto"/>
              <w:rPr>
                <w:rFonts w:asciiTheme="minorHAnsi" w:eastAsia="Symbol" w:hAnsiTheme="minorHAnsi" w:cstheme="minorHAnsi"/>
                <w:sz w:val="20"/>
                <w:szCs w:val="20"/>
                <w:lang w:val="en-US"/>
              </w:rPr>
            </w:pPr>
            <w:r w:rsidRPr="000A7545">
              <w:rPr>
                <w:rFonts w:asciiTheme="minorHAnsi" w:eastAsia="Symbol" w:hAnsiTheme="minorHAnsi" w:cstheme="minorHAnsi"/>
                <w:sz w:val="20"/>
                <w:szCs w:val="20"/>
                <w:lang w:val="en-US"/>
              </w:rPr>
              <w:t xml:space="preserve">1.1.1c. </w:t>
            </w:r>
            <w:r w:rsidRPr="000A7545">
              <w:rPr>
                <w:rFonts w:asciiTheme="minorHAnsi" w:eastAsia="Symbol" w:hAnsiTheme="minorHAnsi" w:cstheme="minorHAnsi"/>
                <w:sz w:val="20"/>
                <w:szCs w:val="20"/>
                <w:lang w:val="id-ID"/>
              </w:rPr>
              <w:t xml:space="preserve">Number of </w:t>
            </w:r>
            <w:r w:rsidRPr="000A7545">
              <w:rPr>
                <w:rFonts w:asciiTheme="minorHAnsi" w:eastAsia="Symbol" w:hAnsiTheme="minorHAnsi" w:cstheme="minorHAnsi"/>
                <w:sz w:val="20"/>
                <w:szCs w:val="20"/>
                <w:lang w:val="en-US"/>
              </w:rPr>
              <w:t xml:space="preserve">meetings held with stakeholders from provinces and districts </w:t>
            </w:r>
          </w:p>
        </w:tc>
        <w:tc>
          <w:tcPr>
            <w:tcW w:w="1117" w:type="pct"/>
            <w:shd w:val="clear" w:color="auto" w:fill="auto"/>
          </w:tcPr>
          <w:p w14:paraId="13B5617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n/a</w:t>
            </w:r>
          </w:p>
        </w:tc>
        <w:tc>
          <w:tcPr>
            <w:tcW w:w="500" w:type="pct"/>
            <w:shd w:val="clear" w:color="auto" w:fill="auto"/>
          </w:tcPr>
          <w:p w14:paraId="13B5617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2 meetings each year  at provincial and district levels</w:t>
            </w:r>
          </w:p>
        </w:tc>
        <w:tc>
          <w:tcPr>
            <w:tcW w:w="1092" w:type="pct"/>
            <w:gridSpan w:val="2"/>
          </w:tcPr>
          <w:p w14:paraId="13B5617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i/>
                <w:sz w:val="20"/>
                <w:szCs w:val="20"/>
                <w:lang w:val="en-US"/>
              </w:rPr>
              <w:t>Renstra</w:t>
            </w:r>
            <w:r w:rsidRPr="000A7545">
              <w:rPr>
                <w:rFonts w:asciiTheme="minorHAnsi" w:eastAsia="Times New Roman" w:hAnsiTheme="minorHAnsi" w:cstheme="minorHAnsi"/>
                <w:sz w:val="20"/>
                <w:szCs w:val="20"/>
                <w:lang w:val="en-US"/>
              </w:rPr>
              <w:t xml:space="preserve"> - 3 technical workshops  and 1 public consultation in each district and province; </w:t>
            </w:r>
          </w:p>
          <w:p w14:paraId="13B56174"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i/>
                <w:sz w:val="20"/>
                <w:szCs w:val="20"/>
                <w:lang w:val="en-US"/>
              </w:rPr>
              <w:t xml:space="preserve">Renja </w:t>
            </w:r>
            <w:r w:rsidRPr="000A7545">
              <w:rPr>
                <w:rFonts w:asciiTheme="minorHAnsi" w:eastAsia="Times New Roman" w:hAnsiTheme="minorHAnsi" w:cstheme="minorHAnsi"/>
                <w:sz w:val="20"/>
                <w:szCs w:val="20"/>
                <w:lang w:val="en-US"/>
              </w:rPr>
              <w:t>- 3 technical workshops and 1 public consultation in each district and province</w:t>
            </w:r>
          </w:p>
        </w:tc>
        <w:tc>
          <w:tcPr>
            <w:tcW w:w="290" w:type="pct"/>
            <w:gridSpan w:val="2"/>
          </w:tcPr>
          <w:p w14:paraId="13B56175"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17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Education planning quality assessments</w:t>
            </w:r>
          </w:p>
        </w:tc>
      </w:tr>
      <w:tr w:rsidR="000A7545" w:rsidRPr="000A7545" w14:paraId="13B56184" w14:textId="77777777" w:rsidTr="00B812C8">
        <w:trPr>
          <w:trHeight w:val="250"/>
        </w:trPr>
        <w:tc>
          <w:tcPr>
            <w:tcW w:w="543" w:type="pct"/>
            <w:gridSpan w:val="3"/>
            <w:vMerge/>
            <w:shd w:val="clear" w:color="auto" w:fill="auto"/>
            <w:vAlign w:val="center"/>
          </w:tcPr>
          <w:p w14:paraId="13B5617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1017" w:type="pct"/>
            <w:gridSpan w:val="3"/>
            <w:shd w:val="clear" w:color="auto" w:fill="auto"/>
          </w:tcPr>
          <w:p w14:paraId="13B5617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1.1.1d. Number, proportion</w:t>
            </w:r>
            <w:r w:rsidRPr="000A7545">
              <w:rPr>
                <w:rFonts w:asciiTheme="minorHAnsi" w:eastAsia="Times New Roman" w:hAnsiTheme="minorHAnsi" w:cstheme="minorHAnsi"/>
                <w:sz w:val="20"/>
                <w:szCs w:val="20"/>
                <w:lang w:val="id-ID"/>
              </w:rPr>
              <w:t xml:space="preserve"> </w:t>
            </w:r>
            <w:r w:rsidRPr="000A7545">
              <w:rPr>
                <w:rFonts w:asciiTheme="minorHAnsi" w:eastAsia="Times New Roman" w:hAnsiTheme="minorHAnsi" w:cstheme="minorHAnsi"/>
                <w:sz w:val="20"/>
                <w:szCs w:val="20"/>
                <w:lang w:val="en-US"/>
              </w:rPr>
              <w:t xml:space="preserve">and type </w:t>
            </w:r>
            <w:r w:rsidRPr="000A7545">
              <w:rPr>
                <w:rFonts w:asciiTheme="minorHAnsi" w:eastAsia="Times New Roman" w:hAnsiTheme="minorHAnsi" w:cstheme="minorHAnsi"/>
                <w:sz w:val="20"/>
                <w:szCs w:val="20"/>
                <w:lang w:val="id-ID"/>
              </w:rPr>
              <w:t xml:space="preserve">of </w:t>
            </w:r>
            <w:r w:rsidRPr="000A7545">
              <w:rPr>
                <w:rFonts w:asciiTheme="minorHAnsi" w:eastAsia="Times New Roman" w:hAnsiTheme="minorHAnsi" w:cstheme="minorHAnsi"/>
                <w:sz w:val="20"/>
                <w:szCs w:val="20"/>
                <w:lang w:val="en-US"/>
              </w:rPr>
              <w:t>government development partners from ta</w:t>
            </w:r>
            <w:r w:rsidRPr="000A7545">
              <w:rPr>
                <w:rFonts w:asciiTheme="minorHAnsi" w:eastAsia="Times New Roman" w:hAnsiTheme="minorHAnsi" w:cstheme="minorHAnsi"/>
                <w:sz w:val="20"/>
                <w:szCs w:val="20"/>
                <w:lang w:val="id-ID"/>
              </w:rPr>
              <w:t>rget districts train</w:t>
            </w:r>
            <w:r w:rsidRPr="000A7545">
              <w:rPr>
                <w:rFonts w:asciiTheme="minorHAnsi" w:eastAsia="Times New Roman" w:hAnsiTheme="minorHAnsi" w:cstheme="minorHAnsi"/>
                <w:sz w:val="20"/>
                <w:szCs w:val="20"/>
                <w:lang w:val="en-US"/>
              </w:rPr>
              <w:t xml:space="preserve">ed in strategic planning and annual work plan preparation </w:t>
            </w:r>
          </w:p>
        </w:tc>
        <w:tc>
          <w:tcPr>
            <w:tcW w:w="1117" w:type="pct"/>
            <w:shd w:val="clear" w:color="auto" w:fill="auto"/>
          </w:tcPr>
          <w:p w14:paraId="13B5617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n/a</w:t>
            </w:r>
          </w:p>
          <w:p w14:paraId="13B5617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p w14:paraId="13B5617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Available data shows that no training was conducted for partners in strategic development planning and annual work planning.</w:t>
            </w:r>
          </w:p>
        </w:tc>
        <w:tc>
          <w:tcPr>
            <w:tcW w:w="500" w:type="pct"/>
            <w:shd w:val="clear" w:color="auto" w:fill="auto"/>
          </w:tcPr>
          <w:p w14:paraId="13B5617D"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100%</w:t>
            </w:r>
          </w:p>
        </w:tc>
        <w:tc>
          <w:tcPr>
            <w:tcW w:w="1092" w:type="pct"/>
            <w:gridSpan w:val="2"/>
          </w:tcPr>
          <w:p w14:paraId="13B5617E"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i/>
                <w:sz w:val="20"/>
                <w:szCs w:val="20"/>
                <w:lang w:val="en-US"/>
              </w:rPr>
              <w:t xml:space="preserve">Renstra </w:t>
            </w:r>
            <w:r w:rsidRPr="000A7545">
              <w:rPr>
                <w:rFonts w:asciiTheme="minorHAnsi" w:hAnsiTheme="minorHAnsi" w:cstheme="minorHAnsi"/>
                <w:sz w:val="20"/>
                <w:szCs w:val="20"/>
                <w:lang w:val="en-US"/>
              </w:rPr>
              <w:t xml:space="preserve">Training workshops - </w:t>
            </w:r>
            <w:r w:rsidRPr="000A7545">
              <w:rPr>
                <w:rFonts w:asciiTheme="minorHAnsi" w:hAnsiTheme="minorHAnsi" w:cstheme="minorHAnsi"/>
                <w:sz w:val="20"/>
                <w:szCs w:val="20"/>
                <w:lang w:val="id-ID"/>
              </w:rPr>
              <w:t xml:space="preserve">202 </w:t>
            </w:r>
            <w:r w:rsidRPr="000A7545">
              <w:rPr>
                <w:rFonts w:asciiTheme="minorHAnsi" w:hAnsiTheme="minorHAnsi" w:cstheme="minorHAnsi"/>
                <w:sz w:val="20"/>
                <w:szCs w:val="20"/>
                <w:lang w:val="en-US"/>
              </w:rPr>
              <w:t xml:space="preserve">participants </w:t>
            </w:r>
            <w:r w:rsidRPr="000A7545">
              <w:rPr>
                <w:rFonts w:asciiTheme="minorHAnsi" w:hAnsiTheme="minorHAnsi" w:cstheme="minorHAnsi"/>
                <w:sz w:val="20"/>
                <w:szCs w:val="20"/>
                <w:lang w:val="id-ID"/>
              </w:rPr>
              <w:t>(153</w:t>
            </w:r>
            <w:r w:rsidRPr="000A7545">
              <w:rPr>
                <w:rFonts w:asciiTheme="minorHAnsi" w:hAnsiTheme="minorHAnsi" w:cstheme="minorHAnsi"/>
                <w:sz w:val="20"/>
                <w:szCs w:val="20"/>
                <w:lang w:val="en-US"/>
              </w:rPr>
              <w:t>M;</w:t>
            </w:r>
            <w:r w:rsidRPr="000A7545">
              <w:rPr>
                <w:rFonts w:asciiTheme="minorHAnsi" w:hAnsiTheme="minorHAnsi" w:cstheme="minorHAnsi"/>
                <w:sz w:val="20"/>
                <w:szCs w:val="20"/>
                <w:lang w:val="id-ID"/>
              </w:rPr>
              <w:t xml:space="preserve"> 49</w:t>
            </w:r>
            <w:r w:rsidRPr="000A7545">
              <w:rPr>
                <w:rFonts w:asciiTheme="minorHAnsi" w:hAnsiTheme="minorHAnsi" w:cstheme="minorHAnsi"/>
                <w:sz w:val="20"/>
                <w:szCs w:val="20"/>
                <w:lang w:val="en-US"/>
              </w:rPr>
              <w:t>F</w:t>
            </w:r>
            <w:r w:rsidRPr="000A7545">
              <w:rPr>
                <w:rFonts w:asciiTheme="minorHAnsi" w:hAnsiTheme="minorHAnsi" w:cstheme="minorHAnsi"/>
                <w:sz w:val="20"/>
                <w:szCs w:val="20"/>
                <w:lang w:val="id-ID"/>
              </w:rPr>
              <w:t>)</w:t>
            </w:r>
          </w:p>
          <w:p w14:paraId="13B5617F" w14:textId="77777777" w:rsidR="000A7545" w:rsidRPr="000A7545" w:rsidRDefault="000A7545" w:rsidP="000A7545">
            <w:pPr>
              <w:spacing w:after="0" w:line="240" w:lineRule="auto"/>
              <w:rPr>
                <w:rFonts w:asciiTheme="minorHAnsi" w:hAnsiTheme="minorHAnsi" w:cstheme="minorHAnsi"/>
                <w:sz w:val="20"/>
                <w:szCs w:val="20"/>
                <w:lang w:val="id-ID"/>
              </w:rPr>
            </w:pPr>
            <w:r w:rsidRPr="000A7545">
              <w:rPr>
                <w:rFonts w:asciiTheme="minorHAnsi" w:hAnsiTheme="minorHAnsi" w:cstheme="minorHAnsi"/>
                <w:i/>
                <w:sz w:val="20"/>
                <w:szCs w:val="20"/>
                <w:lang w:val="fr-FR"/>
              </w:rPr>
              <w:t>Renstra</w:t>
            </w:r>
            <w:r w:rsidRPr="000A7545">
              <w:rPr>
                <w:rFonts w:asciiTheme="minorHAnsi" w:hAnsiTheme="minorHAnsi" w:cstheme="minorHAnsi"/>
                <w:sz w:val="20"/>
                <w:szCs w:val="20"/>
                <w:lang w:val="fr-FR"/>
              </w:rPr>
              <w:t xml:space="preserve"> Public Consultation - </w:t>
            </w:r>
            <w:r w:rsidRPr="000A7545">
              <w:rPr>
                <w:rFonts w:asciiTheme="minorHAnsi" w:hAnsiTheme="minorHAnsi" w:cstheme="minorHAnsi"/>
                <w:sz w:val="20"/>
                <w:szCs w:val="20"/>
                <w:lang w:val="id-ID"/>
              </w:rPr>
              <w:t xml:space="preserve">504 </w:t>
            </w:r>
            <w:r w:rsidRPr="000A7545">
              <w:rPr>
                <w:rFonts w:asciiTheme="minorHAnsi" w:hAnsiTheme="minorHAnsi" w:cstheme="minorHAnsi"/>
                <w:sz w:val="20"/>
                <w:szCs w:val="20"/>
                <w:lang w:val="fr-FR"/>
              </w:rPr>
              <w:t xml:space="preserve">participants </w:t>
            </w:r>
            <w:r w:rsidRPr="000A7545">
              <w:rPr>
                <w:rFonts w:asciiTheme="minorHAnsi" w:hAnsiTheme="minorHAnsi" w:cstheme="minorHAnsi"/>
                <w:sz w:val="20"/>
                <w:szCs w:val="20"/>
                <w:lang w:val="id-ID"/>
              </w:rPr>
              <w:t>(370</w:t>
            </w:r>
            <w:r w:rsidRPr="000A7545">
              <w:rPr>
                <w:rFonts w:asciiTheme="minorHAnsi" w:hAnsiTheme="minorHAnsi" w:cstheme="minorHAnsi"/>
                <w:sz w:val="20"/>
                <w:szCs w:val="20"/>
                <w:lang w:val="fr-FR"/>
              </w:rPr>
              <w:t>M;</w:t>
            </w:r>
            <w:r w:rsidRPr="000A7545">
              <w:rPr>
                <w:rFonts w:asciiTheme="minorHAnsi" w:hAnsiTheme="minorHAnsi" w:cstheme="minorHAnsi"/>
                <w:sz w:val="20"/>
                <w:szCs w:val="20"/>
                <w:lang w:val="id-ID"/>
              </w:rPr>
              <w:t>129</w:t>
            </w:r>
            <w:r w:rsidRPr="000A7545">
              <w:rPr>
                <w:rFonts w:asciiTheme="minorHAnsi" w:hAnsiTheme="minorHAnsi" w:cstheme="minorHAnsi"/>
                <w:sz w:val="20"/>
                <w:szCs w:val="20"/>
                <w:lang w:val="fr-FR"/>
              </w:rPr>
              <w:t>F</w:t>
            </w:r>
            <w:r w:rsidRPr="000A7545">
              <w:rPr>
                <w:rFonts w:asciiTheme="minorHAnsi" w:hAnsiTheme="minorHAnsi" w:cstheme="minorHAnsi"/>
                <w:sz w:val="20"/>
                <w:szCs w:val="20"/>
                <w:lang w:val="id-ID"/>
              </w:rPr>
              <w:t>)</w:t>
            </w:r>
          </w:p>
          <w:p w14:paraId="13B56180"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 xml:space="preserve">Renja Development training - </w:t>
            </w:r>
            <w:r w:rsidRPr="000A7545">
              <w:rPr>
                <w:rFonts w:asciiTheme="minorHAnsi" w:hAnsiTheme="minorHAnsi" w:cstheme="minorHAnsi"/>
                <w:sz w:val="20"/>
                <w:szCs w:val="20"/>
                <w:lang w:val="id-ID"/>
              </w:rPr>
              <w:t xml:space="preserve">205 </w:t>
            </w:r>
            <w:r w:rsidRPr="000A7545">
              <w:rPr>
                <w:rFonts w:asciiTheme="minorHAnsi" w:hAnsiTheme="minorHAnsi" w:cstheme="minorHAnsi"/>
                <w:sz w:val="20"/>
                <w:szCs w:val="20"/>
                <w:lang w:val="en-US"/>
              </w:rPr>
              <w:t xml:space="preserve">participants </w:t>
            </w:r>
            <w:r w:rsidRPr="000A7545">
              <w:rPr>
                <w:rFonts w:asciiTheme="minorHAnsi" w:hAnsiTheme="minorHAnsi" w:cstheme="minorHAnsi"/>
                <w:sz w:val="20"/>
                <w:szCs w:val="20"/>
                <w:lang w:val="id-ID"/>
              </w:rPr>
              <w:t>(149</w:t>
            </w:r>
            <w:r w:rsidRPr="000A7545">
              <w:rPr>
                <w:rFonts w:asciiTheme="minorHAnsi" w:hAnsiTheme="minorHAnsi" w:cstheme="minorHAnsi"/>
                <w:sz w:val="20"/>
                <w:szCs w:val="20"/>
                <w:lang w:val="en-US"/>
              </w:rPr>
              <w:t xml:space="preserve">M; </w:t>
            </w:r>
            <w:r w:rsidRPr="000A7545">
              <w:rPr>
                <w:rFonts w:asciiTheme="minorHAnsi" w:hAnsiTheme="minorHAnsi" w:cstheme="minorHAnsi"/>
                <w:sz w:val="20"/>
                <w:szCs w:val="20"/>
                <w:lang w:val="id-ID"/>
              </w:rPr>
              <w:t>56</w:t>
            </w:r>
            <w:r w:rsidRPr="000A7545">
              <w:rPr>
                <w:rFonts w:asciiTheme="minorHAnsi" w:hAnsiTheme="minorHAnsi" w:cstheme="minorHAnsi"/>
                <w:sz w:val="20"/>
                <w:szCs w:val="20"/>
                <w:lang w:val="en-US"/>
              </w:rPr>
              <w:t>F</w:t>
            </w:r>
            <w:r w:rsidRPr="000A7545">
              <w:rPr>
                <w:rFonts w:asciiTheme="minorHAnsi" w:hAnsiTheme="minorHAnsi" w:cstheme="minorHAnsi"/>
                <w:sz w:val="20"/>
                <w:szCs w:val="20"/>
                <w:lang w:val="id-ID"/>
              </w:rPr>
              <w:t>)</w:t>
            </w:r>
          </w:p>
          <w:p w14:paraId="13B56181"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80% of estimated and mapped development partners involved in consultations (CSOs, Yayasan, FBOs, schools, SKPD, children, media)</w:t>
            </w:r>
          </w:p>
        </w:tc>
        <w:tc>
          <w:tcPr>
            <w:tcW w:w="290" w:type="pct"/>
            <w:gridSpan w:val="2"/>
          </w:tcPr>
          <w:p w14:paraId="13B56182"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18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Workshop attendance records</w:t>
            </w:r>
          </w:p>
        </w:tc>
      </w:tr>
      <w:tr w:rsidR="000A7545" w:rsidRPr="000A7545" w14:paraId="13B5618E" w14:textId="77777777" w:rsidTr="00B812C8">
        <w:trPr>
          <w:trHeight w:val="1095"/>
        </w:trPr>
        <w:tc>
          <w:tcPr>
            <w:tcW w:w="543" w:type="pct"/>
            <w:gridSpan w:val="3"/>
            <w:vMerge w:val="restart"/>
            <w:shd w:val="clear" w:color="auto" w:fill="auto"/>
          </w:tcPr>
          <w:p w14:paraId="13B56185"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Output 1.1.2. </w:t>
            </w:r>
          </w:p>
          <w:p w14:paraId="13B5618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hAnsiTheme="minorHAnsi" w:cstheme="minorHAnsi"/>
                <w:color w:val="000000" w:themeColor="text1"/>
                <w:sz w:val="20"/>
                <w:szCs w:val="20"/>
                <w:lang w:val="en-US"/>
              </w:rPr>
              <w:t xml:space="preserve">Education Offices in provinces and districts improve capacity for </w:t>
            </w:r>
            <w:r w:rsidRPr="000A7545">
              <w:rPr>
                <w:rFonts w:asciiTheme="minorHAnsi" w:hAnsiTheme="minorHAnsi" w:cstheme="minorHAnsi"/>
                <w:color w:val="000000" w:themeColor="text1"/>
                <w:sz w:val="20"/>
                <w:szCs w:val="20"/>
                <w:lang w:val="id-ID"/>
              </w:rPr>
              <w:t>strategic planning (Renstra) and annual work plan (Renja)</w:t>
            </w:r>
            <w:r w:rsidRPr="000A7545">
              <w:rPr>
                <w:rFonts w:asciiTheme="minorHAnsi" w:hAnsiTheme="minorHAnsi" w:cstheme="minorHAnsi"/>
                <w:color w:val="000000" w:themeColor="text1"/>
                <w:sz w:val="20"/>
                <w:szCs w:val="20"/>
                <w:lang w:val="en-US"/>
              </w:rPr>
              <w:t xml:space="preserve"> (AusAID)</w:t>
            </w:r>
          </w:p>
        </w:tc>
        <w:tc>
          <w:tcPr>
            <w:tcW w:w="1017" w:type="pct"/>
            <w:gridSpan w:val="3"/>
            <w:shd w:val="clear" w:color="auto" w:fill="auto"/>
          </w:tcPr>
          <w:p w14:paraId="13B5618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1.1.2a. Number of </w:t>
            </w:r>
            <w:r w:rsidRPr="000A7545">
              <w:rPr>
                <w:rFonts w:asciiTheme="minorHAnsi" w:hAnsiTheme="minorHAnsi" w:cstheme="minorHAnsi"/>
                <w:i/>
                <w:color w:val="000000" w:themeColor="text1"/>
                <w:sz w:val="20"/>
                <w:szCs w:val="20"/>
                <w:lang w:val="id-ID"/>
              </w:rPr>
              <w:t>Renstra</w:t>
            </w:r>
            <w:r w:rsidRPr="000A7545">
              <w:rPr>
                <w:rFonts w:asciiTheme="minorHAnsi" w:hAnsiTheme="minorHAnsi" w:cstheme="minorHAnsi"/>
                <w:color w:val="000000" w:themeColor="text1"/>
                <w:sz w:val="20"/>
                <w:szCs w:val="20"/>
                <w:lang w:val="id-ID"/>
              </w:rPr>
              <w:t xml:space="preserve"> and </w:t>
            </w:r>
            <w:r w:rsidRPr="000A7545">
              <w:rPr>
                <w:rFonts w:asciiTheme="minorHAnsi" w:hAnsiTheme="minorHAnsi" w:cstheme="minorHAnsi"/>
                <w:i/>
                <w:color w:val="000000" w:themeColor="text1"/>
                <w:sz w:val="20"/>
                <w:szCs w:val="20"/>
                <w:lang w:val="id-ID"/>
              </w:rPr>
              <w:t>Renja</w:t>
            </w:r>
            <w:r w:rsidRPr="000A7545">
              <w:rPr>
                <w:rFonts w:asciiTheme="minorHAnsi" w:hAnsiTheme="minorHAnsi" w:cstheme="minorHAnsi"/>
                <w:color w:val="000000" w:themeColor="text1"/>
                <w:sz w:val="20"/>
                <w:szCs w:val="20"/>
                <w:lang w:val="id-ID"/>
              </w:rPr>
              <w:t xml:space="preserve"> capacity development workshops for government development partners from target districts (AusAID)</w:t>
            </w:r>
          </w:p>
        </w:tc>
        <w:tc>
          <w:tcPr>
            <w:tcW w:w="1117" w:type="pct"/>
            <w:shd w:val="clear" w:color="auto" w:fill="auto"/>
          </w:tcPr>
          <w:p w14:paraId="13B5618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 xml:space="preserve">Sporadic training provided  </w:t>
            </w:r>
          </w:p>
        </w:tc>
        <w:tc>
          <w:tcPr>
            <w:tcW w:w="500" w:type="pct"/>
            <w:shd w:val="clear" w:color="auto" w:fill="auto"/>
          </w:tcPr>
          <w:p w14:paraId="13B5618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1092" w:type="pct"/>
            <w:gridSpan w:val="2"/>
          </w:tcPr>
          <w:p w14:paraId="13B5618A" w14:textId="77777777" w:rsidR="000A7545" w:rsidRPr="00B812C8" w:rsidRDefault="000A7545" w:rsidP="000A7545">
            <w:pPr>
              <w:spacing w:after="0"/>
              <w:rPr>
                <w:rFonts w:asciiTheme="minorHAnsi" w:hAnsiTheme="minorHAnsi" w:cstheme="minorHAnsi"/>
                <w:sz w:val="20"/>
                <w:szCs w:val="20"/>
                <w:lang w:val="en-US"/>
              </w:rPr>
            </w:pPr>
            <w:r w:rsidRPr="00B812C8">
              <w:rPr>
                <w:rFonts w:asciiTheme="minorHAnsi" w:hAnsiTheme="minorHAnsi" w:cstheme="minorHAnsi"/>
                <w:sz w:val="20"/>
                <w:szCs w:val="20"/>
                <w:lang w:val="en-US"/>
              </w:rPr>
              <w:t xml:space="preserve">Each </w:t>
            </w:r>
            <w:r w:rsidRPr="00B812C8">
              <w:rPr>
                <w:rFonts w:asciiTheme="minorHAnsi" w:hAnsiTheme="minorHAnsi" w:cstheme="minorHAnsi"/>
                <w:i/>
                <w:sz w:val="20"/>
                <w:szCs w:val="20"/>
                <w:lang w:val="en-US"/>
              </w:rPr>
              <w:t>Renstra</w:t>
            </w:r>
            <w:r w:rsidRPr="00B812C8">
              <w:rPr>
                <w:rFonts w:asciiTheme="minorHAnsi" w:hAnsiTheme="minorHAnsi" w:cstheme="minorHAnsi"/>
                <w:sz w:val="20"/>
                <w:szCs w:val="20"/>
                <w:lang w:val="en-US"/>
              </w:rPr>
              <w:t xml:space="preserve"> process had 4 different meetings plus a public consultation and a socialization meeting (so 6 in total); Each </w:t>
            </w:r>
            <w:r w:rsidRPr="00B812C8">
              <w:rPr>
                <w:rFonts w:asciiTheme="minorHAnsi" w:hAnsiTheme="minorHAnsi" w:cstheme="minorHAnsi"/>
                <w:i/>
                <w:sz w:val="20"/>
                <w:szCs w:val="20"/>
                <w:lang w:val="en-US"/>
              </w:rPr>
              <w:t>Renja</w:t>
            </w:r>
            <w:r w:rsidRPr="00B812C8">
              <w:rPr>
                <w:rFonts w:asciiTheme="minorHAnsi" w:hAnsiTheme="minorHAnsi" w:cstheme="minorHAnsi"/>
                <w:sz w:val="20"/>
                <w:szCs w:val="20"/>
                <w:lang w:val="en-US"/>
              </w:rPr>
              <w:t xml:space="preserve"> had 4 meetings.</w:t>
            </w:r>
          </w:p>
          <w:p w14:paraId="13B5618B" w14:textId="77777777" w:rsidR="000A7545" w:rsidRPr="008A2172" w:rsidRDefault="000A7545" w:rsidP="000A7545">
            <w:pPr>
              <w:spacing w:after="0"/>
              <w:rPr>
                <w:rFonts w:asciiTheme="minorHAnsi" w:hAnsiTheme="minorHAnsi" w:cstheme="minorHAnsi"/>
                <w:i/>
                <w:sz w:val="20"/>
                <w:szCs w:val="20"/>
                <w:lang w:val="en-US"/>
              </w:rPr>
            </w:pPr>
            <w:r w:rsidRPr="00B812C8">
              <w:rPr>
                <w:rFonts w:asciiTheme="minorHAnsi" w:hAnsiTheme="minorHAnsi" w:cstheme="minorHAnsi"/>
                <w:sz w:val="20"/>
                <w:szCs w:val="20"/>
                <w:lang w:val="en-US"/>
              </w:rPr>
              <w:t>In total: 10 meetings x2 plus 10 meetings  x 6 districts = 80 meetings</w:t>
            </w:r>
          </w:p>
        </w:tc>
        <w:tc>
          <w:tcPr>
            <w:tcW w:w="290" w:type="pct"/>
            <w:gridSpan w:val="2"/>
          </w:tcPr>
          <w:p w14:paraId="13B5618C" w14:textId="77777777" w:rsidR="000A7545" w:rsidRPr="00B812C8"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18D" w14:textId="77777777" w:rsidR="000A7545" w:rsidRPr="008A2172" w:rsidRDefault="000A7545" w:rsidP="000A7545">
            <w:pPr>
              <w:spacing w:after="0" w:line="240" w:lineRule="auto"/>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Workshop records, public media, consultants’ reports, Education Sector Review December 2012</w:t>
            </w:r>
          </w:p>
        </w:tc>
      </w:tr>
      <w:tr w:rsidR="000A7545" w:rsidRPr="000A7545" w14:paraId="13B56197" w14:textId="77777777" w:rsidTr="00B812C8">
        <w:trPr>
          <w:trHeight w:val="853"/>
        </w:trPr>
        <w:tc>
          <w:tcPr>
            <w:tcW w:w="543" w:type="pct"/>
            <w:gridSpan w:val="3"/>
            <w:vMerge/>
            <w:shd w:val="clear" w:color="auto" w:fill="auto"/>
          </w:tcPr>
          <w:p w14:paraId="13B5618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1017" w:type="pct"/>
            <w:gridSpan w:val="3"/>
            <w:shd w:val="clear" w:color="auto" w:fill="auto"/>
          </w:tcPr>
          <w:p w14:paraId="13B5619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1.1.2b. </w:t>
            </w:r>
            <w:r w:rsidRPr="000A7545">
              <w:rPr>
                <w:rFonts w:asciiTheme="minorHAnsi" w:hAnsiTheme="minorHAnsi" w:cstheme="minorHAnsi"/>
                <w:sz w:val="20"/>
                <w:szCs w:val="20"/>
                <w:lang w:val="id-ID"/>
              </w:rPr>
              <w:t>Mentori</w:t>
            </w:r>
            <w:r w:rsidRPr="000A7545">
              <w:rPr>
                <w:rFonts w:asciiTheme="minorHAnsi" w:hAnsiTheme="minorHAnsi" w:cstheme="minorHAnsi"/>
                <w:sz w:val="20"/>
                <w:szCs w:val="20"/>
                <w:lang w:val="en-US"/>
              </w:rPr>
              <w:t>ng support for</w:t>
            </w:r>
            <w:r w:rsidRPr="000A7545">
              <w:rPr>
                <w:rFonts w:asciiTheme="minorHAnsi" w:hAnsiTheme="minorHAnsi" w:cstheme="minorHAnsi"/>
                <w:sz w:val="20"/>
                <w:szCs w:val="20"/>
                <w:lang w:val="id-ID"/>
              </w:rPr>
              <w:t xml:space="preserve"> provincial and district </w:t>
            </w:r>
            <w:r w:rsidRPr="000A7545">
              <w:rPr>
                <w:rFonts w:asciiTheme="minorHAnsi" w:hAnsiTheme="minorHAnsi" w:cstheme="minorHAnsi"/>
                <w:i/>
                <w:sz w:val="20"/>
                <w:szCs w:val="20"/>
                <w:lang w:val="id-ID"/>
              </w:rPr>
              <w:t xml:space="preserve">Renstra </w:t>
            </w:r>
            <w:r w:rsidRPr="000A7545">
              <w:rPr>
                <w:rFonts w:asciiTheme="minorHAnsi" w:hAnsiTheme="minorHAnsi" w:cstheme="minorHAnsi"/>
                <w:sz w:val="20"/>
                <w:szCs w:val="20"/>
                <w:lang w:val="id-ID"/>
              </w:rPr>
              <w:t>writing teams</w:t>
            </w:r>
            <w:r w:rsidRPr="000A7545">
              <w:rPr>
                <w:rFonts w:asciiTheme="minorHAnsi" w:hAnsiTheme="minorHAnsi" w:cstheme="minorHAnsi"/>
                <w:sz w:val="20"/>
                <w:szCs w:val="20"/>
                <w:lang w:val="en-US"/>
              </w:rPr>
              <w:t xml:space="preserve"> (Y/N)</w:t>
            </w:r>
          </w:p>
        </w:tc>
        <w:tc>
          <w:tcPr>
            <w:tcW w:w="1117" w:type="pct"/>
            <w:shd w:val="clear" w:color="auto" w:fill="auto"/>
          </w:tcPr>
          <w:p w14:paraId="13B56191" w14:textId="77777777" w:rsidR="000A7545" w:rsidRPr="00B812C8" w:rsidRDefault="000A7545" w:rsidP="000A7545">
            <w:pPr>
              <w:spacing w:after="0" w:line="240" w:lineRule="auto"/>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 xml:space="preserve">Some support through earlier programmes to Papua province </w:t>
            </w:r>
          </w:p>
        </w:tc>
        <w:tc>
          <w:tcPr>
            <w:tcW w:w="500" w:type="pct"/>
            <w:shd w:val="clear" w:color="auto" w:fill="auto"/>
          </w:tcPr>
          <w:p w14:paraId="13B56192" w14:textId="77777777" w:rsidR="000A7545" w:rsidRPr="008A2172" w:rsidRDefault="000A7545" w:rsidP="000A7545">
            <w:pPr>
              <w:spacing w:after="0" w:line="240" w:lineRule="auto"/>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none</w:t>
            </w:r>
          </w:p>
        </w:tc>
        <w:tc>
          <w:tcPr>
            <w:tcW w:w="1092" w:type="pct"/>
            <w:gridSpan w:val="2"/>
          </w:tcPr>
          <w:p w14:paraId="13B56193" w14:textId="77777777" w:rsidR="000A7545" w:rsidRPr="00B812C8" w:rsidRDefault="000A7545" w:rsidP="000A7545">
            <w:pPr>
              <w:spacing w:after="0" w:line="240" w:lineRule="auto"/>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Provincial and district programme consultants provided intensive support for each writing team;</w:t>
            </w:r>
          </w:p>
          <w:p w14:paraId="13B56194" w14:textId="77777777" w:rsidR="000A7545" w:rsidRPr="00B812C8" w:rsidRDefault="000A7545" w:rsidP="000A7545">
            <w:pPr>
              <w:spacing w:after="0" w:line="240" w:lineRule="auto"/>
              <w:rPr>
                <w:rFonts w:asciiTheme="minorHAnsi" w:hAnsiTheme="minorHAnsi" w:cstheme="minorHAnsi"/>
                <w:i/>
                <w:sz w:val="20"/>
                <w:szCs w:val="20"/>
                <w:lang w:val="en-US"/>
              </w:rPr>
            </w:pPr>
            <w:r w:rsidRPr="00B812C8">
              <w:rPr>
                <w:rFonts w:asciiTheme="minorHAnsi" w:eastAsia="Times New Roman" w:hAnsiTheme="minorHAnsi" w:cstheme="minorHAnsi"/>
                <w:sz w:val="20"/>
                <w:szCs w:val="20"/>
                <w:lang w:val="en-US"/>
              </w:rPr>
              <w:t>RWT all involved in all 5 workshops as capacity development activity</w:t>
            </w:r>
          </w:p>
        </w:tc>
        <w:tc>
          <w:tcPr>
            <w:tcW w:w="290" w:type="pct"/>
            <w:gridSpan w:val="2"/>
          </w:tcPr>
          <w:p w14:paraId="13B56195"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19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Workshop records</w:t>
            </w:r>
          </w:p>
        </w:tc>
      </w:tr>
      <w:tr w:rsidR="000A7545" w:rsidRPr="000A7545" w14:paraId="13B561A0" w14:textId="77777777" w:rsidTr="00B812C8">
        <w:trPr>
          <w:trHeight w:val="880"/>
        </w:trPr>
        <w:tc>
          <w:tcPr>
            <w:tcW w:w="543" w:type="pct"/>
            <w:gridSpan w:val="3"/>
            <w:vMerge/>
            <w:shd w:val="clear" w:color="auto" w:fill="auto"/>
          </w:tcPr>
          <w:p w14:paraId="13B5619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1017" w:type="pct"/>
            <w:gridSpan w:val="3"/>
            <w:shd w:val="clear" w:color="auto" w:fill="auto"/>
          </w:tcPr>
          <w:p w14:paraId="13B5619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1.1.2c. Number and composition of </w:t>
            </w:r>
            <w:r w:rsidRPr="000A7545">
              <w:rPr>
                <w:rFonts w:asciiTheme="minorHAnsi" w:eastAsia="Times New Roman" w:hAnsiTheme="minorHAnsi" w:cstheme="minorHAnsi"/>
                <w:i/>
                <w:sz w:val="20"/>
                <w:szCs w:val="20"/>
                <w:lang w:val="en-US"/>
              </w:rPr>
              <w:t>Renja</w:t>
            </w:r>
            <w:r w:rsidRPr="000A7545">
              <w:rPr>
                <w:rFonts w:asciiTheme="minorHAnsi" w:eastAsia="Times New Roman" w:hAnsiTheme="minorHAnsi" w:cstheme="minorHAnsi"/>
                <w:sz w:val="20"/>
                <w:szCs w:val="20"/>
                <w:lang w:val="en-US"/>
              </w:rPr>
              <w:t xml:space="preserve"> development teams in 2/2 provinces and 6/6 districts</w:t>
            </w:r>
          </w:p>
        </w:tc>
        <w:tc>
          <w:tcPr>
            <w:tcW w:w="1117" w:type="pct"/>
            <w:shd w:val="clear" w:color="auto" w:fill="auto"/>
          </w:tcPr>
          <w:p w14:paraId="13B5619A" w14:textId="77777777" w:rsidR="000A7545" w:rsidRPr="00B812C8" w:rsidRDefault="000A7545" w:rsidP="000A7545">
            <w:pPr>
              <w:spacing w:after="0" w:line="240" w:lineRule="auto"/>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 xml:space="preserve">No formal teams or participatory process except </w:t>
            </w:r>
            <w:r w:rsidR="00FA3235" w:rsidRPr="00B812C8">
              <w:rPr>
                <w:rFonts w:asciiTheme="minorHAnsi" w:eastAsia="Times New Roman" w:hAnsiTheme="minorHAnsi" w:cstheme="minorHAnsi"/>
                <w:sz w:val="20"/>
                <w:szCs w:val="20"/>
                <w:lang w:val="en-US"/>
              </w:rPr>
              <w:t>for  Papua province to speak of</w:t>
            </w:r>
          </w:p>
        </w:tc>
        <w:tc>
          <w:tcPr>
            <w:tcW w:w="500" w:type="pct"/>
            <w:shd w:val="clear" w:color="auto" w:fill="auto"/>
          </w:tcPr>
          <w:p w14:paraId="13B5619B" w14:textId="77777777" w:rsidR="000A7545" w:rsidRPr="008A2172" w:rsidRDefault="000A7545" w:rsidP="000A7545">
            <w:pPr>
              <w:spacing w:after="0" w:line="240" w:lineRule="auto"/>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none</w:t>
            </w:r>
          </w:p>
        </w:tc>
        <w:tc>
          <w:tcPr>
            <w:tcW w:w="1092" w:type="pct"/>
            <w:gridSpan w:val="2"/>
          </w:tcPr>
          <w:p w14:paraId="13B5619C" w14:textId="77777777" w:rsidR="000A7545" w:rsidRPr="00B812C8" w:rsidRDefault="000A7545" w:rsidP="000A7545">
            <w:pPr>
              <w:spacing w:after="0" w:line="240" w:lineRule="auto"/>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 xml:space="preserve">Teams of 6-9 people for core </w:t>
            </w:r>
            <w:r w:rsidRPr="00B812C8">
              <w:rPr>
                <w:rFonts w:asciiTheme="minorHAnsi" w:eastAsia="Times New Roman" w:hAnsiTheme="minorHAnsi" w:cstheme="minorHAnsi"/>
                <w:i/>
                <w:sz w:val="20"/>
                <w:szCs w:val="20"/>
                <w:lang w:val="en-US"/>
              </w:rPr>
              <w:t>Renstra</w:t>
            </w:r>
            <w:r w:rsidRPr="00B812C8">
              <w:rPr>
                <w:rFonts w:asciiTheme="minorHAnsi" w:eastAsia="Times New Roman" w:hAnsiTheme="minorHAnsi" w:cstheme="minorHAnsi"/>
                <w:sz w:val="20"/>
                <w:szCs w:val="20"/>
                <w:lang w:val="en-US"/>
              </w:rPr>
              <w:t xml:space="preserve"> team and another 12 for broad </w:t>
            </w:r>
            <w:r w:rsidRPr="00B812C8">
              <w:rPr>
                <w:rFonts w:asciiTheme="minorHAnsi" w:eastAsia="Times New Roman" w:hAnsiTheme="minorHAnsi" w:cstheme="minorHAnsi"/>
                <w:i/>
                <w:sz w:val="20"/>
                <w:szCs w:val="20"/>
                <w:lang w:val="en-US"/>
              </w:rPr>
              <w:t>Renstra</w:t>
            </w:r>
            <w:r w:rsidRPr="00B812C8">
              <w:rPr>
                <w:rFonts w:asciiTheme="minorHAnsi" w:eastAsia="Times New Roman" w:hAnsiTheme="minorHAnsi" w:cstheme="minorHAnsi"/>
                <w:sz w:val="20"/>
                <w:szCs w:val="20"/>
                <w:lang w:val="en-US"/>
              </w:rPr>
              <w:t xml:space="preserve"> team. Made up of Education staff (planning department, education leaders, Bappeda (at least one) and expert appointees as requested). </w:t>
            </w:r>
          </w:p>
          <w:p w14:paraId="13B5619D" w14:textId="77777777" w:rsidR="000A7545" w:rsidRPr="00B812C8" w:rsidRDefault="000A7545" w:rsidP="000A7545">
            <w:pPr>
              <w:spacing w:after="0" w:line="240" w:lineRule="auto"/>
              <w:rPr>
                <w:rFonts w:asciiTheme="minorHAnsi" w:hAnsiTheme="minorHAnsi" w:cstheme="minorHAnsi"/>
                <w:i/>
                <w:sz w:val="20"/>
                <w:szCs w:val="20"/>
                <w:lang w:val="en-US"/>
              </w:rPr>
            </w:pPr>
            <w:r w:rsidRPr="00B812C8">
              <w:rPr>
                <w:rFonts w:asciiTheme="minorHAnsi" w:eastAsia="Times New Roman" w:hAnsiTheme="minorHAnsi" w:cstheme="minorHAnsi"/>
                <w:i/>
                <w:sz w:val="20"/>
                <w:szCs w:val="20"/>
                <w:lang w:val="en-US"/>
              </w:rPr>
              <w:t>Renja</w:t>
            </w:r>
            <w:r w:rsidRPr="00B812C8">
              <w:rPr>
                <w:rFonts w:asciiTheme="minorHAnsi" w:eastAsia="Times New Roman" w:hAnsiTheme="minorHAnsi" w:cstheme="minorHAnsi"/>
                <w:sz w:val="20"/>
                <w:szCs w:val="20"/>
                <w:lang w:val="en-US"/>
              </w:rPr>
              <w:t xml:space="preserve"> team also 6-8, but more education staff included.</w:t>
            </w:r>
          </w:p>
        </w:tc>
        <w:tc>
          <w:tcPr>
            <w:tcW w:w="290" w:type="pct"/>
            <w:gridSpan w:val="2"/>
          </w:tcPr>
          <w:p w14:paraId="13B5619E"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19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Project documents</w:t>
            </w:r>
          </w:p>
        </w:tc>
      </w:tr>
      <w:tr w:rsidR="000A7545" w:rsidRPr="000A7545" w14:paraId="13B561A8" w14:textId="77777777" w:rsidTr="00B812C8">
        <w:trPr>
          <w:trHeight w:val="880"/>
        </w:trPr>
        <w:tc>
          <w:tcPr>
            <w:tcW w:w="543" w:type="pct"/>
            <w:gridSpan w:val="3"/>
            <w:vMerge/>
            <w:shd w:val="clear" w:color="auto" w:fill="auto"/>
            <w:vAlign w:val="center"/>
          </w:tcPr>
          <w:p w14:paraId="13B561A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1017" w:type="pct"/>
            <w:gridSpan w:val="3"/>
            <w:shd w:val="clear" w:color="auto" w:fill="auto"/>
          </w:tcPr>
          <w:p w14:paraId="13B561A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1.1.2d. Completion of 2/2 provincial and 6/6 district </w:t>
            </w:r>
            <w:r w:rsidRPr="000A7545">
              <w:rPr>
                <w:rFonts w:asciiTheme="minorHAnsi" w:eastAsia="Times New Roman" w:hAnsiTheme="minorHAnsi" w:cstheme="minorHAnsi"/>
                <w:i/>
                <w:sz w:val="20"/>
                <w:szCs w:val="20"/>
                <w:lang w:val="en-US"/>
              </w:rPr>
              <w:t xml:space="preserve">Renstra </w:t>
            </w:r>
            <w:r w:rsidRPr="000A7545">
              <w:rPr>
                <w:rFonts w:asciiTheme="minorHAnsi" w:eastAsia="Times New Roman" w:hAnsiTheme="minorHAnsi" w:cstheme="minorHAnsi"/>
                <w:sz w:val="20"/>
                <w:szCs w:val="20"/>
                <w:lang w:val="en-US"/>
              </w:rPr>
              <w:t xml:space="preserve">and </w:t>
            </w:r>
            <w:r w:rsidRPr="000A7545">
              <w:rPr>
                <w:rFonts w:asciiTheme="minorHAnsi" w:eastAsia="Times New Roman" w:hAnsiTheme="minorHAnsi" w:cstheme="minorHAnsi"/>
                <w:i/>
                <w:sz w:val="20"/>
                <w:szCs w:val="20"/>
                <w:lang w:val="en-US"/>
              </w:rPr>
              <w:t xml:space="preserve">Renja </w:t>
            </w:r>
            <w:r w:rsidRPr="000A7545">
              <w:rPr>
                <w:rFonts w:asciiTheme="minorHAnsi" w:eastAsia="Times New Roman" w:hAnsiTheme="minorHAnsi" w:cstheme="minorHAnsi"/>
                <w:sz w:val="20"/>
                <w:szCs w:val="20"/>
                <w:lang w:val="en-US"/>
              </w:rPr>
              <w:t>documents (Y/N)</w:t>
            </w:r>
          </w:p>
        </w:tc>
        <w:tc>
          <w:tcPr>
            <w:tcW w:w="1117" w:type="pct"/>
            <w:shd w:val="clear" w:color="auto" w:fill="auto"/>
          </w:tcPr>
          <w:p w14:paraId="13B561A3" w14:textId="77777777" w:rsidR="000A7545" w:rsidRPr="00B812C8" w:rsidRDefault="000A7545" w:rsidP="000A7545">
            <w:pPr>
              <w:spacing w:after="0" w:line="240" w:lineRule="auto"/>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Documents existed in 50% of provinces/districts - technical review found very poor quality, no community knowledge and only Papua province used participatory process</w:t>
            </w:r>
          </w:p>
        </w:tc>
        <w:tc>
          <w:tcPr>
            <w:tcW w:w="500" w:type="pct"/>
            <w:shd w:val="clear" w:color="auto" w:fill="auto"/>
          </w:tcPr>
          <w:p w14:paraId="13B561A4" w14:textId="77777777" w:rsidR="000A7545" w:rsidRPr="008A2172" w:rsidRDefault="000A7545" w:rsidP="000A7545">
            <w:pPr>
              <w:spacing w:after="0" w:line="240" w:lineRule="auto"/>
              <w:rPr>
                <w:rFonts w:asciiTheme="minorHAnsi" w:eastAsia="Times New Roman" w:hAnsiTheme="minorHAnsi" w:cstheme="minorHAnsi"/>
                <w:sz w:val="20"/>
                <w:szCs w:val="20"/>
                <w:lang w:val="en-US"/>
              </w:rPr>
            </w:pPr>
            <w:r w:rsidRPr="00B812C8">
              <w:rPr>
                <w:rFonts w:asciiTheme="minorHAnsi" w:eastAsia="Times New Roman" w:hAnsiTheme="minorHAnsi" w:cstheme="minorHAnsi"/>
                <w:sz w:val="20"/>
                <w:szCs w:val="20"/>
                <w:lang w:val="en-US"/>
              </w:rPr>
              <w:t>non</w:t>
            </w:r>
          </w:p>
        </w:tc>
        <w:tc>
          <w:tcPr>
            <w:tcW w:w="1092" w:type="pct"/>
            <w:gridSpan w:val="2"/>
          </w:tcPr>
          <w:p w14:paraId="13B561A5" w14:textId="77777777" w:rsidR="000A7545" w:rsidRPr="00B812C8" w:rsidRDefault="000A7545" w:rsidP="000A7545">
            <w:pPr>
              <w:spacing w:after="0" w:line="240" w:lineRule="auto"/>
              <w:rPr>
                <w:rFonts w:asciiTheme="minorHAnsi" w:hAnsiTheme="minorHAnsi" w:cstheme="minorHAnsi"/>
                <w:i/>
                <w:sz w:val="20"/>
                <w:szCs w:val="20"/>
                <w:lang w:val="en-US"/>
              </w:rPr>
            </w:pPr>
            <w:r w:rsidRPr="00B812C8">
              <w:rPr>
                <w:rFonts w:asciiTheme="minorHAnsi" w:eastAsia="Times New Roman" w:hAnsiTheme="minorHAnsi" w:cstheme="minorHAnsi"/>
                <w:sz w:val="20"/>
                <w:szCs w:val="20"/>
                <w:lang w:val="en-US"/>
              </w:rPr>
              <w:t xml:space="preserve">All </w:t>
            </w:r>
            <w:r w:rsidRPr="00B812C8">
              <w:rPr>
                <w:rFonts w:asciiTheme="minorHAnsi" w:eastAsia="Times New Roman" w:hAnsiTheme="minorHAnsi" w:cstheme="minorHAnsi"/>
                <w:i/>
                <w:sz w:val="20"/>
                <w:szCs w:val="20"/>
                <w:lang w:val="en-US"/>
              </w:rPr>
              <w:t>Renstra</w:t>
            </w:r>
            <w:r w:rsidRPr="00B812C8">
              <w:rPr>
                <w:rFonts w:asciiTheme="minorHAnsi" w:eastAsia="Times New Roman" w:hAnsiTheme="minorHAnsi" w:cstheme="minorHAnsi"/>
                <w:sz w:val="20"/>
                <w:szCs w:val="20"/>
                <w:lang w:val="en-US"/>
              </w:rPr>
              <w:t xml:space="preserve"> and </w:t>
            </w:r>
            <w:r w:rsidRPr="00B812C8">
              <w:rPr>
                <w:rFonts w:asciiTheme="minorHAnsi" w:eastAsia="Times New Roman" w:hAnsiTheme="minorHAnsi" w:cstheme="minorHAnsi"/>
                <w:i/>
                <w:sz w:val="20"/>
                <w:szCs w:val="20"/>
                <w:lang w:val="en-US"/>
              </w:rPr>
              <w:t>Renja</w:t>
            </w:r>
            <w:r w:rsidRPr="00B812C8">
              <w:rPr>
                <w:rFonts w:asciiTheme="minorHAnsi" w:eastAsia="Times New Roman" w:hAnsiTheme="minorHAnsi" w:cstheme="minorHAnsi"/>
                <w:sz w:val="20"/>
                <w:szCs w:val="20"/>
                <w:lang w:val="en-US"/>
              </w:rPr>
              <w:t xml:space="preserve"> documents completed for 2012 in 2/2 provinces and 6/6 districts.</w:t>
            </w:r>
          </w:p>
        </w:tc>
        <w:tc>
          <w:tcPr>
            <w:tcW w:w="290" w:type="pct"/>
            <w:gridSpan w:val="2"/>
          </w:tcPr>
          <w:p w14:paraId="13B561A6"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1A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Government records</w:t>
            </w:r>
          </w:p>
        </w:tc>
      </w:tr>
      <w:tr w:rsidR="000A7545" w:rsidRPr="000A7545" w14:paraId="13B561B5" w14:textId="77777777" w:rsidTr="00B812C8">
        <w:trPr>
          <w:trHeight w:val="1222"/>
        </w:trPr>
        <w:tc>
          <w:tcPr>
            <w:tcW w:w="543" w:type="pct"/>
            <w:gridSpan w:val="3"/>
            <w:vMerge w:val="restart"/>
            <w:shd w:val="clear" w:color="auto" w:fill="auto"/>
          </w:tcPr>
          <w:p w14:paraId="13B561A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Output </w:t>
            </w:r>
            <w:r w:rsidRPr="000A7545">
              <w:rPr>
                <w:rFonts w:asciiTheme="minorHAnsi" w:eastAsia="Times New Roman" w:hAnsiTheme="minorHAnsi" w:cstheme="minorHAnsi"/>
                <w:color w:val="000000"/>
                <w:sz w:val="20"/>
                <w:szCs w:val="20"/>
                <w:lang w:val="en-US"/>
              </w:rPr>
              <w:t>1</w:t>
            </w:r>
            <w:r w:rsidRPr="000A7545">
              <w:rPr>
                <w:rFonts w:asciiTheme="minorHAnsi" w:eastAsia="Times New Roman" w:hAnsiTheme="minorHAnsi" w:cstheme="minorHAnsi"/>
                <w:color w:val="000000"/>
                <w:sz w:val="20"/>
                <w:szCs w:val="20"/>
                <w:lang w:val="id-ID"/>
              </w:rPr>
              <w:t>.1.</w:t>
            </w:r>
            <w:r w:rsidRPr="000A7545">
              <w:rPr>
                <w:rFonts w:asciiTheme="minorHAnsi" w:eastAsia="Times New Roman" w:hAnsiTheme="minorHAnsi" w:cstheme="minorHAnsi"/>
                <w:color w:val="000000"/>
                <w:sz w:val="20"/>
                <w:szCs w:val="20"/>
                <w:lang w:val="en-US"/>
              </w:rPr>
              <w:t>3</w:t>
            </w:r>
            <w:r w:rsidRPr="000A7545">
              <w:rPr>
                <w:rFonts w:asciiTheme="minorHAnsi" w:eastAsia="Times New Roman" w:hAnsiTheme="minorHAnsi" w:cstheme="minorHAnsi"/>
                <w:color w:val="000000"/>
                <w:sz w:val="20"/>
                <w:szCs w:val="20"/>
                <w:lang w:val="id-ID"/>
              </w:rPr>
              <w:t xml:space="preserve"> </w:t>
            </w:r>
          </w:p>
          <w:p w14:paraId="13B561A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 xml:space="preserve">CSOs have improved capacity for: </w:t>
            </w:r>
          </w:p>
          <w:p w14:paraId="13B561AB" w14:textId="77777777" w:rsidR="000A7545" w:rsidRPr="000A7545" w:rsidRDefault="000A7545" w:rsidP="00FA09D3">
            <w:pPr>
              <w:numPr>
                <w:ilvl w:val="0"/>
                <w:numId w:val="33"/>
              </w:numPr>
              <w:spacing w:after="0" w:line="240" w:lineRule="auto"/>
              <w:ind w:left="144" w:hanging="14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Policy</w:t>
            </w:r>
            <w:r w:rsidRPr="000A7545">
              <w:rPr>
                <w:rFonts w:asciiTheme="minorHAnsi" w:eastAsia="Times New Roman" w:hAnsiTheme="minorHAnsi" w:cstheme="minorHAnsi"/>
                <w:color w:val="000000"/>
                <w:sz w:val="20"/>
                <w:szCs w:val="20"/>
                <w:lang w:val="id-ID"/>
              </w:rPr>
              <w:t xml:space="preserve"> development</w:t>
            </w:r>
          </w:p>
          <w:p w14:paraId="13B561AC" w14:textId="77777777" w:rsidR="000A7545" w:rsidRPr="000A7545" w:rsidRDefault="000A7545" w:rsidP="00FA09D3">
            <w:pPr>
              <w:numPr>
                <w:ilvl w:val="0"/>
                <w:numId w:val="33"/>
              </w:numPr>
              <w:spacing w:after="0" w:line="240" w:lineRule="auto"/>
              <w:ind w:left="144" w:hanging="14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Communication for </w:t>
            </w:r>
            <w:r w:rsidRPr="000A7545">
              <w:rPr>
                <w:rFonts w:asciiTheme="minorHAnsi" w:eastAsia="Times New Roman" w:hAnsiTheme="minorHAnsi" w:cstheme="minorHAnsi"/>
                <w:color w:val="000000"/>
                <w:sz w:val="20"/>
                <w:szCs w:val="20"/>
                <w:lang w:val="en-US"/>
              </w:rPr>
              <w:t>D</w:t>
            </w:r>
            <w:r w:rsidRPr="000A7545">
              <w:rPr>
                <w:rFonts w:asciiTheme="minorHAnsi" w:eastAsia="Times New Roman" w:hAnsiTheme="minorHAnsi" w:cstheme="minorHAnsi"/>
                <w:color w:val="000000"/>
                <w:sz w:val="20"/>
                <w:szCs w:val="20"/>
                <w:lang w:val="id-ID"/>
              </w:rPr>
              <w:t>evelopmen</w:t>
            </w:r>
            <w:r w:rsidRPr="000A7545">
              <w:rPr>
                <w:rFonts w:asciiTheme="minorHAnsi" w:eastAsia="Times New Roman" w:hAnsiTheme="minorHAnsi" w:cstheme="minorHAnsi"/>
                <w:color w:val="000000"/>
                <w:sz w:val="20"/>
                <w:szCs w:val="20"/>
                <w:lang w:val="en-US"/>
              </w:rPr>
              <w:t>t</w:t>
            </w:r>
          </w:p>
          <w:p w14:paraId="13B561AD" w14:textId="77777777" w:rsidR="000A7545" w:rsidRPr="000A7545" w:rsidRDefault="000A7545" w:rsidP="00FA09D3">
            <w:pPr>
              <w:numPr>
                <w:ilvl w:val="0"/>
                <w:numId w:val="33"/>
              </w:numPr>
              <w:spacing w:after="0" w:line="240" w:lineRule="auto"/>
              <w:ind w:left="144" w:hanging="14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Financial management</w:t>
            </w:r>
          </w:p>
          <w:p w14:paraId="13B561A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(USAID)</w:t>
            </w:r>
          </w:p>
        </w:tc>
        <w:tc>
          <w:tcPr>
            <w:tcW w:w="1017" w:type="pct"/>
            <w:gridSpan w:val="3"/>
            <w:shd w:val="clear" w:color="auto" w:fill="auto"/>
          </w:tcPr>
          <w:p w14:paraId="13B561AF"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1.1.3a. Mapping of CSO roles conducted (Y/N)</w:t>
            </w:r>
          </w:p>
        </w:tc>
        <w:tc>
          <w:tcPr>
            <w:tcW w:w="1117" w:type="pct"/>
            <w:shd w:val="clear" w:color="auto" w:fill="auto"/>
          </w:tcPr>
          <w:p w14:paraId="13B561B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Assumption that Yayasan and CSOs provide service delivery/management of 60-70% of schools in rural and remote areas of Papua and West Papua</w:t>
            </w:r>
          </w:p>
        </w:tc>
        <w:tc>
          <w:tcPr>
            <w:tcW w:w="500" w:type="pct"/>
            <w:shd w:val="clear" w:color="auto" w:fill="auto"/>
          </w:tcPr>
          <w:p w14:paraId="13B561B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Complete Partnership Mapping by Dec 2011</w:t>
            </w:r>
          </w:p>
        </w:tc>
        <w:tc>
          <w:tcPr>
            <w:tcW w:w="1092" w:type="pct"/>
            <w:gridSpan w:val="2"/>
          </w:tcPr>
          <w:p w14:paraId="13B561B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Mapping completed with draft findings in December 2011; report in draft form in Bahasa Indonesia (March 2012).</w:t>
            </w:r>
          </w:p>
        </w:tc>
        <w:tc>
          <w:tcPr>
            <w:tcW w:w="290" w:type="pct"/>
            <w:gridSpan w:val="2"/>
          </w:tcPr>
          <w:p w14:paraId="13B561B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1B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Partnership mapping</w:t>
            </w:r>
          </w:p>
        </w:tc>
      </w:tr>
      <w:tr w:rsidR="000A7545" w:rsidRPr="000A7545" w14:paraId="13B561C0" w14:textId="77777777" w:rsidTr="00B812C8">
        <w:trPr>
          <w:trHeight w:val="1672"/>
        </w:trPr>
        <w:tc>
          <w:tcPr>
            <w:tcW w:w="543" w:type="pct"/>
            <w:gridSpan w:val="3"/>
            <w:vMerge/>
            <w:shd w:val="clear" w:color="auto" w:fill="auto"/>
          </w:tcPr>
          <w:p w14:paraId="13B561B6" w14:textId="77777777" w:rsidR="000A7545" w:rsidRPr="000A7545" w:rsidRDefault="000A7545" w:rsidP="00FA09D3">
            <w:pPr>
              <w:numPr>
                <w:ilvl w:val="0"/>
                <w:numId w:val="27"/>
              </w:numPr>
              <w:spacing w:after="0" w:line="240" w:lineRule="auto"/>
              <w:contextualSpacing/>
              <w:rPr>
                <w:rFonts w:asciiTheme="minorHAnsi" w:eastAsia="Times New Roman" w:hAnsiTheme="minorHAnsi" w:cstheme="minorHAnsi"/>
                <w:color w:val="000000"/>
                <w:lang w:val="en-US"/>
              </w:rPr>
            </w:pPr>
          </w:p>
        </w:tc>
        <w:tc>
          <w:tcPr>
            <w:tcW w:w="1017" w:type="pct"/>
            <w:gridSpan w:val="3"/>
            <w:shd w:val="clear" w:color="auto" w:fill="auto"/>
          </w:tcPr>
          <w:p w14:paraId="13B561B7"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1.1.3b. Number and types </w:t>
            </w:r>
            <w:r w:rsidRPr="000A7545">
              <w:rPr>
                <w:rFonts w:asciiTheme="minorHAnsi" w:eastAsia="Symbol" w:hAnsiTheme="minorHAnsi" w:cstheme="minorHAnsi"/>
                <w:color w:val="000000"/>
                <w:sz w:val="20"/>
                <w:szCs w:val="20"/>
                <w:lang w:val="id-ID"/>
              </w:rPr>
              <w:t>of CSO</w:t>
            </w:r>
            <w:r w:rsidRPr="000A7545">
              <w:rPr>
                <w:rFonts w:asciiTheme="minorHAnsi" w:eastAsia="Symbol" w:hAnsiTheme="minorHAnsi" w:cstheme="minorHAnsi"/>
                <w:color w:val="000000"/>
                <w:sz w:val="20"/>
                <w:szCs w:val="20"/>
                <w:lang w:val="en-US"/>
              </w:rPr>
              <w:t xml:space="preserve">s trained </w:t>
            </w:r>
          </w:p>
          <w:p w14:paraId="13B561B8" w14:textId="77777777" w:rsidR="000A7545" w:rsidRPr="000A7545" w:rsidRDefault="000A7545" w:rsidP="00FA09D3">
            <w:pPr>
              <w:numPr>
                <w:ilvl w:val="0"/>
                <w:numId w:val="28"/>
              </w:numPr>
              <w:spacing w:after="0" w:line="240" w:lineRule="auto"/>
              <w:ind w:left="174" w:hanging="174"/>
              <w:contextualSpacing/>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Policy Development</w:t>
            </w:r>
          </w:p>
          <w:p w14:paraId="13B561B9" w14:textId="77777777" w:rsidR="000A7545" w:rsidRPr="000A7545" w:rsidRDefault="000A7545" w:rsidP="00FA09D3">
            <w:pPr>
              <w:numPr>
                <w:ilvl w:val="0"/>
                <w:numId w:val="28"/>
              </w:numPr>
              <w:spacing w:after="0" w:line="240" w:lineRule="auto"/>
              <w:ind w:left="174" w:hanging="174"/>
              <w:contextualSpacing/>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Communication for Development</w:t>
            </w:r>
          </w:p>
          <w:p w14:paraId="13B561BA" w14:textId="77777777" w:rsidR="000A7545" w:rsidRPr="000A7545" w:rsidRDefault="000A7545" w:rsidP="00FA09D3">
            <w:pPr>
              <w:numPr>
                <w:ilvl w:val="0"/>
                <w:numId w:val="28"/>
              </w:numPr>
              <w:spacing w:after="0" w:line="240" w:lineRule="auto"/>
              <w:ind w:left="174" w:hanging="174"/>
              <w:contextualSpacing/>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Financial Management</w:t>
            </w:r>
          </w:p>
        </w:tc>
        <w:tc>
          <w:tcPr>
            <w:tcW w:w="1117" w:type="pct"/>
            <w:shd w:val="clear" w:color="auto" w:fill="auto"/>
          </w:tcPr>
          <w:p w14:paraId="13B561BB"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color w:val="000000"/>
                <w:sz w:val="20"/>
                <w:szCs w:val="20"/>
                <w:lang w:val="en-US"/>
              </w:rPr>
              <w:t>Many CSOs report that they have not received training/support in management and service delivery in rural and remote areas</w:t>
            </w:r>
          </w:p>
        </w:tc>
        <w:tc>
          <w:tcPr>
            <w:tcW w:w="500" w:type="pct"/>
            <w:shd w:val="clear" w:color="auto" w:fill="auto"/>
          </w:tcPr>
          <w:p w14:paraId="13B561B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2 civil society organizations per target district by end of program</w:t>
            </w:r>
          </w:p>
        </w:tc>
        <w:tc>
          <w:tcPr>
            <w:tcW w:w="1092" w:type="pct"/>
            <w:gridSpan w:val="2"/>
          </w:tcPr>
          <w:p w14:paraId="13B561B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Roll out of training in Q 2 and Q 3 of 2012</w:t>
            </w:r>
          </w:p>
        </w:tc>
        <w:tc>
          <w:tcPr>
            <w:tcW w:w="290" w:type="pct"/>
            <w:gridSpan w:val="2"/>
          </w:tcPr>
          <w:p w14:paraId="13B561B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tcPr>
          <w:p w14:paraId="13B561B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Baseline and end evaluation</w:t>
            </w:r>
          </w:p>
        </w:tc>
      </w:tr>
      <w:tr w:rsidR="000A7545" w:rsidRPr="000A7545" w14:paraId="13B561C8" w14:textId="77777777" w:rsidTr="00B812C8">
        <w:trPr>
          <w:trHeight w:val="1267"/>
        </w:trPr>
        <w:tc>
          <w:tcPr>
            <w:tcW w:w="543" w:type="pct"/>
            <w:gridSpan w:val="3"/>
            <w:vMerge/>
            <w:shd w:val="clear" w:color="auto" w:fill="auto"/>
          </w:tcPr>
          <w:p w14:paraId="13B561C1" w14:textId="77777777" w:rsidR="000A7545" w:rsidRPr="000A7545" w:rsidRDefault="000A7545" w:rsidP="00FA09D3">
            <w:pPr>
              <w:numPr>
                <w:ilvl w:val="0"/>
                <w:numId w:val="27"/>
              </w:numPr>
              <w:spacing w:after="0" w:line="240" w:lineRule="auto"/>
              <w:contextualSpacing/>
              <w:rPr>
                <w:rFonts w:asciiTheme="minorHAnsi" w:eastAsia="Times New Roman" w:hAnsiTheme="minorHAnsi" w:cstheme="minorHAnsi"/>
                <w:color w:val="000000"/>
                <w:lang w:val="en-US"/>
              </w:rPr>
            </w:pPr>
          </w:p>
        </w:tc>
        <w:tc>
          <w:tcPr>
            <w:tcW w:w="1017" w:type="pct"/>
            <w:gridSpan w:val="3"/>
            <w:shd w:val="clear" w:color="auto" w:fill="auto"/>
          </w:tcPr>
          <w:p w14:paraId="13B561C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1.1.3c. Proportion of CSOs participating in </w:t>
            </w:r>
            <w:r w:rsidRPr="000A7545">
              <w:rPr>
                <w:rFonts w:asciiTheme="minorHAnsi" w:eastAsia="Symbol" w:hAnsiTheme="minorHAnsi" w:cstheme="minorHAnsi"/>
                <w:color w:val="000000"/>
                <w:sz w:val="20"/>
                <w:szCs w:val="20"/>
                <w:lang w:val="id-ID"/>
              </w:rPr>
              <w:t>policy making processes</w:t>
            </w:r>
            <w:r w:rsidRPr="000A7545">
              <w:rPr>
                <w:rFonts w:asciiTheme="minorHAnsi" w:eastAsia="Symbol" w:hAnsiTheme="minorHAnsi" w:cstheme="minorHAnsi"/>
                <w:color w:val="000000"/>
                <w:sz w:val="20"/>
                <w:szCs w:val="20"/>
                <w:lang w:val="en-US"/>
              </w:rPr>
              <w:t xml:space="preserve"> with government</w:t>
            </w:r>
          </w:p>
        </w:tc>
        <w:tc>
          <w:tcPr>
            <w:tcW w:w="1117" w:type="pct"/>
            <w:shd w:val="clear" w:color="auto" w:fill="auto"/>
          </w:tcPr>
          <w:p w14:paraId="13B561C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hAnsiTheme="minorHAnsi" w:cstheme="minorHAnsi"/>
                <w:sz w:val="20"/>
                <w:szCs w:val="20"/>
                <w:lang w:val="en-US"/>
              </w:rPr>
              <w:t>80% of the CSO are active in Dialogue Forums</w:t>
            </w:r>
          </w:p>
        </w:tc>
        <w:tc>
          <w:tcPr>
            <w:tcW w:w="500" w:type="pct"/>
            <w:shd w:val="clear" w:color="auto" w:fill="auto"/>
          </w:tcPr>
          <w:p w14:paraId="13B561C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9</w:t>
            </w:r>
            <w:r w:rsidRPr="000A7545">
              <w:rPr>
                <w:rFonts w:asciiTheme="minorHAnsi" w:eastAsia="Times New Roman" w:hAnsiTheme="minorHAnsi" w:cstheme="minorHAnsi"/>
                <w:color w:val="000000"/>
                <w:sz w:val="20"/>
                <w:szCs w:val="20"/>
                <w:lang w:val="id-ID"/>
              </w:rPr>
              <w:t>0% of CSOs participate in policy making process</w:t>
            </w:r>
            <w:r w:rsidRPr="000A7545">
              <w:rPr>
                <w:rFonts w:asciiTheme="minorHAnsi" w:eastAsia="Times New Roman" w:hAnsiTheme="minorHAnsi" w:cstheme="minorHAnsi"/>
                <w:color w:val="000000"/>
                <w:sz w:val="20"/>
                <w:szCs w:val="20"/>
                <w:lang w:val="en-US"/>
              </w:rPr>
              <w:t>es</w:t>
            </w:r>
          </w:p>
        </w:tc>
        <w:tc>
          <w:tcPr>
            <w:tcW w:w="1092" w:type="pct"/>
            <w:gridSpan w:val="2"/>
          </w:tcPr>
          <w:p w14:paraId="13B561C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hAnsiTheme="minorHAnsi" w:cstheme="minorHAnsi"/>
                <w:sz w:val="20"/>
                <w:szCs w:val="20"/>
                <w:lang w:val="en-US"/>
              </w:rPr>
              <w:t xml:space="preserve">85% of education CSOs/Yayasan were involved in policy dialogue forums such as public consultations and M&amp;E training on </w:t>
            </w:r>
            <w:r w:rsidRPr="000A7545">
              <w:rPr>
                <w:rFonts w:asciiTheme="minorHAnsi" w:hAnsiTheme="minorHAnsi" w:cstheme="minorHAnsi"/>
                <w:i/>
                <w:sz w:val="20"/>
                <w:szCs w:val="20"/>
                <w:lang w:val="en-US"/>
              </w:rPr>
              <w:t>Renstra</w:t>
            </w:r>
            <w:r w:rsidRPr="000A7545">
              <w:rPr>
                <w:rFonts w:asciiTheme="minorHAnsi" w:hAnsiTheme="minorHAnsi" w:cstheme="minorHAnsi"/>
                <w:sz w:val="20"/>
                <w:szCs w:val="20"/>
                <w:lang w:val="en-US"/>
              </w:rPr>
              <w:t xml:space="preserve"> and </w:t>
            </w:r>
            <w:r w:rsidRPr="000A7545">
              <w:rPr>
                <w:rFonts w:asciiTheme="minorHAnsi" w:hAnsiTheme="minorHAnsi" w:cstheme="minorHAnsi"/>
                <w:i/>
                <w:sz w:val="20"/>
                <w:szCs w:val="20"/>
                <w:lang w:val="en-US"/>
              </w:rPr>
              <w:t>Renja</w:t>
            </w:r>
            <w:r w:rsidRPr="000A7545">
              <w:rPr>
                <w:rFonts w:asciiTheme="minorHAnsi" w:hAnsiTheme="minorHAnsi" w:cstheme="minorHAnsi"/>
                <w:sz w:val="20"/>
                <w:szCs w:val="20"/>
                <w:lang w:val="en-US"/>
              </w:rPr>
              <w:t xml:space="preserve"> development</w:t>
            </w:r>
          </w:p>
        </w:tc>
        <w:tc>
          <w:tcPr>
            <w:tcW w:w="290" w:type="pct"/>
            <w:gridSpan w:val="2"/>
          </w:tcPr>
          <w:p w14:paraId="13B561C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1C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Policy workshop reports</w:t>
            </w:r>
          </w:p>
        </w:tc>
      </w:tr>
      <w:tr w:rsidR="000A7545" w:rsidRPr="000A7545" w14:paraId="13B561D0" w14:textId="77777777" w:rsidTr="00B812C8">
        <w:trPr>
          <w:trHeight w:val="790"/>
        </w:trPr>
        <w:tc>
          <w:tcPr>
            <w:tcW w:w="543" w:type="pct"/>
            <w:gridSpan w:val="3"/>
            <w:vMerge/>
            <w:shd w:val="clear" w:color="auto" w:fill="auto"/>
          </w:tcPr>
          <w:p w14:paraId="13B561C9" w14:textId="77777777" w:rsidR="000A7545" w:rsidRPr="000A7545" w:rsidRDefault="000A7545" w:rsidP="000A7545">
            <w:pPr>
              <w:spacing w:after="0" w:line="240" w:lineRule="auto"/>
              <w:ind w:left="360"/>
              <w:contextualSpacing/>
              <w:rPr>
                <w:rFonts w:asciiTheme="minorHAnsi" w:eastAsia="Times New Roman" w:hAnsiTheme="minorHAnsi" w:cstheme="minorHAnsi"/>
                <w:color w:val="000000"/>
                <w:lang w:val="en-US"/>
              </w:rPr>
            </w:pPr>
          </w:p>
        </w:tc>
        <w:tc>
          <w:tcPr>
            <w:tcW w:w="1017" w:type="pct"/>
            <w:gridSpan w:val="3"/>
            <w:shd w:val="clear" w:color="auto" w:fill="auto"/>
          </w:tcPr>
          <w:p w14:paraId="13B561CA"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1.1.3d. % of CSOs receiving support material or funding support from government</w:t>
            </w:r>
          </w:p>
        </w:tc>
        <w:tc>
          <w:tcPr>
            <w:tcW w:w="1117" w:type="pct"/>
            <w:shd w:val="clear" w:color="auto" w:fill="auto"/>
          </w:tcPr>
          <w:p w14:paraId="13B561CB"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88%</w:t>
            </w:r>
          </w:p>
        </w:tc>
        <w:tc>
          <w:tcPr>
            <w:tcW w:w="500" w:type="pct"/>
            <w:shd w:val="clear" w:color="auto" w:fill="auto"/>
          </w:tcPr>
          <w:p w14:paraId="13B561C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90%</w:t>
            </w:r>
          </w:p>
        </w:tc>
        <w:tc>
          <w:tcPr>
            <w:tcW w:w="1092" w:type="pct"/>
            <w:gridSpan w:val="2"/>
          </w:tcPr>
          <w:p w14:paraId="13B561CD" w14:textId="77777777" w:rsidR="000A7545" w:rsidRPr="000A7545" w:rsidRDefault="000A7545" w:rsidP="000A7545">
            <w:pPr>
              <w:spacing w:after="0" w:line="240" w:lineRule="auto"/>
              <w:rPr>
                <w:rFonts w:asciiTheme="minorHAnsi" w:hAnsiTheme="minorHAnsi" w:cstheme="minorHAnsi"/>
                <w:sz w:val="20"/>
                <w:szCs w:val="20"/>
                <w:lang w:val="en-US"/>
              </w:rPr>
            </w:pPr>
          </w:p>
        </w:tc>
        <w:tc>
          <w:tcPr>
            <w:tcW w:w="290" w:type="pct"/>
            <w:gridSpan w:val="2"/>
          </w:tcPr>
          <w:p w14:paraId="13B561C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1C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Baseline and end evaluation</w:t>
            </w:r>
          </w:p>
        </w:tc>
      </w:tr>
      <w:tr w:rsidR="000A7545" w:rsidRPr="000A7545" w14:paraId="13B561D8" w14:textId="77777777" w:rsidTr="00B812C8">
        <w:trPr>
          <w:trHeight w:val="790"/>
        </w:trPr>
        <w:tc>
          <w:tcPr>
            <w:tcW w:w="543" w:type="pct"/>
            <w:gridSpan w:val="3"/>
            <w:vMerge/>
            <w:shd w:val="clear" w:color="auto" w:fill="auto"/>
            <w:vAlign w:val="center"/>
          </w:tcPr>
          <w:p w14:paraId="13B561D1" w14:textId="77777777" w:rsidR="000A7545" w:rsidRPr="000A7545" w:rsidRDefault="000A7545" w:rsidP="000A7545">
            <w:pPr>
              <w:spacing w:after="0" w:line="240" w:lineRule="auto"/>
              <w:ind w:left="360"/>
              <w:contextualSpacing/>
              <w:rPr>
                <w:rFonts w:asciiTheme="minorHAnsi" w:eastAsia="Times New Roman" w:hAnsiTheme="minorHAnsi" w:cstheme="minorHAnsi"/>
                <w:color w:val="000000"/>
                <w:lang w:val="en-US"/>
              </w:rPr>
            </w:pPr>
          </w:p>
        </w:tc>
        <w:tc>
          <w:tcPr>
            <w:tcW w:w="1017" w:type="pct"/>
            <w:gridSpan w:val="3"/>
            <w:shd w:val="clear" w:color="auto" w:fill="auto"/>
          </w:tcPr>
          <w:p w14:paraId="13B561D2"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1.1.3e. % of CSOs believe that local parliament is addressing equity issues in education for children</w:t>
            </w:r>
          </w:p>
        </w:tc>
        <w:tc>
          <w:tcPr>
            <w:tcW w:w="1117" w:type="pct"/>
            <w:shd w:val="clear" w:color="auto" w:fill="auto"/>
          </w:tcPr>
          <w:p w14:paraId="13B561D3"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17%</w:t>
            </w:r>
          </w:p>
        </w:tc>
        <w:tc>
          <w:tcPr>
            <w:tcW w:w="500" w:type="pct"/>
            <w:shd w:val="clear" w:color="auto" w:fill="auto"/>
          </w:tcPr>
          <w:p w14:paraId="13B561D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50%</w:t>
            </w:r>
          </w:p>
        </w:tc>
        <w:tc>
          <w:tcPr>
            <w:tcW w:w="1092" w:type="pct"/>
            <w:gridSpan w:val="2"/>
          </w:tcPr>
          <w:p w14:paraId="13B561D5" w14:textId="77777777" w:rsidR="000A7545" w:rsidRPr="000A7545" w:rsidRDefault="000A7545" w:rsidP="000A7545">
            <w:pPr>
              <w:spacing w:after="0" w:line="240" w:lineRule="auto"/>
              <w:rPr>
                <w:rFonts w:asciiTheme="minorHAnsi" w:hAnsiTheme="minorHAnsi" w:cstheme="minorHAnsi"/>
                <w:sz w:val="20"/>
                <w:szCs w:val="20"/>
                <w:lang w:val="en-US"/>
              </w:rPr>
            </w:pPr>
          </w:p>
        </w:tc>
        <w:tc>
          <w:tcPr>
            <w:tcW w:w="290" w:type="pct"/>
            <w:gridSpan w:val="2"/>
          </w:tcPr>
          <w:p w14:paraId="13B561D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1D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Baseline and end evaluation</w:t>
            </w:r>
          </w:p>
        </w:tc>
      </w:tr>
      <w:tr w:rsidR="000A7545" w:rsidRPr="000A7545" w14:paraId="13B561E0" w14:textId="77777777" w:rsidTr="00B812C8">
        <w:trPr>
          <w:trHeight w:val="781"/>
        </w:trPr>
        <w:tc>
          <w:tcPr>
            <w:tcW w:w="543" w:type="pct"/>
            <w:gridSpan w:val="3"/>
            <w:vMerge/>
            <w:shd w:val="clear" w:color="auto" w:fill="auto"/>
            <w:vAlign w:val="center"/>
          </w:tcPr>
          <w:p w14:paraId="13B561D9" w14:textId="77777777" w:rsidR="000A7545" w:rsidRPr="000A7545" w:rsidRDefault="000A7545" w:rsidP="000A7545">
            <w:pPr>
              <w:spacing w:after="0" w:line="240" w:lineRule="auto"/>
              <w:ind w:left="360"/>
              <w:contextualSpacing/>
              <w:rPr>
                <w:rFonts w:asciiTheme="minorHAnsi" w:eastAsia="Times New Roman" w:hAnsiTheme="minorHAnsi" w:cstheme="minorHAnsi"/>
                <w:color w:val="000000"/>
                <w:lang w:val="en-US"/>
              </w:rPr>
            </w:pPr>
          </w:p>
        </w:tc>
        <w:tc>
          <w:tcPr>
            <w:tcW w:w="1017" w:type="pct"/>
            <w:gridSpan w:val="3"/>
            <w:shd w:val="clear" w:color="auto" w:fill="auto"/>
          </w:tcPr>
          <w:p w14:paraId="13B561DA"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1.1.3f. Number of study visits by government officials and CSOs</w:t>
            </w:r>
          </w:p>
        </w:tc>
        <w:tc>
          <w:tcPr>
            <w:tcW w:w="1117" w:type="pct"/>
            <w:shd w:val="clear" w:color="auto" w:fill="auto"/>
          </w:tcPr>
          <w:p w14:paraId="13B561DB"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0</w:t>
            </w:r>
          </w:p>
        </w:tc>
        <w:tc>
          <w:tcPr>
            <w:tcW w:w="500" w:type="pct"/>
            <w:shd w:val="clear" w:color="auto" w:fill="auto"/>
          </w:tcPr>
          <w:p w14:paraId="13B561D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2 rounds per province and district</w:t>
            </w:r>
          </w:p>
        </w:tc>
        <w:tc>
          <w:tcPr>
            <w:tcW w:w="1092" w:type="pct"/>
            <w:gridSpan w:val="2"/>
          </w:tcPr>
          <w:p w14:paraId="13B561DD"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1 round has been completed for 2 provinces and 4 district teams to DBE districts outside Papua/West Papua</w:t>
            </w:r>
          </w:p>
        </w:tc>
        <w:tc>
          <w:tcPr>
            <w:tcW w:w="290" w:type="pct"/>
            <w:gridSpan w:val="2"/>
          </w:tcPr>
          <w:p w14:paraId="13B561D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1D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Progress reports</w:t>
            </w:r>
          </w:p>
        </w:tc>
      </w:tr>
      <w:tr w:rsidR="000A7545" w:rsidRPr="000A7545" w14:paraId="13B561E9" w14:textId="77777777" w:rsidTr="00B812C8">
        <w:trPr>
          <w:trHeight w:val="1060"/>
        </w:trPr>
        <w:tc>
          <w:tcPr>
            <w:tcW w:w="543" w:type="pct"/>
            <w:gridSpan w:val="3"/>
            <w:vMerge w:val="restart"/>
            <w:shd w:val="clear" w:color="auto" w:fill="auto"/>
          </w:tcPr>
          <w:p w14:paraId="13B561E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Output 1.1.4 </w:t>
            </w:r>
          </w:p>
          <w:p w14:paraId="13B561E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Provincial and district</w:t>
            </w:r>
            <w:r w:rsidRPr="000A7545">
              <w:rPr>
                <w:rFonts w:asciiTheme="minorHAnsi" w:eastAsia="Times New Roman" w:hAnsiTheme="minorHAnsi" w:cstheme="minorHAnsi"/>
                <w:sz w:val="20"/>
                <w:szCs w:val="20"/>
                <w:lang w:val="en-US"/>
              </w:rPr>
              <w:t xml:space="preserve"> education staff have improved capacity for </w:t>
            </w:r>
            <w:r w:rsidRPr="000A7545">
              <w:rPr>
                <w:rFonts w:asciiTheme="minorHAnsi" w:eastAsia="Times New Roman" w:hAnsiTheme="minorHAnsi" w:cstheme="minorHAnsi"/>
                <w:sz w:val="20"/>
                <w:szCs w:val="20"/>
                <w:lang w:val="id-ID"/>
              </w:rPr>
              <w:t xml:space="preserve"> budgeting</w:t>
            </w:r>
            <w:r w:rsidRPr="000A7545">
              <w:rPr>
                <w:rFonts w:asciiTheme="minorHAnsi" w:eastAsia="Times New Roman" w:hAnsiTheme="minorHAnsi" w:cstheme="minorHAnsi"/>
                <w:sz w:val="20"/>
                <w:szCs w:val="20"/>
                <w:lang w:val="en-US"/>
              </w:rPr>
              <w:t xml:space="preserve"> and financial planning (AusAID and USAID)</w:t>
            </w:r>
          </w:p>
        </w:tc>
        <w:tc>
          <w:tcPr>
            <w:tcW w:w="1017" w:type="pct"/>
            <w:gridSpan w:val="3"/>
            <w:shd w:val="clear" w:color="auto" w:fill="auto"/>
          </w:tcPr>
          <w:p w14:paraId="13B561E3" w14:textId="77777777" w:rsidR="000A7545" w:rsidRPr="000A7545" w:rsidRDefault="000A7545" w:rsidP="000A7545">
            <w:pPr>
              <w:spacing w:after="0" w:line="240" w:lineRule="auto"/>
              <w:rPr>
                <w:rFonts w:asciiTheme="minorHAnsi" w:eastAsia="Symbol" w:hAnsiTheme="minorHAnsi" w:cstheme="minorHAnsi"/>
                <w:strike/>
                <w:sz w:val="20"/>
                <w:szCs w:val="20"/>
                <w:lang w:val="en-US"/>
              </w:rPr>
            </w:pPr>
            <w:r w:rsidRPr="000A7545">
              <w:rPr>
                <w:rFonts w:asciiTheme="minorHAnsi" w:eastAsia="Symbol" w:hAnsiTheme="minorHAnsi" w:cstheme="minorHAnsi"/>
                <w:sz w:val="20"/>
                <w:szCs w:val="20"/>
                <w:lang w:val="en-US"/>
              </w:rPr>
              <w:t>1.1.4a. Number and proportion of provincial and district education staff mentored in financial planning (by gender)</w:t>
            </w:r>
            <w:r w:rsidR="008A2172">
              <w:rPr>
                <w:rFonts w:asciiTheme="minorHAnsi" w:eastAsia="Symbol" w:hAnsiTheme="minorHAnsi" w:cstheme="minorHAnsi"/>
                <w:sz w:val="20"/>
                <w:szCs w:val="20"/>
                <w:lang w:val="en-US"/>
              </w:rPr>
              <w:t xml:space="preserve"> (USAID)</w:t>
            </w:r>
          </w:p>
        </w:tc>
        <w:tc>
          <w:tcPr>
            <w:tcW w:w="1117" w:type="pct"/>
            <w:shd w:val="clear" w:color="auto" w:fill="auto"/>
          </w:tcPr>
          <w:p w14:paraId="13B561E4" w14:textId="77777777" w:rsidR="000A7545" w:rsidRPr="000A7545" w:rsidRDefault="000A7545" w:rsidP="000A7545">
            <w:pPr>
              <w:spacing w:after="0" w:line="240" w:lineRule="auto"/>
              <w:rPr>
                <w:rFonts w:asciiTheme="minorHAnsi" w:eastAsia="Times New Roman" w:hAnsiTheme="minorHAnsi" w:cstheme="minorHAnsi"/>
                <w:strike/>
                <w:sz w:val="20"/>
                <w:szCs w:val="20"/>
                <w:lang w:val="en-US"/>
              </w:rPr>
            </w:pPr>
            <w:r w:rsidRPr="000A7545">
              <w:rPr>
                <w:rFonts w:asciiTheme="minorHAnsi" w:eastAsia="Times New Roman" w:hAnsiTheme="minorHAnsi" w:cstheme="minorHAnsi"/>
                <w:color w:val="000000"/>
                <w:sz w:val="20"/>
                <w:szCs w:val="20"/>
                <w:lang w:val="en-US"/>
              </w:rPr>
              <w:t>n/a (available baseline data shows that no mentoring has taken place for financial planning)</w:t>
            </w:r>
          </w:p>
        </w:tc>
        <w:tc>
          <w:tcPr>
            <w:tcW w:w="500" w:type="pct"/>
            <w:shd w:val="clear" w:color="auto" w:fill="auto"/>
          </w:tcPr>
          <w:p w14:paraId="13B561E5" w14:textId="77777777" w:rsidR="000A7545" w:rsidRPr="000A7545" w:rsidRDefault="000A7545" w:rsidP="000A7545">
            <w:pPr>
              <w:spacing w:after="0" w:line="240" w:lineRule="auto"/>
              <w:rPr>
                <w:rFonts w:asciiTheme="minorHAnsi" w:eastAsia="Times New Roman" w:hAnsiTheme="minorHAnsi" w:cstheme="minorHAnsi"/>
                <w:strike/>
                <w:sz w:val="20"/>
                <w:szCs w:val="20"/>
                <w:lang w:val="en-US"/>
              </w:rPr>
            </w:pPr>
            <w:r w:rsidRPr="000A7545">
              <w:rPr>
                <w:rFonts w:asciiTheme="minorHAnsi" w:eastAsia="Times New Roman" w:hAnsiTheme="minorHAnsi" w:cstheme="minorHAnsi"/>
                <w:sz w:val="20"/>
                <w:szCs w:val="20"/>
                <w:lang w:val="en-US"/>
              </w:rPr>
              <w:t>25% of relevant government staff</w:t>
            </w:r>
          </w:p>
        </w:tc>
        <w:tc>
          <w:tcPr>
            <w:tcW w:w="1092" w:type="pct"/>
            <w:gridSpan w:val="2"/>
          </w:tcPr>
          <w:p w14:paraId="13B561E6" w14:textId="77777777" w:rsidR="000A7545" w:rsidRPr="000A7545" w:rsidRDefault="000A7545" w:rsidP="000A7545">
            <w:pPr>
              <w:spacing w:after="0" w:line="240" w:lineRule="auto"/>
              <w:rPr>
                <w:rFonts w:asciiTheme="minorHAnsi" w:eastAsia="Times New Roman" w:hAnsiTheme="minorHAnsi" w:cstheme="minorHAnsi"/>
                <w:strike/>
                <w:sz w:val="20"/>
                <w:szCs w:val="20"/>
                <w:lang w:val="id-ID"/>
              </w:rPr>
            </w:pPr>
            <w:r w:rsidRPr="000A7545">
              <w:rPr>
                <w:rFonts w:asciiTheme="minorHAnsi" w:eastAsia="Times New Roman" w:hAnsiTheme="minorHAnsi" w:cstheme="minorHAnsi"/>
                <w:color w:val="000000"/>
                <w:sz w:val="20"/>
                <w:szCs w:val="20"/>
                <w:lang w:val="en-US"/>
              </w:rPr>
              <w:t>Pending roll out of training in Q2 and Q3 of 2012</w:t>
            </w:r>
          </w:p>
        </w:tc>
        <w:tc>
          <w:tcPr>
            <w:tcW w:w="290" w:type="pct"/>
            <w:gridSpan w:val="2"/>
          </w:tcPr>
          <w:p w14:paraId="13B561E7" w14:textId="77777777" w:rsidR="000A7545" w:rsidRPr="000A7545" w:rsidRDefault="000A7545" w:rsidP="000A7545">
            <w:pPr>
              <w:spacing w:after="0" w:line="240" w:lineRule="auto"/>
              <w:rPr>
                <w:rFonts w:asciiTheme="minorHAnsi" w:eastAsia="Times New Roman" w:hAnsiTheme="minorHAnsi" w:cstheme="minorHAnsi"/>
                <w:strike/>
                <w:sz w:val="20"/>
                <w:szCs w:val="20"/>
                <w:lang w:val="id-ID"/>
              </w:rPr>
            </w:pPr>
          </w:p>
        </w:tc>
        <w:tc>
          <w:tcPr>
            <w:tcW w:w="441" w:type="pct"/>
            <w:shd w:val="clear" w:color="auto" w:fill="auto"/>
          </w:tcPr>
          <w:p w14:paraId="13B561E8" w14:textId="77777777" w:rsidR="000A7545" w:rsidRPr="000A7545" w:rsidRDefault="000A7545" w:rsidP="000A7545">
            <w:pPr>
              <w:spacing w:after="0" w:line="240" w:lineRule="auto"/>
              <w:rPr>
                <w:rFonts w:asciiTheme="minorHAnsi" w:eastAsia="Times New Roman" w:hAnsiTheme="minorHAnsi" w:cstheme="minorHAnsi"/>
                <w:strike/>
                <w:sz w:val="20"/>
                <w:szCs w:val="20"/>
                <w:lang w:val="en-US"/>
              </w:rPr>
            </w:pPr>
            <w:r w:rsidRPr="000A7545">
              <w:rPr>
                <w:rFonts w:asciiTheme="minorHAnsi" w:eastAsia="Times New Roman" w:hAnsiTheme="minorHAnsi" w:cstheme="minorHAnsi"/>
                <w:sz w:val="20"/>
                <w:szCs w:val="20"/>
                <w:lang w:val="en-US"/>
              </w:rPr>
              <w:t>Mentoring workshop reports</w:t>
            </w:r>
          </w:p>
        </w:tc>
      </w:tr>
      <w:tr w:rsidR="000A7545" w:rsidRPr="000A7545" w14:paraId="13B561F1" w14:textId="77777777" w:rsidTr="00B812C8">
        <w:trPr>
          <w:trHeight w:val="139"/>
        </w:trPr>
        <w:tc>
          <w:tcPr>
            <w:tcW w:w="543" w:type="pct"/>
            <w:gridSpan w:val="3"/>
            <w:vMerge/>
            <w:shd w:val="clear" w:color="auto" w:fill="auto"/>
            <w:hideMark/>
          </w:tcPr>
          <w:p w14:paraId="13B561EA" w14:textId="77777777" w:rsidR="000A7545" w:rsidRPr="000A7545" w:rsidRDefault="000A7545" w:rsidP="000A7545">
            <w:pPr>
              <w:spacing w:after="0" w:line="240" w:lineRule="auto"/>
              <w:rPr>
                <w:rFonts w:asciiTheme="minorHAnsi" w:eastAsia="Times New Roman" w:hAnsiTheme="minorHAnsi" w:cstheme="minorHAnsi"/>
                <w:b/>
                <w:bCs/>
                <w:lang w:val="en-US"/>
              </w:rPr>
            </w:pPr>
          </w:p>
        </w:tc>
        <w:tc>
          <w:tcPr>
            <w:tcW w:w="1017" w:type="pct"/>
            <w:gridSpan w:val="3"/>
            <w:shd w:val="clear" w:color="auto" w:fill="auto"/>
          </w:tcPr>
          <w:p w14:paraId="13B561EB"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1.1.4b. Number</w:t>
            </w:r>
            <w:r w:rsidRPr="000A7545">
              <w:rPr>
                <w:rFonts w:asciiTheme="minorHAnsi" w:eastAsia="Times New Roman" w:hAnsiTheme="minorHAnsi" w:cstheme="minorHAnsi"/>
                <w:sz w:val="20"/>
                <w:szCs w:val="20"/>
                <w:lang w:val="id-ID"/>
              </w:rPr>
              <w:t xml:space="preserve"> </w:t>
            </w:r>
            <w:r w:rsidRPr="000A7545">
              <w:rPr>
                <w:rFonts w:asciiTheme="minorHAnsi" w:eastAsia="Times New Roman" w:hAnsiTheme="minorHAnsi" w:cstheme="minorHAnsi"/>
                <w:sz w:val="20"/>
                <w:szCs w:val="20"/>
                <w:lang w:val="en-US"/>
              </w:rPr>
              <w:t xml:space="preserve">and proportion </w:t>
            </w:r>
            <w:r w:rsidRPr="000A7545">
              <w:rPr>
                <w:rFonts w:asciiTheme="minorHAnsi" w:eastAsia="Times New Roman" w:hAnsiTheme="minorHAnsi" w:cstheme="minorHAnsi"/>
                <w:sz w:val="20"/>
                <w:szCs w:val="20"/>
                <w:lang w:val="id-ID"/>
              </w:rPr>
              <w:t xml:space="preserve">of education </w:t>
            </w:r>
            <w:r w:rsidRPr="000A7545">
              <w:rPr>
                <w:rFonts w:asciiTheme="minorHAnsi" w:eastAsia="Times New Roman" w:hAnsiTheme="minorHAnsi" w:cstheme="minorHAnsi"/>
                <w:sz w:val="20"/>
                <w:szCs w:val="20"/>
                <w:lang w:val="en-US"/>
              </w:rPr>
              <w:t xml:space="preserve">staff </w:t>
            </w:r>
            <w:r w:rsidRPr="000A7545">
              <w:rPr>
                <w:rFonts w:asciiTheme="minorHAnsi" w:eastAsia="Times New Roman" w:hAnsiTheme="minorHAnsi" w:cstheme="minorHAnsi"/>
                <w:sz w:val="20"/>
                <w:szCs w:val="20"/>
                <w:lang w:val="id-ID"/>
              </w:rPr>
              <w:t>per district trained in improved financial management reporting</w:t>
            </w:r>
            <w:r w:rsidRPr="000A7545">
              <w:rPr>
                <w:rFonts w:asciiTheme="minorHAnsi" w:eastAsia="Times New Roman" w:hAnsiTheme="minorHAnsi" w:cstheme="minorHAnsi"/>
                <w:sz w:val="20"/>
                <w:szCs w:val="20"/>
                <w:lang w:val="en-US"/>
              </w:rPr>
              <w:t xml:space="preserve"> (by gender)</w:t>
            </w:r>
            <w:r w:rsidR="008A2172">
              <w:rPr>
                <w:rFonts w:asciiTheme="minorHAnsi" w:eastAsia="Times New Roman" w:hAnsiTheme="minorHAnsi" w:cstheme="minorHAnsi"/>
                <w:sz w:val="20"/>
                <w:szCs w:val="20"/>
                <w:lang w:val="en-US"/>
              </w:rPr>
              <w:t xml:space="preserve"> (USAID)</w:t>
            </w:r>
          </w:p>
        </w:tc>
        <w:tc>
          <w:tcPr>
            <w:tcW w:w="1117" w:type="pct"/>
            <w:shd w:val="clear" w:color="auto" w:fill="auto"/>
          </w:tcPr>
          <w:p w14:paraId="13B561EC"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auto" w:fill="auto"/>
          </w:tcPr>
          <w:p w14:paraId="13B561ED"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80%</w:t>
            </w:r>
          </w:p>
        </w:tc>
        <w:tc>
          <w:tcPr>
            <w:tcW w:w="1092" w:type="pct"/>
            <w:gridSpan w:val="2"/>
          </w:tcPr>
          <w:p w14:paraId="13B561EE"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color w:val="000000"/>
                <w:sz w:val="20"/>
                <w:szCs w:val="20"/>
                <w:lang w:val="en-US"/>
              </w:rPr>
              <w:t>Pending roll out of training in Q2 and Q3 of 2012</w:t>
            </w:r>
          </w:p>
        </w:tc>
        <w:tc>
          <w:tcPr>
            <w:tcW w:w="290" w:type="pct"/>
            <w:gridSpan w:val="2"/>
            <w:shd w:val="clear" w:color="auto" w:fill="auto"/>
          </w:tcPr>
          <w:p w14:paraId="13B561E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shd w:val="clear" w:color="auto" w:fill="auto"/>
          </w:tcPr>
          <w:p w14:paraId="13B561F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Training Workshop</w:t>
            </w:r>
            <w:r w:rsidRPr="000A7545">
              <w:rPr>
                <w:rFonts w:asciiTheme="minorHAnsi" w:eastAsia="Times New Roman" w:hAnsiTheme="minorHAnsi" w:cstheme="minorHAnsi"/>
                <w:sz w:val="20"/>
                <w:szCs w:val="20"/>
                <w:lang w:val="id-ID"/>
              </w:rPr>
              <w:t xml:space="preserve"> reports</w:t>
            </w:r>
          </w:p>
        </w:tc>
      </w:tr>
      <w:tr w:rsidR="000A7545" w:rsidRPr="000A7545" w14:paraId="13B561F9" w14:textId="77777777" w:rsidTr="00B812C8">
        <w:trPr>
          <w:trHeight w:val="1042"/>
        </w:trPr>
        <w:tc>
          <w:tcPr>
            <w:tcW w:w="543" w:type="pct"/>
            <w:gridSpan w:val="3"/>
            <w:vMerge/>
            <w:shd w:val="clear" w:color="auto" w:fill="auto"/>
            <w:hideMark/>
          </w:tcPr>
          <w:p w14:paraId="13B561F2" w14:textId="77777777" w:rsidR="000A7545" w:rsidRPr="000A7545" w:rsidRDefault="000A7545" w:rsidP="000A7545">
            <w:pPr>
              <w:spacing w:after="0" w:line="240" w:lineRule="auto"/>
              <w:rPr>
                <w:rFonts w:asciiTheme="minorHAnsi" w:eastAsia="Times New Roman" w:hAnsiTheme="minorHAnsi" w:cstheme="minorHAnsi"/>
                <w:b/>
                <w:bCs/>
                <w:lang w:val="en-US"/>
              </w:rPr>
            </w:pPr>
          </w:p>
        </w:tc>
        <w:tc>
          <w:tcPr>
            <w:tcW w:w="1017" w:type="pct"/>
            <w:gridSpan w:val="3"/>
            <w:shd w:val="clear" w:color="auto" w:fill="auto"/>
            <w:hideMark/>
          </w:tcPr>
          <w:p w14:paraId="13B561F3" w14:textId="77777777" w:rsidR="000A7545" w:rsidRPr="008A2172"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1.1.4c. </w:t>
            </w:r>
            <w:r w:rsidRPr="000A7545">
              <w:rPr>
                <w:rFonts w:asciiTheme="minorHAnsi" w:eastAsia="Times New Roman" w:hAnsiTheme="minorHAnsi" w:cstheme="minorHAnsi"/>
                <w:sz w:val="20"/>
                <w:szCs w:val="20"/>
                <w:lang w:val="id-ID"/>
              </w:rPr>
              <w:t>% of education offices in target provinces</w:t>
            </w:r>
            <w:r w:rsidRPr="000A7545">
              <w:rPr>
                <w:rFonts w:asciiTheme="minorHAnsi" w:eastAsia="Times New Roman" w:hAnsiTheme="minorHAnsi" w:cstheme="minorHAnsi"/>
                <w:sz w:val="20"/>
                <w:szCs w:val="20"/>
                <w:lang w:val="en-US"/>
              </w:rPr>
              <w:t xml:space="preserve"> and </w:t>
            </w:r>
            <w:r w:rsidRPr="000A7545">
              <w:rPr>
                <w:rFonts w:asciiTheme="minorHAnsi" w:eastAsia="Times New Roman" w:hAnsiTheme="minorHAnsi" w:cstheme="minorHAnsi"/>
                <w:sz w:val="20"/>
                <w:szCs w:val="20"/>
                <w:lang w:val="id-ID"/>
              </w:rPr>
              <w:t>districts using financial management data (AKPK) for planning purposes</w:t>
            </w:r>
            <w:r w:rsidR="008A2172">
              <w:rPr>
                <w:rFonts w:asciiTheme="minorHAnsi" w:eastAsia="Times New Roman" w:hAnsiTheme="minorHAnsi" w:cstheme="minorHAnsi"/>
                <w:sz w:val="20"/>
                <w:szCs w:val="20"/>
                <w:lang w:val="en-US"/>
              </w:rPr>
              <w:t xml:space="preserve"> (USAID)</w:t>
            </w:r>
          </w:p>
        </w:tc>
        <w:tc>
          <w:tcPr>
            <w:tcW w:w="1117" w:type="pct"/>
            <w:shd w:val="clear" w:color="auto" w:fill="auto"/>
            <w:hideMark/>
          </w:tcPr>
          <w:p w14:paraId="13B561F4"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auto" w:fill="auto"/>
            <w:hideMark/>
          </w:tcPr>
          <w:p w14:paraId="13B561F5"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80%</w:t>
            </w:r>
          </w:p>
        </w:tc>
        <w:tc>
          <w:tcPr>
            <w:tcW w:w="1092" w:type="pct"/>
            <w:gridSpan w:val="2"/>
          </w:tcPr>
          <w:p w14:paraId="13B561F6"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color w:val="000000"/>
                <w:sz w:val="20"/>
                <w:szCs w:val="20"/>
                <w:lang w:val="en-US"/>
              </w:rPr>
              <w:t>Pending roll out of training in Q2 and Q3 of 2012</w:t>
            </w:r>
          </w:p>
        </w:tc>
        <w:tc>
          <w:tcPr>
            <w:tcW w:w="290" w:type="pct"/>
            <w:gridSpan w:val="2"/>
            <w:shd w:val="clear" w:color="auto" w:fill="auto"/>
          </w:tcPr>
          <w:p w14:paraId="13B561F7"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hideMark/>
          </w:tcPr>
          <w:p w14:paraId="13B561F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Trip reports</w:t>
            </w:r>
          </w:p>
        </w:tc>
      </w:tr>
      <w:tr w:rsidR="000A7545" w:rsidRPr="000A7545" w14:paraId="13B56204" w14:textId="77777777" w:rsidTr="00B812C8">
        <w:trPr>
          <w:trHeight w:val="1609"/>
        </w:trPr>
        <w:tc>
          <w:tcPr>
            <w:tcW w:w="543" w:type="pct"/>
            <w:gridSpan w:val="3"/>
            <w:vMerge/>
            <w:shd w:val="clear" w:color="auto" w:fill="auto"/>
            <w:hideMark/>
          </w:tcPr>
          <w:p w14:paraId="13B561FA" w14:textId="77777777" w:rsidR="000A7545" w:rsidRPr="000A7545" w:rsidRDefault="000A7545" w:rsidP="000A7545">
            <w:pPr>
              <w:spacing w:after="0" w:line="240" w:lineRule="auto"/>
              <w:rPr>
                <w:rFonts w:asciiTheme="minorHAnsi" w:eastAsia="Times New Roman" w:hAnsiTheme="minorHAnsi" w:cstheme="minorHAnsi"/>
                <w:b/>
                <w:bCs/>
                <w:lang w:val="en-US"/>
              </w:rPr>
            </w:pPr>
          </w:p>
        </w:tc>
        <w:tc>
          <w:tcPr>
            <w:tcW w:w="1017" w:type="pct"/>
            <w:gridSpan w:val="3"/>
            <w:shd w:val="clear" w:color="auto" w:fill="auto"/>
          </w:tcPr>
          <w:p w14:paraId="13B561FB"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1.1.4d. </w:t>
            </w:r>
            <w:r w:rsidRPr="000A7545">
              <w:rPr>
                <w:rFonts w:asciiTheme="minorHAnsi" w:eastAsia="Times New Roman" w:hAnsiTheme="minorHAnsi" w:cstheme="minorHAnsi"/>
                <w:sz w:val="20"/>
                <w:szCs w:val="20"/>
                <w:lang w:val="id-ID"/>
              </w:rPr>
              <w:t>% of education offices in target provinces producing AKPK/SAKIP meet  three predifined criteria</w:t>
            </w:r>
            <w:r w:rsidRPr="000A7545">
              <w:rPr>
                <w:rFonts w:asciiTheme="minorHAnsi" w:eastAsia="Times New Roman" w:hAnsiTheme="minorHAnsi" w:cstheme="minorHAnsi"/>
                <w:sz w:val="20"/>
                <w:szCs w:val="20"/>
                <w:lang w:val="en-US"/>
              </w:rPr>
              <w:t>:</w:t>
            </w:r>
          </w:p>
          <w:p w14:paraId="13B561FC" w14:textId="77777777" w:rsidR="000A7545" w:rsidRPr="000A7545" w:rsidRDefault="000A7545" w:rsidP="00FA09D3">
            <w:pPr>
              <w:numPr>
                <w:ilvl w:val="0"/>
                <w:numId w:val="27"/>
              </w:numPr>
              <w:spacing w:after="0" w:line="240" w:lineRule="auto"/>
              <w:ind w:left="174" w:hanging="174"/>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U</w:t>
            </w:r>
            <w:r w:rsidRPr="000A7545">
              <w:rPr>
                <w:rFonts w:asciiTheme="minorHAnsi" w:eastAsia="Times New Roman" w:hAnsiTheme="minorHAnsi" w:cstheme="minorHAnsi"/>
                <w:sz w:val="20"/>
                <w:szCs w:val="20"/>
                <w:lang w:val="id-ID"/>
              </w:rPr>
              <w:t xml:space="preserve">sing PAN Ministry </w:t>
            </w:r>
            <w:r w:rsidRPr="000A7545">
              <w:rPr>
                <w:rFonts w:asciiTheme="minorHAnsi" w:eastAsia="Times New Roman" w:hAnsiTheme="minorHAnsi" w:cstheme="minorHAnsi"/>
                <w:sz w:val="20"/>
                <w:szCs w:val="20"/>
                <w:lang w:val="en-US"/>
              </w:rPr>
              <w:t>f</w:t>
            </w:r>
            <w:r w:rsidRPr="000A7545">
              <w:rPr>
                <w:rFonts w:asciiTheme="minorHAnsi" w:eastAsia="Times New Roman" w:hAnsiTheme="minorHAnsi" w:cstheme="minorHAnsi"/>
                <w:sz w:val="20"/>
                <w:szCs w:val="20"/>
                <w:lang w:val="id-ID"/>
              </w:rPr>
              <w:t>ormat</w:t>
            </w:r>
            <w:r w:rsidRPr="000A7545">
              <w:rPr>
                <w:rFonts w:asciiTheme="minorHAnsi" w:eastAsia="Times New Roman" w:hAnsiTheme="minorHAnsi" w:cstheme="minorHAnsi"/>
                <w:sz w:val="20"/>
                <w:szCs w:val="20"/>
                <w:lang w:val="en-US"/>
              </w:rPr>
              <w:t>;</w:t>
            </w:r>
          </w:p>
          <w:p w14:paraId="13B561FD" w14:textId="77777777" w:rsidR="000A7545" w:rsidRPr="000A7545" w:rsidRDefault="000A7545" w:rsidP="00FA09D3">
            <w:pPr>
              <w:numPr>
                <w:ilvl w:val="0"/>
                <w:numId w:val="27"/>
              </w:numPr>
              <w:spacing w:after="0" w:line="240" w:lineRule="auto"/>
              <w:ind w:left="174" w:hanging="174"/>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C</w:t>
            </w:r>
            <w:r w:rsidRPr="000A7545">
              <w:rPr>
                <w:rFonts w:asciiTheme="minorHAnsi" w:eastAsia="Times New Roman" w:hAnsiTheme="minorHAnsi" w:cstheme="minorHAnsi"/>
                <w:sz w:val="20"/>
                <w:szCs w:val="20"/>
                <w:lang w:val="id-ID"/>
              </w:rPr>
              <w:t xml:space="preserve">overing all </w:t>
            </w:r>
            <w:r w:rsidRPr="000A7545">
              <w:rPr>
                <w:rFonts w:asciiTheme="minorHAnsi" w:eastAsia="Times New Roman" w:hAnsiTheme="minorHAnsi" w:cstheme="minorHAnsi"/>
                <w:sz w:val="20"/>
                <w:szCs w:val="20"/>
                <w:lang w:val="en-US"/>
              </w:rPr>
              <w:t>a</w:t>
            </w:r>
            <w:r w:rsidRPr="000A7545">
              <w:rPr>
                <w:rFonts w:asciiTheme="minorHAnsi" w:eastAsia="Times New Roman" w:hAnsiTheme="minorHAnsi" w:cstheme="minorHAnsi"/>
                <w:sz w:val="20"/>
                <w:szCs w:val="20"/>
                <w:lang w:val="id-ID"/>
              </w:rPr>
              <w:t xml:space="preserve">ctivities of </w:t>
            </w:r>
            <w:r w:rsidRPr="000A7545">
              <w:rPr>
                <w:rFonts w:asciiTheme="minorHAnsi" w:eastAsia="Times New Roman" w:hAnsiTheme="minorHAnsi" w:cstheme="minorHAnsi"/>
                <w:i/>
                <w:sz w:val="20"/>
                <w:szCs w:val="20"/>
                <w:lang w:val="id-ID"/>
              </w:rPr>
              <w:t>RENJA</w:t>
            </w:r>
            <w:r w:rsidRPr="000A7545">
              <w:rPr>
                <w:rFonts w:asciiTheme="minorHAnsi" w:eastAsia="Times New Roman" w:hAnsiTheme="minorHAnsi" w:cstheme="minorHAnsi"/>
                <w:i/>
                <w:sz w:val="20"/>
                <w:szCs w:val="20"/>
                <w:lang w:val="en-US"/>
              </w:rPr>
              <w:t>;</w:t>
            </w:r>
          </w:p>
          <w:p w14:paraId="13B561FE" w14:textId="77777777" w:rsidR="000A7545" w:rsidRPr="00173CC5" w:rsidRDefault="000A7545" w:rsidP="008A2172">
            <w:pPr>
              <w:numPr>
                <w:ilvl w:val="0"/>
                <w:numId w:val="27"/>
              </w:numPr>
              <w:spacing w:after="0" w:line="240" w:lineRule="auto"/>
              <w:ind w:left="174" w:hanging="174"/>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U</w:t>
            </w:r>
            <w:r w:rsidRPr="000A7545">
              <w:rPr>
                <w:rFonts w:asciiTheme="minorHAnsi" w:eastAsia="Times New Roman" w:hAnsiTheme="minorHAnsi" w:cstheme="minorHAnsi"/>
                <w:sz w:val="20"/>
                <w:szCs w:val="20"/>
                <w:lang w:val="id-ID"/>
              </w:rPr>
              <w:t>s</w:t>
            </w:r>
            <w:r w:rsidRPr="000A7545">
              <w:rPr>
                <w:rFonts w:asciiTheme="minorHAnsi" w:eastAsia="Times New Roman" w:hAnsiTheme="minorHAnsi" w:cstheme="minorHAnsi"/>
                <w:sz w:val="20"/>
                <w:szCs w:val="20"/>
                <w:lang w:val="en-US"/>
              </w:rPr>
              <w:t>ing</w:t>
            </w:r>
            <w:r w:rsidRPr="000A7545">
              <w:rPr>
                <w:rFonts w:asciiTheme="minorHAnsi" w:eastAsia="Times New Roman" w:hAnsiTheme="minorHAnsi" w:cstheme="minorHAnsi"/>
                <w:sz w:val="20"/>
                <w:szCs w:val="20"/>
                <w:lang w:val="id-ID"/>
              </w:rPr>
              <w:t xml:space="preserve"> </w:t>
            </w:r>
            <w:r w:rsidRPr="000A7545">
              <w:rPr>
                <w:rFonts w:asciiTheme="minorHAnsi" w:eastAsia="Times New Roman" w:hAnsiTheme="minorHAnsi" w:cstheme="minorHAnsi"/>
                <w:sz w:val="20"/>
                <w:szCs w:val="20"/>
                <w:lang w:val="en-US"/>
              </w:rPr>
              <w:t>c</w:t>
            </w:r>
            <w:r w:rsidRPr="000A7545">
              <w:rPr>
                <w:rFonts w:asciiTheme="minorHAnsi" w:eastAsia="Times New Roman" w:hAnsiTheme="minorHAnsi" w:cstheme="minorHAnsi"/>
                <w:sz w:val="20"/>
                <w:szCs w:val="20"/>
                <w:lang w:val="id-ID"/>
              </w:rPr>
              <w:t xml:space="preserve">redible </w:t>
            </w:r>
            <w:r w:rsidRPr="000A7545">
              <w:rPr>
                <w:rFonts w:asciiTheme="minorHAnsi" w:eastAsia="Times New Roman" w:hAnsiTheme="minorHAnsi" w:cstheme="minorHAnsi"/>
                <w:sz w:val="20"/>
                <w:szCs w:val="20"/>
                <w:lang w:val="en-US"/>
              </w:rPr>
              <w:t>s</w:t>
            </w:r>
            <w:r w:rsidRPr="000A7545">
              <w:rPr>
                <w:rFonts w:asciiTheme="minorHAnsi" w:eastAsia="Times New Roman" w:hAnsiTheme="minorHAnsi" w:cstheme="minorHAnsi"/>
                <w:sz w:val="20"/>
                <w:szCs w:val="20"/>
                <w:lang w:val="id-ID"/>
              </w:rPr>
              <w:t xml:space="preserve">upporting </w:t>
            </w:r>
            <w:r w:rsidRPr="000A7545">
              <w:rPr>
                <w:rFonts w:asciiTheme="minorHAnsi" w:eastAsia="Times New Roman" w:hAnsiTheme="minorHAnsi" w:cstheme="minorHAnsi"/>
                <w:sz w:val="20"/>
                <w:szCs w:val="20"/>
                <w:lang w:val="en-US"/>
              </w:rPr>
              <w:t>d</w:t>
            </w:r>
            <w:r w:rsidRPr="000A7545">
              <w:rPr>
                <w:rFonts w:asciiTheme="minorHAnsi" w:eastAsia="Times New Roman" w:hAnsiTheme="minorHAnsi" w:cstheme="minorHAnsi"/>
                <w:sz w:val="20"/>
                <w:szCs w:val="20"/>
                <w:lang w:val="id-ID"/>
              </w:rPr>
              <w:t>ata</w:t>
            </w:r>
            <w:r w:rsidRPr="000A7545">
              <w:rPr>
                <w:rFonts w:asciiTheme="minorHAnsi" w:eastAsia="Times New Roman" w:hAnsiTheme="minorHAnsi" w:cstheme="minorHAnsi"/>
                <w:sz w:val="20"/>
                <w:szCs w:val="20"/>
                <w:lang w:val="en-US"/>
              </w:rPr>
              <w:t>.</w:t>
            </w:r>
            <w:r w:rsidR="00B812C8">
              <w:rPr>
                <w:rFonts w:asciiTheme="minorHAnsi" w:eastAsia="Times New Roman" w:hAnsiTheme="minorHAnsi" w:cstheme="minorHAnsi"/>
                <w:sz w:val="20"/>
                <w:szCs w:val="20"/>
                <w:lang w:val="en-US"/>
              </w:rPr>
              <w:t xml:space="preserve"> </w:t>
            </w:r>
            <w:r w:rsidR="008A2172" w:rsidRPr="008A2172">
              <w:rPr>
                <w:rFonts w:asciiTheme="minorHAnsi" w:eastAsia="Times New Roman" w:hAnsiTheme="minorHAnsi" w:cstheme="minorHAnsi"/>
                <w:sz w:val="20"/>
                <w:szCs w:val="20"/>
                <w:lang w:val="en-US"/>
              </w:rPr>
              <w:t>(USAID)</w:t>
            </w:r>
          </w:p>
        </w:tc>
        <w:tc>
          <w:tcPr>
            <w:tcW w:w="1117" w:type="pct"/>
            <w:shd w:val="clear" w:color="auto" w:fill="auto"/>
          </w:tcPr>
          <w:p w14:paraId="13B561F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auto" w:fill="auto"/>
          </w:tcPr>
          <w:p w14:paraId="13B5620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100%</w:t>
            </w:r>
          </w:p>
        </w:tc>
        <w:tc>
          <w:tcPr>
            <w:tcW w:w="1092" w:type="pct"/>
            <w:gridSpan w:val="2"/>
          </w:tcPr>
          <w:p w14:paraId="13B56201"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color w:val="000000"/>
                <w:sz w:val="20"/>
                <w:szCs w:val="20"/>
                <w:lang w:val="en-US"/>
              </w:rPr>
              <w:t>Pending roll out of training in Q2 and Q3 of 2012</w:t>
            </w:r>
          </w:p>
        </w:tc>
        <w:tc>
          <w:tcPr>
            <w:tcW w:w="290" w:type="pct"/>
            <w:gridSpan w:val="2"/>
            <w:shd w:val="clear" w:color="auto" w:fill="auto"/>
          </w:tcPr>
          <w:p w14:paraId="13B56202"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20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Interview with persons in charge</w:t>
            </w:r>
          </w:p>
        </w:tc>
      </w:tr>
      <w:tr w:rsidR="000A7545" w:rsidRPr="000A7545" w14:paraId="13B56214" w14:textId="77777777" w:rsidTr="00B812C8">
        <w:trPr>
          <w:trHeight w:val="2302"/>
        </w:trPr>
        <w:tc>
          <w:tcPr>
            <w:tcW w:w="543" w:type="pct"/>
            <w:gridSpan w:val="3"/>
            <w:vMerge/>
            <w:shd w:val="clear" w:color="auto" w:fill="auto"/>
            <w:vAlign w:val="center"/>
          </w:tcPr>
          <w:p w14:paraId="13B5620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17" w:type="pct"/>
            <w:gridSpan w:val="3"/>
            <w:shd w:val="clear" w:color="auto" w:fill="auto"/>
          </w:tcPr>
          <w:p w14:paraId="13B56206" w14:textId="77777777" w:rsidR="000A7545" w:rsidRPr="000A7545" w:rsidRDefault="000A7545" w:rsidP="000A7545">
            <w:pPr>
              <w:spacing w:after="0" w:line="240" w:lineRule="auto"/>
              <w:rPr>
                <w:rFonts w:asciiTheme="minorHAnsi" w:eastAsia="Times New Roman" w:hAnsiTheme="minorHAnsi" w:cstheme="minorHAnsi"/>
                <w:strike/>
                <w:color w:val="000000"/>
                <w:sz w:val="20"/>
                <w:szCs w:val="20"/>
                <w:lang w:val="en-US"/>
              </w:rPr>
            </w:pPr>
            <w:r w:rsidRPr="000A7545">
              <w:rPr>
                <w:rFonts w:asciiTheme="minorHAnsi" w:eastAsia="Times New Roman" w:hAnsiTheme="minorHAnsi" w:cstheme="minorHAnsi"/>
                <w:color w:val="000000"/>
                <w:sz w:val="20"/>
                <w:szCs w:val="20"/>
                <w:lang w:val="en-US"/>
              </w:rPr>
              <w:t xml:space="preserve">1.1.4e. Allocation of budgets for SBM at </w:t>
            </w:r>
            <w:r w:rsidRPr="000A7545">
              <w:rPr>
                <w:rFonts w:asciiTheme="minorHAnsi" w:eastAsia="Times New Roman" w:hAnsiTheme="minorHAnsi" w:cstheme="minorHAnsi"/>
                <w:color w:val="000000"/>
                <w:sz w:val="20"/>
                <w:szCs w:val="20"/>
                <w:lang w:val="id-ID"/>
              </w:rPr>
              <w:t>provincial and district levels</w:t>
            </w:r>
            <w:r w:rsidRPr="000A7545">
              <w:rPr>
                <w:rFonts w:asciiTheme="minorHAnsi" w:eastAsia="Times New Roman" w:hAnsiTheme="minorHAnsi" w:cstheme="minorHAnsi"/>
                <w:color w:val="000000"/>
                <w:sz w:val="20"/>
                <w:szCs w:val="20"/>
                <w:lang w:val="en-US"/>
              </w:rPr>
              <w:t xml:space="preserve"> (Y/N)</w:t>
            </w:r>
            <w:r w:rsidR="008A2172">
              <w:rPr>
                <w:rFonts w:asciiTheme="minorHAnsi" w:eastAsia="Times New Roman" w:hAnsiTheme="minorHAnsi" w:cstheme="minorHAnsi"/>
                <w:color w:val="000000"/>
                <w:sz w:val="20"/>
                <w:szCs w:val="20"/>
                <w:lang w:val="en-US"/>
              </w:rPr>
              <w:t xml:space="preserve"> (AusAID)</w:t>
            </w:r>
          </w:p>
        </w:tc>
        <w:tc>
          <w:tcPr>
            <w:tcW w:w="1117" w:type="pct"/>
            <w:shd w:val="clear" w:color="auto" w:fill="auto"/>
          </w:tcPr>
          <w:p w14:paraId="13B56207" w14:textId="77777777" w:rsidR="000A7545" w:rsidRPr="000A7545" w:rsidRDefault="000A7545" w:rsidP="000A7545">
            <w:pPr>
              <w:spacing w:after="0" w:line="240" w:lineRule="auto"/>
              <w:rPr>
                <w:rFonts w:asciiTheme="minorHAnsi" w:eastAsia="Times New Roman" w:hAnsiTheme="minorHAnsi" w:cstheme="minorHAnsi"/>
                <w:strike/>
                <w:sz w:val="20"/>
                <w:szCs w:val="20"/>
                <w:highlight w:val="yellow"/>
                <w:lang w:val="en-US"/>
              </w:rPr>
            </w:pPr>
            <w:r w:rsidRPr="000A7545">
              <w:rPr>
                <w:rFonts w:asciiTheme="minorHAnsi" w:eastAsia="Times New Roman" w:hAnsiTheme="minorHAnsi" w:cstheme="minorHAnsi"/>
                <w:sz w:val="20"/>
                <w:szCs w:val="20"/>
                <w:lang w:val="en-US"/>
              </w:rPr>
              <w:t>1 province only (Papua Province)</w:t>
            </w:r>
          </w:p>
        </w:tc>
        <w:tc>
          <w:tcPr>
            <w:tcW w:w="500" w:type="pct"/>
            <w:shd w:val="clear" w:color="auto" w:fill="auto"/>
          </w:tcPr>
          <w:p w14:paraId="13B56208" w14:textId="77777777" w:rsidR="000A7545" w:rsidRPr="000A7545" w:rsidRDefault="000A7545" w:rsidP="000A7545">
            <w:pPr>
              <w:spacing w:after="0" w:line="240" w:lineRule="auto"/>
              <w:rPr>
                <w:rFonts w:asciiTheme="minorHAnsi" w:eastAsia="Times New Roman" w:hAnsiTheme="minorHAnsi" w:cstheme="minorHAnsi"/>
                <w:strike/>
                <w:color w:val="000000"/>
                <w:sz w:val="20"/>
                <w:szCs w:val="20"/>
                <w:lang w:val="en-US"/>
              </w:rPr>
            </w:pPr>
            <w:r w:rsidRPr="000A7545">
              <w:rPr>
                <w:rFonts w:asciiTheme="minorHAnsi" w:eastAsia="Times New Roman" w:hAnsiTheme="minorHAnsi" w:cstheme="minorHAnsi"/>
                <w:sz w:val="20"/>
                <w:szCs w:val="20"/>
                <w:lang w:val="en-US"/>
              </w:rPr>
              <w:t>Yes for all target locations</w:t>
            </w:r>
          </w:p>
        </w:tc>
        <w:tc>
          <w:tcPr>
            <w:tcW w:w="1092" w:type="pct"/>
            <w:gridSpan w:val="2"/>
          </w:tcPr>
          <w:p w14:paraId="13B5620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Yes for all 2/2 provinces and 6/6 districts</w:t>
            </w:r>
          </w:p>
          <w:p w14:paraId="13B5620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Papua Prov.: IDR4 billion</w:t>
            </w:r>
          </w:p>
          <w:p w14:paraId="13B5620B"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W. Papua Prov.: IDR 1.2 billion</w:t>
            </w:r>
          </w:p>
          <w:p w14:paraId="13B5620C"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Biak Numfor: IDR 190 million</w:t>
            </w:r>
          </w:p>
          <w:p w14:paraId="13B5620D"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Jayapura: IDR </w:t>
            </w:r>
            <w:r w:rsidRPr="000A7545">
              <w:rPr>
                <w:rFonts w:asciiTheme="minorHAnsi" w:eastAsia="Times New Roman" w:hAnsiTheme="minorHAnsi" w:cstheme="minorHAnsi"/>
                <w:sz w:val="20"/>
                <w:szCs w:val="20"/>
                <w:lang w:val="id-ID"/>
              </w:rPr>
              <w:t>350 million</w:t>
            </w:r>
          </w:p>
          <w:p w14:paraId="13B5620E" w14:textId="77777777" w:rsidR="000A7545" w:rsidRPr="000A7545" w:rsidRDefault="000A7545" w:rsidP="000A7545">
            <w:pPr>
              <w:spacing w:after="0" w:line="240" w:lineRule="auto"/>
              <w:rPr>
                <w:rFonts w:asciiTheme="minorHAnsi" w:eastAsia="Times New Roman" w:hAnsiTheme="minorHAnsi" w:cstheme="minorHAnsi"/>
                <w:sz w:val="20"/>
                <w:szCs w:val="20"/>
                <w:lang w:val="de-DE"/>
              </w:rPr>
            </w:pPr>
            <w:r w:rsidRPr="000A7545">
              <w:rPr>
                <w:rFonts w:asciiTheme="minorHAnsi" w:eastAsia="Times New Roman" w:hAnsiTheme="minorHAnsi" w:cstheme="minorHAnsi"/>
                <w:sz w:val="20"/>
                <w:szCs w:val="20"/>
                <w:lang w:val="de-DE"/>
              </w:rPr>
              <w:t>Jayawijaya: IDR 900 million</w:t>
            </w:r>
          </w:p>
          <w:p w14:paraId="13B5620F" w14:textId="77777777" w:rsidR="000A7545" w:rsidRPr="000A7545" w:rsidRDefault="000A7545" w:rsidP="000A7545">
            <w:pPr>
              <w:spacing w:after="0" w:line="240" w:lineRule="auto"/>
              <w:rPr>
                <w:rFonts w:asciiTheme="minorHAnsi" w:eastAsia="Times New Roman" w:hAnsiTheme="minorHAnsi" w:cstheme="minorHAnsi"/>
                <w:sz w:val="20"/>
                <w:szCs w:val="20"/>
                <w:lang w:val="de-DE"/>
              </w:rPr>
            </w:pPr>
            <w:r w:rsidRPr="000A7545">
              <w:rPr>
                <w:rFonts w:asciiTheme="minorHAnsi" w:eastAsia="Times New Roman" w:hAnsiTheme="minorHAnsi" w:cstheme="minorHAnsi"/>
                <w:sz w:val="20"/>
                <w:szCs w:val="20"/>
                <w:lang w:val="de-DE"/>
              </w:rPr>
              <w:t>Manokwari: IDR 315 million</w:t>
            </w:r>
          </w:p>
          <w:p w14:paraId="13B56210" w14:textId="77777777" w:rsidR="000A7545" w:rsidRPr="000A7545" w:rsidRDefault="000A7545" w:rsidP="000A7545">
            <w:pPr>
              <w:spacing w:after="0" w:line="240" w:lineRule="auto"/>
              <w:rPr>
                <w:rFonts w:asciiTheme="minorHAnsi" w:eastAsia="Times New Roman" w:hAnsiTheme="minorHAnsi" w:cstheme="minorHAnsi"/>
                <w:sz w:val="20"/>
                <w:szCs w:val="20"/>
                <w:lang w:val="de-DE"/>
              </w:rPr>
            </w:pPr>
            <w:r w:rsidRPr="000A7545">
              <w:rPr>
                <w:rFonts w:asciiTheme="minorHAnsi" w:eastAsia="Times New Roman" w:hAnsiTheme="minorHAnsi" w:cstheme="minorHAnsi"/>
                <w:sz w:val="20"/>
                <w:szCs w:val="20"/>
                <w:lang w:val="de-DE"/>
              </w:rPr>
              <w:t>Mimika: IDR 150 million</w:t>
            </w:r>
          </w:p>
          <w:p w14:paraId="13B56211" w14:textId="77777777" w:rsidR="000A7545" w:rsidRPr="000A7545" w:rsidRDefault="000A7545" w:rsidP="000A7545">
            <w:pPr>
              <w:spacing w:after="0" w:line="240" w:lineRule="auto"/>
              <w:rPr>
                <w:rFonts w:asciiTheme="minorHAnsi" w:eastAsia="Times New Roman" w:hAnsiTheme="minorHAnsi" w:cstheme="minorHAnsi"/>
                <w:strike/>
                <w:color w:val="000000"/>
                <w:sz w:val="20"/>
                <w:szCs w:val="20"/>
                <w:highlight w:val="yellow"/>
                <w:lang w:val="de-DE"/>
              </w:rPr>
            </w:pPr>
            <w:r w:rsidRPr="000A7545">
              <w:rPr>
                <w:rFonts w:asciiTheme="minorHAnsi" w:hAnsiTheme="minorHAnsi" w:cstheme="minorHAnsi"/>
                <w:sz w:val="20"/>
                <w:szCs w:val="20"/>
                <w:lang w:val="de-DE"/>
              </w:rPr>
              <w:t>Sorong: IDR 453 million</w:t>
            </w:r>
          </w:p>
        </w:tc>
        <w:tc>
          <w:tcPr>
            <w:tcW w:w="290" w:type="pct"/>
            <w:gridSpan w:val="2"/>
            <w:shd w:val="clear" w:color="auto" w:fill="auto"/>
          </w:tcPr>
          <w:p w14:paraId="13B56212" w14:textId="77777777" w:rsidR="000A7545" w:rsidRPr="000A7545" w:rsidRDefault="000A7545" w:rsidP="000A7545">
            <w:pPr>
              <w:spacing w:after="0" w:line="240" w:lineRule="auto"/>
              <w:rPr>
                <w:rFonts w:asciiTheme="minorHAnsi" w:eastAsia="Times New Roman" w:hAnsiTheme="minorHAnsi" w:cstheme="minorHAnsi"/>
                <w:strike/>
                <w:color w:val="000000"/>
                <w:sz w:val="20"/>
                <w:szCs w:val="20"/>
                <w:lang w:val="de-DE"/>
              </w:rPr>
            </w:pPr>
          </w:p>
        </w:tc>
        <w:tc>
          <w:tcPr>
            <w:tcW w:w="441" w:type="pct"/>
            <w:shd w:val="clear" w:color="auto" w:fill="auto"/>
          </w:tcPr>
          <w:p w14:paraId="13B56213" w14:textId="77777777" w:rsidR="000A7545" w:rsidRPr="000A7545" w:rsidRDefault="000A7545" w:rsidP="000A7545">
            <w:pPr>
              <w:spacing w:after="0" w:line="240" w:lineRule="auto"/>
              <w:rPr>
                <w:rFonts w:asciiTheme="minorHAnsi" w:eastAsia="Times New Roman" w:hAnsiTheme="minorHAnsi" w:cstheme="minorHAnsi"/>
                <w:strike/>
                <w:color w:val="000000"/>
                <w:sz w:val="20"/>
                <w:szCs w:val="20"/>
                <w:lang w:val="en-US"/>
              </w:rPr>
            </w:pPr>
            <w:r w:rsidRPr="000A7545">
              <w:rPr>
                <w:rFonts w:asciiTheme="minorHAnsi" w:eastAsia="Times New Roman" w:hAnsiTheme="minorHAnsi" w:cstheme="minorHAnsi"/>
                <w:i/>
                <w:color w:val="000000"/>
                <w:sz w:val="20"/>
                <w:szCs w:val="20"/>
                <w:lang w:val="en-US"/>
              </w:rPr>
              <w:t xml:space="preserve">Renstra </w:t>
            </w:r>
            <w:r w:rsidRPr="000A7545">
              <w:rPr>
                <w:rFonts w:asciiTheme="minorHAnsi" w:eastAsia="Times New Roman" w:hAnsiTheme="minorHAnsi" w:cstheme="minorHAnsi"/>
                <w:color w:val="000000"/>
                <w:sz w:val="20"/>
                <w:szCs w:val="20"/>
                <w:lang w:val="en-US"/>
              </w:rPr>
              <w:t xml:space="preserve">or </w:t>
            </w:r>
            <w:r w:rsidRPr="000A7545">
              <w:rPr>
                <w:rFonts w:asciiTheme="minorHAnsi" w:eastAsia="Times New Roman" w:hAnsiTheme="minorHAnsi" w:cstheme="minorHAnsi"/>
                <w:i/>
                <w:color w:val="000000"/>
                <w:sz w:val="20"/>
                <w:szCs w:val="20"/>
                <w:lang w:val="en-US"/>
              </w:rPr>
              <w:t>Renja</w:t>
            </w:r>
          </w:p>
        </w:tc>
      </w:tr>
      <w:tr w:rsidR="000A7545" w:rsidRPr="000A7545" w14:paraId="13B56225" w14:textId="77777777" w:rsidTr="00B812C8">
        <w:trPr>
          <w:trHeight w:val="826"/>
        </w:trPr>
        <w:tc>
          <w:tcPr>
            <w:tcW w:w="543" w:type="pct"/>
            <w:gridSpan w:val="3"/>
            <w:vMerge/>
            <w:shd w:val="clear" w:color="auto" w:fill="auto"/>
            <w:vAlign w:val="center"/>
          </w:tcPr>
          <w:p w14:paraId="13B56215" w14:textId="77777777" w:rsidR="000A7545" w:rsidRPr="000A7545" w:rsidRDefault="000A7545" w:rsidP="000A7545">
            <w:pPr>
              <w:spacing w:after="0" w:line="240" w:lineRule="auto"/>
              <w:rPr>
                <w:rFonts w:asciiTheme="minorHAnsi" w:eastAsia="Times New Roman" w:hAnsiTheme="minorHAnsi" w:cstheme="minorHAnsi"/>
                <w:b/>
                <w:bCs/>
                <w:lang w:val="en-US"/>
              </w:rPr>
            </w:pPr>
          </w:p>
        </w:tc>
        <w:tc>
          <w:tcPr>
            <w:tcW w:w="1017" w:type="pct"/>
            <w:gridSpan w:val="3"/>
            <w:shd w:val="clear" w:color="auto" w:fill="auto"/>
          </w:tcPr>
          <w:p w14:paraId="13B56216" w14:textId="77777777" w:rsidR="000A7545" w:rsidRPr="008A2172"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1.1.4f. Number</w:t>
            </w:r>
            <w:r w:rsidRPr="000A7545">
              <w:rPr>
                <w:rFonts w:asciiTheme="minorHAnsi" w:eastAsia="Times New Roman" w:hAnsiTheme="minorHAnsi" w:cstheme="minorHAnsi"/>
                <w:sz w:val="20"/>
                <w:szCs w:val="20"/>
                <w:lang w:val="id-ID"/>
              </w:rPr>
              <w:t xml:space="preserve"> of district education offices allocating funds for HIV AIDs programming</w:t>
            </w:r>
            <w:r w:rsidR="008A2172">
              <w:rPr>
                <w:rFonts w:asciiTheme="minorHAnsi" w:eastAsia="Times New Roman" w:hAnsiTheme="minorHAnsi" w:cstheme="minorHAnsi"/>
                <w:sz w:val="20"/>
                <w:szCs w:val="20"/>
                <w:lang w:val="en-US"/>
              </w:rPr>
              <w:t xml:space="preserve">. </w:t>
            </w:r>
            <w:r w:rsidR="00F52070">
              <w:rPr>
                <w:rFonts w:asciiTheme="minorHAnsi" w:eastAsia="Times New Roman" w:hAnsiTheme="minorHAnsi" w:cstheme="minorHAnsi"/>
                <w:sz w:val="20"/>
                <w:szCs w:val="20"/>
                <w:lang w:val="en-US"/>
              </w:rPr>
              <w:t>(Aus</w:t>
            </w:r>
            <w:r w:rsidR="008A2172">
              <w:rPr>
                <w:rFonts w:asciiTheme="minorHAnsi" w:eastAsia="Times New Roman" w:hAnsiTheme="minorHAnsi" w:cstheme="minorHAnsi"/>
                <w:sz w:val="20"/>
                <w:szCs w:val="20"/>
                <w:lang w:val="en-US"/>
              </w:rPr>
              <w:t>AID)</w:t>
            </w:r>
          </w:p>
        </w:tc>
        <w:tc>
          <w:tcPr>
            <w:tcW w:w="1117" w:type="pct"/>
            <w:shd w:val="clear" w:color="auto" w:fill="auto"/>
          </w:tcPr>
          <w:p w14:paraId="13B5621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2 out of 4 Districts</w:t>
            </w:r>
          </w:p>
          <w:p w14:paraId="13B5621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(Only Jayapura and Biak allocating funds for HIV/AIDS programming)</w:t>
            </w:r>
          </w:p>
        </w:tc>
        <w:tc>
          <w:tcPr>
            <w:tcW w:w="500" w:type="pct"/>
            <w:shd w:val="clear" w:color="auto" w:fill="auto"/>
          </w:tcPr>
          <w:p w14:paraId="13B56219"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sz w:val="20"/>
                <w:szCs w:val="20"/>
                <w:lang w:val="en-US"/>
              </w:rPr>
              <w:t>100%</w:t>
            </w:r>
          </w:p>
        </w:tc>
        <w:tc>
          <w:tcPr>
            <w:tcW w:w="1092" w:type="pct"/>
            <w:gridSpan w:val="2"/>
          </w:tcPr>
          <w:p w14:paraId="13B5621A" w14:textId="77777777" w:rsidR="000A7545" w:rsidRPr="00FA323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 xml:space="preserve">100%. 2/2 </w:t>
            </w:r>
            <w:r w:rsidRPr="00FA3235">
              <w:rPr>
                <w:rFonts w:asciiTheme="minorHAnsi" w:eastAsia="Times New Roman" w:hAnsiTheme="minorHAnsi" w:cstheme="minorHAnsi"/>
                <w:color w:val="000000"/>
                <w:sz w:val="20"/>
                <w:szCs w:val="20"/>
                <w:lang w:val="en-US"/>
              </w:rPr>
              <w:t>provinces and 5/6 target districts have allocated funds for HIV/AIDS programming.</w:t>
            </w:r>
          </w:p>
          <w:p w14:paraId="13B5621B" w14:textId="77777777" w:rsidR="000A7545" w:rsidRPr="00FA3235" w:rsidRDefault="000A7545" w:rsidP="000A7545">
            <w:pPr>
              <w:spacing w:after="0"/>
              <w:rPr>
                <w:rFonts w:asciiTheme="minorHAnsi" w:hAnsiTheme="minorHAnsi" w:cstheme="minorHAnsi"/>
                <w:sz w:val="20"/>
                <w:szCs w:val="20"/>
                <w:lang w:val="en-US"/>
              </w:rPr>
            </w:pPr>
            <w:r w:rsidRPr="00FA3235">
              <w:rPr>
                <w:rFonts w:asciiTheme="minorHAnsi" w:hAnsiTheme="minorHAnsi" w:cstheme="minorHAnsi"/>
                <w:sz w:val="20"/>
                <w:szCs w:val="20"/>
                <w:lang w:val="id-ID"/>
              </w:rPr>
              <w:t>Papua Province</w:t>
            </w:r>
            <w:r w:rsidRPr="00FA3235">
              <w:rPr>
                <w:rFonts w:asciiTheme="minorHAnsi" w:hAnsiTheme="minorHAnsi" w:cstheme="minorHAnsi"/>
                <w:sz w:val="20"/>
                <w:szCs w:val="20"/>
                <w:lang w:val="en-US"/>
              </w:rPr>
              <w:t xml:space="preserve">: IDR </w:t>
            </w:r>
            <w:r w:rsidRPr="00FA3235">
              <w:rPr>
                <w:rFonts w:asciiTheme="minorHAnsi" w:hAnsiTheme="minorHAnsi" w:cstheme="minorHAnsi"/>
                <w:sz w:val="20"/>
                <w:szCs w:val="20"/>
                <w:lang w:val="id-ID"/>
              </w:rPr>
              <w:t>1,5 billion</w:t>
            </w:r>
          </w:p>
          <w:p w14:paraId="13B5621C" w14:textId="77777777" w:rsidR="000A7545" w:rsidRPr="00FA3235" w:rsidRDefault="000A7545" w:rsidP="000A7545">
            <w:pPr>
              <w:spacing w:after="0"/>
              <w:rPr>
                <w:rFonts w:asciiTheme="minorHAnsi" w:hAnsiTheme="minorHAnsi" w:cstheme="minorHAnsi"/>
                <w:sz w:val="20"/>
                <w:szCs w:val="20"/>
                <w:lang w:val="en-US"/>
              </w:rPr>
            </w:pPr>
            <w:r w:rsidRPr="00FA3235">
              <w:rPr>
                <w:rFonts w:asciiTheme="minorHAnsi" w:hAnsiTheme="minorHAnsi" w:cstheme="minorHAnsi"/>
                <w:sz w:val="20"/>
                <w:szCs w:val="20"/>
                <w:lang w:val="id-ID"/>
              </w:rPr>
              <w:t>West Papua</w:t>
            </w:r>
            <w:r w:rsidRPr="00FA3235">
              <w:rPr>
                <w:rFonts w:asciiTheme="minorHAnsi" w:hAnsiTheme="minorHAnsi" w:cstheme="minorHAnsi"/>
                <w:sz w:val="20"/>
                <w:szCs w:val="20"/>
                <w:lang w:val="en-US"/>
              </w:rPr>
              <w:t xml:space="preserve"> Prov.: IDR</w:t>
            </w:r>
            <w:r w:rsidRPr="00FA3235">
              <w:rPr>
                <w:rFonts w:asciiTheme="minorHAnsi" w:hAnsiTheme="minorHAnsi" w:cstheme="minorHAnsi"/>
                <w:sz w:val="20"/>
                <w:szCs w:val="20"/>
                <w:lang w:val="id-ID"/>
              </w:rPr>
              <w:t xml:space="preserve"> 370 million</w:t>
            </w:r>
          </w:p>
          <w:p w14:paraId="13B5621D" w14:textId="77777777" w:rsidR="000A7545" w:rsidRPr="00FA3235" w:rsidRDefault="000A7545" w:rsidP="000A7545">
            <w:pPr>
              <w:spacing w:after="0"/>
              <w:rPr>
                <w:rFonts w:asciiTheme="minorHAnsi" w:hAnsiTheme="minorHAnsi" w:cstheme="minorHAnsi"/>
                <w:sz w:val="20"/>
                <w:szCs w:val="20"/>
              </w:rPr>
            </w:pPr>
            <w:r w:rsidRPr="00FA3235">
              <w:rPr>
                <w:rFonts w:asciiTheme="minorHAnsi" w:hAnsiTheme="minorHAnsi" w:cstheme="minorHAnsi"/>
                <w:sz w:val="20"/>
                <w:szCs w:val="20"/>
                <w:lang w:val="id-ID"/>
              </w:rPr>
              <w:t>Biak</w:t>
            </w:r>
            <w:r w:rsidRPr="00FA3235">
              <w:rPr>
                <w:rFonts w:asciiTheme="minorHAnsi" w:hAnsiTheme="minorHAnsi" w:cstheme="minorHAnsi"/>
                <w:sz w:val="20"/>
                <w:szCs w:val="20"/>
              </w:rPr>
              <w:t>: IDR</w:t>
            </w:r>
            <w:r w:rsidRPr="00FA3235">
              <w:rPr>
                <w:rFonts w:asciiTheme="minorHAnsi" w:hAnsiTheme="minorHAnsi" w:cstheme="minorHAnsi"/>
                <w:sz w:val="20"/>
                <w:szCs w:val="20"/>
                <w:lang w:val="id-ID"/>
              </w:rPr>
              <w:t xml:space="preserve"> 283 million</w:t>
            </w:r>
          </w:p>
          <w:p w14:paraId="13B5621E" w14:textId="77777777" w:rsidR="000A7545" w:rsidRPr="000A7545" w:rsidRDefault="000A7545" w:rsidP="000A7545">
            <w:pPr>
              <w:spacing w:after="0"/>
              <w:rPr>
                <w:rFonts w:asciiTheme="minorHAnsi" w:hAnsiTheme="minorHAnsi" w:cstheme="minorHAnsi"/>
                <w:sz w:val="20"/>
                <w:szCs w:val="20"/>
                <w:lang w:val="en-US"/>
              </w:rPr>
            </w:pPr>
            <w:r w:rsidRPr="00FA3235">
              <w:rPr>
                <w:rFonts w:asciiTheme="minorHAnsi" w:hAnsiTheme="minorHAnsi" w:cstheme="minorHAnsi"/>
                <w:sz w:val="20"/>
                <w:szCs w:val="20"/>
                <w:lang w:val="id-ID"/>
              </w:rPr>
              <w:t>Mimika</w:t>
            </w:r>
            <w:r w:rsidRPr="00FA3235">
              <w:rPr>
                <w:rFonts w:asciiTheme="minorHAnsi" w:hAnsiTheme="minorHAnsi" w:cstheme="minorHAnsi"/>
                <w:sz w:val="20"/>
                <w:szCs w:val="20"/>
              </w:rPr>
              <w:t>: IDR</w:t>
            </w:r>
            <w:r w:rsidRPr="00FA3235">
              <w:rPr>
                <w:rFonts w:asciiTheme="minorHAnsi" w:hAnsiTheme="minorHAnsi" w:cstheme="minorHAnsi"/>
                <w:sz w:val="20"/>
                <w:szCs w:val="20"/>
                <w:lang w:val="id-ID"/>
              </w:rPr>
              <w:t xml:space="preserve"> 0</w:t>
            </w:r>
            <w:r w:rsidRPr="00FA3235">
              <w:rPr>
                <w:rFonts w:asciiTheme="minorHAnsi" w:hAnsiTheme="minorHAnsi" w:cstheme="minorHAnsi"/>
                <w:sz w:val="20"/>
                <w:szCs w:val="20"/>
                <w:lang w:val="en-US"/>
              </w:rPr>
              <w:t xml:space="preserve"> (</w:t>
            </w:r>
            <w:r w:rsidRPr="000A7545">
              <w:rPr>
                <w:rFonts w:asciiTheme="minorHAnsi" w:hAnsiTheme="minorHAnsi" w:cstheme="minorHAnsi"/>
                <w:sz w:val="20"/>
                <w:szCs w:val="20"/>
                <w:lang w:val="en-US"/>
              </w:rPr>
              <w:t>this is correct)</w:t>
            </w:r>
          </w:p>
          <w:p w14:paraId="13B5621F" w14:textId="77777777" w:rsidR="000A7545" w:rsidRPr="000A7545" w:rsidRDefault="000A7545" w:rsidP="000A7545">
            <w:pPr>
              <w:spacing w:after="0"/>
              <w:rPr>
                <w:rFonts w:asciiTheme="minorHAnsi" w:hAnsiTheme="minorHAnsi" w:cstheme="minorHAnsi"/>
                <w:sz w:val="20"/>
                <w:szCs w:val="20"/>
                <w:lang w:val="en-US"/>
              </w:rPr>
            </w:pPr>
            <w:r w:rsidRPr="000A7545">
              <w:rPr>
                <w:rFonts w:asciiTheme="minorHAnsi" w:hAnsiTheme="minorHAnsi" w:cstheme="minorHAnsi"/>
                <w:sz w:val="20"/>
                <w:szCs w:val="20"/>
                <w:lang w:val="id-ID"/>
              </w:rPr>
              <w:t>Jayawijaya</w:t>
            </w:r>
            <w:r w:rsidRPr="000A7545">
              <w:rPr>
                <w:rFonts w:asciiTheme="minorHAnsi" w:hAnsiTheme="minorHAnsi" w:cstheme="minorHAnsi"/>
                <w:sz w:val="20"/>
                <w:szCs w:val="20"/>
                <w:lang w:val="en-US"/>
              </w:rPr>
              <w:t>: IDR</w:t>
            </w:r>
            <w:r w:rsidRPr="000A7545">
              <w:rPr>
                <w:rFonts w:asciiTheme="minorHAnsi" w:hAnsiTheme="minorHAnsi" w:cstheme="minorHAnsi"/>
                <w:sz w:val="20"/>
                <w:szCs w:val="20"/>
                <w:lang w:val="id-ID"/>
              </w:rPr>
              <w:t xml:space="preserve"> 350 million</w:t>
            </w:r>
          </w:p>
          <w:p w14:paraId="13B56220" w14:textId="77777777" w:rsidR="000A7545" w:rsidRPr="000A7545" w:rsidRDefault="000A7545" w:rsidP="000A7545">
            <w:pPr>
              <w:spacing w:after="0"/>
              <w:rPr>
                <w:rFonts w:asciiTheme="minorHAnsi" w:hAnsiTheme="minorHAnsi" w:cstheme="minorHAnsi"/>
                <w:sz w:val="20"/>
                <w:szCs w:val="20"/>
                <w:lang w:val="en-US"/>
              </w:rPr>
            </w:pPr>
            <w:r w:rsidRPr="000A7545">
              <w:rPr>
                <w:rFonts w:asciiTheme="minorHAnsi" w:hAnsiTheme="minorHAnsi" w:cstheme="minorHAnsi"/>
                <w:sz w:val="20"/>
                <w:szCs w:val="20"/>
                <w:lang w:val="id-ID"/>
              </w:rPr>
              <w:t>Jayapura</w:t>
            </w:r>
            <w:r w:rsidRPr="000A7545">
              <w:rPr>
                <w:rFonts w:asciiTheme="minorHAnsi" w:hAnsiTheme="minorHAnsi" w:cstheme="minorHAnsi"/>
                <w:sz w:val="20"/>
                <w:szCs w:val="20"/>
                <w:lang w:val="en-US"/>
              </w:rPr>
              <w:t>: IDR</w:t>
            </w:r>
            <w:r w:rsidRPr="000A7545">
              <w:rPr>
                <w:rFonts w:asciiTheme="minorHAnsi" w:hAnsiTheme="minorHAnsi" w:cstheme="minorHAnsi"/>
                <w:sz w:val="20"/>
                <w:szCs w:val="20"/>
                <w:lang w:val="id-ID"/>
              </w:rPr>
              <w:t xml:space="preserve"> 150 million</w:t>
            </w:r>
          </w:p>
          <w:p w14:paraId="13B56221" w14:textId="77777777" w:rsidR="000A7545" w:rsidRPr="000A7545" w:rsidRDefault="000A7545" w:rsidP="000A7545">
            <w:pPr>
              <w:spacing w:after="0"/>
              <w:rPr>
                <w:rFonts w:asciiTheme="minorHAnsi" w:hAnsiTheme="minorHAnsi" w:cstheme="minorHAnsi"/>
                <w:sz w:val="20"/>
                <w:szCs w:val="20"/>
                <w:lang w:val="en-US"/>
              </w:rPr>
            </w:pPr>
            <w:r w:rsidRPr="000A7545">
              <w:rPr>
                <w:rFonts w:asciiTheme="minorHAnsi" w:hAnsiTheme="minorHAnsi" w:cstheme="minorHAnsi"/>
                <w:sz w:val="20"/>
                <w:szCs w:val="20"/>
                <w:lang w:val="id-ID"/>
              </w:rPr>
              <w:t>Sorong</w:t>
            </w:r>
            <w:r w:rsidRPr="000A7545">
              <w:rPr>
                <w:rFonts w:asciiTheme="minorHAnsi" w:hAnsiTheme="minorHAnsi" w:cstheme="minorHAnsi"/>
                <w:sz w:val="20"/>
                <w:szCs w:val="20"/>
                <w:lang w:val="en-US"/>
              </w:rPr>
              <w:t>: IDR</w:t>
            </w:r>
            <w:r w:rsidRPr="000A7545">
              <w:rPr>
                <w:rFonts w:asciiTheme="minorHAnsi" w:hAnsiTheme="minorHAnsi" w:cstheme="minorHAnsi"/>
                <w:sz w:val="20"/>
                <w:szCs w:val="20"/>
                <w:lang w:val="id-ID"/>
              </w:rPr>
              <w:t xml:space="preserve"> 450 million</w:t>
            </w:r>
          </w:p>
          <w:p w14:paraId="13B5622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hAnsiTheme="minorHAnsi" w:cstheme="minorHAnsi"/>
                <w:sz w:val="20"/>
                <w:szCs w:val="20"/>
                <w:lang w:val="id-ID"/>
              </w:rPr>
              <w:t>Manokwari</w:t>
            </w:r>
            <w:r w:rsidRPr="000A7545">
              <w:rPr>
                <w:rFonts w:asciiTheme="minorHAnsi" w:hAnsiTheme="minorHAnsi" w:cstheme="minorHAnsi"/>
                <w:sz w:val="20"/>
                <w:szCs w:val="20"/>
                <w:lang w:val="en-US"/>
              </w:rPr>
              <w:t>: IDR</w:t>
            </w:r>
            <w:r w:rsidRPr="000A7545">
              <w:rPr>
                <w:rFonts w:asciiTheme="minorHAnsi" w:hAnsiTheme="minorHAnsi" w:cstheme="minorHAnsi"/>
                <w:sz w:val="20"/>
                <w:szCs w:val="20"/>
                <w:lang w:val="id-ID"/>
              </w:rPr>
              <w:t xml:space="preserve"> 950 million</w:t>
            </w:r>
          </w:p>
        </w:tc>
        <w:tc>
          <w:tcPr>
            <w:tcW w:w="290" w:type="pct"/>
            <w:gridSpan w:val="2"/>
            <w:shd w:val="clear" w:color="auto" w:fill="auto"/>
          </w:tcPr>
          <w:p w14:paraId="13B56223"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224"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sz w:val="20"/>
                <w:szCs w:val="20"/>
                <w:lang w:val="en-US"/>
              </w:rPr>
              <w:t xml:space="preserve">The </w:t>
            </w:r>
            <w:r w:rsidRPr="000A7545">
              <w:rPr>
                <w:rFonts w:asciiTheme="minorHAnsi" w:eastAsia="Times New Roman" w:hAnsiTheme="minorHAnsi" w:cstheme="minorHAnsi"/>
                <w:i/>
                <w:sz w:val="20"/>
                <w:szCs w:val="20"/>
                <w:lang w:val="en-US"/>
              </w:rPr>
              <w:t xml:space="preserve">Renstra </w:t>
            </w:r>
          </w:p>
        </w:tc>
      </w:tr>
      <w:tr w:rsidR="000A7545" w:rsidRPr="000A7545" w14:paraId="13B5622D" w14:textId="77777777" w:rsidTr="00B812C8">
        <w:trPr>
          <w:trHeight w:val="1060"/>
        </w:trPr>
        <w:tc>
          <w:tcPr>
            <w:tcW w:w="543" w:type="pct"/>
            <w:gridSpan w:val="3"/>
            <w:vMerge/>
            <w:shd w:val="clear" w:color="auto" w:fill="auto"/>
            <w:vAlign w:val="center"/>
          </w:tcPr>
          <w:p w14:paraId="13B56226" w14:textId="77777777" w:rsidR="000A7545" w:rsidRPr="000A7545" w:rsidRDefault="000A7545" w:rsidP="000A7545">
            <w:pPr>
              <w:spacing w:after="0" w:line="240" w:lineRule="auto"/>
              <w:rPr>
                <w:rFonts w:asciiTheme="minorHAnsi" w:eastAsia="Times New Roman" w:hAnsiTheme="minorHAnsi" w:cstheme="minorHAnsi"/>
                <w:b/>
                <w:bCs/>
                <w:lang w:val="en-US"/>
              </w:rPr>
            </w:pPr>
          </w:p>
        </w:tc>
        <w:tc>
          <w:tcPr>
            <w:tcW w:w="1017" w:type="pct"/>
            <w:gridSpan w:val="3"/>
            <w:shd w:val="clear" w:color="auto" w:fill="auto"/>
          </w:tcPr>
          <w:p w14:paraId="13B5622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1.1.4g. Number of districts providing additional BOS allocations to schools to fill funding gaps</w:t>
            </w:r>
            <w:r w:rsidR="008A2172">
              <w:rPr>
                <w:rFonts w:asciiTheme="minorHAnsi" w:eastAsia="Times New Roman" w:hAnsiTheme="minorHAnsi" w:cstheme="minorHAnsi"/>
                <w:sz w:val="20"/>
                <w:szCs w:val="20"/>
                <w:lang w:val="en-US"/>
              </w:rPr>
              <w:t xml:space="preserve"> (USAID)</w:t>
            </w:r>
          </w:p>
        </w:tc>
        <w:tc>
          <w:tcPr>
            <w:tcW w:w="1117" w:type="pct"/>
            <w:shd w:val="clear" w:color="auto" w:fill="auto"/>
          </w:tcPr>
          <w:p w14:paraId="13B5622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2 out of 4 districts</w:t>
            </w:r>
          </w:p>
        </w:tc>
        <w:tc>
          <w:tcPr>
            <w:tcW w:w="500" w:type="pct"/>
            <w:shd w:val="clear" w:color="auto" w:fill="auto"/>
          </w:tcPr>
          <w:p w14:paraId="13B5622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100%</w:t>
            </w:r>
          </w:p>
        </w:tc>
        <w:tc>
          <w:tcPr>
            <w:tcW w:w="1092" w:type="pct"/>
            <w:gridSpan w:val="2"/>
          </w:tcPr>
          <w:p w14:paraId="13B5622A" w14:textId="77777777" w:rsidR="000A7545" w:rsidRPr="000A7545" w:rsidRDefault="00173CC5" w:rsidP="000A7545">
            <w:pPr>
              <w:spacing w:after="0" w:line="240" w:lineRule="auto"/>
              <w:rPr>
                <w:rFonts w:asciiTheme="minorHAnsi" w:eastAsia="Times New Roman" w:hAnsiTheme="minorHAnsi" w:cstheme="minorHAnsi"/>
                <w:color w:val="000000"/>
                <w:sz w:val="20"/>
                <w:szCs w:val="20"/>
                <w:lang w:val="en-US"/>
              </w:rPr>
            </w:pPr>
            <w:r>
              <w:rPr>
                <w:rFonts w:asciiTheme="minorHAnsi" w:eastAsia="Times New Roman" w:hAnsiTheme="minorHAnsi" w:cstheme="minorHAnsi"/>
                <w:color w:val="000000"/>
                <w:sz w:val="20"/>
                <w:szCs w:val="20"/>
                <w:lang w:val="en-US"/>
              </w:rPr>
              <w:t>Workshops conducted in all target districts in 2011; policy dialogues conducted in each target district; all target districts completed full report on BOS funding needs for schools</w:t>
            </w:r>
          </w:p>
        </w:tc>
        <w:tc>
          <w:tcPr>
            <w:tcW w:w="290" w:type="pct"/>
            <w:gridSpan w:val="2"/>
            <w:shd w:val="clear" w:color="auto" w:fill="auto"/>
          </w:tcPr>
          <w:p w14:paraId="13B5622B"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22C"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Endline evaluation</w:t>
            </w:r>
          </w:p>
        </w:tc>
      </w:tr>
      <w:tr w:rsidR="000A7545" w:rsidRPr="000A7545" w14:paraId="13B56235" w14:textId="77777777" w:rsidTr="00B812C8">
        <w:trPr>
          <w:trHeight w:val="1222"/>
        </w:trPr>
        <w:tc>
          <w:tcPr>
            <w:tcW w:w="543" w:type="pct"/>
            <w:gridSpan w:val="3"/>
            <w:vMerge w:val="restart"/>
            <w:shd w:val="clear" w:color="auto" w:fill="auto"/>
            <w:hideMark/>
          </w:tcPr>
          <w:p w14:paraId="13B5622E"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r w:rsidRPr="000A7545">
              <w:rPr>
                <w:rFonts w:asciiTheme="minorHAnsi" w:eastAsia="Times New Roman" w:hAnsiTheme="minorHAnsi" w:cstheme="minorHAnsi"/>
                <w:bCs/>
                <w:sz w:val="20"/>
                <w:szCs w:val="20"/>
                <w:lang w:val="id-ID"/>
              </w:rPr>
              <w:t>Out</w:t>
            </w:r>
            <w:r w:rsidRPr="000A7545">
              <w:rPr>
                <w:rFonts w:asciiTheme="minorHAnsi" w:eastAsia="Times New Roman" w:hAnsiTheme="minorHAnsi" w:cstheme="minorHAnsi"/>
                <w:bCs/>
                <w:sz w:val="20"/>
                <w:szCs w:val="20"/>
                <w:lang w:val="en-US"/>
              </w:rPr>
              <w:t>put</w:t>
            </w:r>
            <w:r w:rsidRPr="000A7545">
              <w:rPr>
                <w:rFonts w:asciiTheme="minorHAnsi" w:eastAsia="Times New Roman" w:hAnsiTheme="minorHAnsi" w:cstheme="minorHAnsi"/>
                <w:bCs/>
                <w:sz w:val="20"/>
                <w:szCs w:val="20"/>
                <w:lang w:val="id-ID"/>
              </w:rPr>
              <w:t xml:space="preserve"> 1.</w:t>
            </w:r>
            <w:r w:rsidRPr="000A7545">
              <w:rPr>
                <w:rFonts w:asciiTheme="minorHAnsi" w:eastAsia="Times New Roman" w:hAnsiTheme="minorHAnsi" w:cstheme="minorHAnsi"/>
                <w:bCs/>
                <w:sz w:val="20"/>
                <w:szCs w:val="20"/>
                <w:lang w:val="en-US"/>
              </w:rPr>
              <w:t>1.5</w:t>
            </w:r>
            <w:r w:rsidRPr="000A7545">
              <w:rPr>
                <w:rFonts w:asciiTheme="minorHAnsi" w:eastAsia="Times New Roman" w:hAnsiTheme="minorHAnsi" w:cstheme="minorHAnsi"/>
                <w:bCs/>
                <w:sz w:val="20"/>
                <w:szCs w:val="20"/>
                <w:lang w:val="id-ID"/>
              </w:rPr>
              <w:t xml:space="preserve"> Provincial and district </w:t>
            </w:r>
            <w:r w:rsidRPr="000A7545">
              <w:rPr>
                <w:rFonts w:asciiTheme="minorHAnsi" w:eastAsia="Times New Roman" w:hAnsiTheme="minorHAnsi" w:cstheme="minorHAnsi"/>
                <w:bCs/>
                <w:sz w:val="20"/>
                <w:szCs w:val="20"/>
                <w:lang w:val="en-US"/>
              </w:rPr>
              <w:t xml:space="preserve">accountability </w:t>
            </w:r>
            <w:r w:rsidRPr="000A7545">
              <w:rPr>
                <w:rFonts w:asciiTheme="minorHAnsi" w:eastAsia="Times New Roman" w:hAnsiTheme="minorHAnsi" w:cstheme="minorHAnsi"/>
                <w:bCs/>
                <w:sz w:val="20"/>
                <w:szCs w:val="20"/>
                <w:lang w:val="id-ID"/>
              </w:rPr>
              <w:t xml:space="preserve">systems </w:t>
            </w:r>
            <w:r w:rsidRPr="000A7545">
              <w:rPr>
                <w:rFonts w:asciiTheme="minorHAnsi" w:eastAsia="Times New Roman" w:hAnsiTheme="minorHAnsi" w:cstheme="minorHAnsi"/>
                <w:bCs/>
                <w:sz w:val="20"/>
                <w:szCs w:val="20"/>
                <w:lang w:val="en-US"/>
              </w:rPr>
              <w:t>improved (USAID)</w:t>
            </w:r>
          </w:p>
        </w:tc>
        <w:tc>
          <w:tcPr>
            <w:tcW w:w="1017" w:type="pct"/>
            <w:gridSpan w:val="3"/>
            <w:tcBorders>
              <w:bottom w:val="single" w:sz="8" w:space="0" w:color="4F81BD"/>
            </w:tcBorders>
            <w:shd w:val="clear" w:color="auto" w:fill="auto"/>
          </w:tcPr>
          <w:p w14:paraId="13B5622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1.1.5a. Proportion of relevant staff from p</w:t>
            </w:r>
            <w:r w:rsidRPr="000A7545">
              <w:rPr>
                <w:rFonts w:asciiTheme="minorHAnsi" w:eastAsia="Times New Roman" w:hAnsiTheme="minorHAnsi" w:cstheme="minorHAnsi"/>
                <w:sz w:val="20"/>
                <w:szCs w:val="20"/>
                <w:lang w:val="id-ID"/>
              </w:rPr>
              <w:t>rovincial and district team</w:t>
            </w:r>
            <w:r w:rsidRPr="000A7545">
              <w:rPr>
                <w:rFonts w:asciiTheme="minorHAnsi" w:eastAsia="Times New Roman" w:hAnsiTheme="minorHAnsi" w:cstheme="minorHAnsi"/>
                <w:sz w:val="20"/>
                <w:szCs w:val="20"/>
                <w:lang w:val="en-US"/>
              </w:rPr>
              <w:t>s</w:t>
            </w:r>
            <w:r w:rsidRPr="000A7545">
              <w:rPr>
                <w:rFonts w:asciiTheme="minorHAnsi" w:eastAsia="Times New Roman" w:hAnsiTheme="minorHAnsi" w:cstheme="minorHAnsi"/>
                <w:sz w:val="20"/>
                <w:szCs w:val="20"/>
                <w:lang w:val="id-ID"/>
              </w:rPr>
              <w:t xml:space="preserve"> trained in the preparation of Accountability Report (LAKIP)</w:t>
            </w:r>
            <w:r w:rsidRPr="000A7545">
              <w:rPr>
                <w:rFonts w:asciiTheme="minorHAnsi" w:eastAsia="Times New Roman" w:hAnsiTheme="minorHAnsi" w:cstheme="minorHAnsi"/>
                <w:sz w:val="20"/>
                <w:szCs w:val="20"/>
                <w:lang w:val="en-US"/>
              </w:rPr>
              <w:t xml:space="preserve"> by gender</w:t>
            </w:r>
          </w:p>
        </w:tc>
        <w:tc>
          <w:tcPr>
            <w:tcW w:w="1117" w:type="pct"/>
            <w:tcBorders>
              <w:bottom w:val="single" w:sz="8" w:space="0" w:color="4F81BD"/>
            </w:tcBorders>
            <w:shd w:val="clear" w:color="auto" w:fill="auto"/>
          </w:tcPr>
          <w:p w14:paraId="13B5623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tcBorders>
              <w:bottom w:val="single" w:sz="8" w:space="0" w:color="4F81BD"/>
            </w:tcBorders>
            <w:shd w:val="clear" w:color="auto" w:fill="auto"/>
          </w:tcPr>
          <w:p w14:paraId="13B5623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80% of M&amp;E teams</w:t>
            </w:r>
          </w:p>
        </w:tc>
        <w:tc>
          <w:tcPr>
            <w:tcW w:w="1092" w:type="pct"/>
            <w:gridSpan w:val="2"/>
            <w:tcBorders>
              <w:bottom w:val="single" w:sz="8" w:space="0" w:color="4F81BD"/>
            </w:tcBorders>
          </w:tcPr>
          <w:p w14:paraId="13B56232" w14:textId="77777777" w:rsidR="000A7545" w:rsidRPr="000A7545" w:rsidRDefault="00173CC5" w:rsidP="000A7545">
            <w:pPr>
              <w:spacing w:after="0" w:line="240" w:lineRule="auto"/>
              <w:rPr>
                <w:rFonts w:asciiTheme="minorHAnsi" w:eastAsia="Times New Roman" w:hAnsiTheme="minorHAnsi" w:cstheme="minorHAnsi"/>
                <w:sz w:val="20"/>
                <w:szCs w:val="20"/>
                <w:lang w:val="en-US"/>
              </w:rPr>
            </w:pPr>
            <w:r>
              <w:rPr>
                <w:rFonts w:asciiTheme="minorHAnsi" w:eastAsia="Times New Roman" w:hAnsiTheme="minorHAnsi" w:cstheme="minorHAnsi"/>
                <w:color w:val="000000"/>
                <w:sz w:val="20"/>
                <w:szCs w:val="20"/>
                <w:lang w:val="en-US"/>
              </w:rPr>
              <w:t>Training course developed; initial training held in West Papua for 32 participants (21m, 11f); completion course for Sorong only (10 participants)</w:t>
            </w:r>
          </w:p>
        </w:tc>
        <w:tc>
          <w:tcPr>
            <w:tcW w:w="290" w:type="pct"/>
            <w:gridSpan w:val="2"/>
            <w:tcBorders>
              <w:bottom w:val="single" w:sz="8" w:space="0" w:color="4F81BD"/>
            </w:tcBorders>
            <w:shd w:val="clear" w:color="auto" w:fill="auto"/>
          </w:tcPr>
          <w:p w14:paraId="13B5623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vMerge w:val="restart"/>
            <w:shd w:val="clear" w:color="auto" w:fill="auto"/>
          </w:tcPr>
          <w:p w14:paraId="13B56234"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LAKIP documents</w:t>
            </w:r>
          </w:p>
        </w:tc>
      </w:tr>
      <w:tr w:rsidR="000A7545" w:rsidRPr="000A7545" w14:paraId="13B5623D" w14:textId="77777777" w:rsidTr="00B812C8">
        <w:trPr>
          <w:trHeight w:val="772"/>
        </w:trPr>
        <w:tc>
          <w:tcPr>
            <w:tcW w:w="543" w:type="pct"/>
            <w:gridSpan w:val="3"/>
            <w:vMerge/>
            <w:shd w:val="clear" w:color="auto" w:fill="auto"/>
            <w:vAlign w:val="center"/>
          </w:tcPr>
          <w:p w14:paraId="13B56236" w14:textId="77777777" w:rsidR="000A7545" w:rsidRPr="000A7545" w:rsidRDefault="000A7545" w:rsidP="000A7545">
            <w:pPr>
              <w:spacing w:after="0" w:line="240" w:lineRule="auto"/>
              <w:rPr>
                <w:rFonts w:asciiTheme="minorHAnsi" w:eastAsia="Times New Roman" w:hAnsiTheme="minorHAnsi" w:cstheme="minorHAnsi"/>
                <w:bCs/>
                <w:sz w:val="20"/>
                <w:szCs w:val="20"/>
                <w:lang w:val="id-ID"/>
              </w:rPr>
            </w:pPr>
          </w:p>
        </w:tc>
        <w:tc>
          <w:tcPr>
            <w:tcW w:w="1017" w:type="pct"/>
            <w:gridSpan w:val="3"/>
            <w:tcBorders>
              <w:bottom w:val="single" w:sz="8" w:space="0" w:color="4F81BD"/>
            </w:tcBorders>
            <w:shd w:val="clear" w:color="auto" w:fill="auto"/>
          </w:tcPr>
          <w:p w14:paraId="13B56237" w14:textId="77777777" w:rsidR="000A7545" w:rsidRPr="000A7545" w:rsidRDefault="000A7545" w:rsidP="000A7545">
            <w:pPr>
              <w:spacing w:after="0" w:line="240" w:lineRule="auto"/>
              <w:rPr>
                <w:rFonts w:asciiTheme="minorHAnsi" w:eastAsia="Symbol" w:hAnsiTheme="minorHAnsi" w:cstheme="minorHAnsi"/>
                <w:sz w:val="20"/>
                <w:szCs w:val="20"/>
                <w:lang w:val="id-ID"/>
              </w:rPr>
            </w:pPr>
            <w:r w:rsidRPr="000A7545">
              <w:rPr>
                <w:rFonts w:asciiTheme="minorHAnsi" w:eastAsia="Symbol" w:hAnsiTheme="minorHAnsi" w:cstheme="minorHAnsi"/>
                <w:sz w:val="20"/>
                <w:szCs w:val="20"/>
                <w:lang w:val="en-US"/>
              </w:rPr>
              <w:t xml:space="preserve">1.1.5b. </w:t>
            </w:r>
            <w:r w:rsidRPr="000A7545">
              <w:rPr>
                <w:rFonts w:asciiTheme="minorHAnsi" w:eastAsia="Symbol" w:hAnsiTheme="minorHAnsi" w:cstheme="minorHAnsi"/>
                <w:sz w:val="20"/>
                <w:szCs w:val="20"/>
                <w:lang w:val="id-ID"/>
              </w:rPr>
              <w:t xml:space="preserve">Number of provinces and districts that had prepared LAKIP </w:t>
            </w:r>
            <w:r w:rsidRPr="000A7545">
              <w:rPr>
                <w:rFonts w:asciiTheme="minorHAnsi" w:eastAsia="Symbol" w:hAnsiTheme="minorHAnsi" w:cstheme="minorHAnsi"/>
                <w:sz w:val="20"/>
                <w:szCs w:val="20"/>
                <w:lang w:val="en-US"/>
              </w:rPr>
              <w:t>to agreed standards</w:t>
            </w:r>
          </w:p>
        </w:tc>
        <w:tc>
          <w:tcPr>
            <w:tcW w:w="1117" w:type="pct"/>
            <w:tcBorders>
              <w:bottom w:val="single" w:sz="8" w:space="0" w:color="4F81BD"/>
            </w:tcBorders>
            <w:shd w:val="clear" w:color="auto" w:fill="auto"/>
          </w:tcPr>
          <w:p w14:paraId="13B5623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 out of six districts</w:t>
            </w:r>
          </w:p>
        </w:tc>
        <w:tc>
          <w:tcPr>
            <w:tcW w:w="500" w:type="pct"/>
            <w:tcBorders>
              <w:bottom w:val="single" w:sz="8" w:space="0" w:color="4F81BD"/>
            </w:tcBorders>
            <w:shd w:val="clear" w:color="auto" w:fill="auto"/>
          </w:tcPr>
          <w:p w14:paraId="13B5623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100%</w:t>
            </w:r>
          </w:p>
        </w:tc>
        <w:tc>
          <w:tcPr>
            <w:tcW w:w="1092" w:type="pct"/>
            <w:gridSpan w:val="2"/>
            <w:tcBorders>
              <w:bottom w:val="single" w:sz="8" w:space="0" w:color="4F81BD"/>
            </w:tcBorders>
          </w:tcPr>
          <w:p w14:paraId="13B5623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color w:val="000000"/>
                <w:sz w:val="20"/>
                <w:szCs w:val="20"/>
                <w:lang w:val="en-US"/>
              </w:rPr>
              <w:t>Pending roll out of training in Q2 an Q3 of 2012</w:t>
            </w:r>
          </w:p>
        </w:tc>
        <w:tc>
          <w:tcPr>
            <w:tcW w:w="290" w:type="pct"/>
            <w:gridSpan w:val="2"/>
            <w:tcBorders>
              <w:bottom w:val="single" w:sz="8" w:space="0" w:color="4F81BD"/>
            </w:tcBorders>
            <w:shd w:val="clear" w:color="auto" w:fill="auto"/>
          </w:tcPr>
          <w:p w14:paraId="13B5623B"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vMerge/>
            <w:shd w:val="clear" w:color="auto" w:fill="auto"/>
            <w:vAlign w:val="center"/>
          </w:tcPr>
          <w:p w14:paraId="13B5623C" w14:textId="77777777" w:rsidR="000A7545" w:rsidRPr="000A7545" w:rsidRDefault="000A7545" w:rsidP="000A7545">
            <w:pPr>
              <w:spacing w:after="0" w:line="240" w:lineRule="auto"/>
              <w:jc w:val="center"/>
              <w:rPr>
                <w:rFonts w:asciiTheme="minorHAnsi" w:eastAsia="Times New Roman" w:hAnsiTheme="minorHAnsi" w:cstheme="minorHAnsi"/>
                <w:sz w:val="20"/>
                <w:szCs w:val="20"/>
                <w:lang w:val="id-ID"/>
              </w:rPr>
            </w:pPr>
          </w:p>
        </w:tc>
      </w:tr>
      <w:tr w:rsidR="000A7545" w:rsidRPr="000A7545" w14:paraId="13B56245" w14:textId="77777777" w:rsidTr="00B812C8">
        <w:trPr>
          <w:trHeight w:val="790"/>
        </w:trPr>
        <w:tc>
          <w:tcPr>
            <w:tcW w:w="543" w:type="pct"/>
            <w:gridSpan w:val="3"/>
            <w:vMerge/>
            <w:shd w:val="clear" w:color="auto" w:fill="auto"/>
            <w:vAlign w:val="center"/>
            <w:hideMark/>
          </w:tcPr>
          <w:p w14:paraId="13B5623E"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17" w:type="pct"/>
            <w:gridSpan w:val="3"/>
            <w:shd w:val="clear" w:color="auto" w:fill="auto"/>
            <w:hideMark/>
          </w:tcPr>
          <w:p w14:paraId="13B5623F"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sz w:val="20"/>
                <w:szCs w:val="20"/>
                <w:lang w:val="en-US"/>
              </w:rPr>
              <w:t>1.1.5c. Number of provinces and districts u</w:t>
            </w:r>
            <w:r w:rsidRPr="000A7545">
              <w:rPr>
                <w:rFonts w:asciiTheme="minorHAnsi" w:eastAsia="Times New Roman" w:hAnsiTheme="minorHAnsi" w:cstheme="minorHAnsi"/>
                <w:sz w:val="20"/>
                <w:szCs w:val="20"/>
                <w:lang w:val="id-ID"/>
              </w:rPr>
              <w:t>sing the format from PAN Ministry</w:t>
            </w:r>
          </w:p>
        </w:tc>
        <w:tc>
          <w:tcPr>
            <w:tcW w:w="1117" w:type="pct"/>
            <w:shd w:val="clear" w:color="auto" w:fill="auto"/>
            <w:hideMark/>
          </w:tcPr>
          <w:p w14:paraId="13B5624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 out of six districts</w:t>
            </w:r>
          </w:p>
        </w:tc>
        <w:tc>
          <w:tcPr>
            <w:tcW w:w="500" w:type="pct"/>
            <w:shd w:val="clear" w:color="auto" w:fill="auto"/>
            <w:hideMark/>
          </w:tcPr>
          <w:p w14:paraId="13B5624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100%</w:t>
            </w:r>
          </w:p>
        </w:tc>
        <w:tc>
          <w:tcPr>
            <w:tcW w:w="1092" w:type="pct"/>
            <w:gridSpan w:val="2"/>
          </w:tcPr>
          <w:p w14:paraId="13B5624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color w:val="000000"/>
                <w:sz w:val="20"/>
                <w:szCs w:val="20"/>
                <w:lang w:val="en-US"/>
              </w:rPr>
              <w:t>Pending roll out of training in Q2 an Q3 of 2012</w:t>
            </w:r>
          </w:p>
        </w:tc>
        <w:tc>
          <w:tcPr>
            <w:tcW w:w="290" w:type="pct"/>
            <w:gridSpan w:val="2"/>
            <w:shd w:val="clear" w:color="auto" w:fill="auto"/>
          </w:tcPr>
          <w:p w14:paraId="13B56243"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vMerge/>
            <w:shd w:val="clear" w:color="auto" w:fill="auto"/>
            <w:vAlign w:val="center"/>
            <w:hideMark/>
          </w:tcPr>
          <w:p w14:paraId="13B56244"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r>
      <w:tr w:rsidR="000A7545" w:rsidRPr="000A7545" w14:paraId="13B5624D" w14:textId="77777777" w:rsidTr="00B812C8">
        <w:trPr>
          <w:trHeight w:val="610"/>
        </w:trPr>
        <w:tc>
          <w:tcPr>
            <w:tcW w:w="543" w:type="pct"/>
            <w:gridSpan w:val="3"/>
            <w:vMerge/>
            <w:shd w:val="clear" w:color="auto" w:fill="auto"/>
            <w:vAlign w:val="center"/>
            <w:hideMark/>
          </w:tcPr>
          <w:p w14:paraId="13B56246"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17" w:type="pct"/>
            <w:gridSpan w:val="3"/>
            <w:shd w:val="clear" w:color="auto" w:fill="auto"/>
            <w:hideMark/>
          </w:tcPr>
          <w:p w14:paraId="13B56247"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sz w:val="20"/>
                <w:szCs w:val="20"/>
                <w:lang w:val="en-US"/>
              </w:rPr>
              <w:t xml:space="preserve">1.1.5d. </w:t>
            </w:r>
            <w:r w:rsidRPr="000A7545">
              <w:rPr>
                <w:rFonts w:asciiTheme="minorHAnsi" w:eastAsia="Times New Roman" w:hAnsiTheme="minorHAnsi" w:cstheme="minorHAnsi"/>
                <w:i/>
                <w:sz w:val="20"/>
                <w:szCs w:val="20"/>
                <w:lang w:val="id-ID"/>
              </w:rPr>
              <w:t>R</w:t>
            </w:r>
            <w:r w:rsidRPr="000A7545">
              <w:rPr>
                <w:rFonts w:asciiTheme="minorHAnsi" w:eastAsia="Times New Roman" w:hAnsiTheme="minorHAnsi" w:cstheme="minorHAnsi"/>
                <w:i/>
                <w:sz w:val="20"/>
                <w:szCs w:val="20"/>
                <w:lang w:val="en-US"/>
              </w:rPr>
              <w:t>enja</w:t>
            </w:r>
            <w:r w:rsidRPr="000A7545">
              <w:rPr>
                <w:rFonts w:asciiTheme="minorHAnsi" w:eastAsia="Times New Roman" w:hAnsiTheme="minorHAnsi" w:cstheme="minorHAnsi"/>
                <w:sz w:val="20"/>
                <w:szCs w:val="20"/>
                <w:lang w:val="id-ID"/>
              </w:rPr>
              <w:t xml:space="preserve"> activities are reported</w:t>
            </w:r>
            <w:r w:rsidRPr="000A7545">
              <w:rPr>
                <w:rFonts w:asciiTheme="minorHAnsi" w:eastAsia="Times New Roman" w:hAnsiTheme="minorHAnsi" w:cstheme="minorHAnsi"/>
                <w:sz w:val="20"/>
                <w:szCs w:val="20"/>
                <w:lang w:val="en-US"/>
              </w:rPr>
              <w:t xml:space="preserve"> with </w:t>
            </w:r>
            <w:r w:rsidRPr="000A7545">
              <w:rPr>
                <w:rFonts w:asciiTheme="minorHAnsi" w:eastAsia="Times New Roman" w:hAnsiTheme="minorHAnsi" w:cstheme="minorHAnsi"/>
                <w:sz w:val="20"/>
                <w:szCs w:val="20"/>
                <w:lang w:val="id-ID"/>
              </w:rPr>
              <w:t>reliable data</w:t>
            </w:r>
          </w:p>
        </w:tc>
        <w:tc>
          <w:tcPr>
            <w:tcW w:w="1117" w:type="pct"/>
            <w:shd w:val="clear" w:color="auto" w:fill="auto"/>
            <w:hideMark/>
          </w:tcPr>
          <w:p w14:paraId="13B5624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 out of six districts</w:t>
            </w:r>
          </w:p>
        </w:tc>
        <w:tc>
          <w:tcPr>
            <w:tcW w:w="500" w:type="pct"/>
            <w:shd w:val="clear" w:color="auto" w:fill="auto"/>
            <w:hideMark/>
          </w:tcPr>
          <w:p w14:paraId="13B5624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100%</w:t>
            </w:r>
          </w:p>
        </w:tc>
        <w:tc>
          <w:tcPr>
            <w:tcW w:w="1092" w:type="pct"/>
            <w:gridSpan w:val="2"/>
          </w:tcPr>
          <w:p w14:paraId="13B5624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color w:val="000000"/>
                <w:sz w:val="20"/>
                <w:szCs w:val="20"/>
                <w:lang w:val="en-US"/>
              </w:rPr>
              <w:t>Pending roll out of training in Q2 an Q3 of 2012</w:t>
            </w:r>
          </w:p>
        </w:tc>
        <w:tc>
          <w:tcPr>
            <w:tcW w:w="290" w:type="pct"/>
            <w:gridSpan w:val="2"/>
            <w:shd w:val="clear" w:color="auto" w:fill="auto"/>
          </w:tcPr>
          <w:p w14:paraId="13B5624B"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vMerge/>
            <w:shd w:val="clear" w:color="auto" w:fill="auto"/>
            <w:vAlign w:val="center"/>
            <w:hideMark/>
          </w:tcPr>
          <w:p w14:paraId="13B5624C"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r>
      <w:tr w:rsidR="000A7545" w:rsidRPr="000A7545" w14:paraId="13B56259" w14:textId="77777777" w:rsidTr="00B812C8">
        <w:trPr>
          <w:trHeight w:val="2140"/>
        </w:trPr>
        <w:tc>
          <w:tcPr>
            <w:tcW w:w="543" w:type="pct"/>
            <w:gridSpan w:val="3"/>
            <w:vMerge w:val="restart"/>
            <w:shd w:val="clear" w:color="auto" w:fill="auto"/>
            <w:hideMark/>
          </w:tcPr>
          <w:p w14:paraId="13B5624E"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Ou</w:t>
            </w:r>
            <w:r w:rsidRPr="000A7545">
              <w:rPr>
                <w:rFonts w:asciiTheme="minorHAnsi" w:eastAsia="Times New Roman" w:hAnsiTheme="minorHAnsi" w:cstheme="minorHAnsi"/>
                <w:sz w:val="20"/>
                <w:szCs w:val="20"/>
                <w:lang w:val="en-US"/>
              </w:rPr>
              <w:t>tput 1.1.6</w:t>
            </w:r>
            <w:r w:rsidRPr="000A7545">
              <w:rPr>
                <w:rFonts w:asciiTheme="minorHAnsi" w:eastAsia="Times New Roman" w:hAnsiTheme="minorHAnsi" w:cstheme="minorHAnsi"/>
                <w:sz w:val="20"/>
                <w:szCs w:val="20"/>
                <w:lang w:val="id-ID"/>
              </w:rPr>
              <w:t xml:space="preserve"> </w:t>
            </w:r>
          </w:p>
          <w:p w14:paraId="13B5624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Provincial and district education offices have access to and are using reliable data in planning process (AusAID and USAID)</w:t>
            </w:r>
          </w:p>
        </w:tc>
        <w:tc>
          <w:tcPr>
            <w:tcW w:w="1017" w:type="pct"/>
            <w:gridSpan w:val="3"/>
            <w:shd w:val="clear" w:color="auto" w:fill="auto"/>
          </w:tcPr>
          <w:p w14:paraId="13B5625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Symbol" w:hAnsiTheme="minorHAnsi" w:cstheme="minorHAnsi"/>
                <w:sz w:val="20"/>
                <w:szCs w:val="20"/>
                <w:lang w:val="en-US"/>
              </w:rPr>
              <w:t xml:space="preserve">1.1.6a. </w:t>
            </w:r>
            <w:r w:rsidRPr="000A7545">
              <w:rPr>
                <w:rFonts w:asciiTheme="minorHAnsi" w:eastAsia="Symbol" w:hAnsiTheme="minorHAnsi" w:cstheme="minorHAnsi"/>
                <w:sz w:val="20"/>
                <w:szCs w:val="20"/>
                <w:lang w:val="id-ID"/>
              </w:rPr>
              <w:t xml:space="preserve">Operational budget for data management system in place </w:t>
            </w:r>
            <w:r w:rsidRPr="000A7545">
              <w:rPr>
                <w:rFonts w:asciiTheme="minorHAnsi" w:eastAsia="Symbol" w:hAnsiTheme="minorHAnsi" w:cstheme="minorHAnsi"/>
                <w:sz w:val="20"/>
                <w:szCs w:val="20"/>
                <w:lang w:val="en-US"/>
              </w:rPr>
              <w:t>(USAID)</w:t>
            </w:r>
          </w:p>
        </w:tc>
        <w:tc>
          <w:tcPr>
            <w:tcW w:w="1117" w:type="pct"/>
            <w:shd w:val="clear" w:color="auto" w:fill="auto"/>
          </w:tcPr>
          <w:p w14:paraId="13B56251" w14:textId="77777777" w:rsidR="000A7545" w:rsidRPr="007151E7" w:rsidRDefault="000A7545" w:rsidP="007151E7">
            <w:pPr>
              <w:numPr>
                <w:ilvl w:val="0"/>
                <w:numId w:val="35"/>
              </w:numPr>
              <w:spacing w:after="0" w:line="240" w:lineRule="auto"/>
              <w:ind w:left="133" w:hanging="133"/>
              <w:contextualSpacing/>
              <w:rPr>
                <w:rFonts w:asciiTheme="minorHAnsi" w:hAnsiTheme="minorHAnsi" w:cstheme="minorHAnsi"/>
                <w:sz w:val="20"/>
                <w:szCs w:val="20"/>
                <w:lang w:val="en-US"/>
              </w:rPr>
            </w:pPr>
            <w:r w:rsidRPr="007151E7">
              <w:rPr>
                <w:rFonts w:asciiTheme="minorHAnsi" w:hAnsiTheme="minorHAnsi" w:cstheme="minorHAnsi"/>
                <w:sz w:val="20"/>
                <w:szCs w:val="20"/>
                <w:lang w:val="en-US"/>
              </w:rPr>
              <w:t xml:space="preserve">Papua Province </w:t>
            </w:r>
            <w:r w:rsidR="007151E7" w:rsidRPr="007151E7">
              <w:rPr>
                <w:rFonts w:asciiTheme="minorHAnsi" w:hAnsiTheme="minorHAnsi" w:cstheme="minorHAnsi"/>
                <w:sz w:val="20"/>
                <w:szCs w:val="20"/>
                <w:lang w:val="en-US"/>
              </w:rPr>
              <w:t>allocated</w:t>
            </w:r>
            <w:r w:rsidRPr="007151E7">
              <w:rPr>
                <w:rFonts w:asciiTheme="minorHAnsi" w:hAnsiTheme="minorHAnsi" w:cstheme="minorHAnsi"/>
                <w:sz w:val="20"/>
                <w:szCs w:val="20"/>
                <w:lang w:val="en-US"/>
              </w:rPr>
              <w:t xml:space="preserve"> – IDR 114 million for routine data collection activities</w:t>
            </w:r>
            <w:r w:rsidR="007151E7" w:rsidRPr="007151E7">
              <w:rPr>
                <w:rFonts w:asciiTheme="minorHAnsi" w:hAnsiTheme="minorHAnsi" w:cstheme="minorHAnsi"/>
                <w:sz w:val="20"/>
                <w:szCs w:val="20"/>
                <w:lang w:val="en-US"/>
              </w:rPr>
              <w:t xml:space="preserve"> and</w:t>
            </w:r>
            <w:r w:rsidR="007151E7">
              <w:rPr>
                <w:rFonts w:asciiTheme="minorHAnsi" w:hAnsiTheme="minorHAnsi" w:cstheme="minorHAnsi"/>
                <w:sz w:val="20"/>
                <w:szCs w:val="20"/>
                <w:lang w:val="en-US"/>
              </w:rPr>
              <w:t xml:space="preserve"> </w:t>
            </w:r>
            <w:r w:rsidRPr="007151E7">
              <w:rPr>
                <w:rFonts w:asciiTheme="minorHAnsi" w:hAnsiTheme="minorHAnsi" w:cstheme="minorHAnsi"/>
                <w:sz w:val="20"/>
                <w:szCs w:val="20"/>
                <w:lang w:val="en-US"/>
              </w:rPr>
              <w:t xml:space="preserve"> IDR 377 million for training of personnel (2011); </w:t>
            </w:r>
          </w:p>
          <w:p w14:paraId="13B56252" w14:textId="77777777" w:rsidR="000A7545" w:rsidRPr="00FA3235" w:rsidRDefault="000A7545" w:rsidP="00FA09D3">
            <w:pPr>
              <w:numPr>
                <w:ilvl w:val="0"/>
                <w:numId w:val="35"/>
              </w:numPr>
              <w:spacing w:after="0" w:line="240" w:lineRule="auto"/>
              <w:ind w:left="133" w:hanging="133"/>
              <w:contextualSpacing/>
              <w:rPr>
                <w:rFonts w:asciiTheme="minorHAnsi" w:hAnsiTheme="minorHAnsi" w:cstheme="minorHAnsi"/>
                <w:sz w:val="20"/>
                <w:szCs w:val="20"/>
                <w:lang w:val="en-US"/>
              </w:rPr>
            </w:pPr>
            <w:r w:rsidRPr="00FA3235">
              <w:rPr>
                <w:rFonts w:asciiTheme="minorHAnsi" w:hAnsiTheme="minorHAnsi" w:cstheme="minorHAnsi"/>
                <w:sz w:val="20"/>
                <w:szCs w:val="20"/>
                <w:lang w:val="en-US"/>
              </w:rPr>
              <w:t>Biak Numfor: IDR 40million (2010);</w:t>
            </w:r>
          </w:p>
          <w:p w14:paraId="13B56253" w14:textId="77777777" w:rsidR="000A7545" w:rsidRPr="000A7545" w:rsidRDefault="000A7545" w:rsidP="00FA09D3">
            <w:pPr>
              <w:numPr>
                <w:ilvl w:val="0"/>
                <w:numId w:val="35"/>
              </w:numPr>
              <w:spacing w:after="0" w:line="240" w:lineRule="auto"/>
              <w:ind w:left="133" w:hanging="133"/>
              <w:contextualSpacing/>
              <w:rPr>
                <w:rFonts w:asciiTheme="minorHAnsi" w:hAnsiTheme="minorHAnsi" w:cstheme="minorHAnsi"/>
                <w:sz w:val="20"/>
                <w:szCs w:val="20"/>
                <w:lang w:val="en-US"/>
              </w:rPr>
            </w:pPr>
            <w:r w:rsidRPr="00FA3235">
              <w:rPr>
                <w:rFonts w:asciiTheme="minorHAnsi" w:hAnsiTheme="minorHAnsi" w:cstheme="minorHAnsi"/>
                <w:sz w:val="20"/>
                <w:szCs w:val="20"/>
                <w:lang w:val="en-US"/>
              </w:rPr>
              <w:t>Nothing in Papua Barat</w:t>
            </w:r>
            <w:r w:rsidRPr="000A7545">
              <w:rPr>
                <w:rFonts w:asciiTheme="minorHAnsi" w:hAnsiTheme="minorHAnsi" w:cstheme="minorHAnsi"/>
                <w:sz w:val="20"/>
                <w:szCs w:val="20"/>
                <w:lang w:val="en-US"/>
              </w:rPr>
              <w:t>: Sorong, Manokwari;</w:t>
            </w:r>
          </w:p>
          <w:p w14:paraId="13B56254" w14:textId="77777777" w:rsidR="000A7545" w:rsidRPr="000A7545" w:rsidRDefault="000A7545" w:rsidP="007151E7">
            <w:pPr>
              <w:numPr>
                <w:ilvl w:val="0"/>
                <w:numId w:val="35"/>
              </w:numPr>
              <w:spacing w:after="0" w:line="240" w:lineRule="auto"/>
              <w:ind w:left="133" w:hanging="133"/>
              <w:contextualSpacing/>
              <w:rPr>
                <w:rFonts w:asciiTheme="minorHAnsi" w:hAnsiTheme="minorHAnsi" w:cstheme="minorHAnsi"/>
                <w:sz w:val="20"/>
                <w:szCs w:val="20"/>
                <w:lang w:val="en-US"/>
              </w:rPr>
            </w:pPr>
            <w:r w:rsidRPr="000A7545">
              <w:rPr>
                <w:rFonts w:asciiTheme="minorHAnsi" w:hAnsiTheme="minorHAnsi" w:cstheme="minorHAnsi"/>
                <w:sz w:val="20"/>
                <w:szCs w:val="20"/>
                <w:lang w:val="en-US"/>
              </w:rPr>
              <w:t>Jayawijaya, Jayapura for LI data collection.</w:t>
            </w:r>
          </w:p>
        </w:tc>
        <w:tc>
          <w:tcPr>
            <w:tcW w:w="500" w:type="pct"/>
            <w:shd w:val="clear" w:color="auto" w:fill="auto"/>
          </w:tcPr>
          <w:p w14:paraId="13B56255"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4/4 districts and 2/2 provinces</w:t>
            </w:r>
          </w:p>
        </w:tc>
        <w:tc>
          <w:tcPr>
            <w:tcW w:w="1092" w:type="pct"/>
            <w:gridSpan w:val="2"/>
          </w:tcPr>
          <w:p w14:paraId="13B5625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290" w:type="pct"/>
            <w:gridSpan w:val="2"/>
            <w:shd w:val="clear" w:color="auto" w:fill="auto"/>
          </w:tcPr>
          <w:p w14:paraId="13B5625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tcBorders>
              <w:bottom w:val="single" w:sz="8" w:space="0" w:color="4F81BD"/>
            </w:tcBorders>
            <w:shd w:val="clear" w:color="auto" w:fill="auto"/>
            <w:hideMark/>
          </w:tcPr>
          <w:p w14:paraId="13B5625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LAKIP documents</w:t>
            </w:r>
          </w:p>
        </w:tc>
      </w:tr>
      <w:tr w:rsidR="000A7545" w:rsidRPr="000A7545" w14:paraId="13B56263" w14:textId="77777777" w:rsidTr="00B812C8">
        <w:trPr>
          <w:trHeight w:val="592"/>
        </w:trPr>
        <w:tc>
          <w:tcPr>
            <w:tcW w:w="543" w:type="pct"/>
            <w:gridSpan w:val="3"/>
            <w:vMerge/>
            <w:shd w:val="clear" w:color="auto" w:fill="auto"/>
            <w:hideMark/>
          </w:tcPr>
          <w:p w14:paraId="13B5625A" w14:textId="77777777" w:rsidR="000A7545" w:rsidRPr="000A7545" w:rsidRDefault="000A7545" w:rsidP="000A7545">
            <w:pPr>
              <w:spacing w:after="0" w:line="240" w:lineRule="auto"/>
              <w:rPr>
                <w:rFonts w:asciiTheme="minorHAnsi" w:eastAsia="Times New Roman" w:hAnsiTheme="minorHAnsi" w:cstheme="minorHAnsi"/>
                <w:b/>
                <w:bCs/>
                <w:lang w:val="en-US"/>
              </w:rPr>
            </w:pPr>
          </w:p>
        </w:tc>
        <w:tc>
          <w:tcPr>
            <w:tcW w:w="1017" w:type="pct"/>
            <w:gridSpan w:val="3"/>
            <w:shd w:val="clear" w:color="auto" w:fill="auto"/>
          </w:tcPr>
          <w:p w14:paraId="13B5625B"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Symbol" w:hAnsiTheme="minorHAnsi" w:cstheme="minorHAnsi"/>
                <w:sz w:val="20"/>
                <w:szCs w:val="20"/>
                <w:lang w:val="en-US"/>
              </w:rPr>
              <w:t>1.1.6b. B</w:t>
            </w:r>
            <w:r w:rsidRPr="000A7545">
              <w:rPr>
                <w:rFonts w:asciiTheme="minorHAnsi" w:eastAsia="Symbol" w:hAnsiTheme="minorHAnsi" w:cstheme="minorHAnsi"/>
                <w:sz w:val="20"/>
                <w:szCs w:val="20"/>
                <w:lang w:val="id-ID"/>
              </w:rPr>
              <w:t>udget allocated for professional development of data management staff in Dinas</w:t>
            </w:r>
            <w:r w:rsidRPr="000A7545">
              <w:rPr>
                <w:rFonts w:asciiTheme="minorHAnsi" w:eastAsia="Symbol" w:hAnsiTheme="minorHAnsi" w:cstheme="minorHAnsi"/>
                <w:sz w:val="20"/>
                <w:szCs w:val="20"/>
                <w:lang w:val="en-US"/>
              </w:rPr>
              <w:t xml:space="preserve"> (Y/N) (USAID)</w:t>
            </w:r>
          </w:p>
        </w:tc>
        <w:tc>
          <w:tcPr>
            <w:tcW w:w="1117" w:type="pct"/>
            <w:shd w:val="clear" w:color="auto" w:fill="auto"/>
          </w:tcPr>
          <w:p w14:paraId="13B5625C" w14:textId="77777777" w:rsidR="000A7545" w:rsidRPr="000A7545" w:rsidRDefault="000A7545" w:rsidP="00FA09D3">
            <w:pPr>
              <w:numPr>
                <w:ilvl w:val="0"/>
                <w:numId w:val="35"/>
              </w:numPr>
              <w:spacing w:after="0" w:line="240" w:lineRule="auto"/>
              <w:ind w:left="133" w:hanging="133"/>
              <w:contextualSpacing/>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Allocation for monitoring has been available every year in 2/2 provinces and 4/4 districts</w:t>
            </w:r>
          </w:p>
          <w:p w14:paraId="13B5625D" w14:textId="77777777" w:rsidR="000A7545" w:rsidRPr="000A7545" w:rsidRDefault="000A7545" w:rsidP="00FA09D3">
            <w:pPr>
              <w:numPr>
                <w:ilvl w:val="0"/>
                <w:numId w:val="35"/>
              </w:numPr>
              <w:spacing w:after="0" w:line="240" w:lineRule="auto"/>
              <w:ind w:left="133" w:hanging="133"/>
              <w:contextualSpacing/>
              <w:rPr>
                <w:rFonts w:asciiTheme="minorHAnsi" w:eastAsia="Times New Roman" w:hAnsiTheme="minorHAnsi" w:cstheme="minorHAnsi"/>
                <w:sz w:val="20"/>
                <w:szCs w:val="20"/>
                <w:lang w:val="en-US"/>
              </w:rPr>
            </w:pPr>
            <w:r w:rsidRPr="000A7545">
              <w:rPr>
                <w:rFonts w:asciiTheme="minorHAnsi" w:hAnsiTheme="minorHAnsi" w:cstheme="minorHAnsi"/>
                <w:sz w:val="20"/>
                <w:szCs w:val="20"/>
                <w:lang w:val="en-US"/>
              </w:rPr>
              <w:t>Professional development funding only in Papua Province: IDR 435million (2011); this included funds for training at district level.</w:t>
            </w:r>
          </w:p>
          <w:p w14:paraId="13B5625E" w14:textId="77777777" w:rsidR="000A7545" w:rsidRPr="000A7545" w:rsidRDefault="000A7545" w:rsidP="00FA09D3">
            <w:pPr>
              <w:numPr>
                <w:ilvl w:val="0"/>
                <w:numId w:val="35"/>
              </w:numPr>
              <w:spacing w:after="0" w:line="240" w:lineRule="auto"/>
              <w:ind w:left="133" w:hanging="133"/>
              <w:contextualSpacing/>
              <w:rPr>
                <w:rFonts w:asciiTheme="minorHAnsi" w:eastAsia="Times New Roman" w:hAnsiTheme="minorHAnsi" w:cstheme="minorHAnsi"/>
                <w:sz w:val="20"/>
                <w:szCs w:val="20"/>
                <w:lang w:val="en-US"/>
              </w:rPr>
            </w:pPr>
            <w:r w:rsidRPr="000A7545">
              <w:rPr>
                <w:rFonts w:asciiTheme="minorHAnsi" w:hAnsiTheme="minorHAnsi" w:cstheme="minorHAnsi"/>
                <w:sz w:val="20"/>
                <w:szCs w:val="20"/>
                <w:lang w:val="en-US"/>
              </w:rPr>
              <w:t xml:space="preserve"> 0% for monitoring and evaluation of </w:t>
            </w:r>
            <w:r w:rsidRPr="000A7545">
              <w:rPr>
                <w:rFonts w:asciiTheme="minorHAnsi" w:hAnsiTheme="minorHAnsi" w:cstheme="minorHAnsi"/>
                <w:i/>
                <w:sz w:val="20"/>
                <w:szCs w:val="20"/>
                <w:lang w:val="en-US"/>
              </w:rPr>
              <w:t>Renstra</w:t>
            </w:r>
          </w:p>
        </w:tc>
        <w:tc>
          <w:tcPr>
            <w:tcW w:w="500" w:type="pct"/>
            <w:shd w:val="clear" w:color="auto" w:fill="auto"/>
          </w:tcPr>
          <w:p w14:paraId="13B5625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Yes for 2/2 provinces and 4/4 districts</w:t>
            </w:r>
          </w:p>
        </w:tc>
        <w:tc>
          <w:tcPr>
            <w:tcW w:w="1092" w:type="pct"/>
            <w:gridSpan w:val="2"/>
          </w:tcPr>
          <w:p w14:paraId="13B5626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290" w:type="pct"/>
            <w:gridSpan w:val="2"/>
            <w:shd w:val="clear" w:color="auto" w:fill="auto"/>
          </w:tcPr>
          <w:p w14:paraId="13B56261"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26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Baseline and end</w:t>
            </w:r>
            <w:r w:rsidRPr="000A7545">
              <w:rPr>
                <w:rFonts w:asciiTheme="minorHAnsi" w:eastAsia="Times New Roman" w:hAnsiTheme="minorHAnsi" w:cstheme="minorHAnsi"/>
                <w:sz w:val="20"/>
                <w:szCs w:val="20"/>
                <w:lang w:val="en-US"/>
              </w:rPr>
              <w:t>line</w:t>
            </w:r>
            <w:r w:rsidRPr="000A7545">
              <w:rPr>
                <w:rFonts w:asciiTheme="minorHAnsi" w:eastAsia="Times New Roman" w:hAnsiTheme="minorHAnsi" w:cstheme="minorHAnsi"/>
                <w:sz w:val="20"/>
                <w:szCs w:val="20"/>
                <w:lang w:val="id-ID"/>
              </w:rPr>
              <w:t xml:space="preserve"> evaluation</w:t>
            </w:r>
          </w:p>
        </w:tc>
      </w:tr>
      <w:tr w:rsidR="000A7545" w:rsidRPr="000A7545" w14:paraId="13B5626B" w14:textId="77777777" w:rsidTr="00B812C8">
        <w:trPr>
          <w:trHeight w:val="1330"/>
        </w:trPr>
        <w:tc>
          <w:tcPr>
            <w:tcW w:w="543" w:type="pct"/>
            <w:gridSpan w:val="3"/>
            <w:vMerge/>
            <w:shd w:val="clear" w:color="auto" w:fill="auto"/>
            <w:hideMark/>
          </w:tcPr>
          <w:p w14:paraId="13B56264" w14:textId="77777777" w:rsidR="000A7545" w:rsidRPr="000A7545" w:rsidRDefault="000A7545" w:rsidP="000A7545">
            <w:pPr>
              <w:spacing w:after="0" w:line="240" w:lineRule="auto"/>
              <w:rPr>
                <w:rFonts w:asciiTheme="minorHAnsi" w:eastAsia="Times New Roman" w:hAnsiTheme="minorHAnsi" w:cstheme="minorHAnsi"/>
                <w:b/>
                <w:sz w:val="20"/>
                <w:szCs w:val="20"/>
                <w:lang w:val="en-US"/>
              </w:rPr>
            </w:pPr>
          </w:p>
        </w:tc>
        <w:tc>
          <w:tcPr>
            <w:tcW w:w="1017" w:type="pct"/>
            <w:gridSpan w:val="3"/>
            <w:shd w:val="clear" w:color="auto" w:fill="auto"/>
            <w:hideMark/>
          </w:tcPr>
          <w:p w14:paraId="13B56265" w14:textId="77777777" w:rsidR="000A7545" w:rsidRPr="000A7545" w:rsidRDefault="000A7545" w:rsidP="000A7545">
            <w:pPr>
              <w:spacing w:after="0" w:line="240" w:lineRule="auto"/>
              <w:rPr>
                <w:rFonts w:asciiTheme="minorHAnsi" w:eastAsia="Symbol" w:hAnsiTheme="minorHAnsi" w:cstheme="minorHAnsi"/>
                <w:sz w:val="20"/>
                <w:szCs w:val="20"/>
                <w:lang w:val="en-US"/>
              </w:rPr>
            </w:pPr>
            <w:r w:rsidRPr="000A7545">
              <w:rPr>
                <w:rFonts w:asciiTheme="minorHAnsi" w:eastAsia="Symbol" w:hAnsiTheme="minorHAnsi" w:cstheme="minorHAnsi"/>
                <w:sz w:val="20"/>
                <w:szCs w:val="20"/>
                <w:lang w:val="en-US"/>
              </w:rPr>
              <w:t xml:space="preserve">1.1.6c. </w:t>
            </w:r>
            <w:r w:rsidRPr="000A7545">
              <w:rPr>
                <w:rFonts w:asciiTheme="minorHAnsi" w:eastAsia="Symbol" w:hAnsiTheme="minorHAnsi" w:cstheme="minorHAnsi"/>
                <w:sz w:val="20"/>
                <w:szCs w:val="20"/>
                <w:lang w:val="id-ID"/>
              </w:rPr>
              <w:t xml:space="preserve">Proportion of </w:t>
            </w:r>
            <w:r w:rsidRPr="000A7545">
              <w:rPr>
                <w:rFonts w:asciiTheme="minorHAnsi" w:eastAsia="Symbol" w:hAnsiTheme="minorHAnsi" w:cstheme="minorHAnsi"/>
                <w:sz w:val="20"/>
                <w:szCs w:val="20"/>
                <w:lang w:val="en-US"/>
              </w:rPr>
              <w:t xml:space="preserve">education data </w:t>
            </w:r>
            <w:r w:rsidRPr="000A7545">
              <w:rPr>
                <w:rFonts w:asciiTheme="minorHAnsi" w:eastAsia="Symbol" w:hAnsiTheme="minorHAnsi" w:cstheme="minorHAnsi"/>
                <w:sz w:val="20"/>
                <w:szCs w:val="20"/>
                <w:lang w:val="id-ID"/>
              </w:rPr>
              <w:t xml:space="preserve">team members </w:t>
            </w:r>
            <w:r w:rsidRPr="000A7545">
              <w:rPr>
                <w:rFonts w:asciiTheme="minorHAnsi" w:eastAsia="Symbol" w:hAnsiTheme="minorHAnsi" w:cstheme="minorHAnsi"/>
                <w:sz w:val="20"/>
                <w:szCs w:val="20"/>
                <w:lang w:val="en-US"/>
              </w:rPr>
              <w:t xml:space="preserve">in 2/2 </w:t>
            </w:r>
            <w:r w:rsidRPr="000A7545">
              <w:rPr>
                <w:rFonts w:asciiTheme="minorHAnsi" w:eastAsia="Symbol" w:hAnsiTheme="minorHAnsi" w:cstheme="minorHAnsi"/>
                <w:sz w:val="20"/>
                <w:szCs w:val="20"/>
                <w:lang w:val="id-ID"/>
              </w:rPr>
              <w:t>provinc</w:t>
            </w:r>
            <w:r w:rsidRPr="000A7545">
              <w:rPr>
                <w:rFonts w:asciiTheme="minorHAnsi" w:eastAsia="Symbol" w:hAnsiTheme="minorHAnsi" w:cstheme="minorHAnsi"/>
                <w:sz w:val="20"/>
                <w:szCs w:val="20"/>
                <w:lang w:val="en-US"/>
              </w:rPr>
              <w:t xml:space="preserve">es </w:t>
            </w:r>
            <w:r w:rsidRPr="000A7545">
              <w:rPr>
                <w:rFonts w:asciiTheme="minorHAnsi" w:eastAsia="Symbol" w:hAnsiTheme="minorHAnsi" w:cstheme="minorHAnsi"/>
                <w:sz w:val="20"/>
                <w:szCs w:val="20"/>
                <w:lang w:val="id-ID"/>
              </w:rPr>
              <w:t xml:space="preserve">and </w:t>
            </w:r>
            <w:r w:rsidRPr="000A7545">
              <w:rPr>
                <w:rFonts w:asciiTheme="minorHAnsi" w:eastAsia="Symbol" w:hAnsiTheme="minorHAnsi" w:cstheme="minorHAnsi"/>
                <w:sz w:val="20"/>
                <w:szCs w:val="20"/>
                <w:lang w:val="en-US"/>
              </w:rPr>
              <w:t xml:space="preserve">6/6 </w:t>
            </w:r>
            <w:r w:rsidRPr="000A7545">
              <w:rPr>
                <w:rFonts w:asciiTheme="minorHAnsi" w:eastAsia="Symbol" w:hAnsiTheme="minorHAnsi" w:cstheme="minorHAnsi"/>
                <w:sz w:val="20"/>
                <w:szCs w:val="20"/>
                <w:lang w:val="id-ID"/>
              </w:rPr>
              <w:t>district</w:t>
            </w:r>
            <w:r w:rsidRPr="000A7545">
              <w:rPr>
                <w:rFonts w:asciiTheme="minorHAnsi" w:eastAsia="Symbol" w:hAnsiTheme="minorHAnsi" w:cstheme="minorHAnsi"/>
                <w:sz w:val="20"/>
                <w:szCs w:val="20"/>
                <w:lang w:val="en-US"/>
              </w:rPr>
              <w:t xml:space="preserve">s </w:t>
            </w:r>
            <w:r w:rsidRPr="000A7545">
              <w:rPr>
                <w:rFonts w:asciiTheme="minorHAnsi" w:eastAsia="Symbol" w:hAnsiTheme="minorHAnsi" w:cstheme="minorHAnsi"/>
                <w:sz w:val="20"/>
                <w:szCs w:val="20"/>
                <w:lang w:val="id-ID"/>
              </w:rPr>
              <w:t xml:space="preserve">trained in </w:t>
            </w:r>
            <w:r w:rsidRPr="000A7545">
              <w:rPr>
                <w:rFonts w:asciiTheme="minorHAnsi" w:eastAsia="Symbol" w:hAnsiTheme="minorHAnsi" w:cstheme="minorHAnsi"/>
                <w:sz w:val="20"/>
                <w:szCs w:val="20"/>
                <w:lang w:val="en-US"/>
              </w:rPr>
              <w:t xml:space="preserve">M&amp;E for </w:t>
            </w:r>
            <w:r w:rsidRPr="000A7545">
              <w:rPr>
                <w:rFonts w:asciiTheme="minorHAnsi" w:eastAsia="Symbol" w:hAnsiTheme="minorHAnsi" w:cstheme="minorHAnsi"/>
                <w:i/>
                <w:sz w:val="20"/>
                <w:szCs w:val="20"/>
                <w:lang w:val="en-US"/>
              </w:rPr>
              <w:t>Renstra</w:t>
            </w:r>
            <w:r w:rsidRPr="000A7545">
              <w:rPr>
                <w:rFonts w:asciiTheme="minorHAnsi" w:eastAsia="Symbol" w:hAnsiTheme="minorHAnsi" w:cstheme="minorHAnsi"/>
                <w:sz w:val="20"/>
                <w:szCs w:val="20"/>
                <w:lang w:val="en-US"/>
              </w:rPr>
              <w:t xml:space="preserve"> and </w:t>
            </w:r>
            <w:r w:rsidRPr="000A7545">
              <w:rPr>
                <w:rFonts w:asciiTheme="minorHAnsi" w:eastAsia="Symbol" w:hAnsiTheme="minorHAnsi" w:cstheme="minorHAnsi"/>
                <w:i/>
                <w:sz w:val="20"/>
                <w:szCs w:val="20"/>
                <w:lang w:val="en-US"/>
              </w:rPr>
              <w:t>Renja</w:t>
            </w:r>
            <w:r w:rsidRPr="000A7545">
              <w:rPr>
                <w:rFonts w:asciiTheme="minorHAnsi" w:eastAsia="Symbol" w:hAnsiTheme="minorHAnsi" w:cstheme="minorHAnsi"/>
                <w:sz w:val="20"/>
                <w:szCs w:val="20"/>
                <w:lang w:val="en-US"/>
              </w:rPr>
              <w:t xml:space="preserve"> (including baseline and endline survey methodology) (AusAID)</w:t>
            </w:r>
          </w:p>
        </w:tc>
        <w:tc>
          <w:tcPr>
            <w:tcW w:w="1117" w:type="pct"/>
            <w:shd w:val="clear" w:color="auto" w:fill="auto"/>
            <w:hideMark/>
          </w:tcPr>
          <w:p w14:paraId="13B5626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auto" w:fill="auto"/>
            <w:hideMark/>
          </w:tcPr>
          <w:p w14:paraId="13B5626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50%</w:t>
            </w:r>
          </w:p>
        </w:tc>
        <w:tc>
          <w:tcPr>
            <w:tcW w:w="1092" w:type="pct"/>
            <w:gridSpan w:val="2"/>
          </w:tcPr>
          <w:p w14:paraId="13B5626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All education data management teams (100% of team members) have received training in M&amp;E and baseline evaluations for 2/2 and 6/6 districts</w:t>
            </w:r>
          </w:p>
        </w:tc>
        <w:tc>
          <w:tcPr>
            <w:tcW w:w="290" w:type="pct"/>
            <w:gridSpan w:val="2"/>
            <w:shd w:val="clear" w:color="auto" w:fill="auto"/>
          </w:tcPr>
          <w:p w14:paraId="13B56269"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hideMark/>
          </w:tcPr>
          <w:p w14:paraId="13B5626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Attendance records from t</w:t>
            </w:r>
            <w:r w:rsidRPr="000A7545">
              <w:rPr>
                <w:rFonts w:asciiTheme="minorHAnsi" w:eastAsia="Times New Roman" w:hAnsiTheme="minorHAnsi" w:cstheme="minorHAnsi"/>
                <w:sz w:val="20"/>
                <w:szCs w:val="20"/>
                <w:lang w:val="id-ID"/>
              </w:rPr>
              <w:t>raining reports</w:t>
            </w:r>
          </w:p>
        </w:tc>
      </w:tr>
      <w:tr w:rsidR="000A7545" w:rsidRPr="000A7545" w14:paraId="13B56273" w14:textId="77777777" w:rsidTr="00B812C8">
        <w:trPr>
          <w:trHeight w:val="322"/>
        </w:trPr>
        <w:tc>
          <w:tcPr>
            <w:tcW w:w="543" w:type="pct"/>
            <w:gridSpan w:val="3"/>
            <w:vMerge/>
            <w:shd w:val="clear" w:color="auto" w:fill="auto"/>
          </w:tcPr>
          <w:p w14:paraId="13B5626C" w14:textId="77777777" w:rsidR="000A7545" w:rsidRPr="000A7545" w:rsidRDefault="000A7545" w:rsidP="000A7545">
            <w:pPr>
              <w:spacing w:after="0" w:line="240" w:lineRule="auto"/>
              <w:rPr>
                <w:rFonts w:asciiTheme="minorHAnsi" w:eastAsia="Times New Roman" w:hAnsiTheme="minorHAnsi" w:cstheme="minorHAnsi"/>
                <w:b/>
                <w:sz w:val="20"/>
                <w:szCs w:val="20"/>
                <w:lang w:val="en-US"/>
              </w:rPr>
            </w:pPr>
          </w:p>
        </w:tc>
        <w:tc>
          <w:tcPr>
            <w:tcW w:w="1017" w:type="pct"/>
            <w:gridSpan w:val="3"/>
            <w:shd w:val="clear" w:color="auto" w:fill="auto"/>
          </w:tcPr>
          <w:p w14:paraId="13B5626D"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eastAsia="Symbol" w:hAnsiTheme="minorHAnsi" w:cstheme="minorHAnsi"/>
                <w:sz w:val="20"/>
                <w:szCs w:val="20"/>
                <w:lang w:val="en-US"/>
              </w:rPr>
              <w:t xml:space="preserve">1.1.6d. Number of districts trained in use of </w:t>
            </w:r>
            <w:r w:rsidRPr="000A7545">
              <w:rPr>
                <w:rFonts w:asciiTheme="minorHAnsi" w:hAnsiTheme="minorHAnsi" w:cstheme="minorHAnsi"/>
                <w:sz w:val="20"/>
                <w:szCs w:val="20"/>
                <w:lang w:val="id-ID"/>
              </w:rPr>
              <w:t xml:space="preserve">standardized SBM indicators </w:t>
            </w:r>
            <w:r w:rsidRPr="000A7545">
              <w:rPr>
                <w:rFonts w:asciiTheme="minorHAnsi" w:hAnsiTheme="minorHAnsi" w:cstheme="minorHAnsi"/>
                <w:sz w:val="20"/>
                <w:szCs w:val="20"/>
                <w:lang w:val="en-US"/>
              </w:rPr>
              <w:t xml:space="preserve">for </w:t>
            </w:r>
            <w:r w:rsidRPr="000A7545">
              <w:rPr>
                <w:rFonts w:asciiTheme="minorHAnsi" w:hAnsiTheme="minorHAnsi" w:cstheme="minorHAnsi"/>
                <w:sz w:val="20"/>
                <w:szCs w:val="20"/>
                <w:lang w:val="id-ID"/>
              </w:rPr>
              <w:t xml:space="preserve">SBM Monitoring and Evaluation System  </w:t>
            </w:r>
            <w:r w:rsidRPr="000A7545">
              <w:rPr>
                <w:rFonts w:asciiTheme="minorHAnsi" w:hAnsiTheme="minorHAnsi" w:cstheme="minorHAnsi"/>
                <w:sz w:val="20"/>
                <w:szCs w:val="20"/>
                <w:lang w:val="en-US"/>
              </w:rPr>
              <w:t>(AusAID)</w:t>
            </w:r>
          </w:p>
        </w:tc>
        <w:tc>
          <w:tcPr>
            <w:tcW w:w="1117" w:type="pct"/>
            <w:shd w:val="clear" w:color="auto" w:fill="auto"/>
          </w:tcPr>
          <w:p w14:paraId="13B5626E"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auto" w:fill="auto"/>
          </w:tcPr>
          <w:p w14:paraId="13B5626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6/6 districts</w:t>
            </w:r>
          </w:p>
        </w:tc>
        <w:tc>
          <w:tcPr>
            <w:tcW w:w="1092" w:type="pct"/>
            <w:gridSpan w:val="2"/>
          </w:tcPr>
          <w:p w14:paraId="13B5627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6/6 districts have piloted the SBM indicators using MSS standards as reference; Provincial governments have also conducted pilot testing in non-target districts</w:t>
            </w:r>
          </w:p>
        </w:tc>
        <w:tc>
          <w:tcPr>
            <w:tcW w:w="290" w:type="pct"/>
            <w:gridSpan w:val="2"/>
            <w:shd w:val="clear" w:color="auto" w:fill="auto"/>
          </w:tcPr>
          <w:p w14:paraId="13B56271"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27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Monitoring reports</w:t>
            </w:r>
          </w:p>
        </w:tc>
      </w:tr>
      <w:tr w:rsidR="000A7545" w:rsidRPr="000A7545" w14:paraId="13B5627B" w14:textId="77777777" w:rsidTr="00B812C8">
        <w:trPr>
          <w:trHeight w:val="790"/>
        </w:trPr>
        <w:tc>
          <w:tcPr>
            <w:tcW w:w="543" w:type="pct"/>
            <w:gridSpan w:val="3"/>
            <w:vMerge/>
            <w:shd w:val="clear" w:color="auto" w:fill="auto"/>
            <w:vAlign w:val="center"/>
          </w:tcPr>
          <w:p w14:paraId="13B56274"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1017" w:type="pct"/>
            <w:gridSpan w:val="3"/>
            <w:shd w:val="clear" w:color="000000" w:fill="FFFFFF"/>
          </w:tcPr>
          <w:p w14:paraId="13B56275"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1.1.6e. Availability of baseline survey (Y/N) (AusAID and USAID)</w:t>
            </w:r>
          </w:p>
        </w:tc>
        <w:tc>
          <w:tcPr>
            <w:tcW w:w="1117" w:type="pct"/>
            <w:shd w:val="clear" w:color="000000" w:fill="FFFFFF"/>
          </w:tcPr>
          <w:p w14:paraId="13B5627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000000" w:fill="FFFFFF"/>
          </w:tcPr>
          <w:p w14:paraId="13B5627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2 reports (AusAID and USAID)</w:t>
            </w:r>
          </w:p>
        </w:tc>
        <w:tc>
          <w:tcPr>
            <w:tcW w:w="1092" w:type="pct"/>
            <w:gridSpan w:val="2"/>
            <w:shd w:val="clear" w:color="000000" w:fill="FFFFFF"/>
          </w:tcPr>
          <w:p w14:paraId="13B5627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Baseline reports completed</w:t>
            </w:r>
          </w:p>
        </w:tc>
        <w:tc>
          <w:tcPr>
            <w:tcW w:w="290" w:type="pct"/>
            <w:gridSpan w:val="2"/>
            <w:shd w:val="clear" w:color="000000" w:fill="FFFFFF"/>
          </w:tcPr>
          <w:p w14:paraId="13B5627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n/a</w:t>
            </w:r>
          </w:p>
        </w:tc>
        <w:tc>
          <w:tcPr>
            <w:tcW w:w="441" w:type="pct"/>
            <w:shd w:val="clear" w:color="000000" w:fill="FFFFFF"/>
          </w:tcPr>
          <w:p w14:paraId="13B5627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Baseline reports</w:t>
            </w:r>
          </w:p>
        </w:tc>
      </w:tr>
      <w:tr w:rsidR="000A7545" w:rsidRPr="000A7545" w14:paraId="13B56283" w14:textId="77777777" w:rsidTr="00B812C8">
        <w:trPr>
          <w:trHeight w:val="74"/>
        </w:trPr>
        <w:tc>
          <w:tcPr>
            <w:tcW w:w="543" w:type="pct"/>
            <w:gridSpan w:val="3"/>
            <w:vMerge/>
            <w:shd w:val="clear" w:color="auto" w:fill="auto"/>
            <w:vAlign w:val="center"/>
          </w:tcPr>
          <w:p w14:paraId="13B5627C"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1017" w:type="pct"/>
            <w:gridSpan w:val="3"/>
            <w:shd w:val="clear" w:color="000000" w:fill="FFFFFF"/>
          </w:tcPr>
          <w:p w14:paraId="13B5627D"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1.1.6f. Availability of routine monitoring reports (field trip reports, activity implementation reports) and monitoring data (Y/N) (AusAID and USAID)</w:t>
            </w:r>
          </w:p>
        </w:tc>
        <w:tc>
          <w:tcPr>
            <w:tcW w:w="1117" w:type="pct"/>
            <w:shd w:val="clear" w:color="000000" w:fill="FFFFFF"/>
          </w:tcPr>
          <w:p w14:paraId="13B5627E"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No comprehensive data available</w:t>
            </w:r>
          </w:p>
        </w:tc>
        <w:tc>
          <w:tcPr>
            <w:tcW w:w="500" w:type="pct"/>
            <w:shd w:val="clear" w:color="000000" w:fill="FFFFFF"/>
          </w:tcPr>
          <w:p w14:paraId="13B5627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Field trip reports of school visits and monitoring of programme activities</w:t>
            </w:r>
          </w:p>
        </w:tc>
        <w:tc>
          <w:tcPr>
            <w:tcW w:w="1092" w:type="pct"/>
            <w:gridSpan w:val="2"/>
            <w:shd w:val="clear" w:color="000000" w:fill="FFFFFF"/>
          </w:tcPr>
          <w:p w14:paraId="13B5628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Yes. Routine activity monitoring by UNICEF available.</w:t>
            </w:r>
          </w:p>
        </w:tc>
        <w:tc>
          <w:tcPr>
            <w:tcW w:w="290" w:type="pct"/>
            <w:gridSpan w:val="2"/>
            <w:shd w:val="clear" w:color="000000" w:fill="FFFFFF"/>
          </w:tcPr>
          <w:p w14:paraId="13B5628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shd w:val="clear" w:color="000000" w:fill="FFFFFF"/>
          </w:tcPr>
          <w:p w14:paraId="13B5628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Trip reports; programme database; Progress reports; Activity reports</w:t>
            </w:r>
          </w:p>
        </w:tc>
      </w:tr>
      <w:tr w:rsidR="000A7545" w:rsidRPr="000A7545" w14:paraId="13B5628B" w14:textId="77777777" w:rsidTr="00B812C8">
        <w:trPr>
          <w:trHeight w:val="1042"/>
        </w:trPr>
        <w:tc>
          <w:tcPr>
            <w:tcW w:w="543" w:type="pct"/>
            <w:gridSpan w:val="3"/>
            <w:vMerge/>
            <w:shd w:val="clear" w:color="auto" w:fill="auto"/>
            <w:vAlign w:val="center"/>
          </w:tcPr>
          <w:p w14:paraId="13B56284"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1017" w:type="pct"/>
            <w:gridSpan w:val="3"/>
            <w:shd w:val="clear" w:color="000000" w:fill="FFFFFF"/>
          </w:tcPr>
          <w:p w14:paraId="13B56285"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1.1.6g. Completion of endline survey (Y/N) (AusAID and USAID)</w:t>
            </w:r>
          </w:p>
        </w:tc>
        <w:tc>
          <w:tcPr>
            <w:tcW w:w="1117" w:type="pct"/>
            <w:shd w:val="clear" w:color="000000" w:fill="FFFFFF"/>
          </w:tcPr>
          <w:p w14:paraId="13B5628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000000" w:fill="FFFFFF"/>
          </w:tcPr>
          <w:p w14:paraId="13B5628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 report (combining both AusAID and USAID)</w:t>
            </w:r>
          </w:p>
        </w:tc>
        <w:tc>
          <w:tcPr>
            <w:tcW w:w="1092" w:type="pct"/>
            <w:gridSpan w:val="2"/>
            <w:shd w:val="clear" w:color="000000" w:fill="FFFFFF"/>
          </w:tcPr>
          <w:p w14:paraId="13B5628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Planned for October 2012</w:t>
            </w:r>
          </w:p>
        </w:tc>
        <w:tc>
          <w:tcPr>
            <w:tcW w:w="290" w:type="pct"/>
            <w:gridSpan w:val="2"/>
            <w:shd w:val="clear" w:color="000000" w:fill="FFFFFF"/>
          </w:tcPr>
          <w:p w14:paraId="13B5628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shd w:val="clear" w:color="000000" w:fill="FFFFFF"/>
          </w:tcPr>
          <w:p w14:paraId="13B5628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Endline report</w:t>
            </w:r>
          </w:p>
        </w:tc>
      </w:tr>
      <w:tr w:rsidR="000A7545" w:rsidRPr="000A7545" w14:paraId="13B56293" w14:textId="77777777" w:rsidTr="00B812C8">
        <w:trPr>
          <w:trHeight w:val="1060"/>
        </w:trPr>
        <w:tc>
          <w:tcPr>
            <w:tcW w:w="543" w:type="pct"/>
            <w:gridSpan w:val="3"/>
            <w:vMerge/>
            <w:shd w:val="clear" w:color="auto" w:fill="auto"/>
            <w:vAlign w:val="center"/>
          </w:tcPr>
          <w:p w14:paraId="13B5628C" w14:textId="77777777" w:rsidR="000A7545" w:rsidRPr="000A7545" w:rsidRDefault="000A7545" w:rsidP="000A7545">
            <w:pPr>
              <w:spacing w:after="0" w:line="240" w:lineRule="auto"/>
              <w:rPr>
                <w:rFonts w:asciiTheme="minorHAnsi" w:eastAsia="Times New Roman" w:hAnsiTheme="minorHAnsi" w:cstheme="minorHAnsi"/>
                <w:b/>
                <w:bCs/>
                <w:lang w:val="en-US"/>
              </w:rPr>
            </w:pPr>
          </w:p>
        </w:tc>
        <w:tc>
          <w:tcPr>
            <w:tcW w:w="1017" w:type="pct"/>
            <w:gridSpan w:val="3"/>
            <w:shd w:val="clear" w:color="auto" w:fill="auto"/>
          </w:tcPr>
          <w:p w14:paraId="13B5628D"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Symbol" w:hAnsiTheme="minorHAnsi" w:cstheme="minorHAnsi"/>
                <w:sz w:val="20"/>
                <w:szCs w:val="20"/>
                <w:lang w:val="en-US"/>
              </w:rPr>
              <w:t>1.1.6h. D</w:t>
            </w:r>
            <w:r w:rsidRPr="000A7545">
              <w:rPr>
                <w:rFonts w:asciiTheme="minorHAnsi" w:eastAsia="Symbol" w:hAnsiTheme="minorHAnsi" w:cstheme="minorHAnsi"/>
                <w:sz w:val="20"/>
                <w:szCs w:val="20"/>
                <w:lang w:val="id-ID"/>
              </w:rPr>
              <w:t>ata gathering tool</w:t>
            </w:r>
            <w:r w:rsidRPr="000A7545">
              <w:rPr>
                <w:rFonts w:asciiTheme="minorHAnsi" w:eastAsia="Symbol" w:hAnsiTheme="minorHAnsi" w:cstheme="minorHAnsi"/>
                <w:sz w:val="20"/>
                <w:szCs w:val="20"/>
                <w:lang w:val="en-US"/>
              </w:rPr>
              <w:t>s</w:t>
            </w:r>
            <w:r w:rsidRPr="000A7545">
              <w:rPr>
                <w:rFonts w:asciiTheme="minorHAnsi" w:eastAsia="Symbol" w:hAnsiTheme="minorHAnsi" w:cstheme="minorHAnsi"/>
                <w:sz w:val="20"/>
                <w:szCs w:val="20"/>
                <w:lang w:val="id-ID"/>
              </w:rPr>
              <w:t xml:space="preserve"> developed (MSS, MBS, HIV AIDs, LI) and implemented</w:t>
            </w:r>
            <w:r w:rsidRPr="000A7545">
              <w:rPr>
                <w:rFonts w:asciiTheme="minorHAnsi" w:eastAsia="Symbol" w:hAnsiTheme="minorHAnsi" w:cstheme="minorHAnsi"/>
                <w:sz w:val="20"/>
                <w:szCs w:val="20"/>
                <w:lang w:val="en-US"/>
              </w:rPr>
              <w:t xml:space="preserve"> in provinces and target districts (USAID) (Y/N)</w:t>
            </w:r>
          </w:p>
        </w:tc>
        <w:tc>
          <w:tcPr>
            <w:tcW w:w="1117" w:type="pct"/>
            <w:shd w:val="clear" w:color="auto" w:fill="auto"/>
          </w:tcPr>
          <w:p w14:paraId="13B5628E"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0 out of 4 Districts </w:t>
            </w:r>
          </w:p>
        </w:tc>
        <w:tc>
          <w:tcPr>
            <w:tcW w:w="500" w:type="pct"/>
            <w:shd w:val="clear" w:color="auto" w:fill="auto"/>
          </w:tcPr>
          <w:p w14:paraId="13B5628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100%</w:t>
            </w:r>
          </w:p>
        </w:tc>
        <w:tc>
          <w:tcPr>
            <w:tcW w:w="1092" w:type="pct"/>
            <w:gridSpan w:val="2"/>
          </w:tcPr>
          <w:p w14:paraId="13B5629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Instruments developed and piloted in all target districts</w:t>
            </w:r>
          </w:p>
        </w:tc>
        <w:tc>
          <w:tcPr>
            <w:tcW w:w="290" w:type="pct"/>
            <w:gridSpan w:val="2"/>
            <w:shd w:val="clear" w:color="auto" w:fill="auto"/>
          </w:tcPr>
          <w:p w14:paraId="13B5629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shd w:val="clear" w:color="auto" w:fill="auto"/>
          </w:tcPr>
          <w:p w14:paraId="13B5629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Education office reports</w:t>
            </w:r>
          </w:p>
        </w:tc>
      </w:tr>
      <w:tr w:rsidR="000A7545" w:rsidRPr="000A7545" w14:paraId="13B5629B" w14:textId="77777777" w:rsidTr="00B812C8">
        <w:trPr>
          <w:trHeight w:val="1510"/>
        </w:trPr>
        <w:tc>
          <w:tcPr>
            <w:tcW w:w="543" w:type="pct"/>
            <w:gridSpan w:val="3"/>
            <w:vMerge/>
            <w:shd w:val="clear" w:color="auto" w:fill="auto"/>
            <w:vAlign w:val="center"/>
            <w:hideMark/>
          </w:tcPr>
          <w:p w14:paraId="13B56294"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17" w:type="pct"/>
            <w:gridSpan w:val="3"/>
            <w:shd w:val="clear" w:color="auto" w:fill="auto"/>
            <w:hideMark/>
          </w:tcPr>
          <w:p w14:paraId="13B56295" w14:textId="77777777" w:rsidR="000A7545" w:rsidRPr="000A7545" w:rsidRDefault="000A7545" w:rsidP="000A7545">
            <w:pPr>
              <w:spacing w:after="0" w:line="240" w:lineRule="auto"/>
              <w:rPr>
                <w:rFonts w:asciiTheme="minorHAnsi" w:eastAsia="Times New Roman" w:hAnsiTheme="minorHAnsi" w:cstheme="minorHAnsi"/>
                <w:sz w:val="20"/>
                <w:szCs w:val="20"/>
              </w:rPr>
            </w:pPr>
            <w:r w:rsidRPr="000A7545">
              <w:rPr>
                <w:rFonts w:asciiTheme="minorHAnsi" w:eastAsia="Times New Roman" w:hAnsiTheme="minorHAnsi" w:cstheme="minorHAnsi"/>
                <w:sz w:val="20"/>
                <w:szCs w:val="20"/>
                <w:lang w:val="en-US"/>
              </w:rPr>
              <w:t xml:space="preserve">1.1.6i. </w:t>
            </w:r>
            <w:r w:rsidRPr="000A7545">
              <w:rPr>
                <w:rFonts w:asciiTheme="minorHAnsi" w:eastAsia="Times New Roman" w:hAnsiTheme="minorHAnsi" w:cstheme="minorHAnsi"/>
                <w:sz w:val="20"/>
                <w:szCs w:val="20"/>
                <w:lang w:val="id-ID"/>
              </w:rPr>
              <w:t>Proportion</w:t>
            </w:r>
            <w:r w:rsidRPr="000A7545">
              <w:rPr>
                <w:rFonts w:asciiTheme="minorHAnsi" w:eastAsia="Times New Roman" w:hAnsiTheme="minorHAnsi" w:cstheme="minorHAnsi"/>
                <w:sz w:val="20"/>
                <w:szCs w:val="20"/>
              </w:rPr>
              <w:t xml:space="preserve"> of target districts with integrated data gathering instruments mainstreamed to school supervisor reporting system (USAID)</w:t>
            </w:r>
          </w:p>
        </w:tc>
        <w:tc>
          <w:tcPr>
            <w:tcW w:w="1117" w:type="pct"/>
            <w:shd w:val="clear" w:color="auto" w:fill="auto"/>
            <w:hideMark/>
          </w:tcPr>
          <w:p w14:paraId="13B5629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 out of 4 Districts</w:t>
            </w:r>
          </w:p>
        </w:tc>
        <w:tc>
          <w:tcPr>
            <w:tcW w:w="500" w:type="pct"/>
            <w:shd w:val="clear" w:color="auto" w:fill="auto"/>
            <w:hideMark/>
          </w:tcPr>
          <w:p w14:paraId="13B5629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100%</w:t>
            </w:r>
          </w:p>
        </w:tc>
        <w:tc>
          <w:tcPr>
            <w:tcW w:w="1092" w:type="pct"/>
            <w:gridSpan w:val="2"/>
          </w:tcPr>
          <w:p w14:paraId="13B56298" w14:textId="77777777" w:rsidR="000A7545" w:rsidRPr="000A7545" w:rsidRDefault="00C444C4" w:rsidP="00C444C4">
            <w:pPr>
              <w:spacing w:after="0" w:line="240" w:lineRule="auto"/>
              <w:rPr>
                <w:rFonts w:asciiTheme="minorHAnsi" w:eastAsia="Times New Roman" w:hAnsiTheme="minorHAnsi" w:cstheme="minorHAnsi"/>
                <w:sz w:val="20"/>
                <w:szCs w:val="20"/>
                <w:lang w:val="id-ID"/>
              </w:rPr>
            </w:pPr>
            <w:r>
              <w:rPr>
                <w:rFonts w:asciiTheme="minorHAnsi" w:eastAsia="Times New Roman" w:hAnsiTheme="minorHAnsi" w:cstheme="minorHAnsi"/>
                <w:sz w:val="20"/>
                <w:szCs w:val="20"/>
                <w:lang w:val="en-US"/>
              </w:rPr>
              <w:t>Biak Numfor: SBM monitoring tool integrated into supervisor monitoring system (2012)</w:t>
            </w:r>
          </w:p>
        </w:tc>
        <w:tc>
          <w:tcPr>
            <w:tcW w:w="290" w:type="pct"/>
            <w:gridSpan w:val="2"/>
            <w:shd w:val="clear" w:color="auto" w:fill="auto"/>
          </w:tcPr>
          <w:p w14:paraId="13B56299"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hideMark/>
          </w:tcPr>
          <w:p w14:paraId="13B5629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id-ID"/>
              </w:rPr>
              <w:t>SD MSS data</w:t>
            </w:r>
          </w:p>
        </w:tc>
      </w:tr>
      <w:tr w:rsidR="000A7545" w:rsidRPr="000A7545" w14:paraId="13B562A3" w14:textId="77777777" w:rsidTr="00B812C8">
        <w:trPr>
          <w:trHeight w:val="799"/>
        </w:trPr>
        <w:tc>
          <w:tcPr>
            <w:tcW w:w="543" w:type="pct"/>
            <w:gridSpan w:val="3"/>
            <w:vMerge/>
            <w:shd w:val="clear" w:color="auto" w:fill="auto"/>
            <w:vAlign w:val="center"/>
          </w:tcPr>
          <w:p w14:paraId="13B5629C"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17" w:type="pct"/>
            <w:gridSpan w:val="3"/>
            <w:shd w:val="clear" w:color="auto" w:fill="auto"/>
          </w:tcPr>
          <w:p w14:paraId="13B5629D"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Symbol" w:hAnsiTheme="minorHAnsi" w:cstheme="minorHAnsi"/>
                <w:sz w:val="20"/>
                <w:szCs w:val="20"/>
                <w:lang w:val="en-US"/>
              </w:rPr>
              <w:t xml:space="preserve">1.1.6j. </w:t>
            </w:r>
            <w:r w:rsidRPr="000A7545">
              <w:rPr>
                <w:rFonts w:asciiTheme="minorHAnsi" w:eastAsia="Symbol" w:hAnsiTheme="minorHAnsi" w:cstheme="minorHAnsi"/>
                <w:sz w:val="20"/>
                <w:szCs w:val="20"/>
                <w:lang w:val="id-ID"/>
              </w:rPr>
              <w:t xml:space="preserve">Proportion of </w:t>
            </w:r>
            <w:r w:rsidRPr="000A7545">
              <w:rPr>
                <w:rFonts w:asciiTheme="minorHAnsi" w:eastAsia="Symbol" w:hAnsiTheme="minorHAnsi" w:cstheme="minorHAnsi"/>
                <w:sz w:val="20"/>
                <w:szCs w:val="20"/>
                <w:lang w:val="en-US"/>
              </w:rPr>
              <w:t>data unit staff</w:t>
            </w:r>
            <w:r w:rsidRPr="000A7545">
              <w:rPr>
                <w:rFonts w:asciiTheme="minorHAnsi" w:eastAsia="Symbol" w:hAnsiTheme="minorHAnsi" w:cstheme="minorHAnsi"/>
                <w:sz w:val="20"/>
                <w:szCs w:val="20"/>
                <w:lang w:val="id-ID"/>
              </w:rPr>
              <w:t xml:space="preserve"> in Dinas capable of running PadatiWeb</w:t>
            </w:r>
            <w:r w:rsidRPr="000A7545">
              <w:rPr>
                <w:rFonts w:asciiTheme="minorHAnsi" w:eastAsia="Symbol" w:hAnsiTheme="minorHAnsi" w:cstheme="minorHAnsi"/>
                <w:sz w:val="20"/>
                <w:szCs w:val="20"/>
                <w:lang w:val="en-US"/>
              </w:rPr>
              <w:t xml:space="preserve"> (USAID)</w:t>
            </w:r>
          </w:p>
        </w:tc>
        <w:tc>
          <w:tcPr>
            <w:tcW w:w="1117" w:type="pct"/>
            <w:shd w:val="clear" w:color="auto" w:fill="auto"/>
          </w:tcPr>
          <w:p w14:paraId="13B5629E"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41% of data unit staff</w:t>
            </w:r>
          </w:p>
        </w:tc>
        <w:tc>
          <w:tcPr>
            <w:tcW w:w="500" w:type="pct"/>
            <w:shd w:val="clear" w:color="auto" w:fill="auto"/>
          </w:tcPr>
          <w:p w14:paraId="13B5629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80%</w:t>
            </w:r>
          </w:p>
        </w:tc>
        <w:tc>
          <w:tcPr>
            <w:tcW w:w="1092" w:type="pct"/>
            <w:gridSpan w:val="2"/>
          </w:tcPr>
          <w:p w14:paraId="13B562A0"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Pending roll-out of training in Q2 and Q3 2012</w:t>
            </w:r>
          </w:p>
        </w:tc>
        <w:tc>
          <w:tcPr>
            <w:tcW w:w="290" w:type="pct"/>
            <w:gridSpan w:val="2"/>
            <w:shd w:val="clear" w:color="auto" w:fill="auto"/>
          </w:tcPr>
          <w:p w14:paraId="13B562A1"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shd w:val="clear" w:color="auto" w:fill="auto"/>
          </w:tcPr>
          <w:p w14:paraId="13B562A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Monitoring visit reports</w:t>
            </w:r>
          </w:p>
        </w:tc>
      </w:tr>
      <w:tr w:rsidR="000A7545" w:rsidRPr="000A7545" w14:paraId="13B562AB" w14:textId="77777777" w:rsidTr="00B812C8">
        <w:trPr>
          <w:trHeight w:val="1015"/>
        </w:trPr>
        <w:tc>
          <w:tcPr>
            <w:tcW w:w="543" w:type="pct"/>
            <w:gridSpan w:val="3"/>
            <w:vMerge w:val="restart"/>
            <w:shd w:val="clear" w:color="auto" w:fill="auto"/>
          </w:tcPr>
          <w:p w14:paraId="13B562A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Output </w:t>
            </w:r>
            <w:r w:rsidRPr="000A7545">
              <w:rPr>
                <w:rFonts w:asciiTheme="minorHAnsi" w:eastAsia="Times New Roman" w:hAnsiTheme="minorHAnsi" w:cstheme="minorHAnsi"/>
                <w:color w:val="000000"/>
                <w:sz w:val="20"/>
                <w:szCs w:val="20"/>
                <w:lang w:val="en-US"/>
              </w:rPr>
              <w:t>1.1.7</w:t>
            </w:r>
            <w:r w:rsidRPr="000A7545">
              <w:rPr>
                <w:rFonts w:asciiTheme="minorHAnsi" w:eastAsia="Times New Roman" w:hAnsiTheme="minorHAnsi" w:cstheme="minorHAnsi"/>
                <w:color w:val="000000"/>
                <w:sz w:val="20"/>
                <w:szCs w:val="20"/>
                <w:lang w:val="id-ID"/>
              </w:rPr>
              <w:t xml:space="preserve"> Teacher absenteeism study</w:t>
            </w:r>
            <w:r w:rsidRPr="000A7545">
              <w:rPr>
                <w:rFonts w:asciiTheme="minorHAnsi" w:eastAsia="Times New Roman" w:hAnsiTheme="minorHAnsi" w:cstheme="minorHAnsi"/>
                <w:color w:val="000000"/>
                <w:sz w:val="20"/>
                <w:szCs w:val="20"/>
                <w:lang w:val="en-US"/>
              </w:rPr>
              <w:t xml:space="preserve"> provides evidence for policy (USAID)</w:t>
            </w:r>
          </w:p>
        </w:tc>
        <w:tc>
          <w:tcPr>
            <w:tcW w:w="1017" w:type="pct"/>
            <w:gridSpan w:val="3"/>
            <w:shd w:val="clear" w:color="auto" w:fill="auto"/>
          </w:tcPr>
          <w:p w14:paraId="13B562A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1.1.7a. </w:t>
            </w:r>
            <w:r w:rsidRPr="000A7545">
              <w:rPr>
                <w:rFonts w:asciiTheme="minorHAnsi" w:eastAsia="Symbol" w:hAnsiTheme="minorHAnsi" w:cstheme="minorHAnsi"/>
                <w:color w:val="000000"/>
                <w:sz w:val="20"/>
                <w:szCs w:val="20"/>
                <w:lang w:val="id-ID"/>
              </w:rPr>
              <w:t xml:space="preserve">Study on teacher absenteeism </w:t>
            </w:r>
            <w:r w:rsidRPr="000A7545">
              <w:rPr>
                <w:rFonts w:asciiTheme="minorHAnsi" w:eastAsia="Symbol" w:hAnsiTheme="minorHAnsi" w:cstheme="minorHAnsi"/>
                <w:color w:val="000000"/>
                <w:sz w:val="20"/>
                <w:szCs w:val="20"/>
                <w:lang w:val="en-US"/>
              </w:rPr>
              <w:t xml:space="preserve">survey </w:t>
            </w:r>
            <w:r w:rsidRPr="000A7545">
              <w:rPr>
                <w:rFonts w:asciiTheme="minorHAnsi" w:eastAsia="Symbol" w:hAnsiTheme="minorHAnsi" w:cstheme="minorHAnsi"/>
                <w:color w:val="000000"/>
                <w:sz w:val="20"/>
                <w:szCs w:val="20"/>
                <w:lang w:val="id-ID"/>
              </w:rPr>
              <w:t>completed</w:t>
            </w:r>
            <w:r w:rsidRPr="000A7545">
              <w:rPr>
                <w:rFonts w:asciiTheme="minorHAnsi" w:eastAsia="Symbol" w:hAnsiTheme="minorHAnsi" w:cstheme="minorHAnsi"/>
                <w:color w:val="000000"/>
                <w:sz w:val="20"/>
                <w:szCs w:val="20"/>
                <w:lang w:val="en-US"/>
              </w:rPr>
              <w:t xml:space="preserve"> by December 2011 (Y/N)</w:t>
            </w:r>
          </w:p>
        </w:tc>
        <w:tc>
          <w:tcPr>
            <w:tcW w:w="1117" w:type="pct"/>
            <w:shd w:val="clear" w:color="auto" w:fill="auto"/>
          </w:tcPr>
          <w:p w14:paraId="13B562A6" w14:textId="77777777" w:rsidR="000A7545" w:rsidRPr="000A7545" w:rsidRDefault="000A7545" w:rsidP="000A7545">
            <w:pPr>
              <w:spacing w:after="0" w:line="240" w:lineRule="auto"/>
              <w:rPr>
                <w:rFonts w:asciiTheme="minorHAnsi" w:hAnsiTheme="minorHAnsi" w:cstheme="minorHAnsi"/>
                <w:sz w:val="20"/>
                <w:szCs w:val="20"/>
                <w:lang w:val="en-US"/>
              </w:rPr>
            </w:pPr>
            <w:r w:rsidRPr="000A7545">
              <w:rPr>
                <w:rFonts w:asciiTheme="minorHAnsi" w:hAnsiTheme="minorHAnsi" w:cstheme="minorHAnsi"/>
                <w:sz w:val="20"/>
                <w:szCs w:val="20"/>
                <w:lang w:val="en-US"/>
              </w:rPr>
              <w:t>n/a</w:t>
            </w:r>
          </w:p>
        </w:tc>
        <w:tc>
          <w:tcPr>
            <w:tcW w:w="500" w:type="pct"/>
            <w:shd w:val="clear" w:color="auto" w:fill="auto"/>
          </w:tcPr>
          <w:p w14:paraId="13B562A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Report completed and shared with government and partners by mid-2012</w:t>
            </w:r>
          </w:p>
        </w:tc>
        <w:tc>
          <w:tcPr>
            <w:tcW w:w="1092" w:type="pct"/>
            <w:gridSpan w:val="2"/>
          </w:tcPr>
          <w:p w14:paraId="13B562A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Survey completed of 1,296 teachers, 430 community members, 245 schools (November 2011)</w:t>
            </w:r>
          </w:p>
        </w:tc>
        <w:tc>
          <w:tcPr>
            <w:tcW w:w="290" w:type="pct"/>
            <w:gridSpan w:val="2"/>
            <w:shd w:val="clear" w:color="auto" w:fill="auto"/>
          </w:tcPr>
          <w:p w14:paraId="13B562A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2A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Progress report; Copy of study</w:t>
            </w:r>
          </w:p>
        </w:tc>
      </w:tr>
      <w:tr w:rsidR="000A7545" w:rsidRPr="000A7545" w14:paraId="13B562B4" w14:textId="77777777" w:rsidTr="00B812C8">
        <w:trPr>
          <w:trHeight w:val="925"/>
        </w:trPr>
        <w:tc>
          <w:tcPr>
            <w:tcW w:w="543" w:type="pct"/>
            <w:gridSpan w:val="3"/>
            <w:vMerge/>
            <w:shd w:val="clear" w:color="auto" w:fill="auto"/>
          </w:tcPr>
          <w:p w14:paraId="13B562AC"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17" w:type="pct"/>
            <w:gridSpan w:val="3"/>
            <w:shd w:val="clear" w:color="auto" w:fill="auto"/>
          </w:tcPr>
          <w:p w14:paraId="13B562AD"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Symbol" w:hAnsiTheme="minorHAnsi" w:cstheme="minorHAnsi"/>
                <w:color w:val="000000"/>
                <w:sz w:val="20"/>
                <w:szCs w:val="20"/>
                <w:lang w:val="en-US"/>
              </w:rPr>
              <w:t>1.1.7b. Number of Workshops on c</w:t>
            </w:r>
            <w:r w:rsidRPr="000A7545">
              <w:rPr>
                <w:rFonts w:asciiTheme="minorHAnsi" w:eastAsia="Symbol" w:hAnsiTheme="minorHAnsi" w:cstheme="minorHAnsi"/>
                <w:color w:val="000000"/>
                <w:sz w:val="20"/>
                <w:szCs w:val="20"/>
                <w:lang w:val="id-ID"/>
              </w:rPr>
              <w:t xml:space="preserve">apacity development </w:t>
            </w:r>
            <w:r w:rsidRPr="000A7545">
              <w:rPr>
                <w:rFonts w:asciiTheme="minorHAnsi" w:eastAsia="Symbol" w:hAnsiTheme="minorHAnsi" w:cstheme="minorHAnsi"/>
                <w:color w:val="000000"/>
                <w:sz w:val="20"/>
                <w:szCs w:val="20"/>
                <w:lang w:val="en-US"/>
              </w:rPr>
              <w:t xml:space="preserve">for research </w:t>
            </w:r>
            <w:r w:rsidR="00C444C4">
              <w:rPr>
                <w:rFonts w:asciiTheme="minorHAnsi" w:eastAsia="Symbol" w:hAnsiTheme="minorHAnsi" w:cstheme="minorHAnsi"/>
                <w:color w:val="000000"/>
                <w:sz w:val="20"/>
                <w:szCs w:val="20"/>
                <w:lang w:val="en-US"/>
              </w:rPr>
              <w:t>of</w:t>
            </w:r>
            <w:r w:rsidRPr="000A7545">
              <w:rPr>
                <w:rFonts w:asciiTheme="minorHAnsi" w:eastAsia="Symbol" w:hAnsiTheme="minorHAnsi" w:cstheme="minorHAnsi"/>
                <w:color w:val="000000"/>
                <w:sz w:val="20"/>
                <w:szCs w:val="20"/>
                <w:lang w:val="id-ID"/>
              </w:rPr>
              <w:t xml:space="preserve"> universities comlpeted</w:t>
            </w:r>
            <w:r w:rsidRPr="000A7545">
              <w:rPr>
                <w:rFonts w:asciiTheme="minorHAnsi" w:eastAsia="Symbol" w:hAnsiTheme="minorHAnsi" w:cstheme="minorHAnsi"/>
                <w:color w:val="000000"/>
                <w:sz w:val="20"/>
                <w:szCs w:val="20"/>
                <w:lang w:val="en-US"/>
              </w:rPr>
              <w:t xml:space="preserve"> by end of 2011</w:t>
            </w:r>
          </w:p>
        </w:tc>
        <w:tc>
          <w:tcPr>
            <w:tcW w:w="1117" w:type="pct"/>
            <w:shd w:val="clear" w:color="auto" w:fill="auto"/>
          </w:tcPr>
          <w:p w14:paraId="13B562AE"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No capacity development workshops </w:t>
            </w:r>
          </w:p>
        </w:tc>
        <w:tc>
          <w:tcPr>
            <w:tcW w:w="500" w:type="pct"/>
            <w:shd w:val="clear" w:color="auto" w:fill="auto"/>
          </w:tcPr>
          <w:p w14:paraId="13B562A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color w:val="000000"/>
                <w:sz w:val="20"/>
                <w:szCs w:val="20"/>
                <w:lang w:val="en-US"/>
              </w:rPr>
              <w:t>4 technical workshops completed</w:t>
            </w:r>
          </w:p>
        </w:tc>
        <w:tc>
          <w:tcPr>
            <w:tcW w:w="1092" w:type="pct"/>
            <w:gridSpan w:val="2"/>
          </w:tcPr>
          <w:p w14:paraId="13B562B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6 workshops completed;</w:t>
            </w:r>
          </w:p>
          <w:p w14:paraId="13B562B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8 core researchers and 50 university students working as enumerators by end of 2011</w:t>
            </w:r>
          </w:p>
        </w:tc>
        <w:tc>
          <w:tcPr>
            <w:tcW w:w="290" w:type="pct"/>
            <w:gridSpan w:val="2"/>
            <w:shd w:val="clear" w:color="auto" w:fill="auto"/>
          </w:tcPr>
          <w:p w14:paraId="13B562B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p>
        </w:tc>
        <w:tc>
          <w:tcPr>
            <w:tcW w:w="441" w:type="pct"/>
            <w:shd w:val="clear" w:color="auto" w:fill="auto"/>
          </w:tcPr>
          <w:p w14:paraId="13B562B3"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color w:val="000000"/>
                <w:sz w:val="20"/>
                <w:szCs w:val="20"/>
                <w:lang w:val="en-US"/>
              </w:rPr>
              <w:t>Training records</w:t>
            </w:r>
          </w:p>
        </w:tc>
      </w:tr>
      <w:tr w:rsidR="000A7545" w:rsidRPr="000A7545" w14:paraId="13B562BC" w14:textId="77777777" w:rsidTr="00B812C8">
        <w:trPr>
          <w:trHeight w:val="1132"/>
        </w:trPr>
        <w:tc>
          <w:tcPr>
            <w:tcW w:w="543" w:type="pct"/>
            <w:gridSpan w:val="3"/>
            <w:vMerge/>
            <w:shd w:val="clear" w:color="auto" w:fill="auto"/>
            <w:vAlign w:val="center"/>
          </w:tcPr>
          <w:p w14:paraId="13B562B5"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p>
        </w:tc>
        <w:tc>
          <w:tcPr>
            <w:tcW w:w="1017" w:type="pct"/>
            <w:gridSpan w:val="3"/>
            <w:shd w:val="clear" w:color="auto" w:fill="auto"/>
          </w:tcPr>
          <w:p w14:paraId="13B562B6"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color w:val="000000"/>
                <w:sz w:val="20"/>
                <w:szCs w:val="20"/>
                <w:lang w:val="en-US"/>
              </w:rPr>
              <w:t>1.1.7c. Academic and research institutes participate in government policy formulation processes (Y/N)</w:t>
            </w:r>
          </w:p>
        </w:tc>
        <w:tc>
          <w:tcPr>
            <w:tcW w:w="1117" w:type="pct"/>
            <w:shd w:val="clear" w:color="auto" w:fill="auto"/>
          </w:tcPr>
          <w:p w14:paraId="13B562B7" w14:textId="77777777" w:rsidR="000A7545" w:rsidRPr="000A7545" w:rsidRDefault="000A7545" w:rsidP="000A7545">
            <w:pPr>
              <w:spacing w:after="0" w:line="240" w:lineRule="auto"/>
              <w:rPr>
                <w:rFonts w:asciiTheme="minorHAnsi" w:eastAsia="Times New Roman" w:hAnsiTheme="minorHAnsi" w:cstheme="minorHAnsi"/>
                <w:sz w:val="20"/>
                <w:szCs w:val="20"/>
                <w:highlight w:val="yellow"/>
                <w:lang w:val="en-US"/>
              </w:rPr>
            </w:pPr>
            <w:r w:rsidRPr="000A7545">
              <w:rPr>
                <w:rFonts w:asciiTheme="minorHAnsi" w:eastAsia="Times New Roman" w:hAnsiTheme="minorHAnsi" w:cstheme="minorHAnsi"/>
                <w:sz w:val="20"/>
                <w:szCs w:val="20"/>
                <w:lang w:val="en-US"/>
              </w:rPr>
              <w:t>n/a</w:t>
            </w:r>
          </w:p>
        </w:tc>
        <w:tc>
          <w:tcPr>
            <w:tcW w:w="500" w:type="pct"/>
            <w:shd w:val="clear" w:color="auto" w:fill="auto"/>
          </w:tcPr>
          <w:p w14:paraId="13B562B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Increased participation of relevant education sector partners</w:t>
            </w:r>
          </w:p>
        </w:tc>
        <w:tc>
          <w:tcPr>
            <w:tcW w:w="1092" w:type="pct"/>
            <w:gridSpan w:val="2"/>
          </w:tcPr>
          <w:p w14:paraId="13B562B9"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Increased participation of UNCEN and UNIPA staff in government policy making processes</w:t>
            </w:r>
          </w:p>
        </w:tc>
        <w:tc>
          <w:tcPr>
            <w:tcW w:w="290" w:type="pct"/>
            <w:gridSpan w:val="2"/>
            <w:shd w:val="clear" w:color="auto" w:fill="auto"/>
          </w:tcPr>
          <w:p w14:paraId="13B562BA"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441" w:type="pct"/>
            <w:shd w:val="clear" w:color="auto" w:fill="auto"/>
          </w:tcPr>
          <w:p w14:paraId="13B562BB"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r w:rsidRPr="000A7545">
              <w:rPr>
                <w:rFonts w:asciiTheme="minorHAnsi" w:eastAsia="Times New Roman" w:hAnsiTheme="minorHAnsi" w:cstheme="minorHAnsi"/>
                <w:color w:val="000000"/>
                <w:sz w:val="20"/>
                <w:szCs w:val="20"/>
                <w:lang w:val="en-US"/>
              </w:rPr>
              <w:t>Records of policy forums</w:t>
            </w:r>
          </w:p>
        </w:tc>
      </w:tr>
      <w:tr w:rsidR="000A7545" w:rsidRPr="000A7545" w14:paraId="13B562BE" w14:textId="77777777" w:rsidTr="000A7545">
        <w:trPr>
          <w:trHeight w:val="178"/>
        </w:trPr>
        <w:tc>
          <w:tcPr>
            <w:tcW w:w="5000" w:type="pct"/>
            <w:gridSpan w:val="13"/>
            <w:shd w:val="clear" w:color="auto" w:fill="auto"/>
          </w:tcPr>
          <w:p w14:paraId="13B562BD" w14:textId="77777777" w:rsidR="000A7545" w:rsidRPr="000A7545" w:rsidRDefault="000A7545" w:rsidP="000A7545">
            <w:pPr>
              <w:spacing w:after="0" w:line="240" w:lineRule="auto"/>
              <w:rPr>
                <w:rFonts w:asciiTheme="minorHAnsi" w:eastAsia="Times New Roman" w:hAnsiTheme="minorHAnsi" w:cstheme="minorHAnsi"/>
                <w:b/>
                <w:bCs/>
                <w:color w:val="000000"/>
                <w:lang w:val="id-ID"/>
              </w:rPr>
            </w:pPr>
          </w:p>
        </w:tc>
      </w:tr>
      <w:tr w:rsidR="000A7545" w:rsidRPr="000A7545" w14:paraId="13B562C0" w14:textId="77777777" w:rsidTr="000A7545">
        <w:trPr>
          <w:trHeight w:val="412"/>
        </w:trPr>
        <w:tc>
          <w:tcPr>
            <w:tcW w:w="5000" w:type="pct"/>
            <w:gridSpan w:val="13"/>
            <w:shd w:val="clear" w:color="000000" w:fill="95B3D7"/>
            <w:vAlign w:val="center"/>
          </w:tcPr>
          <w:p w14:paraId="13B562BF" w14:textId="77777777" w:rsidR="000A7545" w:rsidRPr="000A7545" w:rsidRDefault="000A7545" w:rsidP="000A7545">
            <w:pPr>
              <w:spacing w:after="0" w:line="240" w:lineRule="auto"/>
              <w:rPr>
                <w:rFonts w:asciiTheme="minorHAnsi" w:eastAsia="Times New Roman" w:hAnsiTheme="minorHAnsi" w:cstheme="minorHAnsi"/>
                <w:b/>
                <w:bCs/>
                <w:color w:val="000000"/>
                <w:lang w:val="en-US"/>
              </w:rPr>
            </w:pPr>
            <w:r w:rsidRPr="000A7545">
              <w:rPr>
                <w:rFonts w:asciiTheme="minorHAnsi" w:eastAsia="Times New Roman" w:hAnsiTheme="minorHAnsi" w:cstheme="minorHAnsi"/>
                <w:b/>
                <w:bCs/>
                <w:color w:val="000000"/>
                <w:lang w:val="en-US"/>
              </w:rPr>
              <w:t>Outcome 1.2</w:t>
            </w:r>
            <w:r w:rsidRPr="000A7545">
              <w:rPr>
                <w:rFonts w:asciiTheme="minorHAnsi" w:eastAsia="Times New Roman" w:hAnsiTheme="minorHAnsi" w:cstheme="minorHAnsi"/>
                <w:b/>
                <w:bCs/>
                <w:color w:val="000000"/>
                <w:lang w:val="id-ID"/>
              </w:rPr>
              <w:t>: Improved teaching practices</w:t>
            </w:r>
            <w:r w:rsidRPr="000A7545">
              <w:rPr>
                <w:rFonts w:asciiTheme="minorHAnsi" w:eastAsia="Times New Roman" w:hAnsiTheme="minorHAnsi" w:cstheme="minorHAnsi"/>
                <w:b/>
                <w:bCs/>
                <w:color w:val="000000"/>
                <w:lang w:val="en-US"/>
              </w:rPr>
              <w:t xml:space="preserve"> in schools (AusAID)</w:t>
            </w:r>
          </w:p>
        </w:tc>
      </w:tr>
      <w:tr w:rsidR="000A7545" w:rsidRPr="000A7545" w14:paraId="13B562CF" w14:textId="77777777" w:rsidTr="000A7545">
        <w:trPr>
          <w:trHeight w:val="1780"/>
        </w:trPr>
        <w:tc>
          <w:tcPr>
            <w:tcW w:w="555" w:type="pct"/>
            <w:gridSpan w:val="4"/>
            <w:vMerge w:val="restart"/>
            <w:shd w:val="clear" w:color="auto" w:fill="FDE9D9" w:themeFill="accent6" w:themeFillTint="33"/>
            <w:hideMark/>
          </w:tcPr>
          <w:p w14:paraId="13B562C1" w14:textId="77777777" w:rsidR="000A7545" w:rsidRPr="000A7545" w:rsidRDefault="000A7545" w:rsidP="000A7545">
            <w:pPr>
              <w:spacing w:after="0" w:line="240" w:lineRule="auto"/>
              <w:rPr>
                <w:rFonts w:asciiTheme="minorHAnsi" w:eastAsia="Times New Roman" w:hAnsiTheme="minorHAnsi" w:cstheme="minorHAnsi"/>
                <w:b/>
                <w:bCs/>
                <w:color w:val="000000"/>
                <w:sz w:val="20"/>
                <w:szCs w:val="20"/>
                <w:lang w:val="en-US"/>
              </w:rPr>
            </w:pPr>
            <w:r w:rsidRPr="000A7545">
              <w:rPr>
                <w:rFonts w:asciiTheme="minorHAnsi" w:eastAsia="Times New Roman" w:hAnsiTheme="minorHAnsi" w:cstheme="minorHAnsi"/>
                <w:b/>
                <w:bCs/>
                <w:color w:val="000000"/>
                <w:sz w:val="20"/>
                <w:szCs w:val="20"/>
                <w:lang w:val="id-ID"/>
              </w:rPr>
              <w:t xml:space="preserve">Outcome </w:t>
            </w:r>
            <w:r w:rsidRPr="000A7545">
              <w:rPr>
                <w:rFonts w:asciiTheme="minorHAnsi" w:eastAsia="Times New Roman" w:hAnsiTheme="minorHAnsi" w:cstheme="minorHAnsi"/>
                <w:b/>
                <w:bCs/>
                <w:color w:val="000000"/>
                <w:sz w:val="20"/>
                <w:szCs w:val="20"/>
                <w:lang w:val="en-US"/>
              </w:rPr>
              <w:t>1.2</w:t>
            </w:r>
            <w:r w:rsidRPr="000A7545">
              <w:rPr>
                <w:rFonts w:asciiTheme="minorHAnsi" w:eastAsia="Times New Roman" w:hAnsiTheme="minorHAnsi" w:cstheme="minorHAnsi"/>
                <w:b/>
                <w:bCs/>
                <w:color w:val="000000"/>
                <w:sz w:val="20"/>
                <w:szCs w:val="20"/>
                <w:lang w:val="id-ID"/>
              </w:rPr>
              <w:t xml:space="preserve">: </w:t>
            </w:r>
            <w:r w:rsidRPr="000A7545">
              <w:rPr>
                <w:rFonts w:asciiTheme="minorHAnsi" w:eastAsia="Times New Roman" w:hAnsiTheme="minorHAnsi" w:cstheme="minorHAnsi"/>
                <w:b/>
                <w:bCs/>
                <w:color w:val="000000"/>
                <w:sz w:val="20"/>
                <w:szCs w:val="20"/>
                <w:lang w:val="en-US"/>
              </w:rPr>
              <w:t xml:space="preserve">Primary school children in selected schools in target districts are benefiting from improved  teaching practices </w:t>
            </w:r>
          </w:p>
          <w:p w14:paraId="13B562C2" w14:textId="77777777" w:rsidR="000A7545" w:rsidRPr="000A7545" w:rsidRDefault="000A7545" w:rsidP="000A7545">
            <w:pPr>
              <w:spacing w:after="0" w:line="240" w:lineRule="auto"/>
              <w:rPr>
                <w:rFonts w:asciiTheme="minorHAnsi" w:eastAsia="Times New Roman" w:hAnsiTheme="minorHAnsi" w:cstheme="minorHAnsi"/>
                <w:b/>
                <w:bCs/>
                <w:color w:val="000000"/>
                <w:sz w:val="20"/>
                <w:szCs w:val="20"/>
                <w:lang w:val="en-US"/>
              </w:rPr>
            </w:pPr>
            <w:r w:rsidRPr="000A7545">
              <w:rPr>
                <w:rFonts w:asciiTheme="minorHAnsi" w:eastAsia="Times New Roman" w:hAnsiTheme="minorHAnsi" w:cstheme="minorHAnsi"/>
                <w:b/>
                <w:bCs/>
                <w:sz w:val="20"/>
                <w:szCs w:val="20"/>
                <w:lang w:val="en-US"/>
              </w:rPr>
              <w:t>(AusAID)</w:t>
            </w:r>
          </w:p>
        </w:tc>
        <w:tc>
          <w:tcPr>
            <w:tcW w:w="1005" w:type="pct"/>
            <w:gridSpan w:val="2"/>
            <w:shd w:val="clear" w:color="000000" w:fill="DBE5F1"/>
          </w:tcPr>
          <w:p w14:paraId="13B562C3"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1.2a. </w:t>
            </w:r>
            <w:r w:rsidRPr="000A7545">
              <w:rPr>
                <w:rFonts w:asciiTheme="minorHAnsi" w:eastAsia="Symbol" w:hAnsiTheme="minorHAnsi" w:cstheme="minorHAnsi"/>
                <w:color w:val="000000"/>
                <w:sz w:val="20"/>
                <w:szCs w:val="20"/>
                <w:lang w:val="id-ID"/>
              </w:rPr>
              <w:t>% of teachers trained applying AJEL approaches in the classroom</w:t>
            </w:r>
          </w:p>
          <w:p w14:paraId="13B562C4" w14:textId="77777777" w:rsidR="000A7545" w:rsidRPr="000A7545" w:rsidRDefault="000A7545" w:rsidP="00FA09D3">
            <w:pPr>
              <w:numPr>
                <w:ilvl w:val="0"/>
                <w:numId w:val="21"/>
              </w:numPr>
              <w:spacing w:after="0" w:line="240" w:lineRule="auto"/>
              <w:ind w:left="264" w:hanging="26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Use of </w:t>
            </w:r>
            <w:r w:rsidRPr="000A7545">
              <w:rPr>
                <w:rFonts w:asciiTheme="minorHAnsi" w:eastAsia="Times New Roman" w:hAnsiTheme="minorHAnsi" w:cstheme="minorHAnsi"/>
                <w:color w:val="000000"/>
                <w:sz w:val="20"/>
                <w:szCs w:val="20"/>
                <w:lang w:val="en-US"/>
              </w:rPr>
              <w:t>teaching</w:t>
            </w:r>
            <w:r w:rsidRPr="000A7545">
              <w:rPr>
                <w:rFonts w:asciiTheme="minorHAnsi" w:eastAsia="Times New Roman" w:hAnsiTheme="minorHAnsi" w:cstheme="minorHAnsi"/>
                <w:color w:val="000000"/>
                <w:sz w:val="20"/>
                <w:szCs w:val="20"/>
                <w:lang w:val="id-ID"/>
              </w:rPr>
              <w:t xml:space="preserve"> aids</w:t>
            </w:r>
          </w:p>
          <w:p w14:paraId="13B562C5" w14:textId="77777777" w:rsidR="000A7545" w:rsidRPr="000A7545" w:rsidRDefault="000A7545" w:rsidP="00FA09D3">
            <w:pPr>
              <w:numPr>
                <w:ilvl w:val="0"/>
                <w:numId w:val="21"/>
              </w:numPr>
              <w:spacing w:after="0" w:line="240" w:lineRule="auto"/>
              <w:ind w:left="264" w:hanging="26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Students being active during class</w:t>
            </w:r>
          </w:p>
          <w:p w14:paraId="13B562C6" w14:textId="77777777" w:rsidR="000A7545" w:rsidRPr="000A7545" w:rsidRDefault="000A7545" w:rsidP="00FA09D3">
            <w:pPr>
              <w:numPr>
                <w:ilvl w:val="0"/>
                <w:numId w:val="21"/>
              </w:numPr>
              <w:spacing w:after="0" w:line="240" w:lineRule="auto"/>
              <w:ind w:left="264" w:hanging="26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Children’s work displayed</w:t>
            </w:r>
          </w:p>
        </w:tc>
        <w:tc>
          <w:tcPr>
            <w:tcW w:w="1117" w:type="pct"/>
            <w:shd w:val="clear" w:color="000000" w:fill="DBE5F1"/>
          </w:tcPr>
          <w:p w14:paraId="13B562C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Small % of teachers in target schools in 6 target districts previously received some training in AJEL (39.5% of target schools)</w:t>
            </w:r>
          </w:p>
          <w:p w14:paraId="13B562C8" w14:textId="77777777" w:rsidR="000A7545" w:rsidRPr="000A7545" w:rsidRDefault="000A7545" w:rsidP="00FA09D3">
            <w:pPr>
              <w:numPr>
                <w:ilvl w:val="0"/>
                <w:numId w:val="36"/>
              </w:numPr>
              <w:spacing w:after="0" w:line="240" w:lineRule="auto"/>
              <w:ind w:left="249" w:hanging="249"/>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48.7%</w:t>
            </w:r>
          </w:p>
          <w:p w14:paraId="13B562C9" w14:textId="77777777" w:rsidR="000A7545" w:rsidRPr="000A7545" w:rsidRDefault="000A7545" w:rsidP="00FA09D3">
            <w:pPr>
              <w:numPr>
                <w:ilvl w:val="0"/>
                <w:numId w:val="36"/>
              </w:numPr>
              <w:spacing w:after="0" w:line="240" w:lineRule="auto"/>
              <w:ind w:left="249" w:hanging="249"/>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55.5%</w:t>
            </w:r>
          </w:p>
          <w:p w14:paraId="13B562CA" w14:textId="77777777" w:rsidR="000A7545" w:rsidRPr="000A7545" w:rsidRDefault="000A7545" w:rsidP="00FA09D3">
            <w:pPr>
              <w:numPr>
                <w:ilvl w:val="0"/>
                <w:numId w:val="36"/>
              </w:numPr>
              <w:spacing w:after="0" w:line="240" w:lineRule="auto"/>
              <w:ind w:left="249" w:hanging="249"/>
              <w:contextualSpacing/>
              <w:rPr>
                <w:rFonts w:asciiTheme="minorHAnsi" w:eastAsia="Times New Roman" w:hAnsiTheme="minorHAnsi" w:cstheme="minorHAnsi"/>
                <w:color w:val="000000"/>
                <w:lang w:val="en-US"/>
              </w:rPr>
            </w:pPr>
            <w:r w:rsidRPr="000A7545">
              <w:rPr>
                <w:rFonts w:asciiTheme="minorHAnsi" w:eastAsia="Times New Roman" w:hAnsiTheme="minorHAnsi" w:cstheme="minorHAnsi"/>
                <w:color w:val="000000"/>
                <w:sz w:val="20"/>
                <w:szCs w:val="20"/>
                <w:lang w:val="en-US"/>
              </w:rPr>
              <w:t>36.6%</w:t>
            </w:r>
          </w:p>
        </w:tc>
        <w:tc>
          <w:tcPr>
            <w:tcW w:w="500" w:type="pct"/>
            <w:shd w:val="clear" w:color="000000" w:fill="DBE5F1"/>
          </w:tcPr>
          <w:p w14:paraId="13B562C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At least 80% of teachers trained are applying AJEL</w:t>
            </w:r>
          </w:p>
        </w:tc>
        <w:tc>
          <w:tcPr>
            <w:tcW w:w="1088" w:type="pct"/>
            <w:shd w:val="clear" w:color="000000" w:fill="DBE5F1"/>
          </w:tcPr>
          <w:p w14:paraId="13B562C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shd w:val="clear" w:color="000000" w:fill="DBE5F1"/>
          </w:tcPr>
          <w:p w14:paraId="13B562C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000000" w:fill="DBE5F1"/>
          </w:tcPr>
          <w:p w14:paraId="13B562C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School visits </w:t>
            </w:r>
            <w:r w:rsidRPr="000A7545">
              <w:rPr>
                <w:rFonts w:asciiTheme="minorHAnsi" w:eastAsia="Times New Roman" w:hAnsiTheme="minorHAnsi" w:cstheme="minorHAnsi"/>
                <w:color w:val="000000"/>
                <w:sz w:val="20"/>
                <w:szCs w:val="20"/>
                <w:lang w:val="en-US"/>
              </w:rPr>
              <w:t>and endline evaluation</w:t>
            </w:r>
          </w:p>
        </w:tc>
      </w:tr>
      <w:tr w:rsidR="000A7545" w:rsidRPr="000A7545" w14:paraId="13B562DC" w14:textId="77777777" w:rsidTr="000A7545">
        <w:trPr>
          <w:trHeight w:val="2221"/>
        </w:trPr>
        <w:tc>
          <w:tcPr>
            <w:tcW w:w="555" w:type="pct"/>
            <w:gridSpan w:val="4"/>
            <w:vMerge/>
            <w:shd w:val="clear" w:color="auto" w:fill="FDE9D9" w:themeFill="accent6" w:themeFillTint="33"/>
            <w:hideMark/>
          </w:tcPr>
          <w:p w14:paraId="13B562D0" w14:textId="77777777" w:rsidR="000A7545" w:rsidRPr="000A7545" w:rsidRDefault="000A7545" w:rsidP="000A7545">
            <w:pPr>
              <w:spacing w:after="0" w:line="240" w:lineRule="auto"/>
              <w:rPr>
                <w:rFonts w:asciiTheme="minorHAnsi" w:eastAsia="Times New Roman" w:hAnsiTheme="minorHAnsi" w:cstheme="minorHAnsi"/>
                <w:b/>
                <w:bCs/>
                <w:color w:val="000000"/>
                <w:sz w:val="20"/>
                <w:szCs w:val="20"/>
                <w:lang w:val="en-US"/>
              </w:rPr>
            </w:pPr>
          </w:p>
        </w:tc>
        <w:tc>
          <w:tcPr>
            <w:tcW w:w="1005" w:type="pct"/>
            <w:gridSpan w:val="2"/>
            <w:shd w:val="clear" w:color="000000" w:fill="DBE5F1"/>
          </w:tcPr>
          <w:p w14:paraId="13B562D1" w14:textId="77777777" w:rsidR="000A7545" w:rsidRPr="000A7545" w:rsidRDefault="000A7545" w:rsidP="000A7545">
            <w:pPr>
              <w:spacing w:after="0" w:line="240" w:lineRule="auto"/>
              <w:rPr>
                <w:rFonts w:asciiTheme="minorHAnsi" w:eastAsia="Times New Roman" w:hAnsiTheme="minorHAnsi" w:cstheme="minorHAnsi"/>
                <w:bCs/>
                <w:color w:val="000000"/>
                <w:sz w:val="20"/>
                <w:szCs w:val="20"/>
                <w:lang w:val="en-US"/>
              </w:rPr>
            </w:pPr>
            <w:r w:rsidRPr="000A7545">
              <w:rPr>
                <w:rFonts w:asciiTheme="minorHAnsi" w:eastAsia="Times New Roman" w:hAnsiTheme="minorHAnsi" w:cstheme="minorHAnsi"/>
                <w:bCs/>
                <w:color w:val="000000"/>
                <w:sz w:val="20"/>
                <w:szCs w:val="20"/>
                <w:lang w:val="en-US"/>
              </w:rPr>
              <w:t>1.2b. % of t</w:t>
            </w:r>
            <w:r w:rsidRPr="000A7545">
              <w:rPr>
                <w:rFonts w:asciiTheme="minorHAnsi" w:eastAsia="Times New Roman" w:hAnsiTheme="minorHAnsi" w:cstheme="minorHAnsi"/>
                <w:bCs/>
                <w:color w:val="000000"/>
                <w:sz w:val="20"/>
                <w:szCs w:val="20"/>
                <w:lang w:val="id-ID"/>
              </w:rPr>
              <w:t>eachers in target rural and remote schools have enhanced skills and confidence in multi</w:t>
            </w:r>
            <w:r w:rsidR="00E377B2">
              <w:rPr>
                <w:rFonts w:asciiTheme="minorHAnsi" w:eastAsia="Times New Roman" w:hAnsiTheme="minorHAnsi" w:cstheme="minorHAnsi"/>
                <w:bCs/>
                <w:color w:val="000000"/>
                <w:sz w:val="20"/>
                <w:szCs w:val="20"/>
                <w:lang w:val="en-US"/>
              </w:rPr>
              <w:t>-</w:t>
            </w:r>
            <w:r w:rsidRPr="000A7545">
              <w:rPr>
                <w:rFonts w:asciiTheme="minorHAnsi" w:eastAsia="Times New Roman" w:hAnsiTheme="minorHAnsi" w:cstheme="minorHAnsi"/>
                <w:bCs/>
                <w:color w:val="000000"/>
                <w:sz w:val="20"/>
                <w:szCs w:val="20"/>
                <w:lang w:val="id-ID"/>
              </w:rPr>
              <w:t>grade teaching (</w:t>
            </w:r>
            <w:r w:rsidRPr="000A7545">
              <w:rPr>
                <w:rFonts w:asciiTheme="minorHAnsi" w:eastAsia="Times New Roman" w:hAnsiTheme="minorHAnsi" w:cstheme="minorHAnsi"/>
                <w:bCs/>
                <w:color w:val="000000"/>
                <w:sz w:val="20"/>
                <w:szCs w:val="20"/>
                <w:lang w:val="en-US"/>
              </w:rPr>
              <w:t>g</w:t>
            </w:r>
            <w:r w:rsidRPr="000A7545">
              <w:rPr>
                <w:rFonts w:asciiTheme="minorHAnsi" w:eastAsia="Times New Roman" w:hAnsiTheme="minorHAnsi" w:cstheme="minorHAnsi"/>
                <w:bCs/>
                <w:color w:val="000000"/>
                <w:sz w:val="20"/>
                <w:szCs w:val="20"/>
                <w:lang w:val="id-ID"/>
              </w:rPr>
              <w:t>rades 1</w:t>
            </w:r>
            <w:r w:rsidRPr="000A7545">
              <w:rPr>
                <w:rFonts w:asciiTheme="minorHAnsi" w:eastAsia="Times New Roman" w:hAnsiTheme="minorHAnsi" w:cstheme="minorHAnsi"/>
                <w:bCs/>
                <w:color w:val="000000"/>
                <w:sz w:val="20"/>
                <w:szCs w:val="20"/>
                <w:lang w:val="en-US"/>
              </w:rPr>
              <w:t>-</w:t>
            </w:r>
            <w:r w:rsidRPr="000A7545">
              <w:rPr>
                <w:rFonts w:asciiTheme="minorHAnsi" w:eastAsia="Times New Roman" w:hAnsiTheme="minorHAnsi" w:cstheme="minorHAnsi"/>
                <w:bCs/>
                <w:color w:val="000000"/>
                <w:sz w:val="20"/>
                <w:szCs w:val="20"/>
                <w:lang w:val="id-ID"/>
              </w:rPr>
              <w:t xml:space="preserve"> 6)</w:t>
            </w:r>
            <w:r w:rsidRPr="000A7545">
              <w:rPr>
                <w:rFonts w:asciiTheme="minorHAnsi" w:eastAsia="Times New Roman" w:hAnsiTheme="minorHAnsi" w:cstheme="minorHAnsi"/>
                <w:bCs/>
                <w:color w:val="000000"/>
                <w:sz w:val="20"/>
                <w:szCs w:val="20"/>
                <w:lang w:val="en-US"/>
              </w:rPr>
              <w:t>:</w:t>
            </w:r>
          </w:p>
          <w:p w14:paraId="13B562D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 conducting student needs mapping</w:t>
            </w:r>
          </w:p>
          <w:p w14:paraId="13B562D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2) use of local learning aids</w:t>
            </w:r>
          </w:p>
          <w:p w14:paraId="13B562D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3) applying student lesson planning for multi-grades</w:t>
            </w:r>
          </w:p>
        </w:tc>
        <w:tc>
          <w:tcPr>
            <w:tcW w:w="1117" w:type="pct"/>
            <w:shd w:val="clear" w:color="000000" w:fill="DBE5F1"/>
          </w:tcPr>
          <w:p w14:paraId="13B562D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 0%</w:t>
            </w:r>
          </w:p>
          <w:p w14:paraId="13B562D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2) 0%</w:t>
            </w:r>
          </w:p>
          <w:p w14:paraId="13B562D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3) 0%</w:t>
            </w:r>
          </w:p>
        </w:tc>
        <w:tc>
          <w:tcPr>
            <w:tcW w:w="500" w:type="pct"/>
            <w:shd w:val="clear" w:color="000000" w:fill="DBE5F1"/>
          </w:tcPr>
          <w:p w14:paraId="13B562D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At least 80% of teachers trained are applying improved multi</w:t>
            </w:r>
            <w:r w:rsidRPr="000A7545">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grade approaches in the classroom</w:t>
            </w:r>
          </w:p>
        </w:tc>
        <w:tc>
          <w:tcPr>
            <w:tcW w:w="1088" w:type="pct"/>
            <w:shd w:val="clear" w:color="000000" w:fill="DBE5F1"/>
          </w:tcPr>
          <w:p w14:paraId="13B562D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shd w:val="clear" w:color="000000" w:fill="DBE5F1"/>
          </w:tcPr>
          <w:p w14:paraId="13B562D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000000" w:fill="DBE5F1"/>
          </w:tcPr>
          <w:p w14:paraId="13B562D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School visits including classroom observations</w:t>
            </w:r>
            <w:r w:rsidRPr="000A7545">
              <w:rPr>
                <w:rFonts w:asciiTheme="minorHAnsi" w:eastAsia="Times New Roman" w:hAnsiTheme="minorHAnsi" w:cstheme="minorHAnsi"/>
                <w:color w:val="000000"/>
                <w:sz w:val="20"/>
                <w:szCs w:val="20"/>
                <w:lang w:val="en-US"/>
              </w:rPr>
              <w:t xml:space="preserve"> and endline evaluation</w:t>
            </w:r>
          </w:p>
        </w:tc>
      </w:tr>
      <w:tr w:rsidR="000A7545" w:rsidRPr="000A7545" w14:paraId="13B562E9" w14:textId="77777777" w:rsidTr="000A7545">
        <w:trPr>
          <w:trHeight w:val="2590"/>
        </w:trPr>
        <w:tc>
          <w:tcPr>
            <w:tcW w:w="555" w:type="pct"/>
            <w:gridSpan w:val="4"/>
            <w:vMerge/>
            <w:shd w:val="clear" w:color="auto" w:fill="FDE9D9" w:themeFill="accent6" w:themeFillTint="33"/>
            <w:hideMark/>
          </w:tcPr>
          <w:p w14:paraId="13B562DD" w14:textId="77777777" w:rsidR="000A7545" w:rsidRPr="000A7545" w:rsidRDefault="000A7545" w:rsidP="000A7545">
            <w:pPr>
              <w:spacing w:after="0" w:line="240" w:lineRule="auto"/>
              <w:rPr>
                <w:rFonts w:asciiTheme="minorHAnsi" w:eastAsia="Times New Roman" w:hAnsiTheme="minorHAnsi" w:cstheme="minorHAnsi"/>
                <w:b/>
                <w:bCs/>
                <w:color w:val="000000"/>
                <w:sz w:val="20"/>
                <w:szCs w:val="20"/>
                <w:lang w:val="en-US"/>
              </w:rPr>
            </w:pPr>
          </w:p>
        </w:tc>
        <w:tc>
          <w:tcPr>
            <w:tcW w:w="1005" w:type="pct"/>
            <w:gridSpan w:val="2"/>
            <w:shd w:val="clear" w:color="000000" w:fill="DBE5F1"/>
          </w:tcPr>
          <w:p w14:paraId="13B562DE" w14:textId="77777777" w:rsidR="000A7545" w:rsidRPr="000A7545" w:rsidRDefault="00F52070" w:rsidP="000A7545">
            <w:pPr>
              <w:spacing w:after="0" w:line="240" w:lineRule="auto"/>
              <w:rPr>
                <w:rFonts w:asciiTheme="minorHAnsi" w:eastAsia="Symbol" w:hAnsiTheme="minorHAnsi" w:cstheme="minorHAnsi"/>
                <w:color w:val="000000"/>
                <w:sz w:val="20"/>
                <w:szCs w:val="20"/>
                <w:lang w:val="en-US"/>
              </w:rPr>
            </w:pPr>
            <w:r>
              <w:rPr>
                <w:rFonts w:asciiTheme="minorHAnsi" w:eastAsia="Symbol" w:hAnsiTheme="minorHAnsi" w:cstheme="minorHAnsi"/>
                <w:color w:val="000000"/>
                <w:sz w:val="20"/>
                <w:szCs w:val="20"/>
                <w:lang w:val="en-US"/>
              </w:rPr>
              <w:t>1.2</w:t>
            </w:r>
            <w:r w:rsidR="000A7545" w:rsidRPr="000A7545">
              <w:rPr>
                <w:rFonts w:asciiTheme="minorHAnsi" w:eastAsia="Symbol" w:hAnsiTheme="minorHAnsi" w:cstheme="minorHAnsi"/>
                <w:color w:val="000000"/>
                <w:sz w:val="20"/>
                <w:szCs w:val="20"/>
                <w:lang w:val="en-US"/>
              </w:rPr>
              <w:t>c.</w:t>
            </w:r>
            <w:r w:rsidR="000A7545" w:rsidRPr="000A7545">
              <w:rPr>
                <w:rFonts w:asciiTheme="minorHAnsi" w:eastAsia="Symbol" w:hAnsiTheme="minorHAnsi" w:cstheme="minorHAnsi"/>
                <w:color w:val="000000"/>
                <w:sz w:val="20"/>
                <w:szCs w:val="20"/>
                <w:lang w:val="id-ID"/>
              </w:rPr>
              <w:t xml:space="preserve"> % of teachers trained applying improved </w:t>
            </w:r>
            <w:r w:rsidR="00E377B2">
              <w:rPr>
                <w:rFonts w:asciiTheme="minorHAnsi" w:eastAsia="Symbol" w:hAnsiTheme="minorHAnsi" w:cstheme="minorHAnsi"/>
                <w:color w:val="000000"/>
                <w:sz w:val="20"/>
                <w:szCs w:val="20"/>
                <w:lang w:val="id-ID"/>
              </w:rPr>
              <w:t>early-grade</w:t>
            </w:r>
            <w:r w:rsidR="000A7545" w:rsidRPr="000A7545">
              <w:rPr>
                <w:rFonts w:asciiTheme="minorHAnsi" w:eastAsia="Symbol" w:hAnsiTheme="minorHAnsi" w:cstheme="minorHAnsi"/>
                <w:color w:val="000000"/>
                <w:sz w:val="20"/>
                <w:szCs w:val="20"/>
                <w:lang w:val="id-ID"/>
              </w:rPr>
              <w:t xml:space="preserve"> teaching approaches in the classroom</w:t>
            </w:r>
            <w:r w:rsidR="000A7545" w:rsidRPr="000A7545">
              <w:rPr>
                <w:rFonts w:asciiTheme="minorHAnsi" w:eastAsia="Symbol" w:hAnsiTheme="minorHAnsi" w:cstheme="minorHAnsi"/>
                <w:color w:val="000000"/>
                <w:sz w:val="20"/>
                <w:szCs w:val="20"/>
                <w:lang w:val="en-US"/>
              </w:rPr>
              <w:t>:</w:t>
            </w:r>
          </w:p>
          <w:p w14:paraId="13B562DF"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 use of mother tongue</w:t>
            </w:r>
          </w:p>
          <w:p w14:paraId="13B562E0"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2) application of thematic approach lesson planning for </w:t>
            </w:r>
            <w:r w:rsidR="00E377B2">
              <w:rPr>
                <w:rFonts w:asciiTheme="minorHAnsi" w:eastAsia="Symbol" w:hAnsiTheme="minorHAnsi" w:cstheme="minorHAnsi"/>
                <w:color w:val="000000"/>
                <w:sz w:val="20"/>
                <w:szCs w:val="20"/>
                <w:lang w:val="en-US"/>
              </w:rPr>
              <w:t>early-grade</w:t>
            </w:r>
            <w:r w:rsidRPr="000A7545">
              <w:rPr>
                <w:rFonts w:asciiTheme="minorHAnsi" w:eastAsia="Symbol" w:hAnsiTheme="minorHAnsi" w:cstheme="minorHAnsi"/>
                <w:color w:val="000000"/>
                <w:sz w:val="20"/>
                <w:szCs w:val="20"/>
                <w:lang w:val="en-US"/>
              </w:rPr>
              <w:t>s</w:t>
            </w:r>
          </w:p>
          <w:p w14:paraId="13B562E1"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3) using literacy and numeracy packs</w:t>
            </w:r>
          </w:p>
        </w:tc>
        <w:tc>
          <w:tcPr>
            <w:tcW w:w="1117" w:type="pct"/>
            <w:shd w:val="clear" w:color="000000" w:fill="DBE5F1"/>
          </w:tcPr>
          <w:p w14:paraId="13B562E2" w14:textId="77777777" w:rsidR="000A7545" w:rsidRPr="000A7545" w:rsidRDefault="000A7545" w:rsidP="000A7545">
            <w:pPr>
              <w:spacing w:after="0" w:line="240" w:lineRule="auto"/>
              <w:ind w:left="92" w:hangingChars="46" w:hanging="92"/>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 n/a; no mother tongue use reported</w:t>
            </w:r>
          </w:p>
          <w:p w14:paraId="13B562E3" w14:textId="77777777" w:rsidR="000A7545" w:rsidRPr="000A7545" w:rsidRDefault="000A7545" w:rsidP="000A7545">
            <w:pPr>
              <w:spacing w:after="0" w:line="240" w:lineRule="auto"/>
              <w:ind w:left="92" w:hangingChars="46" w:hanging="92"/>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2) 0%</w:t>
            </w:r>
          </w:p>
          <w:p w14:paraId="13B562E4" w14:textId="77777777" w:rsidR="000A7545" w:rsidRPr="000A7545" w:rsidRDefault="000A7545" w:rsidP="000A7545">
            <w:pPr>
              <w:spacing w:after="0" w:line="240" w:lineRule="auto"/>
              <w:ind w:left="92" w:hangingChars="46" w:hanging="92"/>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3) 0%</w:t>
            </w:r>
          </w:p>
        </w:tc>
        <w:tc>
          <w:tcPr>
            <w:tcW w:w="500" w:type="pct"/>
            <w:shd w:val="clear" w:color="000000" w:fill="DBE5F1"/>
          </w:tcPr>
          <w:p w14:paraId="13B562E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At least 80% of teachers trained are applying improved </w:t>
            </w:r>
            <w:r w:rsidR="00E377B2">
              <w:rPr>
                <w:rFonts w:asciiTheme="minorHAnsi" w:eastAsia="Times New Roman" w:hAnsiTheme="minorHAnsi" w:cstheme="minorHAnsi"/>
                <w:color w:val="000000"/>
                <w:sz w:val="20"/>
                <w:szCs w:val="20"/>
                <w:lang w:val="id-ID"/>
              </w:rPr>
              <w:t>early-grade</w:t>
            </w:r>
            <w:r w:rsidRPr="000A7545">
              <w:rPr>
                <w:rFonts w:asciiTheme="minorHAnsi" w:eastAsia="Times New Roman" w:hAnsiTheme="minorHAnsi" w:cstheme="minorHAnsi"/>
                <w:color w:val="000000"/>
                <w:sz w:val="20"/>
                <w:szCs w:val="20"/>
                <w:lang w:val="id-ID"/>
              </w:rPr>
              <w:t xml:space="preserve"> teaching approaches in the classroom</w:t>
            </w:r>
          </w:p>
        </w:tc>
        <w:tc>
          <w:tcPr>
            <w:tcW w:w="1088" w:type="pct"/>
            <w:shd w:val="clear" w:color="000000" w:fill="DBE5F1"/>
          </w:tcPr>
          <w:p w14:paraId="13B562E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shd w:val="clear" w:color="000000" w:fill="DBE5F1"/>
          </w:tcPr>
          <w:p w14:paraId="13B562E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000000" w:fill="DBE5F1"/>
          </w:tcPr>
          <w:p w14:paraId="13B562E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w:t>
            </w:r>
            <w:r w:rsidRPr="000A7545">
              <w:rPr>
                <w:rFonts w:asciiTheme="minorHAnsi" w:eastAsia="Times New Roman" w:hAnsiTheme="minorHAnsi" w:cstheme="minorHAnsi"/>
                <w:color w:val="000000"/>
                <w:sz w:val="20"/>
                <w:szCs w:val="20"/>
                <w:lang w:val="id-ID"/>
              </w:rPr>
              <w:t>chool visits including classroom observations</w:t>
            </w:r>
          </w:p>
        </w:tc>
      </w:tr>
      <w:tr w:rsidR="000A7545" w:rsidRPr="000A7545" w14:paraId="13B562EB" w14:textId="77777777" w:rsidTr="000A7545">
        <w:trPr>
          <w:trHeight w:val="214"/>
        </w:trPr>
        <w:tc>
          <w:tcPr>
            <w:tcW w:w="5000" w:type="pct"/>
            <w:gridSpan w:val="13"/>
            <w:vAlign w:val="center"/>
          </w:tcPr>
          <w:p w14:paraId="13B562EA" w14:textId="77777777" w:rsidR="000A7545" w:rsidRPr="000A7545" w:rsidRDefault="000A7545" w:rsidP="000A7545">
            <w:pPr>
              <w:spacing w:after="0" w:line="240" w:lineRule="auto"/>
              <w:rPr>
                <w:rFonts w:asciiTheme="minorHAnsi" w:eastAsia="Times New Roman" w:hAnsiTheme="minorHAnsi" w:cstheme="minorHAnsi"/>
                <w:b/>
                <w:bCs/>
                <w:color w:val="000000"/>
                <w:lang w:val="en-US"/>
              </w:rPr>
            </w:pPr>
            <w:r w:rsidRPr="000A7545">
              <w:rPr>
                <w:rFonts w:asciiTheme="minorHAnsi" w:eastAsia="Times New Roman" w:hAnsiTheme="minorHAnsi" w:cstheme="minorHAnsi"/>
                <w:b/>
                <w:bCs/>
                <w:color w:val="000000"/>
                <w:lang w:val="id-ID"/>
              </w:rPr>
              <w:t>Outputs</w:t>
            </w:r>
          </w:p>
        </w:tc>
      </w:tr>
      <w:tr w:rsidR="000A7545" w:rsidRPr="000A7545" w14:paraId="13B562F6" w14:textId="77777777" w:rsidTr="000A7545">
        <w:trPr>
          <w:trHeight w:val="772"/>
        </w:trPr>
        <w:tc>
          <w:tcPr>
            <w:tcW w:w="555" w:type="pct"/>
            <w:gridSpan w:val="4"/>
            <w:vMerge w:val="restart"/>
            <w:shd w:val="clear" w:color="auto" w:fill="auto"/>
          </w:tcPr>
          <w:p w14:paraId="13B562E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1.2.1 Teachers, principals, and supervisors improve capacity to use AJEL in the classroom</w:t>
            </w:r>
            <w:r w:rsidR="00F52070">
              <w:rPr>
                <w:rFonts w:asciiTheme="minorHAnsi" w:eastAsia="Times New Roman" w:hAnsiTheme="minorHAnsi" w:cstheme="minorHAnsi"/>
                <w:color w:val="000000"/>
                <w:sz w:val="20"/>
                <w:szCs w:val="20"/>
                <w:lang w:val="en-US"/>
              </w:rPr>
              <w:t xml:space="preserve"> (AusAID)</w:t>
            </w:r>
          </w:p>
        </w:tc>
        <w:tc>
          <w:tcPr>
            <w:tcW w:w="1005" w:type="pct"/>
            <w:gridSpan w:val="2"/>
            <w:shd w:val="clear" w:color="auto" w:fill="auto"/>
          </w:tcPr>
          <w:p w14:paraId="13B562E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1.2.1a. Number of</w:t>
            </w:r>
            <w:r w:rsidRPr="000A7545">
              <w:rPr>
                <w:rFonts w:asciiTheme="minorHAnsi" w:eastAsia="Symbol" w:hAnsiTheme="minorHAnsi" w:cstheme="minorHAnsi"/>
                <w:color w:val="000000"/>
                <w:sz w:val="20"/>
                <w:szCs w:val="20"/>
                <w:lang w:val="id-ID"/>
              </w:rPr>
              <w:t xml:space="preserve"> </w:t>
            </w:r>
            <w:r w:rsidRPr="000A7545">
              <w:rPr>
                <w:rFonts w:asciiTheme="minorHAnsi" w:eastAsia="Symbol" w:hAnsiTheme="minorHAnsi" w:cstheme="minorHAnsi"/>
                <w:color w:val="000000"/>
                <w:sz w:val="20"/>
                <w:szCs w:val="20"/>
                <w:lang w:val="en-US"/>
              </w:rPr>
              <w:t xml:space="preserve">teachers, </w:t>
            </w:r>
            <w:r w:rsidRPr="000A7545">
              <w:rPr>
                <w:rFonts w:asciiTheme="minorHAnsi" w:eastAsia="Symbol" w:hAnsiTheme="minorHAnsi" w:cstheme="minorHAnsi"/>
                <w:color w:val="000000"/>
                <w:sz w:val="20"/>
                <w:szCs w:val="20"/>
                <w:lang w:val="id-ID"/>
              </w:rPr>
              <w:t>principals</w:t>
            </w:r>
            <w:r w:rsidRPr="000A7545">
              <w:rPr>
                <w:rFonts w:asciiTheme="minorHAnsi" w:eastAsia="Symbol" w:hAnsiTheme="minorHAnsi" w:cstheme="minorHAnsi"/>
                <w:color w:val="000000"/>
                <w:sz w:val="20"/>
                <w:szCs w:val="20"/>
                <w:lang w:val="en-US"/>
              </w:rPr>
              <w:t>, supervisors and school committee members</w:t>
            </w:r>
            <w:r w:rsidRPr="000A7545">
              <w:rPr>
                <w:rFonts w:asciiTheme="minorHAnsi" w:eastAsia="Symbol" w:hAnsiTheme="minorHAnsi" w:cstheme="minorHAnsi"/>
                <w:color w:val="000000"/>
                <w:sz w:val="20"/>
                <w:szCs w:val="20"/>
                <w:lang w:val="id-ID"/>
              </w:rPr>
              <w:t xml:space="preserve"> trained in AJEL</w:t>
            </w:r>
            <w:r w:rsidRPr="000A7545">
              <w:rPr>
                <w:rFonts w:asciiTheme="minorHAnsi" w:eastAsia="Symbol" w:hAnsiTheme="minorHAnsi" w:cstheme="minorHAnsi"/>
                <w:color w:val="000000"/>
                <w:sz w:val="20"/>
                <w:szCs w:val="20"/>
                <w:lang w:val="en-US"/>
              </w:rPr>
              <w:t xml:space="preserve"> (by gender)</w:t>
            </w:r>
          </w:p>
        </w:tc>
        <w:tc>
          <w:tcPr>
            <w:tcW w:w="1117" w:type="pct"/>
            <w:shd w:val="clear" w:color="auto" w:fill="auto"/>
          </w:tcPr>
          <w:p w14:paraId="13B562E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Number of  teachers, principals, and supervisors in target schools in 6 target districts received some training in AJEL at time of survey (activities in field were already launched by time of baseline survey in the field)</w:t>
            </w:r>
          </w:p>
        </w:tc>
        <w:tc>
          <w:tcPr>
            <w:tcW w:w="500" w:type="pct"/>
            <w:shd w:val="clear" w:color="auto" w:fill="auto"/>
          </w:tcPr>
          <w:p w14:paraId="13B562E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1</w:t>
            </w:r>
            <w:r w:rsidRPr="000A7545">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 xml:space="preserve">800 participants from </w:t>
            </w:r>
            <w:r w:rsidRPr="000A7545">
              <w:rPr>
                <w:rFonts w:asciiTheme="minorHAnsi" w:eastAsia="Times New Roman" w:hAnsiTheme="minorHAnsi" w:cstheme="minorHAnsi"/>
                <w:color w:val="000000"/>
                <w:sz w:val="20"/>
                <w:szCs w:val="20"/>
                <w:lang w:val="en-US"/>
              </w:rPr>
              <w:t>260</w:t>
            </w:r>
            <w:r w:rsidRPr="000A7545">
              <w:rPr>
                <w:rFonts w:asciiTheme="minorHAnsi" w:eastAsia="Times New Roman" w:hAnsiTheme="minorHAnsi" w:cstheme="minorHAnsi"/>
                <w:color w:val="000000"/>
                <w:sz w:val="20"/>
                <w:szCs w:val="20"/>
                <w:lang w:val="id-ID"/>
              </w:rPr>
              <w:t xml:space="preserve"> </w:t>
            </w:r>
            <w:r w:rsidRPr="000A7545">
              <w:rPr>
                <w:rFonts w:asciiTheme="minorHAnsi" w:eastAsia="Times New Roman" w:hAnsiTheme="minorHAnsi" w:cstheme="minorHAnsi"/>
                <w:color w:val="000000"/>
                <w:sz w:val="20"/>
                <w:szCs w:val="20"/>
                <w:lang w:val="en-US"/>
              </w:rPr>
              <w:t>schools (teachers, principals and school supervisors)</w:t>
            </w:r>
          </w:p>
        </w:tc>
        <w:tc>
          <w:tcPr>
            <w:tcW w:w="1088" w:type="pct"/>
          </w:tcPr>
          <w:p w14:paraId="13B562F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Principals: 213</w:t>
            </w:r>
          </w:p>
          <w:p w14:paraId="13B562F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Teachers: 962</w:t>
            </w:r>
          </w:p>
          <w:p w14:paraId="13B562F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Supervisors: 115</w:t>
            </w:r>
          </w:p>
          <w:p w14:paraId="13B562F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Total: 1,290</w:t>
            </w:r>
          </w:p>
        </w:tc>
        <w:tc>
          <w:tcPr>
            <w:tcW w:w="294" w:type="pct"/>
            <w:gridSpan w:val="3"/>
          </w:tcPr>
          <w:p w14:paraId="13B562F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tcPr>
          <w:p w14:paraId="13B562F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Training records</w:t>
            </w:r>
          </w:p>
        </w:tc>
      </w:tr>
      <w:tr w:rsidR="000A7545" w:rsidRPr="000A7545" w14:paraId="13B56302" w14:textId="77777777" w:rsidTr="000A7545">
        <w:trPr>
          <w:trHeight w:val="592"/>
        </w:trPr>
        <w:tc>
          <w:tcPr>
            <w:tcW w:w="555" w:type="pct"/>
            <w:gridSpan w:val="4"/>
            <w:vMerge/>
            <w:shd w:val="clear" w:color="auto" w:fill="auto"/>
            <w:hideMark/>
          </w:tcPr>
          <w:p w14:paraId="13B562F7" w14:textId="77777777" w:rsidR="000A7545" w:rsidRPr="000A7545" w:rsidRDefault="000A7545" w:rsidP="000A7545">
            <w:pPr>
              <w:spacing w:after="0" w:line="240" w:lineRule="auto"/>
              <w:rPr>
                <w:rFonts w:asciiTheme="minorHAnsi" w:eastAsia="Times New Roman" w:hAnsiTheme="minorHAnsi" w:cstheme="minorHAnsi"/>
                <w:color w:val="000000"/>
                <w:lang w:val="en-US"/>
              </w:rPr>
            </w:pPr>
          </w:p>
        </w:tc>
        <w:tc>
          <w:tcPr>
            <w:tcW w:w="1005" w:type="pct"/>
            <w:gridSpan w:val="2"/>
            <w:shd w:val="clear" w:color="auto" w:fill="auto"/>
            <w:hideMark/>
          </w:tcPr>
          <w:p w14:paraId="13B562F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1.2.1b. Number</w:t>
            </w:r>
            <w:r w:rsidRPr="000A7545">
              <w:rPr>
                <w:rFonts w:asciiTheme="minorHAnsi" w:eastAsia="Symbol" w:hAnsiTheme="minorHAnsi" w:cstheme="minorHAnsi"/>
                <w:color w:val="000000"/>
                <w:sz w:val="20"/>
                <w:szCs w:val="20"/>
                <w:lang w:val="id-ID"/>
              </w:rPr>
              <w:t xml:space="preserve"> of principals, </w:t>
            </w:r>
            <w:r w:rsidRPr="000A7545">
              <w:rPr>
                <w:rFonts w:asciiTheme="minorHAnsi" w:eastAsia="Symbol" w:hAnsiTheme="minorHAnsi" w:cstheme="minorHAnsi"/>
                <w:color w:val="000000"/>
                <w:sz w:val="20"/>
                <w:szCs w:val="20"/>
                <w:lang w:val="en-US"/>
              </w:rPr>
              <w:t>supervisors</w:t>
            </w:r>
            <w:r w:rsidRPr="000A7545">
              <w:rPr>
                <w:rFonts w:asciiTheme="minorHAnsi" w:eastAsia="Symbol" w:hAnsiTheme="minorHAnsi" w:cstheme="minorHAnsi"/>
                <w:color w:val="000000"/>
                <w:sz w:val="20"/>
                <w:szCs w:val="20"/>
                <w:lang w:val="id-ID"/>
              </w:rPr>
              <w:t xml:space="preserve"> and school committee members (</w:t>
            </w:r>
            <w:r w:rsidRPr="000A7545">
              <w:rPr>
                <w:rFonts w:asciiTheme="minorHAnsi" w:eastAsia="Symbol" w:hAnsiTheme="minorHAnsi" w:cstheme="minorHAnsi"/>
                <w:color w:val="000000"/>
                <w:sz w:val="20"/>
                <w:szCs w:val="20"/>
                <w:lang w:val="en-US"/>
              </w:rPr>
              <w:t>by gender</w:t>
            </w:r>
            <w:r w:rsidRPr="000A7545">
              <w:rPr>
                <w:rFonts w:asciiTheme="minorHAnsi" w:eastAsia="Symbol" w:hAnsiTheme="minorHAnsi" w:cstheme="minorHAnsi"/>
                <w:color w:val="000000"/>
                <w:sz w:val="20"/>
                <w:szCs w:val="20"/>
                <w:lang w:val="id-ID"/>
              </w:rPr>
              <w:t>) trained in improved school</w:t>
            </w:r>
            <w:r w:rsidRPr="000A7545">
              <w:rPr>
                <w:rFonts w:asciiTheme="minorHAnsi" w:eastAsia="Symbol" w:hAnsiTheme="minorHAnsi" w:cstheme="minorHAnsi"/>
                <w:color w:val="000000"/>
                <w:sz w:val="20"/>
                <w:szCs w:val="20"/>
                <w:lang w:val="en-US"/>
              </w:rPr>
              <w:t>-based</w:t>
            </w:r>
            <w:r w:rsidRPr="000A7545">
              <w:rPr>
                <w:rFonts w:asciiTheme="minorHAnsi" w:eastAsia="Symbol" w:hAnsiTheme="minorHAnsi" w:cstheme="minorHAnsi"/>
                <w:color w:val="000000"/>
                <w:sz w:val="20"/>
                <w:szCs w:val="20"/>
                <w:lang w:val="id-ID"/>
              </w:rPr>
              <w:t xml:space="preserve"> manag</w:t>
            </w:r>
            <w:r w:rsidRPr="000A7545">
              <w:rPr>
                <w:rFonts w:asciiTheme="minorHAnsi" w:eastAsia="Symbol" w:hAnsiTheme="minorHAnsi" w:cstheme="minorHAnsi"/>
                <w:color w:val="000000"/>
                <w:sz w:val="20"/>
                <w:szCs w:val="20"/>
                <w:lang w:val="en-US"/>
              </w:rPr>
              <w:t>ement</w:t>
            </w:r>
          </w:p>
        </w:tc>
        <w:tc>
          <w:tcPr>
            <w:tcW w:w="1117" w:type="pct"/>
            <w:shd w:val="clear" w:color="auto" w:fill="auto"/>
            <w:hideMark/>
          </w:tcPr>
          <w:p w14:paraId="13B562F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Number of  school principals, committee members, and supervisors in target schools in 6 target districts received some training in improved school management (activities in field were already launched by time of baseline survey in the field)</w:t>
            </w:r>
          </w:p>
        </w:tc>
        <w:tc>
          <w:tcPr>
            <w:tcW w:w="500" w:type="pct"/>
            <w:shd w:val="clear" w:color="auto" w:fill="auto"/>
            <w:hideMark/>
          </w:tcPr>
          <w:p w14:paraId="13B562F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1</w:t>
            </w:r>
            <w:r w:rsidRPr="000A7545">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 xml:space="preserve">800 participants from </w:t>
            </w:r>
            <w:r w:rsidRPr="000A7545">
              <w:rPr>
                <w:rFonts w:asciiTheme="minorHAnsi" w:eastAsia="Times New Roman" w:hAnsiTheme="minorHAnsi" w:cstheme="minorHAnsi"/>
                <w:color w:val="000000"/>
                <w:sz w:val="20"/>
                <w:szCs w:val="20"/>
                <w:lang w:val="en-US"/>
              </w:rPr>
              <w:t>260</w:t>
            </w:r>
            <w:r w:rsidRPr="000A7545">
              <w:rPr>
                <w:rFonts w:asciiTheme="minorHAnsi" w:eastAsia="Times New Roman" w:hAnsiTheme="minorHAnsi" w:cstheme="minorHAnsi"/>
                <w:color w:val="000000"/>
                <w:sz w:val="20"/>
                <w:szCs w:val="20"/>
                <w:lang w:val="id-ID"/>
              </w:rPr>
              <w:t xml:space="preserve"> schools</w:t>
            </w:r>
          </w:p>
          <w:p w14:paraId="13B562F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r w:rsidRPr="000A7545">
              <w:rPr>
                <w:rFonts w:asciiTheme="minorHAnsi" w:eastAsia="Times New Roman" w:hAnsiTheme="minorHAnsi" w:cstheme="minorHAnsi"/>
                <w:color w:val="000000"/>
                <w:sz w:val="20"/>
                <w:szCs w:val="20"/>
                <w:lang w:val="en-US"/>
              </w:rPr>
              <w:t xml:space="preserve">(teachers, principals and school supervisors) </w:t>
            </w:r>
          </w:p>
        </w:tc>
        <w:tc>
          <w:tcPr>
            <w:tcW w:w="1088" w:type="pct"/>
          </w:tcPr>
          <w:p w14:paraId="13B562F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Principals: 213</w:t>
            </w:r>
          </w:p>
          <w:p w14:paraId="13B562F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School committee members: 120</w:t>
            </w:r>
          </w:p>
          <w:p w14:paraId="13B562F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Supervisors: 115</w:t>
            </w:r>
          </w:p>
          <w:p w14:paraId="13B562F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Total: 448</w:t>
            </w:r>
          </w:p>
        </w:tc>
        <w:tc>
          <w:tcPr>
            <w:tcW w:w="294" w:type="pct"/>
            <w:gridSpan w:val="3"/>
          </w:tcPr>
          <w:p w14:paraId="13B5630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hideMark/>
          </w:tcPr>
          <w:p w14:paraId="13B5630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Training records</w:t>
            </w:r>
          </w:p>
        </w:tc>
      </w:tr>
      <w:tr w:rsidR="000A7545" w:rsidRPr="000A7545" w14:paraId="13B5630A" w14:textId="77777777" w:rsidTr="000A7545">
        <w:trPr>
          <w:trHeight w:val="1221"/>
        </w:trPr>
        <w:tc>
          <w:tcPr>
            <w:tcW w:w="555" w:type="pct"/>
            <w:gridSpan w:val="4"/>
            <w:vMerge/>
            <w:shd w:val="clear" w:color="auto" w:fill="auto"/>
            <w:hideMark/>
          </w:tcPr>
          <w:p w14:paraId="13B56303" w14:textId="77777777" w:rsidR="000A7545" w:rsidRPr="000A7545" w:rsidRDefault="000A7545" w:rsidP="000A7545">
            <w:pPr>
              <w:spacing w:after="0" w:line="240" w:lineRule="auto"/>
              <w:rPr>
                <w:rFonts w:asciiTheme="minorHAnsi" w:eastAsia="Times New Roman" w:hAnsiTheme="minorHAnsi" w:cstheme="minorHAnsi"/>
                <w:color w:val="000000"/>
                <w:lang w:val="id-ID"/>
              </w:rPr>
            </w:pPr>
          </w:p>
        </w:tc>
        <w:tc>
          <w:tcPr>
            <w:tcW w:w="1005" w:type="pct"/>
            <w:gridSpan w:val="2"/>
            <w:shd w:val="clear" w:color="auto" w:fill="auto"/>
          </w:tcPr>
          <w:p w14:paraId="13B5630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1.2.1c.</w:t>
            </w:r>
            <w:r w:rsidRPr="000A7545">
              <w:rPr>
                <w:rFonts w:asciiTheme="minorHAnsi" w:eastAsia="Symbol" w:hAnsiTheme="minorHAnsi" w:cstheme="minorHAnsi"/>
                <w:color w:val="000000"/>
                <w:sz w:val="20"/>
                <w:szCs w:val="20"/>
                <w:lang w:val="id-ID"/>
              </w:rPr>
              <w:t xml:space="preserve"> % of teacher</w:t>
            </w:r>
            <w:r w:rsidRPr="000A7545">
              <w:rPr>
                <w:rFonts w:asciiTheme="minorHAnsi" w:eastAsia="Symbol" w:hAnsiTheme="minorHAnsi" w:cstheme="minorHAnsi"/>
                <w:color w:val="000000"/>
                <w:sz w:val="20"/>
                <w:szCs w:val="20"/>
                <w:lang w:val="en-US"/>
              </w:rPr>
              <w:t xml:space="preserve"> and </w:t>
            </w:r>
            <w:r w:rsidRPr="000A7545">
              <w:rPr>
                <w:rFonts w:asciiTheme="minorHAnsi" w:eastAsia="Symbol" w:hAnsiTheme="minorHAnsi" w:cstheme="minorHAnsi"/>
                <w:color w:val="000000"/>
                <w:sz w:val="20"/>
                <w:szCs w:val="20"/>
                <w:lang w:val="id-ID"/>
              </w:rPr>
              <w:t>principal working groups (KKG/KKKS) supporting the implementation of SBM through regular meetings in 6/6 districts</w:t>
            </w:r>
          </w:p>
        </w:tc>
        <w:tc>
          <w:tcPr>
            <w:tcW w:w="1117" w:type="pct"/>
            <w:shd w:val="clear" w:color="auto" w:fill="auto"/>
          </w:tcPr>
          <w:p w14:paraId="13B56305" w14:textId="77777777" w:rsidR="000A7545" w:rsidRPr="000A7545" w:rsidRDefault="000A7545" w:rsidP="000A7545">
            <w:pPr>
              <w:spacing w:after="0" w:line="240" w:lineRule="auto"/>
              <w:rPr>
                <w:rFonts w:asciiTheme="minorHAnsi" w:eastAsia="Times New Roman" w:hAnsiTheme="minorHAnsi" w:cstheme="minorHAnsi"/>
                <w:sz w:val="20"/>
                <w:szCs w:val="20"/>
                <w:highlight w:val="yellow"/>
                <w:lang w:val="en-US"/>
              </w:rPr>
            </w:pPr>
            <w:r w:rsidRPr="000A7545">
              <w:rPr>
                <w:rFonts w:asciiTheme="minorHAnsi" w:eastAsia="Times New Roman" w:hAnsiTheme="minorHAnsi" w:cstheme="minorHAnsi"/>
                <w:color w:val="000000"/>
                <w:sz w:val="20"/>
                <w:szCs w:val="20"/>
                <w:lang w:val="en-US"/>
              </w:rPr>
              <w:t xml:space="preserve">Regular meetings in 20% of KKGs and 17% of KKKs held on quarterly basis in all target districts </w:t>
            </w:r>
          </w:p>
        </w:tc>
        <w:tc>
          <w:tcPr>
            <w:tcW w:w="500" w:type="pct"/>
            <w:shd w:val="clear" w:color="auto" w:fill="auto"/>
          </w:tcPr>
          <w:p w14:paraId="13B5630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80% of working groups conducting regular meetings to support </w:t>
            </w:r>
            <w:r w:rsidRPr="000A7545">
              <w:rPr>
                <w:rFonts w:asciiTheme="minorHAnsi" w:eastAsia="Symbol" w:hAnsiTheme="minorHAnsi" w:cstheme="minorHAnsi"/>
                <w:color w:val="000000"/>
                <w:sz w:val="20"/>
                <w:szCs w:val="20"/>
                <w:lang w:val="id-ID"/>
              </w:rPr>
              <w:t>SBM</w:t>
            </w:r>
            <w:r w:rsidRPr="000A7545">
              <w:rPr>
                <w:rFonts w:asciiTheme="minorHAnsi" w:eastAsia="Times New Roman" w:hAnsiTheme="minorHAnsi" w:cstheme="minorHAnsi"/>
                <w:color w:val="000000"/>
                <w:sz w:val="20"/>
                <w:szCs w:val="20"/>
                <w:lang w:val="id-ID"/>
              </w:rPr>
              <w:t xml:space="preserve"> implementation</w:t>
            </w:r>
          </w:p>
        </w:tc>
        <w:tc>
          <w:tcPr>
            <w:tcW w:w="1088" w:type="pct"/>
          </w:tcPr>
          <w:p w14:paraId="13B5630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r w:rsidRPr="000A7545">
              <w:rPr>
                <w:rFonts w:asciiTheme="minorHAnsi" w:eastAsia="Times New Roman" w:hAnsiTheme="minorHAnsi" w:cstheme="minorHAnsi"/>
                <w:color w:val="000000"/>
                <w:sz w:val="20"/>
                <w:szCs w:val="20"/>
                <w:lang w:val="en-US"/>
              </w:rPr>
              <w:t>80% teachers and principals working groups meet on a quarterly basis to focus on SBM</w:t>
            </w:r>
          </w:p>
        </w:tc>
        <w:tc>
          <w:tcPr>
            <w:tcW w:w="294" w:type="pct"/>
            <w:gridSpan w:val="3"/>
          </w:tcPr>
          <w:p w14:paraId="13B5630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tcPr>
          <w:p w14:paraId="13B5630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M</w:t>
            </w:r>
            <w:r w:rsidRPr="000A7545">
              <w:rPr>
                <w:rFonts w:asciiTheme="minorHAnsi" w:eastAsia="Times New Roman" w:hAnsiTheme="minorHAnsi" w:cstheme="minorHAnsi"/>
                <w:color w:val="000000"/>
                <w:sz w:val="20"/>
                <w:szCs w:val="20"/>
                <w:lang w:val="en-US"/>
              </w:rPr>
              <w:t xml:space="preserve">onitoring </w:t>
            </w:r>
            <w:r w:rsidRPr="000A7545">
              <w:rPr>
                <w:rFonts w:asciiTheme="minorHAnsi" w:eastAsia="Times New Roman" w:hAnsiTheme="minorHAnsi" w:cstheme="minorHAnsi"/>
                <w:color w:val="000000"/>
                <w:sz w:val="20"/>
                <w:szCs w:val="20"/>
                <w:lang w:val="id-ID"/>
              </w:rPr>
              <w:t>reports</w:t>
            </w:r>
          </w:p>
        </w:tc>
      </w:tr>
      <w:tr w:rsidR="000A7545" w:rsidRPr="000A7545" w14:paraId="13B56312" w14:textId="77777777" w:rsidTr="000A7545">
        <w:trPr>
          <w:trHeight w:val="1221"/>
        </w:trPr>
        <w:tc>
          <w:tcPr>
            <w:tcW w:w="555" w:type="pct"/>
            <w:gridSpan w:val="4"/>
            <w:vMerge/>
            <w:shd w:val="clear" w:color="auto" w:fill="auto"/>
          </w:tcPr>
          <w:p w14:paraId="13B5630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5" w:type="pct"/>
            <w:gridSpan w:val="2"/>
            <w:shd w:val="clear" w:color="auto" w:fill="auto"/>
          </w:tcPr>
          <w:p w14:paraId="13B5630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1.2.1d. Quarterly Coordination meetings on CLCC/SBM established</w:t>
            </w:r>
          </w:p>
        </w:tc>
        <w:tc>
          <w:tcPr>
            <w:tcW w:w="1117" w:type="pct"/>
            <w:shd w:val="clear" w:color="auto" w:fill="auto"/>
          </w:tcPr>
          <w:p w14:paraId="13B5630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tcPr>
          <w:p w14:paraId="13B5630E" w14:textId="77777777" w:rsidR="000A7545" w:rsidRPr="000A7545" w:rsidRDefault="000A7545" w:rsidP="000A7545">
            <w:pPr>
              <w:spacing w:after="0" w:line="240" w:lineRule="auto"/>
              <w:rPr>
                <w:rFonts w:asciiTheme="minorHAnsi" w:eastAsia="Times New Roman" w:hAnsiTheme="minorHAnsi" w:cstheme="minorHAnsi"/>
                <w:color w:val="000000"/>
                <w:sz w:val="20"/>
                <w:szCs w:val="20"/>
                <w:highlight w:val="yellow"/>
                <w:lang w:val="en-US"/>
              </w:rPr>
            </w:pPr>
            <w:r w:rsidRPr="000A7545">
              <w:rPr>
                <w:rFonts w:asciiTheme="minorHAnsi" w:eastAsia="Times New Roman" w:hAnsiTheme="minorHAnsi" w:cstheme="minorHAnsi"/>
                <w:color w:val="000000"/>
                <w:sz w:val="20"/>
                <w:szCs w:val="20"/>
                <w:lang w:val="id-ID"/>
              </w:rPr>
              <w:t>Quarterly coordination meeting of CLCC</w:t>
            </w:r>
            <w:r w:rsidRPr="000A7545">
              <w:rPr>
                <w:rFonts w:asciiTheme="minorHAnsi" w:eastAsia="Times New Roman" w:hAnsiTheme="minorHAnsi" w:cstheme="minorHAnsi"/>
                <w:color w:val="000000"/>
                <w:sz w:val="20"/>
                <w:szCs w:val="20"/>
                <w:lang w:val="en-US"/>
              </w:rPr>
              <w:t xml:space="preserve">/SBM </w:t>
            </w:r>
            <w:r w:rsidRPr="000A7545">
              <w:rPr>
                <w:rFonts w:asciiTheme="minorHAnsi" w:eastAsia="Times New Roman" w:hAnsiTheme="minorHAnsi" w:cstheme="minorHAnsi"/>
                <w:color w:val="000000"/>
                <w:sz w:val="20"/>
                <w:szCs w:val="20"/>
                <w:lang w:val="id-ID"/>
              </w:rPr>
              <w:t>Development team at district and province level</w:t>
            </w:r>
          </w:p>
        </w:tc>
        <w:tc>
          <w:tcPr>
            <w:tcW w:w="1088" w:type="pct"/>
          </w:tcPr>
          <w:p w14:paraId="13B5630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6/6 districts CLCC/SBM district revitalization teams established; meetings conducted on quarterly basis</w:t>
            </w:r>
          </w:p>
        </w:tc>
        <w:tc>
          <w:tcPr>
            <w:tcW w:w="294" w:type="pct"/>
            <w:gridSpan w:val="3"/>
          </w:tcPr>
          <w:p w14:paraId="13B5631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31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Program</w:t>
            </w:r>
            <w:r w:rsidRPr="000A7545">
              <w:rPr>
                <w:rFonts w:asciiTheme="minorHAnsi" w:eastAsia="Times New Roman" w:hAnsiTheme="minorHAnsi" w:cstheme="minorHAnsi"/>
                <w:color w:val="000000"/>
                <w:sz w:val="20"/>
                <w:szCs w:val="20"/>
                <w:lang w:val="en-US"/>
              </w:rPr>
              <w:t>me</w:t>
            </w:r>
            <w:r w:rsidRPr="000A7545">
              <w:rPr>
                <w:rFonts w:asciiTheme="minorHAnsi" w:eastAsia="Times New Roman" w:hAnsiTheme="minorHAnsi" w:cstheme="minorHAnsi"/>
                <w:color w:val="000000"/>
                <w:sz w:val="20"/>
                <w:szCs w:val="20"/>
                <w:lang w:val="id-ID"/>
              </w:rPr>
              <w:t xml:space="preserve"> reports</w:t>
            </w:r>
          </w:p>
        </w:tc>
      </w:tr>
      <w:tr w:rsidR="000A7545" w:rsidRPr="000A7545" w14:paraId="13B5631A" w14:textId="77777777" w:rsidTr="000A7545">
        <w:trPr>
          <w:trHeight w:val="1177"/>
        </w:trPr>
        <w:tc>
          <w:tcPr>
            <w:tcW w:w="555" w:type="pct"/>
            <w:gridSpan w:val="4"/>
            <w:vMerge w:val="restart"/>
            <w:shd w:val="clear" w:color="auto" w:fill="auto"/>
            <w:hideMark/>
          </w:tcPr>
          <w:p w14:paraId="13B5631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1.2.2</w:t>
            </w:r>
            <w:r w:rsidRPr="000A7545">
              <w:rPr>
                <w:rFonts w:asciiTheme="minorHAnsi" w:eastAsia="Times New Roman" w:hAnsiTheme="minorHAnsi" w:cstheme="minorHAnsi"/>
                <w:color w:val="000000"/>
                <w:sz w:val="20"/>
                <w:szCs w:val="20"/>
                <w:lang w:val="id-ID"/>
              </w:rPr>
              <w:t xml:space="preserve"> </w:t>
            </w:r>
            <w:r w:rsidRPr="000A7545">
              <w:rPr>
                <w:rFonts w:asciiTheme="minorHAnsi" w:eastAsia="Times New Roman" w:hAnsiTheme="minorHAnsi" w:cstheme="minorHAnsi"/>
                <w:color w:val="000000"/>
                <w:sz w:val="20"/>
                <w:szCs w:val="20"/>
                <w:lang w:val="en-US"/>
              </w:rPr>
              <w:t xml:space="preserve">Education personnel improve capacity to teach </w:t>
            </w:r>
            <w:r w:rsidRPr="000A7545">
              <w:rPr>
                <w:rFonts w:asciiTheme="minorHAnsi" w:eastAsia="Times New Roman" w:hAnsiTheme="minorHAnsi" w:cstheme="minorHAnsi"/>
                <w:color w:val="000000"/>
                <w:sz w:val="20"/>
                <w:szCs w:val="20"/>
                <w:lang w:val="id-ID"/>
              </w:rPr>
              <w:t>multi</w:t>
            </w:r>
            <w:r w:rsidR="00E377B2">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grade</w:t>
            </w:r>
            <w:r w:rsidRPr="000A7545">
              <w:rPr>
                <w:rFonts w:asciiTheme="minorHAnsi" w:eastAsia="Times New Roman" w:hAnsiTheme="minorHAnsi" w:cstheme="minorHAnsi"/>
                <w:color w:val="000000"/>
                <w:sz w:val="20"/>
                <w:szCs w:val="20"/>
                <w:lang w:val="en-US"/>
              </w:rPr>
              <w:t>s in target schools</w:t>
            </w:r>
            <w:r w:rsidR="00F52070">
              <w:rPr>
                <w:rFonts w:asciiTheme="minorHAnsi" w:eastAsia="Times New Roman" w:hAnsiTheme="minorHAnsi" w:cstheme="minorHAnsi"/>
                <w:color w:val="000000"/>
                <w:sz w:val="20"/>
                <w:szCs w:val="20"/>
                <w:lang w:val="en-US"/>
              </w:rPr>
              <w:t xml:space="preserve"> (AusAID)</w:t>
            </w:r>
          </w:p>
        </w:tc>
        <w:tc>
          <w:tcPr>
            <w:tcW w:w="1005" w:type="pct"/>
            <w:gridSpan w:val="2"/>
            <w:shd w:val="clear" w:color="auto" w:fill="auto"/>
            <w:hideMark/>
          </w:tcPr>
          <w:p w14:paraId="13B5631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1.2.2a. </w:t>
            </w:r>
            <w:r w:rsidRPr="000A7545">
              <w:rPr>
                <w:rFonts w:asciiTheme="minorHAnsi" w:eastAsia="Symbol" w:hAnsiTheme="minorHAnsi" w:cstheme="minorHAnsi"/>
                <w:color w:val="000000"/>
                <w:sz w:val="20"/>
                <w:szCs w:val="20"/>
                <w:lang w:val="id-ID"/>
              </w:rPr>
              <w:t>Number of ToT trainers (</w:t>
            </w:r>
            <w:r w:rsidRPr="000A7545">
              <w:rPr>
                <w:rFonts w:asciiTheme="minorHAnsi" w:eastAsia="Symbol" w:hAnsiTheme="minorHAnsi" w:cstheme="minorHAnsi"/>
                <w:color w:val="000000"/>
                <w:sz w:val="20"/>
                <w:szCs w:val="20"/>
                <w:lang w:val="en-US"/>
              </w:rPr>
              <w:t>by gender</w:t>
            </w:r>
            <w:r w:rsidRPr="000A7545">
              <w:rPr>
                <w:rFonts w:asciiTheme="minorHAnsi" w:eastAsia="Symbol" w:hAnsiTheme="minorHAnsi" w:cstheme="minorHAnsi"/>
                <w:color w:val="000000"/>
                <w:sz w:val="20"/>
                <w:szCs w:val="20"/>
                <w:lang w:val="id-ID"/>
              </w:rPr>
              <w:t>) trained in multi</w:t>
            </w:r>
            <w:r w:rsidRPr="000A7545">
              <w:rPr>
                <w:rFonts w:asciiTheme="minorHAnsi" w:eastAsia="Symbol" w:hAnsiTheme="minorHAnsi" w:cstheme="minorHAnsi"/>
                <w:color w:val="000000"/>
                <w:sz w:val="20"/>
                <w:szCs w:val="20"/>
                <w:lang w:val="en-US"/>
              </w:rPr>
              <w:t>-</w:t>
            </w:r>
            <w:r w:rsidRPr="000A7545">
              <w:rPr>
                <w:rFonts w:asciiTheme="minorHAnsi" w:eastAsia="Symbol" w:hAnsiTheme="minorHAnsi" w:cstheme="minorHAnsi"/>
                <w:color w:val="000000"/>
                <w:sz w:val="20"/>
                <w:szCs w:val="20"/>
                <w:lang w:val="id-ID"/>
              </w:rPr>
              <w:t>grade teaching</w:t>
            </w:r>
            <w:r w:rsidRPr="000A7545">
              <w:rPr>
                <w:rFonts w:asciiTheme="minorHAnsi" w:eastAsia="Symbol" w:hAnsiTheme="minorHAnsi" w:cstheme="minorHAnsi"/>
                <w:color w:val="000000"/>
                <w:sz w:val="20"/>
                <w:szCs w:val="20"/>
                <w:lang w:val="en-US"/>
              </w:rPr>
              <w:t xml:space="preserve"> by function and location</w:t>
            </w:r>
          </w:p>
        </w:tc>
        <w:tc>
          <w:tcPr>
            <w:tcW w:w="1117" w:type="pct"/>
            <w:shd w:val="clear" w:color="auto" w:fill="auto"/>
          </w:tcPr>
          <w:p w14:paraId="13B5631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hideMark/>
          </w:tcPr>
          <w:p w14:paraId="13B5631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60 education practitioners trained in multi</w:t>
            </w:r>
            <w:r w:rsidRPr="000A7545">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grade teaching</w:t>
            </w:r>
            <w:r w:rsidRPr="000A7545">
              <w:rPr>
                <w:rFonts w:asciiTheme="minorHAnsi" w:eastAsia="Times New Roman" w:hAnsiTheme="minorHAnsi" w:cstheme="minorHAnsi"/>
                <w:color w:val="000000"/>
                <w:sz w:val="20"/>
                <w:szCs w:val="20"/>
                <w:lang w:val="en-US"/>
              </w:rPr>
              <w:t xml:space="preserve"> </w:t>
            </w:r>
          </w:p>
        </w:tc>
        <w:tc>
          <w:tcPr>
            <w:tcW w:w="1088" w:type="pct"/>
          </w:tcPr>
          <w:p w14:paraId="13B5631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46 Multi-Grade Master Trainers trained (21M;25F)</w:t>
            </w:r>
          </w:p>
        </w:tc>
        <w:tc>
          <w:tcPr>
            <w:tcW w:w="294" w:type="pct"/>
            <w:gridSpan w:val="3"/>
          </w:tcPr>
          <w:p w14:paraId="13B5631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hideMark/>
          </w:tcPr>
          <w:p w14:paraId="13B5631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Training records</w:t>
            </w:r>
          </w:p>
        </w:tc>
      </w:tr>
      <w:tr w:rsidR="000A7545" w:rsidRPr="000A7545" w14:paraId="13B56322" w14:textId="77777777" w:rsidTr="000A7545">
        <w:trPr>
          <w:trHeight w:val="322"/>
        </w:trPr>
        <w:tc>
          <w:tcPr>
            <w:tcW w:w="555" w:type="pct"/>
            <w:gridSpan w:val="4"/>
            <w:vMerge/>
            <w:hideMark/>
          </w:tcPr>
          <w:p w14:paraId="13B5631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5" w:type="pct"/>
            <w:gridSpan w:val="2"/>
            <w:shd w:val="clear" w:color="auto" w:fill="auto"/>
            <w:hideMark/>
          </w:tcPr>
          <w:p w14:paraId="13B5631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1.2.2b. Proportion</w:t>
            </w:r>
            <w:r w:rsidRPr="000A7545">
              <w:rPr>
                <w:rFonts w:asciiTheme="minorHAnsi" w:eastAsia="Symbol" w:hAnsiTheme="minorHAnsi" w:cstheme="minorHAnsi"/>
                <w:color w:val="000000"/>
                <w:sz w:val="20"/>
                <w:szCs w:val="20"/>
                <w:lang w:val="id-ID"/>
              </w:rPr>
              <w:t xml:space="preserve"> of teacher</w:t>
            </w:r>
            <w:r w:rsidRPr="000A7545">
              <w:rPr>
                <w:rFonts w:asciiTheme="minorHAnsi" w:eastAsia="Symbol" w:hAnsiTheme="minorHAnsi" w:cstheme="minorHAnsi"/>
                <w:color w:val="000000"/>
                <w:sz w:val="20"/>
                <w:szCs w:val="20"/>
                <w:lang w:val="en-US"/>
              </w:rPr>
              <w:t xml:space="preserve"> and </w:t>
            </w:r>
            <w:r w:rsidRPr="000A7545">
              <w:rPr>
                <w:rFonts w:asciiTheme="minorHAnsi" w:eastAsia="Symbol" w:hAnsiTheme="minorHAnsi" w:cstheme="minorHAnsi"/>
                <w:color w:val="000000"/>
                <w:sz w:val="20"/>
                <w:szCs w:val="20"/>
                <w:lang w:val="id-ID"/>
              </w:rPr>
              <w:t>principal working group meetings (KKG/KKKS) focusing on multi</w:t>
            </w:r>
            <w:r w:rsidRPr="000A7545">
              <w:rPr>
                <w:rFonts w:asciiTheme="minorHAnsi" w:eastAsia="Symbol" w:hAnsiTheme="minorHAnsi" w:cstheme="minorHAnsi"/>
                <w:color w:val="000000"/>
                <w:sz w:val="20"/>
                <w:szCs w:val="20"/>
                <w:lang w:val="en-US"/>
              </w:rPr>
              <w:t>-</w:t>
            </w:r>
            <w:r w:rsidRPr="000A7545">
              <w:rPr>
                <w:rFonts w:asciiTheme="minorHAnsi" w:eastAsia="Symbol" w:hAnsiTheme="minorHAnsi" w:cstheme="minorHAnsi"/>
                <w:color w:val="000000"/>
                <w:sz w:val="20"/>
                <w:szCs w:val="20"/>
                <w:lang w:val="id-ID"/>
              </w:rPr>
              <w:t xml:space="preserve">grade teaching </w:t>
            </w:r>
          </w:p>
        </w:tc>
        <w:tc>
          <w:tcPr>
            <w:tcW w:w="1117" w:type="pct"/>
            <w:shd w:val="clear" w:color="auto" w:fill="auto"/>
            <w:hideMark/>
          </w:tcPr>
          <w:p w14:paraId="13B5631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auto" w:fill="auto"/>
            <w:hideMark/>
          </w:tcPr>
          <w:p w14:paraId="13B5631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 xml:space="preserve">60% of KKGs and 60% of KKKS </w:t>
            </w:r>
            <w:r w:rsidRPr="000A7545">
              <w:rPr>
                <w:rFonts w:asciiTheme="minorHAnsi" w:eastAsia="Times New Roman" w:hAnsiTheme="minorHAnsi" w:cstheme="minorHAnsi"/>
                <w:color w:val="000000"/>
                <w:sz w:val="20"/>
                <w:szCs w:val="20"/>
                <w:lang w:val="id-ID"/>
              </w:rPr>
              <w:t>implement regular working group meetings focusing on multi</w:t>
            </w:r>
            <w:r w:rsidR="00E377B2">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grade</w:t>
            </w:r>
          </w:p>
        </w:tc>
        <w:tc>
          <w:tcPr>
            <w:tcW w:w="1088" w:type="pct"/>
          </w:tcPr>
          <w:p w14:paraId="13B5631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Pending roll-out of training in Q2 and Q3 2012</w:t>
            </w:r>
          </w:p>
        </w:tc>
        <w:tc>
          <w:tcPr>
            <w:tcW w:w="294" w:type="pct"/>
            <w:gridSpan w:val="3"/>
          </w:tcPr>
          <w:p w14:paraId="13B5632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hideMark/>
          </w:tcPr>
          <w:p w14:paraId="13B5632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Minutes and reports</w:t>
            </w:r>
          </w:p>
        </w:tc>
      </w:tr>
      <w:tr w:rsidR="000A7545" w:rsidRPr="000A7545" w14:paraId="13B5632A" w14:textId="77777777" w:rsidTr="000A7545">
        <w:trPr>
          <w:trHeight w:val="1132"/>
        </w:trPr>
        <w:tc>
          <w:tcPr>
            <w:tcW w:w="555" w:type="pct"/>
            <w:gridSpan w:val="4"/>
            <w:vMerge/>
            <w:hideMark/>
          </w:tcPr>
          <w:p w14:paraId="13B56323" w14:textId="77777777" w:rsidR="000A7545" w:rsidRPr="000A7545" w:rsidRDefault="000A7545" w:rsidP="000A7545">
            <w:pPr>
              <w:spacing w:after="0" w:line="240" w:lineRule="auto"/>
              <w:rPr>
                <w:rFonts w:asciiTheme="minorHAnsi" w:eastAsia="Times New Roman" w:hAnsiTheme="minorHAnsi" w:cstheme="minorHAnsi"/>
                <w:color w:val="000000"/>
                <w:lang w:val="en-US"/>
              </w:rPr>
            </w:pPr>
          </w:p>
        </w:tc>
        <w:tc>
          <w:tcPr>
            <w:tcW w:w="1005" w:type="pct"/>
            <w:gridSpan w:val="2"/>
            <w:shd w:val="clear" w:color="auto" w:fill="auto"/>
            <w:hideMark/>
          </w:tcPr>
          <w:p w14:paraId="13B56324"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1.2.2c. Number</w:t>
            </w:r>
            <w:r w:rsidRPr="000A7545">
              <w:rPr>
                <w:rFonts w:asciiTheme="minorHAnsi" w:eastAsia="Symbol" w:hAnsiTheme="minorHAnsi" w:cstheme="minorHAnsi"/>
                <w:color w:val="000000"/>
                <w:sz w:val="20"/>
                <w:szCs w:val="20"/>
                <w:lang w:val="id-ID"/>
              </w:rPr>
              <w:t xml:space="preserve"> of teachers</w:t>
            </w:r>
            <w:r w:rsidRPr="000A7545">
              <w:rPr>
                <w:rFonts w:asciiTheme="minorHAnsi" w:eastAsia="Symbol" w:hAnsiTheme="minorHAnsi" w:cstheme="minorHAnsi"/>
                <w:color w:val="000000"/>
                <w:sz w:val="20"/>
                <w:szCs w:val="20"/>
                <w:lang w:val="en-US"/>
              </w:rPr>
              <w:t xml:space="preserve"> </w:t>
            </w:r>
            <w:r w:rsidRPr="000A7545">
              <w:rPr>
                <w:rFonts w:asciiTheme="minorHAnsi" w:eastAsia="Symbol" w:hAnsiTheme="minorHAnsi" w:cstheme="minorHAnsi"/>
                <w:color w:val="000000"/>
                <w:sz w:val="20"/>
                <w:szCs w:val="20"/>
                <w:lang w:val="id-ID"/>
              </w:rPr>
              <w:t xml:space="preserve">trained </w:t>
            </w:r>
            <w:r w:rsidRPr="000A7545">
              <w:rPr>
                <w:rFonts w:asciiTheme="minorHAnsi" w:eastAsia="Symbol" w:hAnsiTheme="minorHAnsi" w:cstheme="minorHAnsi"/>
                <w:color w:val="000000"/>
                <w:sz w:val="20"/>
                <w:szCs w:val="20"/>
                <w:lang w:val="en-US"/>
              </w:rPr>
              <w:t xml:space="preserve">(by gender) </w:t>
            </w:r>
            <w:r w:rsidRPr="000A7545">
              <w:rPr>
                <w:rFonts w:asciiTheme="minorHAnsi" w:eastAsia="Symbol" w:hAnsiTheme="minorHAnsi" w:cstheme="minorHAnsi"/>
                <w:color w:val="000000"/>
                <w:sz w:val="20"/>
                <w:szCs w:val="20"/>
                <w:lang w:val="id-ID"/>
              </w:rPr>
              <w:t>in</w:t>
            </w:r>
            <w:r w:rsidRPr="000A7545">
              <w:rPr>
                <w:rFonts w:asciiTheme="minorHAnsi" w:eastAsia="Symbol" w:hAnsiTheme="minorHAnsi" w:cstheme="minorHAnsi"/>
                <w:color w:val="000000"/>
                <w:sz w:val="20"/>
                <w:szCs w:val="20"/>
                <w:lang w:val="en-US"/>
              </w:rPr>
              <w:t xml:space="preserve"> m</w:t>
            </w:r>
            <w:r w:rsidRPr="000A7545">
              <w:rPr>
                <w:rFonts w:asciiTheme="minorHAnsi" w:eastAsia="Symbol" w:hAnsiTheme="minorHAnsi" w:cstheme="minorHAnsi"/>
                <w:color w:val="000000"/>
                <w:sz w:val="20"/>
                <w:szCs w:val="20"/>
                <w:lang w:val="id-ID"/>
              </w:rPr>
              <w:t>ulti</w:t>
            </w:r>
            <w:r w:rsidRPr="000A7545">
              <w:rPr>
                <w:rFonts w:asciiTheme="minorHAnsi" w:eastAsia="Symbol" w:hAnsiTheme="minorHAnsi" w:cstheme="minorHAnsi"/>
                <w:color w:val="000000"/>
                <w:sz w:val="20"/>
                <w:szCs w:val="20"/>
                <w:lang w:val="en-US"/>
              </w:rPr>
              <w:t>-</w:t>
            </w:r>
            <w:r w:rsidRPr="000A7545">
              <w:rPr>
                <w:rFonts w:asciiTheme="minorHAnsi" w:eastAsia="Symbol" w:hAnsiTheme="minorHAnsi" w:cstheme="minorHAnsi"/>
                <w:color w:val="000000"/>
                <w:sz w:val="20"/>
                <w:szCs w:val="20"/>
                <w:lang w:val="id-ID"/>
              </w:rPr>
              <w:t>grade</w:t>
            </w:r>
            <w:r w:rsidRPr="000A7545">
              <w:rPr>
                <w:rFonts w:asciiTheme="minorHAnsi" w:eastAsia="Symbol" w:hAnsiTheme="minorHAnsi" w:cstheme="minorHAnsi"/>
                <w:color w:val="000000"/>
                <w:sz w:val="20"/>
                <w:szCs w:val="20"/>
                <w:lang w:val="en-US"/>
              </w:rPr>
              <w:t xml:space="preserve"> t</w:t>
            </w:r>
            <w:r w:rsidRPr="000A7545">
              <w:rPr>
                <w:rFonts w:asciiTheme="minorHAnsi" w:eastAsia="Symbol" w:hAnsiTheme="minorHAnsi" w:cstheme="minorHAnsi"/>
                <w:color w:val="000000"/>
                <w:sz w:val="20"/>
                <w:szCs w:val="20"/>
                <w:lang w:val="id-ID"/>
              </w:rPr>
              <w:t>eaching</w:t>
            </w:r>
            <w:r w:rsidRPr="000A7545">
              <w:rPr>
                <w:rFonts w:asciiTheme="minorHAnsi" w:eastAsia="Symbol" w:hAnsiTheme="minorHAnsi" w:cstheme="minorHAnsi"/>
                <w:color w:val="000000"/>
                <w:sz w:val="20"/>
                <w:szCs w:val="20"/>
                <w:lang w:val="en-US"/>
              </w:rPr>
              <w:t xml:space="preserve"> methods</w:t>
            </w:r>
          </w:p>
        </w:tc>
        <w:tc>
          <w:tcPr>
            <w:tcW w:w="1117" w:type="pct"/>
            <w:shd w:val="clear" w:color="auto" w:fill="auto"/>
            <w:hideMark/>
          </w:tcPr>
          <w:p w14:paraId="13B5632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hideMark/>
          </w:tcPr>
          <w:p w14:paraId="13B5632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900 teachers in </w:t>
            </w:r>
            <w:r w:rsidRPr="000A7545">
              <w:rPr>
                <w:rFonts w:asciiTheme="minorHAnsi" w:eastAsia="Times New Roman" w:hAnsiTheme="minorHAnsi" w:cstheme="minorHAnsi"/>
                <w:color w:val="000000"/>
                <w:sz w:val="20"/>
                <w:szCs w:val="20"/>
                <w:lang w:val="en-US"/>
              </w:rPr>
              <w:t xml:space="preserve">260 </w:t>
            </w:r>
            <w:r w:rsidRPr="000A7545">
              <w:rPr>
                <w:rFonts w:asciiTheme="minorHAnsi" w:eastAsia="Times New Roman" w:hAnsiTheme="minorHAnsi" w:cstheme="minorHAnsi"/>
                <w:color w:val="000000"/>
                <w:sz w:val="20"/>
                <w:szCs w:val="20"/>
                <w:lang w:val="id-ID"/>
              </w:rPr>
              <w:t>remote schools trained in multi</w:t>
            </w:r>
            <w:r w:rsidRPr="000A7545">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grade teaching</w:t>
            </w:r>
            <w:r w:rsidRPr="000A7545">
              <w:rPr>
                <w:rFonts w:asciiTheme="minorHAnsi" w:eastAsia="Times New Roman" w:hAnsiTheme="minorHAnsi" w:cstheme="minorHAnsi"/>
                <w:color w:val="000000"/>
                <w:sz w:val="20"/>
                <w:szCs w:val="20"/>
                <w:lang w:val="en-US"/>
              </w:rPr>
              <w:t xml:space="preserve"> </w:t>
            </w:r>
          </w:p>
        </w:tc>
        <w:tc>
          <w:tcPr>
            <w:tcW w:w="1088" w:type="pct"/>
          </w:tcPr>
          <w:p w14:paraId="13B5632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Pending roll-out of training in Q2 and Q3 2012</w:t>
            </w:r>
          </w:p>
        </w:tc>
        <w:tc>
          <w:tcPr>
            <w:tcW w:w="294" w:type="pct"/>
            <w:gridSpan w:val="3"/>
          </w:tcPr>
          <w:p w14:paraId="13B5632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hideMark/>
          </w:tcPr>
          <w:p w14:paraId="13B5632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Training records</w:t>
            </w:r>
          </w:p>
        </w:tc>
      </w:tr>
      <w:tr w:rsidR="000A7545" w:rsidRPr="000A7545" w14:paraId="13B56332" w14:textId="77777777" w:rsidTr="000A7545">
        <w:trPr>
          <w:trHeight w:val="997"/>
        </w:trPr>
        <w:tc>
          <w:tcPr>
            <w:tcW w:w="555" w:type="pct"/>
            <w:gridSpan w:val="4"/>
            <w:vMerge/>
            <w:vAlign w:val="center"/>
          </w:tcPr>
          <w:p w14:paraId="13B5632B" w14:textId="77777777" w:rsidR="000A7545" w:rsidRPr="000A7545" w:rsidRDefault="000A7545" w:rsidP="000A7545">
            <w:pPr>
              <w:spacing w:after="0" w:line="240" w:lineRule="auto"/>
              <w:rPr>
                <w:rFonts w:asciiTheme="minorHAnsi" w:eastAsia="Times New Roman" w:hAnsiTheme="minorHAnsi" w:cstheme="minorHAnsi"/>
                <w:color w:val="000000"/>
                <w:lang w:val="en-US"/>
              </w:rPr>
            </w:pPr>
          </w:p>
        </w:tc>
        <w:tc>
          <w:tcPr>
            <w:tcW w:w="1005" w:type="pct"/>
            <w:gridSpan w:val="2"/>
            <w:shd w:val="clear" w:color="auto" w:fill="auto"/>
          </w:tcPr>
          <w:p w14:paraId="13B5632C"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1.2.2d. Proportion of teachers applying improved multi-grade teaching in the classroom</w:t>
            </w:r>
          </w:p>
        </w:tc>
        <w:tc>
          <w:tcPr>
            <w:tcW w:w="1117" w:type="pct"/>
            <w:shd w:val="clear" w:color="auto" w:fill="auto"/>
          </w:tcPr>
          <w:p w14:paraId="13B5632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tcPr>
          <w:p w14:paraId="13B5632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r w:rsidRPr="000A7545">
              <w:rPr>
                <w:rFonts w:asciiTheme="minorHAnsi" w:eastAsia="Times New Roman" w:hAnsiTheme="minorHAnsi" w:cstheme="minorHAnsi"/>
                <w:color w:val="000000"/>
                <w:sz w:val="20"/>
                <w:szCs w:val="20"/>
                <w:lang w:val="en-US"/>
              </w:rPr>
              <w:t>80% of trained teachers</w:t>
            </w:r>
          </w:p>
        </w:tc>
        <w:tc>
          <w:tcPr>
            <w:tcW w:w="1088" w:type="pct"/>
          </w:tcPr>
          <w:p w14:paraId="13B5632F"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Pending roll-out of training in Q2 and Q3 2012</w:t>
            </w:r>
          </w:p>
        </w:tc>
        <w:tc>
          <w:tcPr>
            <w:tcW w:w="294" w:type="pct"/>
            <w:gridSpan w:val="3"/>
          </w:tcPr>
          <w:p w14:paraId="13B5633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tcPr>
          <w:p w14:paraId="13B5633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r w:rsidRPr="000A7545">
              <w:rPr>
                <w:rFonts w:asciiTheme="minorHAnsi" w:eastAsia="Times New Roman" w:hAnsiTheme="minorHAnsi" w:cstheme="minorHAnsi"/>
                <w:color w:val="000000"/>
                <w:sz w:val="20"/>
                <w:szCs w:val="20"/>
                <w:lang w:val="en-US"/>
              </w:rPr>
              <w:t>Classroom observations and records of visits</w:t>
            </w:r>
          </w:p>
        </w:tc>
      </w:tr>
      <w:tr w:rsidR="000A7545" w:rsidRPr="000A7545" w14:paraId="13B5633D" w14:textId="77777777" w:rsidTr="000A7545">
        <w:trPr>
          <w:trHeight w:val="2311"/>
        </w:trPr>
        <w:tc>
          <w:tcPr>
            <w:tcW w:w="555" w:type="pct"/>
            <w:gridSpan w:val="4"/>
            <w:vMerge w:val="restart"/>
          </w:tcPr>
          <w:p w14:paraId="13B56333" w14:textId="77777777" w:rsidR="000A7545" w:rsidRPr="000A7545" w:rsidRDefault="000A7545" w:rsidP="000A7545">
            <w:pPr>
              <w:spacing w:after="0" w:line="240" w:lineRule="auto"/>
              <w:rPr>
                <w:rFonts w:asciiTheme="minorHAnsi" w:eastAsia="Times New Roman" w:hAnsiTheme="minorHAnsi" w:cstheme="minorHAnsi"/>
                <w:color w:val="000000"/>
                <w:lang w:val="en-US"/>
              </w:rPr>
            </w:pPr>
            <w:r w:rsidRPr="000A7545">
              <w:rPr>
                <w:rFonts w:asciiTheme="minorHAnsi" w:eastAsia="Times New Roman" w:hAnsiTheme="minorHAnsi" w:cstheme="minorHAnsi"/>
                <w:color w:val="000000"/>
                <w:sz w:val="20"/>
                <w:szCs w:val="20"/>
                <w:lang w:val="en-US"/>
              </w:rPr>
              <w:t>1.2.3. Education personnel improve capacity in early-grade teaching in the classroom in target schools</w:t>
            </w:r>
            <w:r w:rsidR="00F52070">
              <w:rPr>
                <w:rFonts w:asciiTheme="minorHAnsi" w:eastAsia="Times New Roman" w:hAnsiTheme="minorHAnsi" w:cstheme="minorHAnsi"/>
                <w:color w:val="000000"/>
                <w:sz w:val="20"/>
                <w:szCs w:val="20"/>
                <w:lang w:val="en-US"/>
              </w:rPr>
              <w:t xml:space="preserve"> (AusAID)</w:t>
            </w:r>
          </w:p>
        </w:tc>
        <w:tc>
          <w:tcPr>
            <w:tcW w:w="1005" w:type="pct"/>
            <w:gridSpan w:val="2"/>
            <w:shd w:val="clear" w:color="auto" w:fill="auto"/>
          </w:tcPr>
          <w:p w14:paraId="13B56334"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1.2.3a. Number of master trainers, teachers, principals, supervisors, and community leaders trained in early-grade teaching</w:t>
            </w:r>
          </w:p>
        </w:tc>
        <w:tc>
          <w:tcPr>
            <w:tcW w:w="1117" w:type="pct"/>
            <w:shd w:val="clear" w:color="auto" w:fill="auto"/>
          </w:tcPr>
          <w:p w14:paraId="13B5633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tcPr>
          <w:p w14:paraId="13B5633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140 teachers</w:t>
            </w:r>
            <w:r w:rsidRPr="000A7545">
              <w:rPr>
                <w:rFonts w:asciiTheme="minorHAnsi" w:eastAsia="Times New Roman" w:hAnsiTheme="minorHAnsi" w:cstheme="minorHAnsi"/>
                <w:color w:val="000000"/>
                <w:sz w:val="20"/>
                <w:szCs w:val="20"/>
                <w:lang w:val="en-US"/>
              </w:rPr>
              <w:t>;</w:t>
            </w:r>
          </w:p>
          <w:p w14:paraId="13B5633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12 district supervisors</w:t>
            </w:r>
            <w:r w:rsidRPr="000A7545">
              <w:rPr>
                <w:rFonts w:asciiTheme="minorHAnsi" w:eastAsia="Times New Roman" w:hAnsiTheme="minorHAnsi" w:cstheme="minorHAnsi"/>
                <w:color w:val="000000"/>
                <w:sz w:val="20"/>
                <w:szCs w:val="20"/>
                <w:lang w:val="en-US"/>
              </w:rPr>
              <w:t>;</w:t>
            </w:r>
          </w:p>
          <w:p w14:paraId="13B5633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r w:rsidRPr="000A7545">
              <w:rPr>
                <w:rFonts w:asciiTheme="minorHAnsi" w:eastAsia="Times New Roman" w:hAnsiTheme="minorHAnsi" w:cstheme="minorHAnsi"/>
                <w:color w:val="000000"/>
                <w:sz w:val="20"/>
                <w:szCs w:val="20"/>
                <w:lang w:val="id-ID"/>
              </w:rPr>
              <w:t xml:space="preserve">69 community leaders trained in </w:t>
            </w:r>
            <w:r w:rsidR="00E377B2">
              <w:rPr>
                <w:rFonts w:asciiTheme="minorHAnsi" w:eastAsia="Times New Roman" w:hAnsiTheme="minorHAnsi" w:cstheme="minorHAnsi"/>
                <w:color w:val="000000"/>
                <w:sz w:val="20"/>
                <w:szCs w:val="20"/>
                <w:lang w:val="id-ID"/>
              </w:rPr>
              <w:t>early-grade</w:t>
            </w:r>
            <w:r w:rsidRPr="000A7545">
              <w:rPr>
                <w:rFonts w:asciiTheme="minorHAnsi" w:eastAsia="Times New Roman" w:hAnsiTheme="minorHAnsi" w:cstheme="minorHAnsi"/>
                <w:color w:val="000000"/>
                <w:sz w:val="20"/>
                <w:szCs w:val="20"/>
                <w:lang w:val="id-ID"/>
              </w:rPr>
              <w:t xml:space="preserve"> teaching</w:t>
            </w:r>
            <w:r w:rsidRPr="000A7545">
              <w:rPr>
                <w:rFonts w:asciiTheme="minorHAnsi" w:eastAsia="Times New Roman" w:hAnsiTheme="minorHAnsi" w:cstheme="minorHAnsi"/>
                <w:color w:val="000000"/>
                <w:sz w:val="20"/>
                <w:szCs w:val="20"/>
                <w:lang w:val="en-US"/>
              </w:rPr>
              <w:t xml:space="preserve"> in 260 remote schools across target districts</w:t>
            </w:r>
          </w:p>
        </w:tc>
        <w:tc>
          <w:tcPr>
            <w:tcW w:w="1088" w:type="pct"/>
          </w:tcPr>
          <w:p w14:paraId="13B5633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32 Early-Grade Master Trainers (13M; 19F) trained</w:t>
            </w:r>
          </w:p>
          <w:p w14:paraId="13B5633A" w14:textId="77777777" w:rsidR="000A7545" w:rsidRPr="000A7545" w:rsidRDefault="000A7545" w:rsidP="006009D8">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Via school clusters/KKG: 94</w:t>
            </w:r>
            <w:r w:rsidR="006009D8">
              <w:rPr>
                <w:rFonts w:asciiTheme="minorHAnsi" w:eastAsia="Times New Roman" w:hAnsiTheme="minorHAnsi" w:cstheme="minorHAnsi"/>
                <w:color w:val="000000"/>
                <w:sz w:val="20"/>
                <w:szCs w:val="20"/>
                <w:lang w:val="en-US"/>
              </w:rPr>
              <w:t>2</w:t>
            </w:r>
            <w:r w:rsidRPr="000A7545">
              <w:rPr>
                <w:rFonts w:asciiTheme="minorHAnsi" w:eastAsia="Times New Roman" w:hAnsiTheme="minorHAnsi" w:cstheme="minorHAnsi"/>
                <w:color w:val="000000"/>
                <w:sz w:val="20"/>
                <w:szCs w:val="20"/>
                <w:lang w:val="en-US"/>
              </w:rPr>
              <w:t xml:space="preserve"> teachers (572M;370F); 240 principals (186M;54F) </w:t>
            </w:r>
          </w:p>
        </w:tc>
        <w:tc>
          <w:tcPr>
            <w:tcW w:w="294" w:type="pct"/>
            <w:gridSpan w:val="3"/>
          </w:tcPr>
          <w:p w14:paraId="13B5633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tcPr>
          <w:p w14:paraId="13B5633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Training records</w:t>
            </w:r>
          </w:p>
        </w:tc>
      </w:tr>
      <w:tr w:rsidR="000A7545" w:rsidRPr="000A7545" w14:paraId="13B56345" w14:textId="77777777" w:rsidTr="000A7545">
        <w:trPr>
          <w:trHeight w:val="853"/>
        </w:trPr>
        <w:tc>
          <w:tcPr>
            <w:tcW w:w="555" w:type="pct"/>
            <w:gridSpan w:val="4"/>
            <w:vMerge/>
          </w:tcPr>
          <w:p w14:paraId="13B5633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5" w:type="pct"/>
            <w:gridSpan w:val="2"/>
            <w:shd w:val="clear" w:color="auto" w:fill="auto"/>
          </w:tcPr>
          <w:p w14:paraId="13B5633F"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1.2.3b. Proportion of teachers applying improved </w:t>
            </w:r>
            <w:r w:rsidR="00E377B2">
              <w:rPr>
                <w:rFonts w:asciiTheme="minorHAnsi" w:eastAsia="Symbol" w:hAnsiTheme="minorHAnsi" w:cstheme="minorHAnsi"/>
                <w:color w:val="000000"/>
                <w:sz w:val="20"/>
                <w:szCs w:val="20"/>
                <w:lang w:val="en-US"/>
              </w:rPr>
              <w:t>early-grade</w:t>
            </w:r>
            <w:r w:rsidRPr="000A7545">
              <w:rPr>
                <w:rFonts w:asciiTheme="minorHAnsi" w:eastAsia="Symbol" w:hAnsiTheme="minorHAnsi" w:cstheme="minorHAnsi"/>
                <w:color w:val="000000"/>
                <w:sz w:val="20"/>
                <w:szCs w:val="20"/>
                <w:lang w:val="en-US"/>
              </w:rPr>
              <w:t xml:space="preserve"> teaching in the classroom</w:t>
            </w:r>
          </w:p>
        </w:tc>
        <w:tc>
          <w:tcPr>
            <w:tcW w:w="1117" w:type="pct"/>
            <w:shd w:val="clear" w:color="auto" w:fill="auto"/>
          </w:tcPr>
          <w:p w14:paraId="13B5634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tcPr>
          <w:p w14:paraId="13B5634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r w:rsidRPr="000A7545">
              <w:rPr>
                <w:rFonts w:asciiTheme="minorHAnsi" w:eastAsia="Times New Roman" w:hAnsiTheme="minorHAnsi" w:cstheme="minorHAnsi"/>
                <w:color w:val="000000"/>
                <w:sz w:val="20"/>
                <w:szCs w:val="20"/>
                <w:lang w:val="en-US"/>
              </w:rPr>
              <w:t>80% of trained teachers</w:t>
            </w:r>
          </w:p>
        </w:tc>
        <w:tc>
          <w:tcPr>
            <w:tcW w:w="1088" w:type="pct"/>
          </w:tcPr>
          <w:p w14:paraId="13B56342" w14:textId="77777777" w:rsidR="000A7545" w:rsidRPr="000A7545" w:rsidRDefault="00A766C4" w:rsidP="000A7545">
            <w:pPr>
              <w:spacing w:after="0" w:line="240" w:lineRule="auto"/>
              <w:rPr>
                <w:rFonts w:asciiTheme="minorHAnsi" w:eastAsia="Times New Roman" w:hAnsiTheme="minorHAnsi" w:cstheme="minorHAnsi"/>
                <w:color w:val="000000"/>
                <w:sz w:val="20"/>
                <w:szCs w:val="20"/>
                <w:lang w:val="en-US"/>
              </w:rPr>
            </w:pPr>
            <w:r>
              <w:rPr>
                <w:rFonts w:asciiTheme="minorHAnsi" w:eastAsia="Times New Roman" w:hAnsiTheme="minorHAnsi" w:cstheme="minorHAnsi"/>
                <w:color w:val="000000"/>
                <w:sz w:val="20"/>
                <w:szCs w:val="20"/>
                <w:lang w:val="en-US"/>
              </w:rPr>
              <w:t>Roll-out of district level training of EG model schools began in Nov 2011; 28 model EG schools in West Papua received mentoring in 2012 targeting 93 teachers (61m, 32f); 103 satellite schools sent 422 teachers (186m, 236f) to attend training via school cluster mechanisms. Some emerging innovations include: “buddy” system in Sorong and expansion of sub-district outreach efforts in Biak Numfor.</w:t>
            </w:r>
          </w:p>
        </w:tc>
        <w:tc>
          <w:tcPr>
            <w:tcW w:w="294" w:type="pct"/>
            <w:gridSpan w:val="3"/>
          </w:tcPr>
          <w:p w14:paraId="13B5634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tcPr>
          <w:p w14:paraId="13B5634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r w:rsidRPr="000A7545">
              <w:rPr>
                <w:rFonts w:asciiTheme="minorHAnsi" w:eastAsia="Times New Roman" w:hAnsiTheme="minorHAnsi" w:cstheme="minorHAnsi"/>
                <w:color w:val="000000"/>
                <w:sz w:val="20"/>
                <w:szCs w:val="20"/>
                <w:lang w:val="en-US"/>
              </w:rPr>
              <w:t>Classroom observations and records of visits</w:t>
            </w:r>
          </w:p>
        </w:tc>
      </w:tr>
      <w:tr w:rsidR="000A7545" w:rsidRPr="000A7545" w14:paraId="13B5634D" w14:textId="77777777" w:rsidTr="000A7545">
        <w:trPr>
          <w:trHeight w:val="232"/>
        </w:trPr>
        <w:tc>
          <w:tcPr>
            <w:tcW w:w="555" w:type="pct"/>
            <w:gridSpan w:val="4"/>
            <w:vMerge w:val="restart"/>
            <w:shd w:val="clear" w:color="auto" w:fill="auto"/>
            <w:hideMark/>
          </w:tcPr>
          <w:p w14:paraId="13B5634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1.2.4 Schools use AJEL, m</w:t>
            </w:r>
            <w:r w:rsidRPr="000A7545">
              <w:rPr>
                <w:rFonts w:asciiTheme="minorHAnsi" w:eastAsia="Times New Roman" w:hAnsiTheme="minorHAnsi" w:cstheme="minorHAnsi"/>
                <w:color w:val="000000"/>
                <w:sz w:val="20"/>
                <w:szCs w:val="20"/>
                <w:lang w:val="id-ID"/>
              </w:rPr>
              <w:t>ulti</w:t>
            </w:r>
            <w:r w:rsidRPr="000A7545">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 xml:space="preserve">grade </w:t>
            </w:r>
            <w:r w:rsidRPr="000A7545">
              <w:rPr>
                <w:rFonts w:asciiTheme="minorHAnsi" w:eastAsia="Times New Roman" w:hAnsiTheme="minorHAnsi" w:cstheme="minorHAnsi"/>
                <w:color w:val="000000"/>
                <w:sz w:val="20"/>
                <w:szCs w:val="20"/>
                <w:lang w:val="en-US"/>
              </w:rPr>
              <w:t xml:space="preserve">and early-grade </w:t>
            </w:r>
            <w:r w:rsidRPr="000A7545">
              <w:rPr>
                <w:rFonts w:asciiTheme="minorHAnsi" w:eastAsia="Times New Roman" w:hAnsiTheme="minorHAnsi" w:cstheme="minorHAnsi"/>
                <w:color w:val="000000"/>
                <w:sz w:val="20"/>
                <w:szCs w:val="20"/>
                <w:lang w:val="id-ID"/>
              </w:rPr>
              <w:t>teacher resource kits</w:t>
            </w:r>
            <w:r w:rsidRPr="000A7545">
              <w:rPr>
                <w:rFonts w:asciiTheme="minorHAnsi" w:eastAsia="Times New Roman" w:hAnsiTheme="minorHAnsi" w:cstheme="minorHAnsi"/>
                <w:color w:val="000000"/>
                <w:sz w:val="20"/>
                <w:szCs w:val="20"/>
                <w:lang w:val="en-US"/>
              </w:rPr>
              <w:t xml:space="preserve"> and materials </w:t>
            </w:r>
            <w:r w:rsidR="00F52070">
              <w:rPr>
                <w:rFonts w:asciiTheme="minorHAnsi" w:eastAsia="Times New Roman" w:hAnsiTheme="minorHAnsi" w:cstheme="minorHAnsi"/>
                <w:color w:val="000000"/>
                <w:sz w:val="20"/>
                <w:szCs w:val="20"/>
                <w:lang w:val="en-US"/>
              </w:rPr>
              <w:t>(AusAID)</w:t>
            </w:r>
          </w:p>
        </w:tc>
        <w:tc>
          <w:tcPr>
            <w:tcW w:w="1005" w:type="pct"/>
            <w:gridSpan w:val="2"/>
            <w:shd w:val="clear" w:color="auto" w:fill="auto"/>
            <w:hideMark/>
          </w:tcPr>
          <w:p w14:paraId="13B5634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r w:rsidRPr="000A7545">
              <w:rPr>
                <w:rFonts w:asciiTheme="minorHAnsi" w:eastAsia="Symbol" w:hAnsiTheme="minorHAnsi" w:cstheme="minorHAnsi"/>
                <w:color w:val="000000"/>
                <w:sz w:val="20"/>
                <w:szCs w:val="20"/>
                <w:lang w:val="en-US"/>
              </w:rPr>
              <w:t xml:space="preserve">1.2.4a. </w:t>
            </w:r>
            <w:r w:rsidRPr="000A7545">
              <w:rPr>
                <w:rFonts w:asciiTheme="minorHAnsi" w:eastAsia="Symbol" w:hAnsiTheme="minorHAnsi" w:cstheme="minorHAnsi"/>
                <w:color w:val="000000"/>
                <w:sz w:val="20"/>
                <w:szCs w:val="20"/>
                <w:lang w:val="id-ID"/>
              </w:rPr>
              <w:t xml:space="preserve">Proportion of </w:t>
            </w:r>
            <w:r w:rsidRPr="000A7545">
              <w:rPr>
                <w:rFonts w:asciiTheme="minorHAnsi" w:eastAsia="Symbol" w:hAnsiTheme="minorHAnsi" w:cstheme="minorHAnsi"/>
                <w:color w:val="000000"/>
                <w:sz w:val="20"/>
                <w:szCs w:val="20"/>
                <w:lang w:val="en-US"/>
              </w:rPr>
              <w:t>schools</w:t>
            </w:r>
            <w:r w:rsidRPr="000A7545">
              <w:rPr>
                <w:rFonts w:asciiTheme="minorHAnsi" w:eastAsia="Symbol" w:hAnsiTheme="minorHAnsi" w:cstheme="minorHAnsi"/>
                <w:color w:val="000000"/>
                <w:sz w:val="20"/>
                <w:szCs w:val="20"/>
                <w:lang w:val="id-ID"/>
              </w:rPr>
              <w:t xml:space="preserve"> </w:t>
            </w:r>
            <w:r w:rsidRPr="000A7545">
              <w:rPr>
                <w:rFonts w:asciiTheme="minorHAnsi" w:eastAsia="Symbol" w:hAnsiTheme="minorHAnsi" w:cstheme="minorHAnsi"/>
                <w:color w:val="000000"/>
                <w:sz w:val="20"/>
                <w:szCs w:val="20"/>
                <w:lang w:val="en-US"/>
              </w:rPr>
              <w:t xml:space="preserve">having access to </w:t>
            </w:r>
            <w:r w:rsidRPr="000A7545">
              <w:rPr>
                <w:rFonts w:asciiTheme="minorHAnsi" w:eastAsia="Symbol" w:hAnsiTheme="minorHAnsi" w:cstheme="minorHAnsi"/>
                <w:color w:val="000000"/>
                <w:sz w:val="20"/>
                <w:szCs w:val="20"/>
                <w:lang w:val="id-ID"/>
              </w:rPr>
              <w:t>multi</w:t>
            </w:r>
            <w:r w:rsidRPr="000A7545">
              <w:rPr>
                <w:rFonts w:asciiTheme="minorHAnsi" w:eastAsia="Symbol" w:hAnsiTheme="minorHAnsi" w:cstheme="minorHAnsi"/>
                <w:color w:val="000000"/>
                <w:sz w:val="20"/>
                <w:szCs w:val="20"/>
                <w:lang w:val="en-US"/>
              </w:rPr>
              <w:t>-</w:t>
            </w:r>
            <w:r w:rsidRPr="000A7545">
              <w:rPr>
                <w:rFonts w:asciiTheme="minorHAnsi" w:eastAsia="Symbol" w:hAnsiTheme="minorHAnsi" w:cstheme="minorHAnsi"/>
                <w:color w:val="000000"/>
                <w:sz w:val="20"/>
                <w:szCs w:val="20"/>
                <w:lang w:val="id-ID"/>
              </w:rPr>
              <w:t>grade resource kits</w:t>
            </w:r>
          </w:p>
        </w:tc>
        <w:tc>
          <w:tcPr>
            <w:tcW w:w="1117" w:type="pct"/>
            <w:shd w:val="clear" w:color="auto" w:fill="auto"/>
          </w:tcPr>
          <w:p w14:paraId="13B5634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hideMark/>
          </w:tcPr>
          <w:p w14:paraId="13B5634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80% of </w:t>
            </w:r>
            <w:r w:rsidRPr="000A7545">
              <w:rPr>
                <w:rFonts w:asciiTheme="minorHAnsi" w:eastAsia="Times New Roman" w:hAnsiTheme="minorHAnsi" w:cstheme="minorHAnsi"/>
                <w:color w:val="000000"/>
                <w:sz w:val="20"/>
                <w:szCs w:val="20"/>
                <w:lang w:val="en-US"/>
              </w:rPr>
              <w:t>260</w:t>
            </w:r>
            <w:r w:rsidRPr="000A7545">
              <w:rPr>
                <w:rFonts w:asciiTheme="minorHAnsi" w:eastAsia="Times New Roman" w:hAnsiTheme="minorHAnsi" w:cstheme="minorHAnsi"/>
                <w:color w:val="000000"/>
                <w:sz w:val="20"/>
                <w:szCs w:val="20"/>
                <w:lang w:val="id-ID"/>
              </w:rPr>
              <w:t xml:space="preserve"> remote schools using multi</w:t>
            </w:r>
            <w:r w:rsidRPr="000A7545">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grade resource kits</w:t>
            </w:r>
          </w:p>
        </w:tc>
        <w:tc>
          <w:tcPr>
            <w:tcW w:w="1088" w:type="pct"/>
          </w:tcPr>
          <w:p w14:paraId="13B5634A"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Pending roll-out of training in Q2 and Q3 2012</w:t>
            </w:r>
          </w:p>
        </w:tc>
        <w:tc>
          <w:tcPr>
            <w:tcW w:w="294" w:type="pct"/>
            <w:gridSpan w:val="3"/>
          </w:tcPr>
          <w:p w14:paraId="13B5634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hideMark/>
          </w:tcPr>
          <w:p w14:paraId="13B5634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School assessment form</w:t>
            </w:r>
          </w:p>
        </w:tc>
      </w:tr>
      <w:tr w:rsidR="000A7545" w:rsidRPr="000A7545" w14:paraId="13B56355" w14:textId="77777777" w:rsidTr="000A7545">
        <w:trPr>
          <w:trHeight w:val="1024"/>
        </w:trPr>
        <w:tc>
          <w:tcPr>
            <w:tcW w:w="555" w:type="pct"/>
            <w:gridSpan w:val="4"/>
            <w:vMerge/>
            <w:shd w:val="clear" w:color="auto" w:fill="auto"/>
          </w:tcPr>
          <w:p w14:paraId="13B5634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5" w:type="pct"/>
            <w:gridSpan w:val="2"/>
            <w:shd w:val="clear" w:color="auto" w:fill="auto"/>
            <w:hideMark/>
          </w:tcPr>
          <w:p w14:paraId="13B5634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1.2.4b. </w:t>
            </w:r>
            <w:r w:rsidRPr="000A7545">
              <w:rPr>
                <w:rFonts w:asciiTheme="minorHAnsi" w:eastAsia="Symbol" w:hAnsiTheme="minorHAnsi" w:cstheme="minorHAnsi"/>
                <w:color w:val="000000"/>
                <w:sz w:val="20"/>
                <w:szCs w:val="20"/>
                <w:lang w:val="id-ID"/>
              </w:rPr>
              <w:t xml:space="preserve">Proportion of </w:t>
            </w:r>
            <w:r w:rsidRPr="000A7545">
              <w:rPr>
                <w:rFonts w:asciiTheme="minorHAnsi" w:eastAsia="Symbol" w:hAnsiTheme="minorHAnsi" w:cstheme="minorHAnsi"/>
                <w:color w:val="000000"/>
                <w:sz w:val="20"/>
                <w:szCs w:val="20"/>
                <w:lang w:val="en-US"/>
              </w:rPr>
              <w:t>schools having access to</w:t>
            </w:r>
            <w:r w:rsidRPr="000A7545">
              <w:rPr>
                <w:rFonts w:asciiTheme="minorHAnsi" w:eastAsia="Symbol" w:hAnsiTheme="minorHAnsi" w:cstheme="minorHAnsi"/>
                <w:color w:val="000000"/>
                <w:sz w:val="20"/>
                <w:szCs w:val="20"/>
                <w:lang w:val="id-ID"/>
              </w:rPr>
              <w:t xml:space="preserve"> </w:t>
            </w:r>
            <w:r w:rsidR="00E377B2">
              <w:rPr>
                <w:rFonts w:asciiTheme="minorHAnsi" w:eastAsia="Symbol" w:hAnsiTheme="minorHAnsi" w:cstheme="minorHAnsi"/>
                <w:color w:val="000000"/>
                <w:sz w:val="20"/>
                <w:szCs w:val="20"/>
                <w:lang w:val="id-ID"/>
              </w:rPr>
              <w:t>early-grade</w:t>
            </w:r>
            <w:r w:rsidRPr="000A7545">
              <w:rPr>
                <w:rFonts w:asciiTheme="minorHAnsi" w:eastAsia="Symbol" w:hAnsiTheme="minorHAnsi" w:cstheme="minorHAnsi"/>
                <w:color w:val="000000"/>
                <w:sz w:val="20"/>
                <w:szCs w:val="20"/>
                <w:lang w:val="id-ID"/>
              </w:rPr>
              <w:t xml:space="preserve"> teacher resource kits</w:t>
            </w:r>
          </w:p>
        </w:tc>
        <w:tc>
          <w:tcPr>
            <w:tcW w:w="1117" w:type="pct"/>
            <w:shd w:val="clear" w:color="auto" w:fill="auto"/>
            <w:hideMark/>
          </w:tcPr>
          <w:p w14:paraId="13B5635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hideMark/>
          </w:tcPr>
          <w:p w14:paraId="13B5635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80% of </w:t>
            </w:r>
            <w:r w:rsidRPr="000A7545">
              <w:rPr>
                <w:rFonts w:asciiTheme="minorHAnsi" w:eastAsia="Times New Roman" w:hAnsiTheme="minorHAnsi" w:cstheme="minorHAnsi"/>
                <w:color w:val="000000"/>
                <w:sz w:val="20"/>
                <w:szCs w:val="20"/>
                <w:lang w:val="en-US"/>
              </w:rPr>
              <w:t>260</w:t>
            </w:r>
            <w:r w:rsidRPr="000A7545">
              <w:rPr>
                <w:rFonts w:asciiTheme="minorHAnsi" w:eastAsia="Times New Roman" w:hAnsiTheme="minorHAnsi" w:cstheme="minorHAnsi"/>
                <w:color w:val="000000"/>
                <w:sz w:val="20"/>
                <w:szCs w:val="20"/>
                <w:lang w:val="id-ID"/>
              </w:rPr>
              <w:t xml:space="preserve"> </w:t>
            </w:r>
            <w:r w:rsidR="00E377B2">
              <w:rPr>
                <w:rFonts w:asciiTheme="minorHAnsi" w:eastAsia="Times New Roman" w:hAnsiTheme="minorHAnsi" w:cstheme="minorHAnsi"/>
                <w:color w:val="000000"/>
                <w:sz w:val="20"/>
                <w:szCs w:val="20"/>
                <w:lang w:val="en-US"/>
              </w:rPr>
              <w:t>early-grade</w:t>
            </w:r>
            <w:r w:rsidRPr="000A7545">
              <w:rPr>
                <w:rFonts w:asciiTheme="minorHAnsi" w:eastAsia="Times New Roman" w:hAnsiTheme="minorHAnsi" w:cstheme="minorHAnsi"/>
                <w:color w:val="000000"/>
                <w:sz w:val="20"/>
                <w:szCs w:val="20"/>
                <w:lang w:val="id-ID"/>
              </w:rPr>
              <w:t xml:space="preserve"> schools using early</w:t>
            </w:r>
            <w:r w:rsidRPr="000A7545">
              <w:rPr>
                <w:rFonts w:asciiTheme="minorHAnsi" w:eastAsia="Times New Roman" w:hAnsiTheme="minorHAnsi" w:cstheme="minorHAnsi"/>
                <w:color w:val="000000"/>
                <w:sz w:val="20"/>
                <w:szCs w:val="20"/>
                <w:lang w:val="en-US"/>
              </w:rPr>
              <w:t>-</w:t>
            </w:r>
            <w:r w:rsidRPr="000A7545">
              <w:rPr>
                <w:rFonts w:asciiTheme="minorHAnsi" w:eastAsia="Times New Roman" w:hAnsiTheme="minorHAnsi" w:cstheme="minorHAnsi"/>
                <w:color w:val="000000"/>
                <w:sz w:val="20"/>
                <w:szCs w:val="20"/>
                <w:lang w:val="id-ID"/>
              </w:rPr>
              <w:t>grade resource kits</w:t>
            </w:r>
          </w:p>
        </w:tc>
        <w:tc>
          <w:tcPr>
            <w:tcW w:w="1088" w:type="pct"/>
          </w:tcPr>
          <w:p w14:paraId="13B56352"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 xml:space="preserve">260 </w:t>
            </w:r>
            <w:r w:rsidR="00E377B2">
              <w:rPr>
                <w:rFonts w:asciiTheme="minorHAnsi" w:eastAsia="Times New Roman" w:hAnsiTheme="minorHAnsi" w:cstheme="minorHAnsi"/>
                <w:sz w:val="20"/>
                <w:szCs w:val="20"/>
                <w:lang w:val="en-US"/>
              </w:rPr>
              <w:t>early-grade</w:t>
            </w:r>
            <w:r w:rsidRPr="000A7545">
              <w:rPr>
                <w:rFonts w:asciiTheme="minorHAnsi" w:eastAsia="Times New Roman" w:hAnsiTheme="minorHAnsi" w:cstheme="minorHAnsi"/>
                <w:sz w:val="20"/>
                <w:szCs w:val="20"/>
                <w:lang w:val="en-US"/>
              </w:rPr>
              <w:t xml:space="preserve"> schools with access to resource kits</w:t>
            </w:r>
          </w:p>
        </w:tc>
        <w:tc>
          <w:tcPr>
            <w:tcW w:w="294" w:type="pct"/>
            <w:gridSpan w:val="3"/>
          </w:tcPr>
          <w:p w14:paraId="13B5635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hideMark/>
          </w:tcPr>
          <w:p w14:paraId="13B5635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School assessment form</w:t>
            </w:r>
          </w:p>
        </w:tc>
      </w:tr>
      <w:tr w:rsidR="000A7545" w:rsidRPr="000A7545" w14:paraId="13B5635D" w14:textId="77777777" w:rsidTr="000A7545">
        <w:trPr>
          <w:trHeight w:val="502"/>
        </w:trPr>
        <w:tc>
          <w:tcPr>
            <w:tcW w:w="555" w:type="pct"/>
            <w:gridSpan w:val="4"/>
            <w:vMerge/>
            <w:shd w:val="clear" w:color="auto" w:fill="auto"/>
          </w:tcPr>
          <w:p w14:paraId="13B5635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5" w:type="pct"/>
            <w:gridSpan w:val="2"/>
            <w:shd w:val="clear" w:color="auto" w:fill="auto"/>
            <w:hideMark/>
          </w:tcPr>
          <w:p w14:paraId="13B5635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1.2.4c. </w:t>
            </w:r>
            <w:r w:rsidRPr="000A7545">
              <w:rPr>
                <w:rFonts w:asciiTheme="minorHAnsi" w:eastAsia="Symbol" w:hAnsiTheme="minorHAnsi" w:cstheme="minorHAnsi"/>
                <w:color w:val="000000"/>
                <w:sz w:val="20"/>
                <w:szCs w:val="20"/>
                <w:lang w:val="id-ID"/>
              </w:rPr>
              <w:t xml:space="preserve">Proportion of </w:t>
            </w:r>
            <w:r w:rsidRPr="000A7545">
              <w:rPr>
                <w:rFonts w:asciiTheme="minorHAnsi" w:eastAsia="Symbol" w:hAnsiTheme="minorHAnsi" w:cstheme="minorHAnsi"/>
                <w:color w:val="000000"/>
                <w:sz w:val="20"/>
                <w:szCs w:val="20"/>
                <w:lang w:val="en-US"/>
              </w:rPr>
              <w:t>schools</w:t>
            </w:r>
            <w:r w:rsidRPr="000A7545">
              <w:rPr>
                <w:rFonts w:asciiTheme="minorHAnsi" w:eastAsia="Symbol" w:hAnsiTheme="minorHAnsi" w:cstheme="minorHAnsi"/>
                <w:color w:val="000000"/>
                <w:sz w:val="20"/>
                <w:szCs w:val="20"/>
                <w:lang w:val="id-ID"/>
              </w:rPr>
              <w:t xml:space="preserve"> </w:t>
            </w:r>
            <w:r w:rsidRPr="000A7545">
              <w:rPr>
                <w:rFonts w:asciiTheme="minorHAnsi" w:eastAsia="Symbol" w:hAnsiTheme="minorHAnsi" w:cstheme="minorHAnsi"/>
                <w:color w:val="000000"/>
                <w:sz w:val="20"/>
                <w:szCs w:val="20"/>
                <w:lang w:val="en-US"/>
              </w:rPr>
              <w:t>having</w:t>
            </w:r>
            <w:r w:rsidRPr="000A7545">
              <w:rPr>
                <w:rFonts w:asciiTheme="minorHAnsi" w:eastAsia="Symbol" w:hAnsiTheme="minorHAnsi" w:cstheme="minorHAnsi"/>
                <w:color w:val="000000"/>
                <w:sz w:val="20"/>
                <w:szCs w:val="20"/>
                <w:lang w:val="id-ID"/>
              </w:rPr>
              <w:t xml:space="preserve"> access to </w:t>
            </w:r>
            <w:r w:rsidRPr="000A7545">
              <w:rPr>
                <w:rFonts w:asciiTheme="minorHAnsi" w:eastAsia="Symbol" w:hAnsiTheme="minorHAnsi" w:cstheme="minorHAnsi"/>
                <w:color w:val="000000"/>
                <w:sz w:val="20"/>
                <w:szCs w:val="20"/>
                <w:lang w:val="en-US"/>
              </w:rPr>
              <w:t>l</w:t>
            </w:r>
            <w:r w:rsidRPr="000A7545">
              <w:rPr>
                <w:rFonts w:asciiTheme="minorHAnsi" w:eastAsia="Symbol" w:hAnsiTheme="minorHAnsi" w:cstheme="minorHAnsi"/>
                <w:color w:val="000000"/>
                <w:sz w:val="20"/>
                <w:szCs w:val="20"/>
                <w:lang w:val="id-ID"/>
              </w:rPr>
              <w:t>iteracy</w:t>
            </w:r>
            <w:r w:rsidRPr="000A7545">
              <w:rPr>
                <w:rFonts w:asciiTheme="minorHAnsi" w:eastAsia="Symbol" w:hAnsiTheme="minorHAnsi" w:cstheme="minorHAnsi"/>
                <w:color w:val="000000"/>
                <w:sz w:val="20"/>
                <w:szCs w:val="20"/>
                <w:lang w:val="en-US"/>
              </w:rPr>
              <w:t xml:space="preserve">, </w:t>
            </w:r>
            <w:r w:rsidRPr="000A7545">
              <w:rPr>
                <w:rFonts w:asciiTheme="minorHAnsi" w:eastAsia="Symbol" w:hAnsiTheme="minorHAnsi" w:cstheme="minorHAnsi"/>
                <w:color w:val="000000"/>
                <w:sz w:val="20"/>
                <w:szCs w:val="20"/>
                <w:lang w:val="id-ID"/>
              </w:rPr>
              <w:t>numeracy</w:t>
            </w:r>
            <w:r w:rsidRPr="000A7545">
              <w:rPr>
                <w:rFonts w:asciiTheme="minorHAnsi" w:eastAsia="Symbol" w:hAnsiTheme="minorHAnsi" w:cstheme="minorHAnsi"/>
                <w:color w:val="000000"/>
                <w:sz w:val="20"/>
                <w:szCs w:val="20"/>
                <w:lang w:val="en-US"/>
              </w:rPr>
              <w:t xml:space="preserve"> and children’s book</w:t>
            </w:r>
            <w:r w:rsidRPr="000A7545">
              <w:rPr>
                <w:rFonts w:asciiTheme="minorHAnsi" w:eastAsia="Symbol" w:hAnsiTheme="minorHAnsi" w:cstheme="minorHAnsi"/>
                <w:color w:val="000000"/>
                <w:sz w:val="20"/>
                <w:szCs w:val="20"/>
                <w:lang w:val="id-ID"/>
              </w:rPr>
              <w:t xml:space="preserve"> kits</w:t>
            </w:r>
          </w:p>
        </w:tc>
        <w:tc>
          <w:tcPr>
            <w:tcW w:w="1117" w:type="pct"/>
            <w:shd w:val="clear" w:color="auto" w:fill="auto"/>
            <w:hideMark/>
          </w:tcPr>
          <w:p w14:paraId="13B5635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hideMark/>
          </w:tcPr>
          <w:p w14:paraId="13B5635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80% of </w:t>
            </w:r>
            <w:r w:rsidRPr="000A7545">
              <w:rPr>
                <w:rFonts w:asciiTheme="minorHAnsi" w:eastAsia="Times New Roman" w:hAnsiTheme="minorHAnsi" w:cstheme="minorHAnsi"/>
                <w:color w:val="000000"/>
                <w:sz w:val="20"/>
                <w:szCs w:val="20"/>
                <w:lang w:val="en-US"/>
              </w:rPr>
              <w:t>260</w:t>
            </w:r>
            <w:r w:rsidRPr="000A7545">
              <w:rPr>
                <w:rFonts w:asciiTheme="minorHAnsi" w:eastAsia="Times New Roman" w:hAnsiTheme="minorHAnsi" w:cstheme="minorHAnsi"/>
                <w:color w:val="000000"/>
                <w:sz w:val="20"/>
                <w:szCs w:val="20"/>
                <w:lang w:val="id-ID"/>
              </w:rPr>
              <w:t xml:space="preserve"> </w:t>
            </w:r>
            <w:r w:rsidRPr="000A7545">
              <w:rPr>
                <w:rFonts w:asciiTheme="minorHAnsi" w:eastAsia="Times New Roman" w:hAnsiTheme="minorHAnsi" w:cstheme="minorHAnsi"/>
                <w:color w:val="000000"/>
                <w:sz w:val="20"/>
                <w:szCs w:val="20"/>
                <w:lang w:val="en-US"/>
              </w:rPr>
              <w:t>early-grade target</w:t>
            </w:r>
            <w:r w:rsidRPr="000A7545">
              <w:rPr>
                <w:rFonts w:asciiTheme="minorHAnsi" w:eastAsia="Times New Roman" w:hAnsiTheme="minorHAnsi" w:cstheme="minorHAnsi"/>
                <w:color w:val="000000"/>
                <w:sz w:val="20"/>
                <w:szCs w:val="20"/>
                <w:lang w:val="id-ID"/>
              </w:rPr>
              <w:t xml:space="preserve"> schools</w:t>
            </w:r>
            <w:r w:rsidRPr="000A7545">
              <w:rPr>
                <w:rFonts w:asciiTheme="minorHAnsi" w:eastAsia="Times New Roman" w:hAnsiTheme="minorHAnsi" w:cstheme="minorHAnsi"/>
                <w:color w:val="000000"/>
                <w:sz w:val="20"/>
                <w:szCs w:val="20"/>
                <w:lang w:val="en-US"/>
              </w:rPr>
              <w:t xml:space="preserve"> </w:t>
            </w:r>
            <w:r w:rsidRPr="000A7545">
              <w:rPr>
                <w:rFonts w:asciiTheme="minorHAnsi" w:eastAsia="Times New Roman" w:hAnsiTheme="minorHAnsi" w:cstheme="minorHAnsi"/>
                <w:color w:val="000000"/>
                <w:sz w:val="20"/>
                <w:szCs w:val="20"/>
                <w:lang w:val="id-ID"/>
              </w:rPr>
              <w:t>using literacy</w:t>
            </w:r>
            <w:r w:rsidRPr="000A7545">
              <w:rPr>
                <w:rFonts w:asciiTheme="minorHAnsi" w:eastAsia="Times New Roman" w:hAnsiTheme="minorHAnsi" w:cstheme="minorHAnsi"/>
                <w:color w:val="000000"/>
                <w:sz w:val="20"/>
                <w:szCs w:val="20"/>
                <w:lang w:val="en-US"/>
              </w:rPr>
              <w:t xml:space="preserve">, </w:t>
            </w:r>
            <w:r w:rsidRPr="000A7545">
              <w:rPr>
                <w:rFonts w:asciiTheme="minorHAnsi" w:eastAsia="Times New Roman" w:hAnsiTheme="minorHAnsi" w:cstheme="minorHAnsi"/>
                <w:color w:val="000000"/>
                <w:sz w:val="20"/>
                <w:szCs w:val="20"/>
                <w:lang w:val="id-ID"/>
              </w:rPr>
              <w:t xml:space="preserve">numeracy </w:t>
            </w:r>
            <w:r w:rsidRPr="000A7545">
              <w:rPr>
                <w:rFonts w:asciiTheme="minorHAnsi" w:eastAsia="Times New Roman" w:hAnsiTheme="minorHAnsi" w:cstheme="minorHAnsi"/>
                <w:color w:val="000000"/>
                <w:sz w:val="20"/>
                <w:szCs w:val="20"/>
                <w:lang w:val="en-US"/>
              </w:rPr>
              <w:t>and book kits</w:t>
            </w:r>
          </w:p>
        </w:tc>
        <w:tc>
          <w:tcPr>
            <w:tcW w:w="1088" w:type="pct"/>
          </w:tcPr>
          <w:p w14:paraId="13B5635A" w14:textId="77777777" w:rsidR="000A7545" w:rsidRPr="000A7545" w:rsidRDefault="000A7545" w:rsidP="000A7545">
            <w:pPr>
              <w:shd w:val="clear" w:color="auto" w:fill="FFFFFF" w:themeFill="background1"/>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 xml:space="preserve">So far 260 </w:t>
            </w:r>
            <w:r w:rsidR="00E377B2">
              <w:rPr>
                <w:rFonts w:asciiTheme="minorHAnsi" w:eastAsia="Times New Roman" w:hAnsiTheme="minorHAnsi" w:cstheme="minorHAnsi"/>
                <w:color w:val="000000"/>
                <w:sz w:val="20"/>
                <w:szCs w:val="20"/>
                <w:lang w:val="en-US"/>
              </w:rPr>
              <w:t>early-grade</w:t>
            </w:r>
            <w:r w:rsidRPr="000A7545">
              <w:rPr>
                <w:rFonts w:asciiTheme="minorHAnsi" w:eastAsia="Times New Roman" w:hAnsiTheme="minorHAnsi" w:cstheme="minorHAnsi"/>
                <w:color w:val="000000"/>
                <w:sz w:val="20"/>
                <w:szCs w:val="20"/>
                <w:lang w:val="en-US"/>
              </w:rPr>
              <w:t xml:space="preserve"> schools have received the literacy, numeracy and children’s book kits</w:t>
            </w:r>
          </w:p>
        </w:tc>
        <w:tc>
          <w:tcPr>
            <w:tcW w:w="294" w:type="pct"/>
            <w:gridSpan w:val="3"/>
          </w:tcPr>
          <w:p w14:paraId="13B5635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hideMark/>
          </w:tcPr>
          <w:p w14:paraId="13B5635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School assessment form</w:t>
            </w:r>
          </w:p>
        </w:tc>
      </w:tr>
      <w:tr w:rsidR="000A7545" w:rsidRPr="000A7545" w14:paraId="13B56365" w14:textId="77777777" w:rsidTr="000A7545">
        <w:trPr>
          <w:trHeight w:val="925"/>
        </w:trPr>
        <w:tc>
          <w:tcPr>
            <w:tcW w:w="555" w:type="pct"/>
            <w:gridSpan w:val="4"/>
            <w:vMerge/>
            <w:shd w:val="clear" w:color="auto" w:fill="auto"/>
          </w:tcPr>
          <w:p w14:paraId="13B5635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5" w:type="pct"/>
            <w:gridSpan w:val="2"/>
            <w:shd w:val="clear" w:color="auto" w:fill="auto"/>
          </w:tcPr>
          <w:p w14:paraId="13B5635F" w14:textId="77777777" w:rsidR="000A7545" w:rsidRPr="000A7545" w:rsidRDefault="000A7545" w:rsidP="000A7545">
            <w:pPr>
              <w:spacing w:after="0" w:line="240" w:lineRule="auto"/>
              <w:rPr>
                <w:rFonts w:asciiTheme="minorHAnsi" w:eastAsia="Symbol" w:hAnsiTheme="minorHAnsi" w:cstheme="minorHAnsi"/>
                <w:color w:val="000000"/>
                <w:sz w:val="20"/>
                <w:szCs w:val="20"/>
                <w:lang w:val="id-ID"/>
              </w:rPr>
            </w:pPr>
            <w:r w:rsidRPr="000A7545">
              <w:rPr>
                <w:rFonts w:asciiTheme="minorHAnsi" w:eastAsia="Times New Roman" w:hAnsiTheme="minorHAnsi" w:cstheme="minorHAnsi"/>
                <w:color w:val="000000"/>
                <w:sz w:val="20"/>
                <w:szCs w:val="20"/>
                <w:lang w:val="en-US"/>
              </w:rPr>
              <w:t>1.2.4d. Number of schools having access to AJEL teacher resource kits</w:t>
            </w:r>
          </w:p>
        </w:tc>
        <w:tc>
          <w:tcPr>
            <w:tcW w:w="1117" w:type="pct"/>
            <w:shd w:val="clear" w:color="auto" w:fill="auto"/>
          </w:tcPr>
          <w:p w14:paraId="13B56360" w14:textId="77777777" w:rsidR="000A7545" w:rsidRPr="000A7545" w:rsidRDefault="000A7545" w:rsidP="000A7545">
            <w:pPr>
              <w:shd w:val="clear" w:color="auto" w:fill="FFFFFF" w:themeFill="background1"/>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tcPr>
          <w:p w14:paraId="13B5636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r w:rsidRPr="000A7545">
              <w:rPr>
                <w:rFonts w:asciiTheme="minorHAnsi" w:eastAsia="Times New Roman" w:hAnsiTheme="minorHAnsi" w:cstheme="minorHAnsi"/>
                <w:color w:val="000000"/>
                <w:sz w:val="20"/>
                <w:szCs w:val="20"/>
                <w:lang w:val="en-US"/>
              </w:rPr>
              <w:t>60 model school receiving resource kits for AJEL</w:t>
            </w:r>
          </w:p>
        </w:tc>
        <w:tc>
          <w:tcPr>
            <w:tcW w:w="1088" w:type="pct"/>
          </w:tcPr>
          <w:p w14:paraId="13B56362" w14:textId="77777777" w:rsidR="000A7545" w:rsidRPr="000A7545" w:rsidRDefault="000A7545" w:rsidP="000A7545">
            <w:pPr>
              <w:shd w:val="clear" w:color="auto" w:fill="FFFFFF" w:themeFill="background1"/>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53 model schools have received the literacy, numeracy and children’s book kits</w:t>
            </w:r>
          </w:p>
        </w:tc>
        <w:tc>
          <w:tcPr>
            <w:tcW w:w="294" w:type="pct"/>
            <w:gridSpan w:val="3"/>
          </w:tcPr>
          <w:p w14:paraId="13B5636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tcPr>
          <w:p w14:paraId="13B5636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Routine monitoring</w:t>
            </w:r>
          </w:p>
        </w:tc>
      </w:tr>
      <w:tr w:rsidR="000A7545" w:rsidRPr="000A7545" w14:paraId="13B56367" w14:textId="77777777" w:rsidTr="000A7545">
        <w:trPr>
          <w:trHeight w:val="241"/>
        </w:trPr>
        <w:tc>
          <w:tcPr>
            <w:tcW w:w="5000" w:type="pct"/>
            <w:gridSpan w:val="13"/>
            <w:shd w:val="clear" w:color="auto" w:fill="auto"/>
          </w:tcPr>
          <w:p w14:paraId="13B5636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r>
      <w:tr w:rsidR="000A7545" w:rsidRPr="000A7545" w14:paraId="13B56369" w14:textId="77777777" w:rsidTr="000A7545">
        <w:trPr>
          <w:trHeight w:val="340"/>
        </w:trPr>
        <w:tc>
          <w:tcPr>
            <w:tcW w:w="5000" w:type="pct"/>
            <w:gridSpan w:val="13"/>
            <w:shd w:val="clear" w:color="auto" w:fill="8DB3E2" w:themeFill="text2" w:themeFillTint="66"/>
          </w:tcPr>
          <w:p w14:paraId="13B56368" w14:textId="77777777" w:rsidR="000A7545" w:rsidRPr="000A7545" w:rsidRDefault="000A7545" w:rsidP="000A7545">
            <w:pPr>
              <w:spacing w:after="0" w:line="240" w:lineRule="auto"/>
              <w:rPr>
                <w:rFonts w:asciiTheme="minorHAnsi" w:eastAsia="Times New Roman" w:hAnsiTheme="minorHAnsi" w:cstheme="minorHAnsi"/>
                <w:b/>
                <w:color w:val="000000"/>
                <w:sz w:val="20"/>
                <w:szCs w:val="20"/>
                <w:lang w:val="en-US"/>
              </w:rPr>
            </w:pPr>
            <w:r w:rsidRPr="000A7545">
              <w:rPr>
                <w:rFonts w:asciiTheme="minorHAnsi" w:eastAsia="Times New Roman" w:hAnsiTheme="minorHAnsi" w:cstheme="minorHAnsi"/>
                <w:b/>
                <w:color w:val="000000"/>
                <w:sz w:val="20"/>
                <w:szCs w:val="20"/>
                <w:lang w:val="en-US"/>
              </w:rPr>
              <w:t>Outcome 1.3: Strengthened Leadership (AusAID and USAID)</w:t>
            </w:r>
          </w:p>
        </w:tc>
      </w:tr>
      <w:tr w:rsidR="000A7545" w:rsidRPr="000A7545" w14:paraId="13B56379" w14:textId="77777777" w:rsidTr="000A7545">
        <w:trPr>
          <w:trHeight w:val="322"/>
        </w:trPr>
        <w:tc>
          <w:tcPr>
            <w:tcW w:w="555" w:type="pct"/>
            <w:gridSpan w:val="4"/>
            <w:vMerge w:val="restart"/>
            <w:shd w:val="clear" w:color="000000" w:fill="FDE9D9"/>
          </w:tcPr>
          <w:p w14:paraId="13B5636A" w14:textId="77777777" w:rsidR="000A7545" w:rsidRPr="000A7545" w:rsidRDefault="000A7545" w:rsidP="000A7545">
            <w:pPr>
              <w:spacing w:after="0" w:line="240" w:lineRule="auto"/>
              <w:rPr>
                <w:rFonts w:asciiTheme="minorHAnsi" w:eastAsia="Times New Roman" w:hAnsiTheme="minorHAnsi" w:cstheme="minorHAnsi"/>
                <w:b/>
                <w:bCs/>
                <w:color w:val="000000"/>
                <w:sz w:val="20"/>
                <w:szCs w:val="20"/>
                <w:lang w:val="en-US"/>
              </w:rPr>
            </w:pPr>
            <w:r w:rsidRPr="000A7545">
              <w:rPr>
                <w:rFonts w:asciiTheme="minorHAnsi" w:eastAsia="Times New Roman" w:hAnsiTheme="minorHAnsi" w:cstheme="minorHAnsi"/>
                <w:b/>
                <w:bCs/>
                <w:color w:val="000000"/>
                <w:sz w:val="20"/>
                <w:szCs w:val="20"/>
                <w:lang w:val="id-ID"/>
              </w:rPr>
              <w:t xml:space="preserve">Outcome </w:t>
            </w:r>
            <w:r w:rsidRPr="000A7545">
              <w:rPr>
                <w:rFonts w:asciiTheme="minorHAnsi" w:eastAsia="Times New Roman" w:hAnsiTheme="minorHAnsi" w:cstheme="minorHAnsi"/>
                <w:b/>
                <w:bCs/>
                <w:color w:val="000000"/>
                <w:sz w:val="20"/>
                <w:szCs w:val="20"/>
                <w:lang w:val="en-US"/>
              </w:rPr>
              <w:t>1.3</w:t>
            </w:r>
            <w:r w:rsidRPr="000A7545">
              <w:rPr>
                <w:rFonts w:asciiTheme="minorHAnsi" w:eastAsia="Times New Roman" w:hAnsiTheme="minorHAnsi" w:cstheme="minorHAnsi"/>
                <w:b/>
                <w:bCs/>
                <w:color w:val="000000"/>
                <w:sz w:val="20"/>
                <w:szCs w:val="20"/>
                <w:lang w:val="id-ID"/>
              </w:rPr>
              <w:t xml:space="preserve"> Strengthened  leadership </w:t>
            </w:r>
            <w:r w:rsidRPr="000A7545">
              <w:rPr>
                <w:rFonts w:asciiTheme="minorHAnsi" w:eastAsia="Times New Roman" w:hAnsiTheme="minorHAnsi" w:cstheme="minorHAnsi"/>
                <w:b/>
                <w:bCs/>
                <w:color w:val="000000"/>
                <w:sz w:val="20"/>
                <w:szCs w:val="20"/>
                <w:lang w:val="en-US"/>
              </w:rPr>
              <w:t>and management skills</w:t>
            </w:r>
            <w:r w:rsidRPr="000A7545">
              <w:rPr>
                <w:rFonts w:asciiTheme="minorHAnsi" w:eastAsia="Times New Roman" w:hAnsiTheme="minorHAnsi" w:cstheme="minorHAnsi"/>
                <w:b/>
                <w:bCs/>
                <w:color w:val="000000"/>
                <w:sz w:val="20"/>
                <w:szCs w:val="20"/>
                <w:lang w:val="id-ID"/>
              </w:rPr>
              <w:t xml:space="preserve"> of principals</w:t>
            </w:r>
            <w:r w:rsidRPr="000A7545">
              <w:rPr>
                <w:rFonts w:asciiTheme="minorHAnsi" w:eastAsia="Times New Roman" w:hAnsiTheme="minorHAnsi" w:cstheme="minorHAnsi"/>
                <w:b/>
                <w:bCs/>
                <w:color w:val="000000"/>
                <w:sz w:val="20"/>
                <w:szCs w:val="20"/>
                <w:lang w:val="en-US"/>
              </w:rPr>
              <w:t>,</w:t>
            </w:r>
            <w:r w:rsidRPr="000A7545">
              <w:rPr>
                <w:rFonts w:asciiTheme="minorHAnsi" w:eastAsia="Times New Roman" w:hAnsiTheme="minorHAnsi" w:cstheme="minorHAnsi"/>
                <w:b/>
                <w:bCs/>
                <w:color w:val="000000"/>
                <w:sz w:val="20"/>
                <w:szCs w:val="20"/>
                <w:lang w:val="id-ID"/>
              </w:rPr>
              <w:t xml:space="preserve"> supervisors</w:t>
            </w:r>
            <w:r w:rsidRPr="000A7545">
              <w:rPr>
                <w:rFonts w:asciiTheme="minorHAnsi" w:eastAsia="Times New Roman" w:hAnsiTheme="minorHAnsi" w:cstheme="minorHAnsi"/>
                <w:b/>
                <w:bCs/>
                <w:color w:val="000000"/>
                <w:sz w:val="20"/>
                <w:szCs w:val="20"/>
                <w:lang w:val="en-US"/>
              </w:rPr>
              <w:t xml:space="preserve"> and school committees</w:t>
            </w:r>
          </w:p>
          <w:p w14:paraId="13B5636B" w14:textId="77777777" w:rsidR="000A7545" w:rsidRPr="000A7545" w:rsidRDefault="000A7545" w:rsidP="000A7545">
            <w:pPr>
              <w:spacing w:after="0" w:line="240" w:lineRule="auto"/>
              <w:rPr>
                <w:rFonts w:asciiTheme="minorHAnsi" w:eastAsia="Times New Roman" w:hAnsiTheme="minorHAnsi" w:cstheme="minorHAnsi"/>
                <w:b/>
                <w:bCs/>
                <w:sz w:val="20"/>
                <w:szCs w:val="20"/>
                <w:lang w:val="en-US"/>
              </w:rPr>
            </w:pPr>
            <w:r w:rsidRPr="000A7545">
              <w:rPr>
                <w:rFonts w:asciiTheme="minorHAnsi" w:eastAsia="Times New Roman" w:hAnsiTheme="minorHAnsi" w:cstheme="minorHAnsi"/>
                <w:b/>
                <w:bCs/>
                <w:sz w:val="20"/>
                <w:szCs w:val="20"/>
                <w:lang w:val="en-US"/>
              </w:rPr>
              <w:t>(AusAID and USAID)</w:t>
            </w:r>
          </w:p>
        </w:tc>
        <w:tc>
          <w:tcPr>
            <w:tcW w:w="1005" w:type="pct"/>
            <w:gridSpan w:val="2"/>
            <w:shd w:val="clear" w:color="000000" w:fill="C6D9F1"/>
          </w:tcPr>
          <w:p w14:paraId="13B5636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 xml:space="preserve">1.3a. % of Principals of model schools improve (by gender) their: </w:t>
            </w:r>
          </w:p>
          <w:p w14:paraId="13B5636D" w14:textId="77777777" w:rsidR="000A7545" w:rsidRPr="000A7545" w:rsidRDefault="000A7545" w:rsidP="00FA09D3">
            <w:pPr>
              <w:numPr>
                <w:ilvl w:val="0"/>
                <w:numId w:val="24"/>
              </w:numPr>
              <w:spacing w:after="0" w:line="240" w:lineRule="auto"/>
              <w:ind w:left="174" w:hanging="17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managerial competency score</w:t>
            </w:r>
          </w:p>
          <w:p w14:paraId="13B5636E" w14:textId="77777777" w:rsidR="000A7545" w:rsidRPr="000A7545" w:rsidRDefault="000A7545" w:rsidP="00FA09D3">
            <w:pPr>
              <w:numPr>
                <w:ilvl w:val="0"/>
                <w:numId w:val="24"/>
              </w:numPr>
              <w:spacing w:after="0" w:line="240" w:lineRule="auto"/>
              <w:ind w:left="174" w:hanging="17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social competency score</w:t>
            </w:r>
          </w:p>
          <w:p w14:paraId="13B5636F" w14:textId="77777777" w:rsidR="000A7545" w:rsidRPr="000A7545" w:rsidRDefault="000A7545" w:rsidP="00FA09D3">
            <w:pPr>
              <w:numPr>
                <w:ilvl w:val="0"/>
                <w:numId w:val="24"/>
              </w:numPr>
              <w:spacing w:after="0" w:line="240" w:lineRule="auto"/>
              <w:ind w:left="174" w:hanging="17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supervisory competency score</w:t>
            </w:r>
          </w:p>
          <w:p w14:paraId="13B56370" w14:textId="77777777" w:rsidR="000A7545" w:rsidRPr="000A7545" w:rsidRDefault="000A7545" w:rsidP="00FA09D3">
            <w:pPr>
              <w:numPr>
                <w:ilvl w:val="0"/>
                <w:numId w:val="24"/>
              </w:numPr>
              <w:spacing w:after="0" w:line="240" w:lineRule="auto"/>
              <w:ind w:left="174" w:hanging="174"/>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financial transparency in integrated financial reporting</w:t>
            </w:r>
          </w:p>
        </w:tc>
        <w:tc>
          <w:tcPr>
            <w:tcW w:w="1117" w:type="pct"/>
            <w:shd w:val="clear" w:color="000000" w:fill="C6D9F1"/>
          </w:tcPr>
          <w:p w14:paraId="13B5637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Managerial Competency: 23%</w:t>
            </w:r>
          </w:p>
          <w:p w14:paraId="13B5637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Social Competency: 20%</w:t>
            </w:r>
          </w:p>
          <w:p w14:paraId="13B5637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Supervisory Competency: 31%</w:t>
            </w:r>
          </w:p>
          <w:p w14:paraId="13B5637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Financial transparency: 80%</w:t>
            </w:r>
          </w:p>
        </w:tc>
        <w:tc>
          <w:tcPr>
            <w:tcW w:w="500" w:type="pct"/>
            <w:shd w:val="clear" w:color="000000" w:fill="C6D9F1"/>
          </w:tcPr>
          <w:p w14:paraId="13B5637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50% for all except 90% for financial transparency</w:t>
            </w:r>
          </w:p>
        </w:tc>
        <w:tc>
          <w:tcPr>
            <w:tcW w:w="1088" w:type="pct"/>
            <w:shd w:val="clear" w:color="000000" w:fill="C6D9F1"/>
          </w:tcPr>
          <w:p w14:paraId="13B5637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shd w:val="clear" w:color="000000" w:fill="C6D9F1"/>
          </w:tcPr>
          <w:p w14:paraId="13B5637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000000" w:fill="C6D9F1"/>
          </w:tcPr>
          <w:p w14:paraId="13B5637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Baseline and end evaluation</w:t>
            </w:r>
          </w:p>
        </w:tc>
      </w:tr>
      <w:tr w:rsidR="000A7545" w:rsidRPr="000A7545" w14:paraId="13B56389" w14:textId="77777777" w:rsidTr="000A7545">
        <w:trPr>
          <w:trHeight w:val="502"/>
        </w:trPr>
        <w:tc>
          <w:tcPr>
            <w:tcW w:w="555" w:type="pct"/>
            <w:gridSpan w:val="4"/>
            <w:vMerge/>
            <w:shd w:val="clear" w:color="000000" w:fill="FDE9D9"/>
            <w:hideMark/>
          </w:tcPr>
          <w:p w14:paraId="13B5637A" w14:textId="77777777" w:rsidR="000A7545" w:rsidRPr="000A7545" w:rsidRDefault="000A7545" w:rsidP="000A7545">
            <w:pPr>
              <w:spacing w:after="0" w:line="240" w:lineRule="auto"/>
              <w:rPr>
                <w:rFonts w:asciiTheme="minorHAnsi" w:eastAsia="Times New Roman" w:hAnsiTheme="minorHAnsi" w:cstheme="minorHAnsi"/>
                <w:b/>
                <w:bCs/>
                <w:color w:val="000000"/>
                <w:sz w:val="20"/>
                <w:szCs w:val="20"/>
                <w:lang w:val="en-US"/>
              </w:rPr>
            </w:pPr>
          </w:p>
        </w:tc>
        <w:tc>
          <w:tcPr>
            <w:tcW w:w="1005" w:type="pct"/>
            <w:gridSpan w:val="2"/>
            <w:shd w:val="clear" w:color="000000" w:fill="C6D9F1"/>
            <w:hideMark/>
          </w:tcPr>
          <w:p w14:paraId="13B5637B"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1.3b. % of S</w:t>
            </w:r>
            <w:r w:rsidRPr="000A7545">
              <w:rPr>
                <w:rFonts w:asciiTheme="minorHAnsi" w:eastAsia="Symbol" w:hAnsiTheme="minorHAnsi" w:cstheme="minorHAnsi"/>
                <w:color w:val="000000"/>
                <w:sz w:val="20"/>
                <w:szCs w:val="20"/>
                <w:lang w:val="id-ID"/>
              </w:rPr>
              <w:t xml:space="preserve">upervisors in target districts </w:t>
            </w:r>
            <w:r w:rsidRPr="000A7545">
              <w:rPr>
                <w:rFonts w:asciiTheme="minorHAnsi" w:eastAsia="Symbol" w:hAnsiTheme="minorHAnsi" w:cstheme="minorHAnsi"/>
                <w:color w:val="000000"/>
                <w:sz w:val="20"/>
                <w:szCs w:val="20"/>
                <w:lang w:val="en-US"/>
              </w:rPr>
              <w:t>improve scores (by gender) in:</w:t>
            </w:r>
          </w:p>
          <w:p w14:paraId="13B5637C" w14:textId="77777777" w:rsidR="000A7545" w:rsidRPr="000A7545" w:rsidRDefault="000A7545" w:rsidP="00FA09D3">
            <w:pPr>
              <w:numPr>
                <w:ilvl w:val="0"/>
                <w:numId w:val="25"/>
              </w:numPr>
              <w:spacing w:after="0" w:line="240" w:lineRule="auto"/>
              <w:ind w:left="174" w:hanging="174"/>
              <w:contextualSpacing/>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id-ID"/>
              </w:rPr>
              <w:t>supervisory skills</w:t>
            </w:r>
          </w:p>
          <w:p w14:paraId="13B5637D" w14:textId="77777777" w:rsidR="000A7545" w:rsidRPr="000A7545" w:rsidRDefault="000A7545" w:rsidP="00FA09D3">
            <w:pPr>
              <w:numPr>
                <w:ilvl w:val="0"/>
                <w:numId w:val="25"/>
              </w:numPr>
              <w:spacing w:after="0" w:line="240" w:lineRule="auto"/>
              <w:ind w:left="174" w:hanging="174"/>
              <w:contextualSpacing/>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managerial skills</w:t>
            </w:r>
          </w:p>
          <w:p w14:paraId="13B5637E" w14:textId="77777777" w:rsidR="000A7545" w:rsidRPr="000A7545" w:rsidRDefault="000A7545" w:rsidP="00FA09D3">
            <w:pPr>
              <w:numPr>
                <w:ilvl w:val="0"/>
                <w:numId w:val="25"/>
              </w:numPr>
              <w:spacing w:after="0" w:line="240" w:lineRule="auto"/>
              <w:ind w:left="174" w:hanging="174"/>
              <w:contextualSpacing/>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evaluation skills</w:t>
            </w:r>
          </w:p>
          <w:p w14:paraId="13B5637F" w14:textId="77777777" w:rsidR="000A7545" w:rsidRPr="000A7545" w:rsidRDefault="000A7545" w:rsidP="00FA09D3">
            <w:pPr>
              <w:numPr>
                <w:ilvl w:val="0"/>
                <w:numId w:val="25"/>
              </w:numPr>
              <w:spacing w:after="0" w:line="240" w:lineRule="auto"/>
              <w:ind w:left="174" w:hanging="174"/>
              <w:contextualSpacing/>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social skills</w:t>
            </w:r>
          </w:p>
        </w:tc>
        <w:tc>
          <w:tcPr>
            <w:tcW w:w="1117" w:type="pct"/>
            <w:shd w:val="clear" w:color="000000" w:fill="C6D9F1"/>
            <w:hideMark/>
          </w:tcPr>
          <w:p w14:paraId="13B5638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Supervisory skills: 30% (M29% F31%)</w:t>
            </w:r>
          </w:p>
          <w:p w14:paraId="13B5638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Managerial skills: 39% (M42% F31%)</w:t>
            </w:r>
          </w:p>
          <w:p w14:paraId="13B5638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Evaluation skills: 43% (M45% F39%)</w:t>
            </w:r>
          </w:p>
          <w:p w14:paraId="13B5638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Social skills: 27% (M32% F15%)</w:t>
            </w:r>
          </w:p>
        </w:tc>
        <w:tc>
          <w:tcPr>
            <w:tcW w:w="500" w:type="pct"/>
            <w:shd w:val="clear" w:color="000000" w:fill="C6D9F1"/>
            <w:hideMark/>
          </w:tcPr>
          <w:p w14:paraId="13B5638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50% for all</w:t>
            </w:r>
          </w:p>
        </w:tc>
        <w:tc>
          <w:tcPr>
            <w:tcW w:w="1088" w:type="pct"/>
            <w:shd w:val="clear" w:color="000000" w:fill="C6D9F1"/>
          </w:tcPr>
          <w:p w14:paraId="13B5638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shd w:val="clear" w:color="000000" w:fill="C6D9F1"/>
          </w:tcPr>
          <w:p w14:paraId="13B5638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000000" w:fill="C6D9F1"/>
            <w:hideMark/>
          </w:tcPr>
          <w:p w14:paraId="13B5638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Baseline and end evaluation</w:t>
            </w:r>
          </w:p>
          <w:p w14:paraId="13B5638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School Reports</w:t>
            </w:r>
          </w:p>
        </w:tc>
      </w:tr>
      <w:tr w:rsidR="000A7545" w:rsidRPr="000A7545" w14:paraId="13B56396" w14:textId="77777777" w:rsidTr="000A7545">
        <w:trPr>
          <w:trHeight w:val="340"/>
        </w:trPr>
        <w:tc>
          <w:tcPr>
            <w:tcW w:w="555" w:type="pct"/>
            <w:gridSpan w:val="4"/>
            <w:vMerge/>
            <w:hideMark/>
          </w:tcPr>
          <w:p w14:paraId="13B5638A" w14:textId="77777777" w:rsidR="000A7545" w:rsidRPr="000A7545" w:rsidRDefault="000A7545" w:rsidP="000A7545">
            <w:pPr>
              <w:spacing w:after="0" w:line="240" w:lineRule="auto"/>
              <w:rPr>
                <w:rFonts w:asciiTheme="minorHAnsi" w:eastAsia="Times New Roman" w:hAnsiTheme="minorHAnsi" w:cstheme="minorHAnsi"/>
                <w:b/>
                <w:bCs/>
                <w:color w:val="000000"/>
                <w:lang w:val="en-US"/>
              </w:rPr>
            </w:pPr>
          </w:p>
        </w:tc>
        <w:tc>
          <w:tcPr>
            <w:tcW w:w="1005" w:type="pct"/>
            <w:gridSpan w:val="2"/>
            <w:shd w:val="clear" w:color="000000" w:fill="C6D9F1"/>
          </w:tcPr>
          <w:p w14:paraId="13B5638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1.3c. % of School Committees with improved management skills:</w:t>
            </w:r>
          </w:p>
          <w:p w14:paraId="13B5638C" w14:textId="77777777" w:rsidR="000A7545" w:rsidRPr="000A7545" w:rsidRDefault="000A7545" w:rsidP="00FA09D3">
            <w:pPr>
              <w:numPr>
                <w:ilvl w:val="0"/>
                <w:numId w:val="26"/>
              </w:numPr>
              <w:spacing w:after="0" w:line="240" w:lineRule="auto"/>
              <w:ind w:left="174" w:hanging="180"/>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financial management</w:t>
            </w:r>
          </w:p>
          <w:p w14:paraId="13B5638D" w14:textId="77777777" w:rsidR="000A7545" w:rsidRPr="000A7545" w:rsidRDefault="000A7545" w:rsidP="00FA09D3">
            <w:pPr>
              <w:numPr>
                <w:ilvl w:val="0"/>
                <w:numId w:val="26"/>
              </w:numPr>
              <w:spacing w:after="0" w:line="240" w:lineRule="auto"/>
              <w:ind w:left="174" w:hanging="180"/>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teacher management</w:t>
            </w:r>
          </w:p>
          <w:p w14:paraId="13B5638E" w14:textId="77777777" w:rsidR="000A7545" w:rsidRPr="000A7545" w:rsidRDefault="000A7545" w:rsidP="00FA09D3">
            <w:pPr>
              <w:numPr>
                <w:ilvl w:val="0"/>
                <w:numId w:val="26"/>
              </w:numPr>
              <w:spacing w:after="0" w:line="240" w:lineRule="auto"/>
              <w:ind w:left="174" w:hanging="180"/>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teaching learning process</w:t>
            </w:r>
          </w:p>
        </w:tc>
        <w:tc>
          <w:tcPr>
            <w:tcW w:w="1117" w:type="pct"/>
            <w:shd w:val="clear" w:color="000000" w:fill="C6D9F1"/>
          </w:tcPr>
          <w:p w14:paraId="13B5638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Financial management: 71%</w:t>
            </w:r>
          </w:p>
          <w:p w14:paraId="13B5639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Teacher management: 77%</w:t>
            </w:r>
          </w:p>
          <w:p w14:paraId="13B5639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Teaching Learning process: 80%</w:t>
            </w:r>
          </w:p>
        </w:tc>
        <w:tc>
          <w:tcPr>
            <w:tcW w:w="500" w:type="pct"/>
            <w:shd w:val="clear" w:color="000000" w:fill="C6D9F1"/>
          </w:tcPr>
          <w:p w14:paraId="13B5639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90% for all</w:t>
            </w:r>
          </w:p>
        </w:tc>
        <w:tc>
          <w:tcPr>
            <w:tcW w:w="1088" w:type="pct"/>
            <w:shd w:val="clear" w:color="000000" w:fill="C6D9F1"/>
          </w:tcPr>
          <w:p w14:paraId="13B5639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shd w:val="clear" w:color="000000" w:fill="C6D9F1"/>
          </w:tcPr>
          <w:p w14:paraId="13B5639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000000" w:fill="C6D9F1"/>
          </w:tcPr>
          <w:p w14:paraId="13B5639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Baseline and end evaluation</w:t>
            </w:r>
          </w:p>
        </w:tc>
      </w:tr>
      <w:tr w:rsidR="000A7545" w:rsidRPr="000A7545" w14:paraId="13B5639E" w14:textId="77777777" w:rsidTr="000A7545">
        <w:trPr>
          <w:trHeight w:val="889"/>
        </w:trPr>
        <w:tc>
          <w:tcPr>
            <w:tcW w:w="555" w:type="pct"/>
            <w:gridSpan w:val="4"/>
            <w:vMerge/>
          </w:tcPr>
          <w:p w14:paraId="13B56397" w14:textId="77777777" w:rsidR="000A7545" w:rsidRPr="000A7545" w:rsidRDefault="000A7545" w:rsidP="000A7545">
            <w:pPr>
              <w:spacing w:after="0" w:line="240" w:lineRule="auto"/>
              <w:rPr>
                <w:rFonts w:asciiTheme="minorHAnsi" w:eastAsia="Times New Roman" w:hAnsiTheme="minorHAnsi" w:cstheme="minorHAnsi"/>
                <w:b/>
                <w:bCs/>
                <w:color w:val="000000"/>
                <w:lang w:val="en-US"/>
              </w:rPr>
            </w:pPr>
          </w:p>
        </w:tc>
        <w:tc>
          <w:tcPr>
            <w:tcW w:w="1005" w:type="pct"/>
            <w:gridSpan w:val="2"/>
            <w:shd w:val="clear" w:color="000000" w:fill="C6D9F1"/>
          </w:tcPr>
          <w:p w14:paraId="13B5639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1.3d. %</w:t>
            </w:r>
            <w:r w:rsidRPr="000A7545">
              <w:rPr>
                <w:rFonts w:asciiTheme="minorHAnsi" w:eastAsia="Symbol" w:hAnsiTheme="minorHAnsi" w:cstheme="minorHAnsi"/>
                <w:color w:val="000000"/>
                <w:sz w:val="20"/>
                <w:szCs w:val="20"/>
                <w:lang w:val="id-ID"/>
              </w:rPr>
              <w:t xml:space="preserve"> of schools that prepare integrated financial utilization reports</w:t>
            </w:r>
          </w:p>
        </w:tc>
        <w:tc>
          <w:tcPr>
            <w:tcW w:w="1117" w:type="pct"/>
            <w:shd w:val="clear" w:color="000000" w:fill="C6D9F1"/>
          </w:tcPr>
          <w:p w14:paraId="13B5639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79%</w:t>
            </w:r>
          </w:p>
        </w:tc>
        <w:tc>
          <w:tcPr>
            <w:tcW w:w="500" w:type="pct"/>
            <w:shd w:val="clear" w:color="000000" w:fill="C6D9F1"/>
          </w:tcPr>
          <w:p w14:paraId="13B5639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100%</w:t>
            </w:r>
          </w:p>
        </w:tc>
        <w:tc>
          <w:tcPr>
            <w:tcW w:w="1088" w:type="pct"/>
            <w:shd w:val="clear" w:color="000000" w:fill="C6D9F1"/>
          </w:tcPr>
          <w:p w14:paraId="13B5639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Training rolled out for model and small proportion of satellite schools. Local district education offices have adopted LKT training as part of support for all schools in districts</w:t>
            </w:r>
          </w:p>
        </w:tc>
        <w:tc>
          <w:tcPr>
            <w:tcW w:w="294" w:type="pct"/>
            <w:gridSpan w:val="3"/>
            <w:shd w:val="clear" w:color="000000" w:fill="C6D9F1"/>
          </w:tcPr>
          <w:p w14:paraId="13B5639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000000" w:fill="C6D9F1"/>
          </w:tcPr>
          <w:p w14:paraId="13B5639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Baseline and end evaluation</w:t>
            </w:r>
          </w:p>
        </w:tc>
      </w:tr>
      <w:tr w:rsidR="000A7545" w:rsidRPr="000A7545" w14:paraId="13B563A6" w14:textId="77777777" w:rsidTr="000A7545">
        <w:trPr>
          <w:trHeight w:val="790"/>
        </w:trPr>
        <w:tc>
          <w:tcPr>
            <w:tcW w:w="555" w:type="pct"/>
            <w:gridSpan w:val="4"/>
            <w:vMerge/>
          </w:tcPr>
          <w:p w14:paraId="13B5639F" w14:textId="77777777" w:rsidR="000A7545" w:rsidRPr="000A7545" w:rsidRDefault="000A7545" w:rsidP="000A7545">
            <w:pPr>
              <w:spacing w:after="0" w:line="240" w:lineRule="auto"/>
              <w:rPr>
                <w:rFonts w:asciiTheme="minorHAnsi" w:eastAsia="Times New Roman" w:hAnsiTheme="minorHAnsi" w:cstheme="minorHAnsi"/>
                <w:b/>
                <w:bCs/>
                <w:color w:val="000000"/>
                <w:lang w:val="en-US"/>
              </w:rPr>
            </w:pPr>
          </w:p>
        </w:tc>
        <w:tc>
          <w:tcPr>
            <w:tcW w:w="1005" w:type="pct"/>
            <w:gridSpan w:val="2"/>
            <w:shd w:val="clear" w:color="000000" w:fill="C6D9F1"/>
          </w:tcPr>
          <w:p w14:paraId="13B563A0"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1.3.e % of principals that hold meetings with supervisors and teachers</w:t>
            </w:r>
          </w:p>
        </w:tc>
        <w:tc>
          <w:tcPr>
            <w:tcW w:w="1117" w:type="pct"/>
            <w:shd w:val="clear" w:color="000000" w:fill="C6D9F1"/>
          </w:tcPr>
          <w:p w14:paraId="13B563A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22%</w:t>
            </w:r>
          </w:p>
        </w:tc>
        <w:tc>
          <w:tcPr>
            <w:tcW w:w="500" w:type="pct"/>
            <w:shd w:val="clear" w:color="000000" w:fill="C6D9F1"/>
          </w:tcPr>
          <w:p w14:paraId="13B563A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100%</w:t>
            </w:r>
          </w:p>
        </w:tc>
        <w:tc>
          <w:tcPr>
            <w:tcW w:w="1088" w:type="pct"/>
            <w:shd w:val="clear" w:color="000000" w:fill="C6D9F1"/>
          </w:tcPr>
          <w:p w14:paraId="13B563A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shd w:val="clear" w:color="000000" w:fill="C6D9F1"/>
          </w:tcPr>
          <w:p w14:paraId="13B563A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000000" w:fill="C6D9F1"/>
          </w:tcPr>
          <w:p w14:paraId="13B563A5" w14:textId="77777777" w:rsidR="000A7545" w:rsidRPr="007C5972" w:rsidRDefault="007C5972" w:rsidP="000A7545">
            <w:pPr>
              <w:spacing w:after="0" w:line="240" w:lineRule="auto"/>
              <w:rPr>
                <w:rFonts w:asciiTheme="minorHAnsi" w:eastAsia="Times New Roman" w:hAnsiTheme="minorHAnsi" w:cstheme="minorHAnsi"/>
                <w:color w:val="000000"/>
                <w:sz w:val="20"/>
                <w:szCs w:val="20"/>
                <w:lang w:val="en-US"/>
              </w:rPr>
            </w:pPr>
            <w:r>
              <w:rPr>
                <w:rFonts w:asciiTheme="minorHAnsi" w:eastAsia="Times New Roman" w:hAnsiTheme="minorHAnsi" w:cstheme="minorHAnsi"/>
                <w:color w:val="000000"/>
                <w:sz w:val="20"/>
                <w:szCs w:val="20"/>
                <w:lang w:val="en-US"/>
              </w:rPr>
              <w:t>Monitoring reports</w:t>
            </w:r>
          </w:p>
        </w:tc>
      </w:tr>
      <w:tr w:rsidR="000A7545" w:rsidRPr="000A7545" w14:paraId="13B563B1" w14:textId="77777777" w:rsidTr="000A7545">
        <w:trPr>
          <w:trHeight w:val="889"/>
        </w:trPr>
        <w:tc>
          <w:tcPr>
            <w:tcW w:w="555" w:type="pct"/>
            <w:gridSpan w:val="4"/>
            <w:vMerge/>
          </w:tcPr>
          <w:p w14:paraId="13B563A7" w14:textId="77777777" w:rsidR="000A7545" w:rsidRPr="000A7545" w:rsidRDefault="000A7545" w:rsidP="000A7545">
            <w:pPr>
              <w:spacing w:after="0" w:line="240" w:lineRule="auto"/>
              <w:rPr>
                <w:rFonts w:asciiTheme="minorHAnsi" w:eastAsia="Times New Roman" w:hAnsiTheme="minorHAnsi" w:cstheme="minorHAnsi"/>
                <w:b/>
                <w:bCs/>
                <w:color w:val="000000"/>
                <w:lang w:val="en-US"/>
              </w:rPr>
            </w:pPr>
          </w:p>
        </w:tc>
        <w:tc>
          <w:tcPr>
            <w:tcW w:w="1005" w:type="pct"/>
            <w:gridSpan w:val="2"/>
            <w:shd w:val="clear" w:color="000000" w:fill="C6D9F1"/>
          </w:tcPr>
          <w:p w14:paraId="13B563A8"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1.3.f % of school committees that provide management advice to schools</w:t>
            </w:r>
          </w:p>
        </w:tc>
        <w:tc>
          <w:tcPr>
            <w:tcW w:w="1117" w:type="pct"/>
            <w:shd w:val="clear" w:color="000000" w:fill="C6D9F1"/>
          </w:tcPr>
          <w:p w14:paraId="13B563A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Overall: 74%</w:t>
            </w:r>
          </w:p>
          <w:p w14:paraId="13B563A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Finance: 65%</w:t>
            </w:r>
          </w:p>
          <w:p w14:paraId="13B563A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Teaching and learning: 56%</w:t>
            </w:r>
          </w:p>
          <w:p w14:paraId="13B563A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School maintenance: 74%</w:t>
            </w:r>
          </w:p>
        </w:tc>
        <w:tc>
          <w:tcPr>
            <w:tcW w:w="500" w:type="pct"/>
            <w:shd w:val="clear" w:color="000000" w:fill="C6D9F1"/>
          </w:tcPr>
          <w:p w14:paraId="13B563A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Overall: 80%</w:t>
            </w:r>
          </w:p>
        </w:tc>
        <w:tc>
          <w:tcPr>
            <w:tcW w:w="1088" w:type="pct"/>
            <w:shd w:val="clear" w:color="000000" w:fill="C6D9F1"/>
          </w:tcPr>
          <w:p w14:paraId="13B563A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shd w:val="clear" w:color="000000" w:fill="C6D9F1"/>
          </w:tcPr>
          <w:p w14:paraId="13B563A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000000" w:fill="C6D9F1"/>
          </w:tcPr>
          <w:p w14:paraId="13B563B0" w14:textId="77777777" w:rsidR="000A7545" w:rsidRPr="007C5972" w:rsidRDefault="007C5972" w:rsidP="000A7545">
            <w:pPr>
              <w:spacing w:after="0" w:line="240" w:lineRule="auto"/>
              <w:rPr>
                <w:rFonts w:asciiTheme="minorHAnsi" w:eastAsia="Times New Roman" w:hAnsiTheme="minorHAnsi" w:cstheme="minorHAnsi"/>
                <w:color w:val="000000"/>
                <w:sz w:val="20"/>
                <w:szCs w:val="20"/>
                <w:lang w:val="en-US"/>
              </w:rPr>
            </w:pPr>
            <w:r>
              <w:rPr>
                <w:rFonts w:asciiTheme="minorHAnsi" w:eastAsia="Times New Roman" w:hAnsiTheme="minorHAnsi" w:cstheme="minorHAnsi"/>
                <w:color w:val="000000"/>
                <w:sz w:val="20"/>
                <w:szCs w:val="20"/>
                <w:lang w:val="en-US"/>
              </w:rPr>
              <w:t>Monitoring reports</w:t>
            </w:r>
          </w:p>
        </w:tc>
      </w:tr>
      <w:tr w:rsidR="000A7545" w:rsidRPr="000A7545" w14:paraId="13B563B3" w14:textId="77777777" w:rsidTr="000A7545">
        <w:trPr>
          <w:trHeight w:val="315"/>
        </w:trPr>
        <w:tc>
          <w:tcPr>
            <w:tcW w:w="5000" w:type="pct"/>
            <w:gridSpan w:val="13"/>
            <w:vAlign w:val="center"/>
          </w:tcPr>
          <w:p w14:paraId="13B563B2" w14:textId="77777777" w:rsidR="000A7545" w:rsidRPr="000A7545" w:rsidRDefault="000A7545" w:rsidP="000A7545">
            <w:pPr>
              <w:spacing w:after="0" w:line="240" w:lineRule="auto"/>
              <w:rPr>
                <w:rFonts w:asciiTheme="minorHAnsi" w:eastAsia="Times New Roman" w:hAnsiTheme="minorHAnsi" w:cstheme="minorHAnsi"/>
                <w:b/>
                <w:color w:val="000000"/>
                <w:lang w:val="en-US"/>
              </w:rPr>
            </w:pPr>
            <w:r w:rsidRPr="000A7545">
              <w:rPr>
                <w:rFonts w:asciiTheme="minorHAnsi" w:eastAsia="Times New Roman" w:hAnsiTheme="minorHAnsi" w:cstheme="minorHAnsi"/>
                <w:b/>
                <w:color w:val="000000"/>
                <w:lang w:val="en-US"/>
              </w:rPr>
              <w:t>Outputs</w:t>
            </w:r>
          </w:p>
        </w:tc>
      </w:tr>
      <w:tr w:rsidR="000A7545" w:rsidRPr="000A7545" w14:paraId="13B563BC" w14:textId="77777777" w:rsidTr="000A7545">
        <w:trPr>
          <w:trHeight w:val="2257"/>
        </w:trPr>
        <w:tc>
          <w:tcPr>
            <w:tcW w:w="559" w:type="pct"/>
            <w:gridSpan w:val="5"/>
            <w:vMerge w:val="restart"/>
            <w:shd w:val="clear" w:color="auto" w:fill="auto"/>
            <w:hideMark/>
          </w:tcPr>
          <w:p w14:paraId="13B563B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 xml:space="preserve">Output </w:t>
            </w:r>
            <w:r w:rsidRPr="000A7545">
              <w:rPr>
                <w:rFonts w:asciiTheme="minorHAnsi" w:eastAsia="Times New Roman" w:hAnsiTheme="minorHAnsi" w:cstheme="minorHAnsi"/>
                <w:color w:val="000000"/>
                <w:sz w:val="20"/>
                <w:szCs w:val="20"/>
                <w:lang w:val="en-US"/>
              </w:rPr>
              <w:t>1.3</w:t>
            </w:r>
            <w:r w:rsidRPr="000A7545">
              <w:rPr>
                <w:rFonts w:asciiTheme="minorHAnsi" w:eastAsia="Times New Roman" w:hAnsiTheme="minorHAnsi" w:cstheme="minorHAnsi"/>
                <w:color w:val="000000"/>
                <w:sz w:val="20"/>
                <w:szCs w:val="20"/>
                <w:lang w:val="id-ID"/>
              </w:rPr>
              <w:t>.1</w:t>
            </w:r>
            <w:r w:rsidRPr="000A7545">
              <w:rPr>
                <w:rFonts w:asciiTheme="minorHAnsi" w:eastAsia="Times New Roman" w:hAnsiTheme="minorHAnsi" w:cstheme="minorHAnsi"/>
                <w:color w:val="000000"/>
                <w:sz w:val="20"/>
                <w:szCs w:val="20"/>
                <w:lang w:val="en-US"/>
              </w:rPr>
              <w:t xml:space="preserve"> P</w:t>
            </w:r>
            <w:r w:rsidRPr="000A7545">
              <w:rPr>
                <w:rFonts w:asciiTheme="minorHAnsi" w:eastAsia="Times New Roman" w:hAnsiTheme="minorHAnsi" w:cstheme="minorHAnsi"/>
                <w:color w:val="000000"/>
                <w:sz w:val="20"/>
                <w:szCs w:val="20"/>
                <w:lang w:val="id-ID"/>
              </w:rPr>
              <w:t>rincipals</w:t>
            </w:r>
            <w:r w:rsidRPr="000A7545">
              <w:rPr>
                <w:rFonts w:asciiTheme="minorHAnsi" w:eastAsia="Times New Roman" w:hAnsiTheme="minorHAnsi" w:cstheme="minorHAnsi"/>
                <w:color w:val="000000"/>
                <w:sz w:val="20"/>
                <w:szCs w:val="20"/>
                <w:lang w:val="en-US"/>
              </w:rPr>
              <w:t xml:space="preserve"> and </w:t>
            </w:r>
            <w:r w:rsidRPr="000A7545">
              <w:rPr>
                <w:rFonts w:asciiTheme="minorHAnsi" w:eastAsia="Times New Roman" w:hAnsiTheme="minorHAnsi" w:cstheme="minorHAnsi"/>
                <w:color w:val="000000"/>
                <w:sz w:val="20"/>
                <w:szCs w:val="20"/>
                <w:lang w:val="id-ID"/>
              </w:rPr>
              <w:t xml:space="preserve">school supervisors </w:t>
            </w:r>
            <w:r w:rsidRPr="000A7545">
              <w:rPr>
                <w:rFonts w:asciiTheme="minorHAnsi" w:eastAsia="Times New Roman" w:hAnsiTheme="minorHAnsi" w:cstheme="minorHAnsi"/>
                <w:color w:val="000000"/>
                <w:sz w:val="20"/>
                <w:szCs w:val="20"/>
                <w:lang w:val="en-US"/>
              </w:rPr>
              <w:t>have improved l</w:t>
            </w:r>
            <w:r w:rsidRPr="000A7545">
              <w:rPr>
                <w:rFonts w:asciiTheme="minorHAnsi" w:eastAsia="Times New Roman" w:hAnsiTheme="minorHAnsi" w:cstheme="minorHAnsi"/>
                <w:color w:val="000000"/>
                <w:sz w:val="20"/>
                <w:szCs w:val="20"/>
                <w:lang w:val="id-ID"/>
              </w:rPr>
              <w:t xml:space="preserve">eadership </w:t>
            </w:r>
            <w:r w:rsidRPr="000A7545">
              <w:rPr>
                <w:rFonts w:asciiTheme="minorHAnsi" w:eastAsia="Times New Roman" w:hAnsiTheme="minorHAnsi" w:cstheme="minorHAnsi"/>
                <w:color w:val="000000"/>
                <w:sz w:val="20"/>
                <w:szCs w:val="20"/>
                <w:lang w:val="en-US"/>
              </w:rPr>
              <w:t>skills (AusAID and USAID)</w:t>
            </w:r>
          </w:p>
        </w:tc>
        <w:tc>
          <w:tcPr>
            <w:tcW w:w="1001" w:type="pct"/>
            <w:shd w:val="clear" w:color="auto" w:fill="auto"/>
            <w:hideMark/>
          </w:tcPr>
          <w:p w14:paraId="13B563B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1.3.1a. </w:t>
            </w:r>
            <w:r w:rsidRPr="000A7545">
              <w:rPr>
                <w:rFonts w:asciiTheme="minorHAnsi" w:eastAsia="Symbol" w:hAnsiTheme="minorHAnsi" w:cstheme="minorHAnsi"/>
                <w:color w:val="000000"/>
                <w:sz w:val="20"/>
                <w:szCs w:val="20"/>
                <w:lang w:val="id-ID"/>
              </w:rPr>
              <w:t xml:space="preserve">Proportion of principals </w:t>
            </w:r>
            <w:r w:rsidRPr="000A7545">
              <w:rPr>
                <w:rFonts w:asciiTheme="minorHAnsi" w:eastAsia="Symbol" w:hAnsiTheme="minorHAnsi" w:cstheme="minorHAnsi"/>
                <w:color w:val="000000"/>
                <w:sz w:val="20"/>
                <w:szCs w:val="20"/>
                <w:lang w:val="en-US"/>
              </w:rPr>
              <w:t xml:space="preserve">and supervisors </w:t>
            </w:r>
            <w:r w:rsidRPr="000A7545">
              <w:rPr>
                <w:rFonts w:asciiTheme="minorHAnsi" w:eastAsia="Symbol" w:hAnsiTheme="minorHAnsi" w:cstheme="minorHAnsi"/>
                <w:color w:val="000000"/>
                <w:sz w:val="20"/>
                <w:szCs w:val="20"/>
                <w:lang w:val="id-ID"/>
              </w:rPr>
              <w:t>from target schools</w:t>
            </w:r>
            <w:r w:rsidRPr="000A7545">
              <w:rPr>
                <w:rFonts w:asciiTheme="minorHAnsi" w:eastAsia="Symbol" w:hAnsiTheme="minorHAnsi" w:cstheme="minorHAnsi"/>
                <w:color w:val="000000"/>
                <w:sz w:val="20"/>
                <w:szCs w:val="20"/>
                <w:lang w:val="en-US"/>
              </w:rPr>
              <w:t>/districts trained</w:t>
            </w:r>
            <w:r w:rsidRPr="000A7545">
              <w:rPr>
                <w:rFonts w:asciiTheme="minorHAnsi" w:eastAsia="Symbol" w:hAnsiTheme="minorHAnsi" w:cstheme="minorHAnsi"/>
                <w:color w:val="000000"/>
                <w:sz w:val="20"/>
                <w:szCs w:val="20"/>
                <w:lang w:val="id-ID"/>
              </w:rPr>
              <w:t xml:space="preserve"> in leadership </w:t>
            </w:r>
            <w:r w:rsidRPr="000A7545">
              <w:rPr>
                <w:rFonts w:asciiTheme="minorHAnsi" w:eastAsia="Symbol" w:hAnsiTheme="minorHAnsi" w:cstheme="minorHAnsi"/>
                <w:color w:val="000000"/>
                <w:sz w:val="20"/>
                <w:szCs w:val="20"/>
                <w:lang w:val="en-US"/>
              </w:rPr>
              <w:t>(by gender)</w:t>
            </w:r>
          </w:p>
        </w:tc>
        <w:tc>
          <w:tcPr>
            <w:tcW w:w="1117" w:type="pct"/>
            <w:shd w:val="clear" w:color="auto" w:fill="auto"/>
            <w:hideMark/>
          </w:tcPr>
          <w:p w14:paraId="13B563B6"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0</w:t>
            </w:r>
          </w:p>
        </w:tc>
        <w:tc>
          <w:tcPr>
            <w:tcW w:w="500" w:type="pct"/>
            <w:shd w:val="clear" w:color="auto" w:fill="auto"/>
            <w:hideMark/>
          </w:tcPr>
          <w:p w14:paraId="13B563B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 xml:space="preserve">80% of </w:t>
            </w:r>
            <w:r w:rsidRPr="000A7545">
              <w:rPr>
                <w:rFonts w:asciiTheme="minorHAnsi" w:eastAsia="Times New Roman" w:hAnsiTheme="minorHAnsi" w:cstheme="minorHAnsi"/>
                <w:color w:val="000000"/>
                <w:sz w:val="20"/>
                <w:szCs w:val="20"/>
                <w:lang w:val="id-ID"/>
              </w:rPr>
              <w:t>principals</w:t>
            </w:r>
            <w:r w:rsidRPr="000A7545">
              <w:rPr>
                <w:rFonts w:asciiTheme="minorHAnsi" w:eastAsia="Times New Roman" w:hAnsiTheme="minorHAnsi" w:cstheme="minorHAnsi"/>
                <w:color w:val="000000"/>
                <w:sz w:val="20"/>
                <w:szCs w:val="20"/>
                <w:lang w:val="en-US"/>
              </w:rPr>
              <w:t xml:space="preserve"> from target schools</w:t>
            </w:r>
            <w:r>
              <w:rPr>
                <w:rFonts w:asciiTheme="minorHAnsi" w:eastAsia="Times New Roman" w:hAnsiTheme="minorHAnsi" w:cstheme="minorHAnsi"/>
                <w:color w:val="000000"/>
                <w:sz w:val="20"/>
                <w:szCs w:val="20"/>
                <w:lang w:val="en-US"/>
              </w:rPr>
              <w:t xml:space="preserve"> under USAID agreement</w:t>
            </w:r>
          </w:p>
        </w:tc>
        <w:tc>
          <w:tcPr>
            <w:tcW w:w="1088" w:type="pct"/>
          </w:tcPr>
          <w:p w14:paraId="13B563B8"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2</w:t>
            </w:r>
            <w:r w:rsidR="007C5972">
              <w:rPr>
                <w:rFonts w:asciiTheme="minorHAnsi" w:eastAsia="Times New Roman" w:hAnsiTheme="minorHAnsi" w:cstheme="minorHAnsi"/>
                <w:sz w:val="20"/>
                <w:szCs w:val="20"/>
                <w:lang w:val="en-US"/>
              </w:rPr>
              <w:t>0</w:t>
            </w:r>
            <w:r w:rsidRPr="000A7545">
              <w:rPr>
                <w:rFonts w:asciiTheme="minorHAnsi" w:eastAsia="Times New Roman" w:hAnsiTheme="minorHAnsi" w:cstheme="minorHAnsi"/>
                <w:sz w:val="20"/>
                <w:szCs w:val="20"/>
                <w:lang w:val="en-US"/>
              </w:rPr>
              <w:t xml:space="preserve"> District </w:t>
            </w:r>
            <w:r w:rsidRPr="000A7545">
              <w:rPr>
                <w:rFonts w:asciiTheme="minorHAnsi" w:eastAsia="Times New Roman" w:hAnsiTheme="minorHAnsi" w:cstheme="minorHAnsi"/>
                <w:b/>
                <w:sz w:val="20"/>
                <w:szCs w:val="20"/>
                <w:lang w:val="en-US"/>
              </w:rPr>
              <w:t>Master Trainers</w:t>
            </w:r>
            <w:r w:rsidRPr="000A7545">
              <w:rPr>
                <w:rFonts w:asciiTheme="minorHAnsi" w:eastAsia="Times New Roman" w:hAnsiTheme="minorHAnsi" w:cstheme="minorHAnsi"/>
                <w:sz w:val="20"/>
                <w:szCs w:val="20"/>
                <w:lang w:val="en-US"/>
              </w:rPr>
              <w:t xml:space="preserve"> (1</w:t>
            </w:r>
            <w:r w:rsidR="007C5972">
              <w:rPr>
                <w:rFonts w:asciiTheme="minorHAnsi" w:eastAsia="Times New Roman" w:hAnsiTheme="minorHAnsi" w:cstheme="minorHAnsi"/>
                <w:sz w:val="20"/>
                <w:szCs w:val="20"/>
                <w:lang w:val="en-US"/>
              </w:rPr>
              <w:t>3</w:t>
            </w:r>
            <w:r w:rsidRPr="000A7545">
              <w:rPr>
                <w:rFonts w:asciiTheme="minorHAnsi" w:eastAsia="Times New Roman" w:hAnsiTheme="minorHAnsi" w:cstheme="minorHAnsi"/>
                <w:sz w:val="20"/>
                <w:szCs w:val="20"/>
                <w:lang w:val="en-US"/>
              </w:rPr>
              <w:t xml:space="preserve">M; </w:t>
            </w:r>
            <w:r w:rsidR="007C5972">
              <w:rPr>
                <w:rFonts w:asciiTheme="minorHAnsi" w:eastAsia="Times New Roman" w:hAnsiTheme="minorHAnsi" w:cstheme="minorHAnsi"/>
                <w:sz w:val="20"/>
                <w:szCs w:val="20"/>
                <w:lang w:val="en-US"/>
              </w:rPr>
              <w:t>7</w:t>
            </w:r>
            <w:r w:rsidRPr="000A7545">
              <w:rPr>
                <w:rFonts w:asciiTheme="minorHAnsi" w:eastAsia="Times New Roman" w:hAnsiTheme="minorHAnsi" w:cstheme="minorHAnsi"/>
                <w:sz w:val="20"/>
                <w:szCs w:val="20"/>
                <w:lang w:val="en-US"/>
              </w:rPr>
              <w:t>F) participated in ToT on leadership at provincial level;</w:t>
            </w:r>
          </w:p>
          <w:p w14:paraId="13B563B9" w14:textId="77777777" w:rsidR="000A7545" w:rsidRPr="000A7545" w:rsidRDefault="000A7545" w:rsidP="000A7545">
            <w:pPr>
              <w:spacing w:after="0" w:line="240" w:lineRule="auto"/>
              <w:rPr>
                <w:rFonts w:asciiTheme="minorHAnsi" w:hAnsiTheme="minorHAnsi"/>
                <w:sz w:val="20"/>
                <w:szCs w:val="20"/>
                <w:lang w:val="en-US"/>
              </w:rPr>
            </w:pPr>
            <w:r w:rsidRPr="000A7545">
              <w:rPr>
                <w:rFonts w:asciiTheme="minorHAnsi" w:eastAsia="Times New Roman" w:hAnsiTheme="minorHAnsi" w:cstheme="minorHAnsi"/>
                <w:sz w:val="20"/>
                <w:szCs w:val="20"/>
                <w:lang w:val="en-US"/>
              </w:rPr>
              <w:t>202 p</w:t>
            </w:r>
            <w:r w:rsidRPr="000A7545">
              <w:rPr>
                <w:rFonts w:asciiTheme="minorHAnsi" w:eastAsia="Times New Roman" w:hAnsiTheme="minorHAnsi" w:cstheme="minorHAnsi"/>
                <w:b/>
                <w:sz w:val="20"/>
                <w:szCs w:val="20"/>
                <w:lang w:val="en-US"/>
              </w:rPr>
              <w:t xml:space="preserve">rincipals </w:t>
            </w:r>
            <w:r w:rsidRPr="000A7545">
              <w:rPr>
                <w:rFonts w:asciiTheme="minorHAnsi" w:eastAsia="Times New Roman" w:hAnsiTheme="minorHAnsi" w:cstheme="minorHAnsi"/>
                <w:sz w:val="20"/>
                <w:szCs w:val="20"/>
                <w:lang w:val="en-US"/>
              </w:rPr>
              <w:t>(154M; 48F)</w:t>
            </w:r>
            <w:r w:rsidRPr="000A7545">
              <w:rPr>
                <w:rFonts w:asciiTheme="minorHAnsi" w:eastAsia="Times New Roman" w:hAnsiTheme="minorHAnsi" w:cstheme="minorHAnsi"/>
                <w:b/>
                <w:sz w:val="20"/>
                <w:szCs w:val="20"/>
                <w:lang w:val="en-US"/>
              </w:rPr>
              <w:t xml:space="preserve"> </w:t>
            </w:r>
            <w:r w:rsidRPr="000A7545">
              <w:rPr>
                <w:rFonts w:asciiTheme="minorHAnsi" w:eastAsia="Times New Roman" w:hAnsiTheme="minorHAnsi" w:cstheme="minorHAnsi"/>
                <w:sz w:val="20"/>
                <w:szCs w:val="20"/>
                <w:lang w:val="en-US"/>
              </w:rPr>
              <w:t xml:space="preserve">participated in the Leadership Training at district level across 5 target districts (Jayawijaya, Jayapura, Biak, Sorong); Manokwari </w:t>
            </w:r>
            <w:r w:rsidRPr="000A7545">
              <w:rPr>
                <w:rFonts w:asciiTheme="minorHAnsi" w:hAnsiTheme="minorHAnsi"/>
                <w:sz w:val="20"/>
                <w:szCs w:val="20"/>
                <w:lang w:val="en-US"/>
              </w:rPr>
              <w:t>used their own funds to replicate.</w:t>
            </w:r>
          </w:p>
        </w:tc>
        <w:tc>
          <w:tcPr>
            <w:tcW w:w="294" w:type="pct"/>
            <w:gridSpan w:val="3"/>
          </w:tcPr>
          <w:p w14:paraId="13B563B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hideMark/>
          </w:tcPr>
          <w:p w14:paraId="13B563B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id-ID"/>
              </w:rPr>
              <w:t>Training records</w:t>
            </w:r>
          </w:p>
        </w:tc>
      </w:tr>
      <w:tr w:rsidR="000A7545" w:rsidRPr="000A7545" w14:paraId="13B563C6" w14:textId="77777777" w:rsidTr="000A7545">
        <w:trPr>
          <w:trHeight w:val="853"/>
        </w:trPr>
        <w:tc>
          <w:tcPr>
            <w:tcW w:w="559" w:type="pct"/>
            <w:gridSpan w:val="5"/>
            <w:vMerge/>
            <w:shd w:val="clear" w:color="auto" w:fill="auto"/>
          </w:tcPr>
          <w:p w14:paraId="13B563B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1001" w:type="pct"/>
            <w:shd w:val="clear" w:color="auto" w:fill="auto"/>
          </w:tcPr>
          <w:p w14:paraId="13B563B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1.3.1b. Proportion of s</w:t>
            </w:r>
            <w:r w:rsidRPr="000A7545">
              <w:rPr>
                <w:rFonts w:asciiTheme="minorHAnsi" w:eastAsia="Symbol" w:hAnsiTheme="minorHAnsi" w:cstheme="minorHAnsi"/>
                <w:color w:val="000000"/>
                <w:sz w:val="20"/>
                <w:szCs w:val="20"/>
                <w:lang w:val="id-ID"/>
              </w:rPr>
              <w:t>chool</w:t>
            </w:r>
            <w:r w:rsidRPr="000A7545">
              <w:rPr>
                <w:rFonts w:asciiTheme="minorHAnsi" w:eastAsia="Symbol" w:hAnsiTheme="minorHAnsi" w:cstheme="minorHAnsi"/>
                <w:color w:val="000000"/>
                <w:sz w:val="20"/>
                <w:szCs w:val="20"/>
                <w:lang w:val="en-US"/>
              </w:rPr>
              <w:t>s monitored by supervisors on monthly basis (by gender)</w:t>
            </w:r>
          </w:p>
        </w:tc>
        <w:tc>
          <w:tcPr>
            <w:tcW w:w="1117" w:type="pct"/>
            <w:shd w:val="clear" w:color="auto" w:fill="auto"/>
          </w:tcPr>
          <w:p w14:paraId="13B563B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 xml:space="preserve">6 % of schools by male supervisors </w:t>
            </w:r>
          </w:p>
          <w:p w14:paraId="13B563C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2 % of schools by female supervisors</w:t>
            </w:r>
          </w:p>
        </w:tc>
        <w:tc>
          <w:tcPr>
            <w:tcW w:w="500" w:type="pct"/>
            <w:shd w:val="clear" w:color="auto" w:fill="auto"/>
          </w:tcPr>
          <w:p w14:paraId="13B563C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Males: 20%</w:t>
            </w:r>
          </w:p>
          <w:p w14:paraId="13B563C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Females: 20%</w:t>
            </w:r>
          </w:p>
        </w:tc>
        <w:tc>
          <w:tcPr>
            <w:tcW w:w="1088" w:type="pct"/>
          </w:tcPr>
          <w:p w14:paraId="13B563C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tcPr>
          <w:p w14:paraId="13B563C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3C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Baseline and end evaluation</w:t>
            </w:r>
          </w:p>
        </w:tc>
      </w:tr>
      <w:tr w:rsidR="000A7545" w:rsidRPr="000A7545" w14:paraId="13B563CE" w14:textId="77777777" w:rsidTr="000A7545">
        <w:trPr>
          <w:trHeight w:val="835"/>
        </w:trPr>
        <w:tc>
          <w:tcPr>
            <w:tcW w:w="559" w:type="pct"/>
            <w:gridSpan w:val="5"/>
            <w:vMerge/>
            <w:shd w:val="clear" w:color="auto" w:fill="auto"/>
            <w:hideMark/>
          </w:tcPr>
          <w:p w14:paraId="13B563C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1" w:type="pct"/>
            <w:shd w:val="clear" w:color="auto" w:fill="auto"/>
          </w:tcPr>
          <w:p w14:paraId="13B563C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1.3.1c. Proportion of schools with clearly defined record keeping system</w:t>
            </w:r>
          </w:p>
        </w:tc>
        <w:tc>
          <w:tcPr>
            <w:tcW w:w="1117" w:type="pct"/>
            <w:shd w:val="clear" w:color="auto" w:fill="auto"/>
          </w:tcPr>
          <w:p w14:paraId="13B563C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80%</w:t>
            </w:r>
          </w:p>
        </w:tc>
        <w:tc>
          <w:tcPr>
            <w:tcW w:w="500" w:type="pct"/>
            <w:shd w:val="clear" w:color="auto" w:fill="auto"/>
          </w:tcPr>
          <w:p w14:paraId="13B563C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100%</w:t>
            </w:r>
          </w:p>
        </w:tc>
        <w:tc>
          <w:tcPr>
            <w:tcW w:w="1088" w:type="pct"/>
          </w:tcPr>
          <w:p w14:paraId="13B563C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tcPr>
          <w:p w14:paraId="13B563C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3C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Baseline and end evaluation</w:t>
            </w:r>
          </w:p>
        </w:tc>
      </w:tr>
      <w:tr w:rsidR="000A7545" w:rsidRPr="000A7545" w14:paraId="13B563D6" w14:textId="77777777" w:rsidTr="000A7545">
        <w:trPr>
          <w:trHeight w:val="835"/>
        </w:trPr>
        <w:tc>
          <w:tcPr>
            <w:tcW w:w="559" w:type="pct"/>
            <w:gridSpan w:val="5"/>
            <w:vMerge/>
            <w:shd w:val="clear" w:color="auto" w:fill="auto"/>
          </w:tcPr>
          <w:p w14:paraId="13B563C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1" w:type="pct"/>
            <w:shd w:val="clear" w:color="auto" w:fill="auto"/>
          </w:tcPr>
          <w:p w14:paraId="13B563D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1.3.1d. % of principals who send teachers to meeting/training on a routine/scheduled basis</w:t>
            </w:r>
          </w:p>
        </w:tc>
        <w:tc>
          <w:tcPr>
            <w:tcW w:w="1117" w:type="pct"/>
            <w:shd w:val="clear" w:color="auto" w:fill="auto"/>
          </w:tcPr>
          <w:p w14:paraId="13B563D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69%</w:t>
            </w:r>
          </w:p>
        </w:tc>
        <w:tc>
          <w:tcPr>
            <w:tcW w:w="500" w:type="pct"/>
            <w:shd w:val="clear" w:color="auto" w:fill="auto"/>
          </w:tcPr>
          <w:p w14:paraId="13B563D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80%</w:t>
            </w:r>
          </w:p>
        </w:tc>
        <w:tc>
          <w:tcPr>
            <w:tcW w:w="1088" w:type="pct"/>
          </w:tcPr>
          <w:p w14:paraId="13B563D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tcPr>
          <w:p w14:paraId="13B563D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3D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Baseline and end evaluation</w:t>
            </w:r>
          </w:p>
        </w:tc>
      </w:tr>
      <w:tr w:rsidR="000A7545" w:rsidRPr="000A7545" w14:paraId="13B563DE" w14:textId="77777777" w:rsidTr="000A7545">
        <w:trPr>
          <w:trHeight w:val="610"/>
        </w:trPr>
        <w:tc>
          <w:tcPr>
            <w:tcW w:w="559" w:type="pct"/>
            <w:gridSpan w:val="5"/>
            <w:vMerge/>
            <w:shd w:val="clear" w:color="auto" w:fill="auto"/>
          </w:tcPr>
          <w:p w14:paraId="13B563D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1" w:type="pct"/>
            <w:shd w:val="clear" w:color="auto" w:fill="auto"/>
          </w:tcPr>
          <w:p w14:paraId="13B563D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1.3.1e. % of principals who often give materials for reading</w:t>
            </w:r>
          </w:p>
        </w:tc>
        <w:tc>
          <w:tcPr>
            <w:tcW w:w="1117" w:type="pct"/>
            <w:shd w:val="clear" w:color="auto" w:fill="auto"/>
          </w:tcPr>
          <w:p w14:paraId="13B563D9"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54%</w:t>
            </w:r>
          </w:p>
        </w:tc>
        <w:tc>
          <w:tcPr>
            <w:tcW w:w="500" w:type="pct"/>
            <w:shd w:val="clear" w:color="auto" w:fill="auto"/>
          </w:tcPr>
          <w:p w14:paraId="13B563D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80%</w:t>
            </w:r>
          </w:p>
        </w:tc>
        <w:tc>
          <w:tcPr>
            <w:tcW w:w="1088" w:type="pct"/>
          </w:tcPr>
          <w:p w14:paraId="13B563D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tcPr>
          <w:p w14:paraId="13B563D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3D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Baseline and end evaluation</w:t>
            </w:r>
          </w:p>
        </w:tc>
      </w:tr>
      <w:tr w:rsidR="000A7545" w:rsidRPr="000A7545" w14:paraId="13B563E6" w14:textId="77777777" w:rsidTr="000A7545">
        <w:trPr>
          <w:trHeight w:val="520"/>
        </w:trPr>
        <w:tc>
          <w:tcPr>
            <w:tcW w:w="559" w:type="pct"/>
            <w:gridSpan w:val="5"/>
            <w:vMerge/>
            <w:shd w:val="clear" w:color="auto" w:fill="auto"/>
          </w:tcPr>
          <w:p w14:paraId="13B563D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1" w:type="pct"/>
            <w:shd w:val="clear" w:color="auto" w:fill="auto"/>
          </w:tcPr>
          <w:p w14:paraId="13B563E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1.3.1f. % of principals who give money to teachers to buy books</w:t>
            </w:r>
          </w:p>
        </w:tc>
        <w:tc>
          <w:tcPr>
            <w:tcW w:w="1117" w:type="pct"/>
            <w:shd w:val="clear" w:color="auto" w:fill="auto"/>
          </w:tcPr>
          <w:p w14:paraId="13B563E1"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43%</w:t>
            </w:r>
          </w:p>
        </w:tc>
        <w:tc>
          <w:tcPr>
            <w:tcW w:w="500" w:type="pct"/>
            <w:shd w:val="clear" w:color="auto" w:fill="auto"/>
          </w:tcPr>
          <w:p w14:paraId="13B563E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60%</w:t>
            </w:r>
          </w:p>
        </w:tc>
        <w:tc>
          <w:tcPr>
            <w:tcW w:w="1088" w:type="pct"/>
          </w:tcPr>
          <w:p w14:paraId="13B563E3"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tcPr>
          <w:p w14:paraId="13B563E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3E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Baseline and end evaluation</w:t>
            </w:r>
          </w:p>
        </w:tc>
      </w:tr>
      <w:tr w:rsidR="000A7545" w:rsidRPr="000A7545" w14:paraId="13B563F0" w14:textId="77777777" w:rsidTr="000A7545">
        <w:trPr>
          <w:trHeight w:val="1582"/>
        </w:trPr>
        <w:tc>
          <w:tcPr>
            <w:tcW w:w="559" w:type="pct"/>
            <w:gridSpan w:val="5"/>
            <w:vMerge w:val="restart"/>
            <w:shd w:val="clear" w:color="auto" w:fill="auto"/>
          </w:tcPr>
          <w:p w14:paraId="13B563E7" w14:textId="77777777" w:rsidR="000A7545" w:rsidRPr="000A7545" w:rsidRDefault="000A7545" w:rsidP="000A7545">
            <w:pPr>
              <w:spacing w:after="0" w:line="240" w:lineRule="auto"/>
              <w:rPr>
                <w:rFonts w:asciiTheme="minorHAnsi" w:eastAsia="Times New Roman" w:hAnsiTheme="minorHAnsi" w:cstheme="minorHAnsi"/>
                <w:sz w:val="20"/>
                <w:szCs w:val="20"/>
                <w:lang w:val="en-US"/>
              </w:rPr>
            </w:pPr>
            <w:r w:rsidRPr="000A7545">
              <w:rPr>
                <w:rFonts w:asciiTheme="minorHAnsi" w:eastAsia="Times New Roman" w:hAnsiTheme="minorHAnsi" w:cstheme="minorHAnsi"/>
                <w:sz w:val="20"/>
                <w:szCs w:val="20"/>
                <w:lang w:val="en-US"/>
              </w:rPr>
              <w:t>Output 1.3.2 Government development partners and school committees have improved capacity in strategic planning and annual work plan preparation (AusAID and USAID)</w:t>
            </w:r>
          </w:p>
        </w:tc>
        <w:tc>
          <w:tcPr>
            <w:tcW w:w="1001" w:type="pct"/>
            <w:shd w:val="clear" w:color="auto" w:fill="auto"/>
          </w:tcPr>
          <w:p w14:paraId="13B563E8"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1.3.2a. </w:t>
            </w:r>
            <w:r w:rsidRPr="000A7545">
              <w:rPr>
                <w:rFonts w:asciiTheme="minorHAnsi" w:eastAsia="Symbol" w:hAnsiTheme="minorHAnsi" w:cstheme="minorHAnsi"/>
                <w:color w:val="000000"/>
                <w:sz w:val="20"/>
                <w:szCs w:val="20"/>
                <w:lang w:val="id-ID"/>
              </w:rPr>
              <w:t xml:space="preserve">Proportion </w:t>
            </w:r>
            <w:r w:rsidRPr="000A7545">
              <w:rPr>
                <w:rFonts w:asciiTheme="minorHAnsi" w:eastAsia="Symbol" w:hAnsiTheme="minorHAnsi" w:cstheme="minorHAnsi"/>
                <w:color w:val="000000"/>
                <w:sz w:val="20"/>
                <w:szCs w:val="20"/>
                <w:lang w:val="en-US"/>
              </w:rPr>
              <w:t xml:space="preserve">of </w:t>
            </w:r>
            <w:r w:rsidRPr="000A7545">
              <w:rPr>
                <w:rFonts w:asciiTheme="minorHAnsi" w:eastAsia="Symbol" w:hAnsiTheme="minorHAnsi" w:cstheme="minorHAnsi"/>
                <w:color w:val="000000"/>
                <w:sz w:val="20"/>
                <w:szCs w:val="20"/>
                <w:lang w:val="id-ID"/>
              </w:rPr>
              <w:t>school committee members (</w:t>
            </w:r>
            <w:r w:rsidRPr="000A7545">
              <w:rPr>
                <w:rFonts w:asciiTheme="minorHAnsi" w:eastAsia="Symbol" w:hAnsiTheme="minorHAnsi" w:cstheme="minorHAnsi"/>
                <w:color w:val="000000"/>
                <w:sz w:val="20"/>
                <w:szCs w:val="20"/>
                <w:lang w:val="en-US"/>
              </w:rPr>
              <w:t>by gender</w:t>
            </w:r>
            <w:r w:rsidRPr="000A7545">
              <w:rPr>
                <w:rFonts w:asciiTheme="minorHAnsi" w:eastAsia="Symbol" w:hAnsiTheme="minorHAnsi" w:cstheme="minorHAnsi"/>
                <w:color w:val="000000"/>
                <w:sz w:val="20"/>
                <w:szCs w:val="20"/>
                <w:lang w:val="id-ID"/>
              </w:rPr>
              <w:t xml:space="preserve">) in target districts </w:t>
            </w:r>
            <w:r w:rsidRPr="000A7545">
              <w:rPr>
                <w:rFonts w:asciiTheme="minorHAnsi" w:eastAsia="Symbol" w:hAnsiTheme="minorHAnsi" w:cstheme="minorHAnsi"/>
                <w:color w:val="000000"/>
                <w:sz w:val="20"/>
                <w:szCs w:val="20"/>
                <w:lang w:val="en-US"/>
              </w:rPr>
              <w:t>trained</w:t>
            </w:r>
            <w:r w:rsidRPr="000A7545">
              <w:rPr>
                <w:rFonts w:asciiTheme="minorHAnsi" w:eastAsia="Symbol" w:hAnsiTheme="minorHAnsi" w:cstheme="minorHAnsi"/>
                <w:color w:val="000000"/>
                <w:sz w:val="20"/>
                <w:szCs w:val="20"/>
                <w:lang w:val="id-ID"/>
              </w:rPr>
              <w:t xml:space="preserve">  in school management </w:t>
            </w:r>
            <w:r w:rsidRPr="000A7545">
              <w:rPr>
                <w:rFonts w:asciiTheme="minorHAnsi" w:eastAsia="Symbol" w:hAnsiTheme="minorHAnsi" w:cstheme="minorHAnsi"/>
                <w:color w:val="000000"/>
                <w:sz w:val="20"/>
                <w:szCs w:val="20"/>
                <w:lang w:val="en-US"/>
              </w:rPr>
              <w:t>(AusAID)</w:t>
            </w:r>
          </w:p>
          <w:p w14:paraId="13B563E9" w14:textId="77777777" w:rsidR="000A7545" w:rsidRPr="000A7545" w:rsidRDefault="000A7545" w:rsidP="00FA09D3">
            <w:pPr>
              <w:numPr>
                <w:ilvl w:val="0"/>
                <w:numId w:val="32"/>
              </w:numPr>
              <w:spacing w:after="0" w:line="240" w:lineRule="auto"/>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In model schools</w:t>
            </w:r>
          </w:p>
          <w:p w14:paraId="13B563EA" w14:textId="77777777" w:rsidR="000A7545" w:rsidRPr="000A7545" w:rsidRDefault="000A7545" w:rsidP="00FA09D3">
            <w:pPr>
              <w:numPr>
                <w:ilvl w:val="0"/>
                <w:numId w:val="23"/>
              </w:numPr>
              <w:spacing w:after="0" w:line="240" w:lineRule="auto"/>
              <w:contextualSpacing/>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In non-model schools</w:t>
            </w:r>
          </w:p>
        </w:tc>
        <w:tc>
          <w:tcPr>
            <w:tcW w:w="1117" w:type="pct"/>
            <w:shd w:val="clear" w:color="auto" w:fill="auto"/>
          </w:tcPr>
          <w:p w14:paraId="13B563E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tcPr>
          <w:p w14:paraId="13B563EC"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50%</w:t>
            </w:r>
          </w:p>
        </w:tc>
        <w:tc>
          <w:tcPr>
            <w:tcW w:w="1088" w:type="pct"/>
          </w:tcPr>
          <w:p w14:paraId="13B563E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tcPr>
          <w:p w14:paraId="13B563EE"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3E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Training records</w:t>
            </w:r>
          </w:p>
        </w:tc>
      </w:tr>
      <w:tr w:rsidR="000A7545" w:rsidRPr="000A7545" w14:paraId="13B563F9" w14:textId="77777777" w:rsidTr="000A7545">
        <w:trPr>
          <w:trHeight w:val="1618"/>
        </w:trPr>
        <w:tc>
          <w:tcPr>
            <w:tcW w:w="559" w:type="pct"/>
            <w:gridSpan w:val="5"/>
            <w:vMerge/>
            <w:shd w:val="clear" w:color="auto" w:fill="auto"/>
          </w:tcPr>
          <w:p w14:paraId="13B563F1" w14:textId="77777777" w:rsidR="000A7545" w:rsidRPr="000A7545" w:rsidRDefault="000A7545" w:rsidP="000A7545">
            <w:pPr>
              <w:spacing w:after="0" w:line="240" w:lineRule="auto"/>
              <w:rPr>
                <w:rFonts w:asciiTheme="minorHAnsi" w:eastAsia="Times New Roman" w:hAnsiTheme="minorHAnsi" w:cstheme="minorHAnsi"/>
                <w:sz w:val="20"/>
                <w:szCs w:val="20"/>
                <w:lang w:val="id-ID"/>
              </w:rPr>
            </w:pPr>
          </w:p>
        </w:tc>
        <w:tc>
          <w:tcPr>
            <w:tcW w:w="1001" w:type="pct"/>
            <w:shd w:val="clear" w:color="auto" w:fill="auto"/>
          </w:tcPr>
          <w:p w14:paraId="13B563F2"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 xml:space="preserve">1.3.2b. </w:t>
            </w:r>
            <w:r w:rsidRPr="000A7545">
              <w:rPr>
                <w:rFonts w:asciiTheme="minorHAnsi" w:eastAsia="Symbol" w:hAnsiTheme="minorHAnsi" w:cstheme="minorHAnsi"/>
                <w:color w:val="000000"/>
                <w:sz w:val="20"/>
                <w:szCs w:val="20"/>
                <w:lang w:val="id-ID"/>
              </w:rPr>
              <w:t xml:space="preserve">% of schools that develop medium development plans (RKS) </w:t>
            </w:r>
            <w:r w:rsidRPr="000A7545">
              <w:rPr>
                <w:rFonts w:asciiTheme="minorHAnsi" w:eastAsia="Symbol" w:hAnsiTheme="minorHAnsi" w:cstheme="minorHAnsi"/>
                <w:color w:val="000000"/>
                <w:sz w:val="20"/>
                <w:szCs w:val="20"/>
                <w:lang w:val="en-US"/>
              </w:rPr>
              <w:t>and budgets (RKAS) (USAID)</w:t>
            </w:r>
          </w:p>
        </w:tc>
        <w:tc>
          <w:tcPr>
            <w:tcW w:w="1117" w:type="pct"/>
            <w:shd w:val="clear" w:color="auto" w:fill="auto"/>
          </w:tcPr>
          <w:p w14:paraId="13B563F3" w14:textId="77777777" w:rsidR="000A7545" w:rsidRPr="000A7545" w:rsidRDefault="000A7545" w:rsidP="00FA09D3">
            <w:pPr>
              <w:numPr>
                <w:ilvl w:val="0"/>
                <w:numId w:val="31"/>
              </w:numPr>
              <w:spacing w:after="0" w:line="240" w:lineRule="auto"/>
              <w:ind w:left="174" w:hanging="174"/>
              <w:contextualSpacing/>
              <w:rPr>
                <w:rFonts w:asciiTheme="minorHAnsi" w:hAnsiTheme="minorHAnsi" w:cstheme="minorHAnsi"/>
                <w:sz w:val="20"/>
                <w:szCs w:val="20"/>
                <w:lang w:val="en-US"/>
              </w:rPr>
            </w:pPr>
            <w:r w:rsidRPr="000A7545">
              <w:rPr>
                <w:rFonts w:asciiTheme="minorHAnsi" w:hAnsiTheme="minorHAnsi" w:cstheme="minorHAnsi"/>
                <w:sz w:val="20"/>
                <w:szCs w:val="20"/>
                <w:lang w:val="en-US"/>
              </w:rPr>
              <w:t xml:space="preserve">The baseline study found that the majority of the sample schools had had RKS (51%) and RKAS (57%).   </w:t>
            </w:r>
          </w:p>
          <w:p w14:paraId="13B563F4" w14:textId="77777777" w:rsidR="000A7545" w:rsidRPr="000A7545" w:rsidRDefault="000A7545" w:rsidP="00FA09D3">
            <w:pPr>
              <w:numPr>
                <w:ilvl w:val="0"/>
                <w:numId w:val="31"/>
              </w:numPr>
              <w:spacing w:after="0" w:line="240" w:lineRule="auto"/>
              <w:ind w:left="174" w:hanging="174"/>
              <w:contextualSpacing/>
              <w:rPr>
                <w:rFonts w:asciiTheme="minorHAnsi" w:hAnsiTheme="minorHAnsi" w:cstheme="minorHAnsi"/>
                <w:sz w:val="20"/>
                <w:szCs w:val="20"/>
                <w:lang w:val="en-US"/>
              </w:rPr>
            </w:pPr>
            <w:r w:rsidRPr="000A7545">
              <w:rPr>
                <w:rFonts w:asciiTheme="minorHAnsi" w:hAnsiTheme="minorHAnsi" w:cstheme="minorHAnsi"/>
                <w:sz w:val="20"/>
                <w:szCs w:val="20"/>
                <w:lang w:val="en-US"/>
              </w:rPr>
              <w:t>About 25% don’t have the plans or budgets</w:t>
            </w:r>
          </w:p>
        </w:tc>
        <w:tc>
          <w:tcPr>
            <w:tcW w:w="500" w:type="pct"/>
            <w:shd w:val="clear" w:color="auto" w:fill="auto"/>
          </w:tcPr>
          <w:p w14:paraId="13B563F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80% have RKS and RKAS</w:t>
            </w:r>
          </w:p>
        </w:tc>
        <w:tc>
          <w:tcPr>
            <w:tcW w:w="1088" w:type="pct"/>
          </w:tcPr>
          <w:p w14:paraId="13B563F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tcPr>
          <w:p w14:paraId="13B563F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3F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School Reports</w:t>
            </w:r>
          </w:p>
        </w:tc>
      </w:tr>
      <w:tr w:rsidR="000A7545" w:rsidRPr="000A7545" w14:paraId="13B56401" w14:textId="77777777" w:rsidTr="000A7545">
        <w:trPr>
          <w:trHeight w:val="1438"/>
        </w:trPr>
        <w:tc>
          <w:tcPr>
            <w:tcW w:w="559" w:type="pct"/>
            <w:gridSpan w:val="5"/>
            <w:vMerge w:val="restart"/>
            <w:shd w:val="clear" w:color="auto" w:fill="auto"/>
          </w:tcPr>
          <w:p w14:paraId="13B563FA"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bCs/>
                <w:color w:val="000000"/>
                <w:sz w:val="20"/>
                <w:szCs w:val="20"/>
                <w:lang w:val="id-ID"/>
              </w:rPr>
              <w:t>Ou</w:t>
            </w:r>
            <w:r w:rsidRPr="000A7545">
              <w:rPr>
                <w:rFonts w:asciiTheme="minorHAnsi" w:eastAsia="Times New Roman" w:hAnsiTheme="minorHAnsi" w:cstheme="minorHAnsi"/>
                <w:bCs/>
                <w:color w:val="000000"/>
                <w:sz w:val="20"/>
                <w:szCs w:val="20"/>
                <w:lang w:val="en-US"/>
              </w:rPr>
              <w:t xml:space="preserve">tput 1.3.3 </w:t>
            </w:r>
            <w:r w:rsidRPr="000A7545">
              <w:rPr>
                <w:rFonts w:asciiTheme="minorHAnsi" w:eastAsia="Times New Roman" w:hAnsiTheme="minorHAnsi" w:cstheme="minorHAnsi"/>
                <w:color w:val="000000"/>
                <w:sz w:val="20"/>
                <w:szCs w:val="20"/>
                <w:lang w:val="en-US"/>
              </w:rPr>
              <w:t>Principals, Teachers and School committee members receive financial management training including asset</w:t>
            </w:r>
            <w:r w:rsidRPr="000A7545">
              <w:rPr>
                <w:rFonts w:asciiTheme="minorHAnsi" w:eastAsia="Times New Roman" w:hAnsiTheme="minorHAnsi" w:cstheme="minorHAnsi"/>
                <w:color w:val="000000"/>
                <w:sz w:val="20"/>
                <w:szCs w:val="20"/>
                <w:lang w:val="id-ID"/>
              </w:rPr>
              <w:t xml:space="preserve"> management </w:t>
            </w:r>
            <w:r w:rsidRPr="000A7545">
              <w:rPr>
                <w:rFonts w:asciiTheme="minorHAnsi" w:eastAsia="Times New Roman" w:hAnsiTheme="minorHAnsi" w:cstheme="minorHAnsi"/>
                <w:color w:val="000000"/>
                <w:sz w:val="20"/>
                <w:szCs w:val="20"/>
                <w:lang w:val="en-US"/>
              </w:rPr>
              <w:t>(USAID)</w:t>
            </w:r>
          </w:p>
        </w:tc>
        <w:tc>
          <w:tcPr>
            <w:tcW w:w="1001" w:type="pct"/>
            <w:shd w:val="clear" w:color="auto" w:fill="auto"/>
          </w:tcPr>
          <w:p w14:paraId="13B563FB"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1.3.3a. % of school committee members trained in asset management</w:t>
            </w:r>
          </w:p>
        </w:tc>
        <w:tc>
          <w:tcPr>
            <w:tcW w:w="1117" w:type="pct"/>
            <w:shd w:val="clear" w:color="auto" w:fill="auto"/>
          </w:tcPr>
          <w:p w14:paraId="13B563FC" w14:textId="77777777" w:rsidR="000A7545" w:rsidRPr="000A7545" w:rsidRDefault="000A7545" w:rsidP="000A7545">
            <w:pPr>
              <w:spacing w:after="0" w:line="240" w:lineRule="auto"/>
              <w:rPr>
                <w:rFonts w:asciiTheme="minorHAnsi" w:eastAsia="Times New Roman" w:hAnsiTheme="minorHAnsi" w:cstheme="minorHAnsi"/>
                <w:color w:val="000000"/>
                <w:sz w:val="20"/>
                <w:szCs w:val="20"/>
                <w:highlight w:val="yellow"/>
                <w:lang w:val="en-US"/>
              </w:rPr>
            </w:pPr>
            <w:r w:rsidRPr="000A7545">
              <w:rPr>
                <w:rFonts w:asciiTheme="minorHAnsi" w:eastAsia="Times New Roman" w:hAnsiTheme="minorHAnsi" w:cstheme="minorHAnsi"/>
                <w:color w:val="000000"/>
                <w:sz w:val="20"/>
                <w:szCs w:val="20"/>
                <w:lang w:val="en-US"/>
              </w:rPr>
              <w:t>0</w:t>
            </w:r>
          </w:p>
        </w:tc>
        <w:tc>
          <w:tcPr>
            <w:tcW w:w="500" w:type="pct"/>
            <w:shd w:val="clear" w:color="auto" w:fill="auto"/>
          </w:tcPr>
          <w:p w14:paraId="13B563FD"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50% of school committee members</w:t>
            </w:r>
          </w:p>
        </w:tc>
        <w:tc>
          <w:tcPr>
            <w:tcW w:w="1088" w:type="pct"/>
          </w:tcPr>
          <w:p w14:paraId="13B563FE" w14:textId="77777777" w:rsidR="000A7545" w:rsidRPr="000A7545" w:rsidRDefault="007C5972" w:rsidP="000A7545">
            <w:pPr>
              <w:spacing w:after="0" w:line="240" w:lineRule="auto"/>
              <w:rPr>
                <w:rFonts w:asciiTheme="minorHAnsi" w:eastAsia="Times New Roman" w:hAnsiTheme="minorHAnsi" w:cstheme="minorHAnsi"/>
                <w:color w:val="000000"/>
                <w:sz w:val="20"/>
                <w:szCs w:val="20"/>
                <w:lang w:val="en-US"/>
              </w:rPr>
            </w:pPr>
            <w:r>
              <w:rPr>
                <w:rFonts w:asciiTheme="minorHAnsi" w:eastAsia="Times New Roman" w:hAnsiTheme="minorHAnsi" w:cstheme="minorHAnsi"/>
                <w:color w:val="000000"/>
                <w:sz w:val="20"/>
                <w:szCs w:val="20"/>
                <w:lang w:val="en-US"/>
              </w:rPr>
              <w:t>Education finance modules adapted in 2011 and socialized to 96 partners (73 m, 23f) to districts and both provinces; BOSP training for 145 participants; LKT workshops for 56 model schools and 84 target schools</w:t>
            </w:r>
            <w:r w:rsidR="00297EA7">
              <w:rPr>
                <w:rFonts w:asciiTheme="minorHAnsi" w:eastAsia="Times New Roman" w:hAnsiTheme="minorHAnsi" w:cstheme="minorHAnsi"/>
                <w:color w:val="000000"/>
                <w:sz w:val="20"/>
                <w:szCs w:val="20"/>
                <w:lang w:val="en-US"/>
              </w:rPr>
              <w:t>; LAKIP training in 2012 for 32 participants (22 m, 10f)</w:t>
            </w:r>
            <w:r>
              <w:rPr>
                <w:rFonts w:asciiTheme="minorHAnsi" w:eastAsia="Times New Roman" w:hAnsiTheme="minorHAnsi" w:cstheme="minorHAnsi"/>
                <w:color w:val="000000"/>
                <w:sz w:val="20"/>
                <w:szCs w:val="20"/>
                <w:lang w:val="en-US"/>
              </w:rPr>
              <w:t>. Districts are now moving to replicate this training to non-target schools. Replication training for 119 primary and 225 JS schools completed (174 total participant</w:t>
            </w:r>
            <w:r w:rsidR="00297EA7">
              <w:rPr>
                <w:rFonts w:asciiTheme="minorHAnsi" w:eastAsia="Times New Roman" w:hAnsiTheme="minorHAnsi" w:cstheme="minorHAnsi"/>
                <w:color w:val="000000"/>
                <w:sz w:val="20"/>
                <w:szCs w:val="20"/>
                <w:lang w:val="en-US"/>
              </w:rPr>
              <w:t>s).</w:t>
            </w:r>
          </w:p>
        </w:tc>
        <w:tc>
          <w:tcPr>
            <w:tcW w:w="294" w:type="pct"/>
            <w:gridSpan w:val="3"/>
          </w:tcPr>
          <w:p w14:paraId="13B563FF"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id-ID"/>
              </w:rPr>
            </w:pPr>
          </w:p>
        </w:tc>
        <w:tc>
          <w:tcPr>
            <w:tcW w:w="441" w:type="pct"/>
            <w:shd w:val="clear" w:color="auto" w:fill="auto"/>
          </w:tcPr>
          <w:p w14:paraId="13B56400"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Training Reports</w:t>
            </w:r>
          </w:p>
        </w:tc>
      </w:tr>
      <w:tr w:rsidR="000A7545" w:rsidRPr="000A7545" w14:paraId="13B56409" w14:textId="77777777" w:rsidTr="000A7545">
        <w:trPr>
          <w:trHeight w:val="898"/>
        </w:trPr>
        <w:tc>
          <w:tcPr>
            <w:tcW w:w="559" w:type="pct"/>
            <w:gridSpan w:val="5"/>
            <w:vMerge/>
            <w:shd w:val="clear" w:color="auto" w:fill="auto"/>
          </w:tcPr>
          <w:p w14:paraId="13B56402"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1001" w:type="pct"/>
            <w:shd w:val="clear" w:color="auto" w:fill="auto"/>
          </w:tcPr>
          <w:p w14:paraId="13B56403" w14:textId="77777777" w:rsidR="000A7545" w:rsidRPr="000A7545" w:rsidRDefault="000A7545" w:rsidP="000A7545">
            <w:pPr>
              <w:spacing w:after="0" w:line="240" w:lineRule="auto"/>
              <w:rPr>
                <w:rFonts w:asciiTheme="minorHAnsi" w:eastAsia="Symbol" w:hAnsiTheme="minorHAnsi" w:cstheme="minorHAnsi"/>
                <w:color w:val="000000"/>
                <w:sz w:val="20"/>
                <w:szCs w:val="20"/>
                <w:lang w:val="en-US"/>
              </w:rPr>
            </w:pPr>
            <w:r w:rsidRPr="000A7545">
              <w:rPr>
                <w:rFonts w:asciiTheme="minorHAnsi" w:eastAsia="Symbol" w:hAnsiTheme="minorHAnsi" w:cstheme="minorHAnsi"/>
                <w:color w:val="000000"/>
                <w:sz w:val="20"/>
                <w:szCs w:val="20"/>
                <w:lang w:val="en-US"/>
              </w:rPr>
              <w:t>1.</w:t>
            </w:r>
            <w:r w:rsidR="00767EA3">
              <w:rPr>
                <w:rFonts w:asciiTheme="minorHAnsi" w:eastAsia="Symbol" w:hAnsiTheme="minorHAnsi" w:cstheme="minorHAnsi"/>
                <w:color w:val="000000"/>
                <w:sz w:val="20"/>
                <w:szCs w:val="20"/>
                <w:lang w:val="en-US"/>
              </w:rPr>
              <w:t>3</w:t>
            </w:r>
            <w:r w:rsidRPr="000A7545">
              <w:rPr>
                <w:rFonts w:asciiTheme="minorHAnsi" w:eastAsia="Symbol" w:hAnsiTheme="minorHAnsi" w:cstheme="minorHAnsi"/>
                <w:color w:val="000000"/>
                <w:sz w:val="20"/>
                <w:szCs w:val="20"/>
                <w:lang w:val="en-US"/>
              </w:rPr>
              <w:t>.3b. % of schools in which committees have access to financial information</w:t>
            </w:r>
          </w:p>
        </w:tc>
        <w:tc>
          <w:tcPr>
            <w:tcW w:w="1117" w:type="pct"/>
            <w:shd w:val="clear" w:color="auto" w:fill="auto"/>
          </w:tcPr>
          <w:p w14:paraId="13B56404"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52%</w:t>
            </w:r>
          </w:p>
        </w:tc>
        <w:tc>
          <w:tcPr>
            <w:tcW w:w="500" w:type="pct"/>
            <w:shd w:val="clear" w:color="auto" w:fill="auto"/>
          </w:tcPr>
          <w:p w14:paraId="13B56405"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80%</w:t>
            </w:r>
          </w:p>
        </w:tc>
        <w:tc>
          <w:tcPr>
            <w:tcW w:w="1088" w:type="pct"/>
          </w:tcPr>
          <w:p w14:paraId="13B56406"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294" w:type="pct"/>
            <w:gridSpan w:val="3"/>
          </w:tcPr>
          <w:p w14:paraId="13B56407"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p>
        </w:tc>
        <w:tc>
          <w:tcPr>
            <w:tcW w:w="441" w:type="pct"/>
            <w:shd w:val="clear" w:color="auto" w:fill="auto"/>
          </w:tcPr>
          <w:p w14:paraId="13B56408" w14:textId="77777777" w:rsidR="000A7545" w:rsidRPr="000A7545" w:rsidRDefault="000A7545" w:rsidP="000A7545">
            <w:pPr>
              <w:spacing w:after="0" w:line="240" w:lineRule="auto"/>
              <w:rPr>
                <w:rFonts w:asciiTheme="minorHAnsi" w:eastAsia="Times New Roman" w:hAnsiTheme="minorHAnsi" w:cstheme="minorHAnsi"/>
                <w:color w:val="000000"/>
                <w:sz w:val="20"/>
                <w:szCs w:val="20"/>
                <w:lang w:val="en-US"/>
              </w:rPr>
            </w:pPr>
            <w:r w:rsidRPr="000A7545">
              <w:rPr>
                <w:rFonts w:asciiTheme="minorHAnsi" w:eastAsia="Times New Roman" w:hAnsiTheme="minorHAnsi" w:cstheme="minorHAnsi"/>
                <w:color w:val="000000"/>
                <w:sz w:val="20"/>
                <w:szCs w:val="20"/>
                <w:lang w:val="en-US"/>
              </w:rPr>
              <w:t>Baseline and end evaluation</w:t>
            </w:r>
          </w:p>
        </w:tc>
      </w:tr>
    </w:tbl>
    <w:p w14:paraId="13B5640A" w14:textId="77777777" w:rsidR="001A5080" w:rsidRPr="000A7545" w:rsidRDefault="001A5080" w:rsidP="007C578C">
      <w:pPr>
        <w:rPr>
          <w:highlight w:val="yellow"/>
        </w:rPr>
      </w:pPr>
    </w:p>
    <w:p w14:paraId="13B5640B" w14:textId="77777777" w:rsidR="005B50E4" w:rsidRPr="000A7545" w:rsidRDefault="005B50E4" w:rsidP="007C578C">
      <w:pPr>
        <w:rPr>
          <w:highlight w:val="yellow"/>
        </w:rPr>
      </w:pPr>
    </w:p>
    <w:p w14:paraId="13B5640C" w14:textId="77777777" w:rsidR="005B50E4" w:rsidRPr="000A7545" w:rsidRDefault="005B50E4" w:rsidP="007C578C">
      <w:pPr>
        <w:rPr>
          <w:highlight w:val="yellow"/>
        </w:rPr>
      </w:pPr>
    </w:p>
    <w:p w14:paraId="13B5640D" w14:textId="77777777" w:rsidR="005B50E4" w:rsidRPr="000A7545" w:rsidRDefault="005B50E4" w:rsidP="007C578C">
      <w:pPr>
        <w:rPr>
          <w:highlight w:val="yellow"/>
        </w:rPr>
        <w:sectPr w:rsidR="005B50E4" w:rsidRPr="000A7545" w:rsidSect="005B50E4">
          <w:pgSz w:w="16838" w:h="11906" w:orient="landscape"/>
          <w:pgMar w:top="864" w:right="864" w:bottom="864" w:left="864" w:header="720" w:footer="720" w:gutter="0"/>
          <w:cols w:space="720"/>
          <w:docGrid w:linePitch="360"/>
        </w:sectPr>
      </w:pPr>
    </w:p>
    <w:p w14:paraId="13B5640E" w14:textId="77777777" w:rsidR="007C578C" w:rsidRPr="000A7545" w:rsidRDefault="007C578C" w:rsidP="00876DBD">
      <w:pPr>
        <w:pStyle w:val="Heading1"/>
        <w:numPr>
          <w:ilvl w:val="0"/>
          <w:numId w:val="0"/>
        </w:numPr>
        <w:ind w:left="360" w:hanging="360"/>
      </w:pPr>
      <w:bookmarkStart w:id="104" w:name="_Toc322702787"/>
      <w:r w:rsidRPr="000A7545">
        <w:t xml:space="preserve">Annex 2: </w:t>
      </w:r>
      <w:r w:rsidR="00603FF0">
        <w:t>Strategic planning in Papua and West Papua</w:t>
      </w:r>
      <w:bookmarkEnd w:id="104"/>
    </w:p>
    <w:p w14:paraId="13B5640F" w14:textId="77777777" w:rsidR="001A5080" w:rsidRPr="000A7545" w:rsidRDefault="001A5080" w:rsidP="001A5080">
      <w:pPr>
        <w:pStyle w:val="Caption"/>
        <w:keepNext/>
        <w:spacing w:after="200"/>
      </w:pPr>
      <w:bookmarkStart w:id="105" w:name="_Toc322710107"/>
      <w:r w:rsidRPr="000A7545">
        <w:t xml:space="preserve">Figure </w:t>
      </w:r>
      <w:fldSimple w:instr=" SEQ Figure \* ARABIC ">
        <w:r w:rsidR="009B4D84">
          <w:rPr>
            <w:noProof/>
          </w:rPr>
          <w:t>16</w:t>
        </w:r>
      </w:fldSimple>
      <w:r w:rsidRPr="000A7545">
        <w:t xml:space="preserve">: </w:t>
      </w:r>
      <w:r w:rsidR="00603FF0">
        <w:t>Availability of Renstra and RPJMD in districts in Papua and West Papua</w:t>
      </w:r>
      <w:bookmarkEnd w:id="105"/>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27"/>
        <w:gridCol w:w="778"/>
        <w:gridCol w:w="1162"/>
        <w:gridCol w:w="661"/>
        <w:gridCol w:w="897"/>
        <w:gridCol w:w="1140"/>
        <w:gridCol w:w="1952"/>
      </w:tblGrid>
      <w:tr w:rsidR="001A5080" w:rsidRPr="000A7545" w14:paraId="13B56414" w14:textId="77777777" w:rsidTr="001A5080">
        <w:trPr>
          <w:trHeight w:val="141"/>
        </w:trPr>
        <w:tc>
          <w:tcPr>
            <w:tcW w:w="1638" w:type="dxa"/>
            <w:vMerge w:val="restart"/>
            <w:shd w:val="clear" w:color="auto" w:fill="auto"/>
            <w:vAlign w:val="center"/>
          </w:tcPr>
          <w:p w14:paraId="13B56410"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District</w:t>
            </w:r>
          </w:p>
        </w:tc>
        <w:tc>
          <w:tcPr>
            <w:tcW w:w="2667" w:type="dxa"/>
            <w:gridSpan w:val="3"/>
            <w:shd w:val="clear" w:color="auto" w:fill="auto"/>
          </w:tcPr>
          <w:p w14:paraId="13B56411"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Document Status, Renstra</w:t>
            </w:r>
          </w:p>
        </w:tc>
        <w:tc>
          <w:tcPr>
            <w:tcW w:w="2698" w:type="dxa"/>
            <w:gridSpan w:val="3"/>
            <w:shd w:val="clear" w:color="auto" w:fill="auto"/>
          </w:tcPr>
          <w:p w14:paraId="13B56412"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Document Status, RPJMD</w:t>
            </w:r>
          </w:p>
        </w:tc>
        <w:tc>
          <w:tcPr>
            <w:tcW w:w="1952" w:type="dxa"/>
            <w:vMerge w:val="restart"/>
            <w:shd w:val="clear" w:color="auto" w:fill="auto"/>
          </w:tcPr>
          <w:p w14:paraId="13B56413"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BUPATI Period</w:t>
            </w:r>
          </w:p>
        </w:tc>
      </w:tr>
      <w:tr w:rsidR="001A5080" w:rsidRPr="000A7545" w14:paraId="13B5641D" w14:textId="77777777" w:rsidTr="001A5080">
        <w:trPr>
          <w:trHeight w:val="83"/>
        </w:trPr>
        <w:tc>
          <w:tcPr>
            <w:tcW w:w="1638" w:type="dxa"/>
            <w:vMerge/>
            <w:shd w:val="clear" w:color="auto" w:fill="auto"/>
          </w:tcPr>
          <w:p w14:paraId="13B56415" w14:textId="77777777" w:rsidR="001A5080" w:rsidRPr="000A7545" w:rsidRDefault="001A5080" w:rsidP="001A5080">
            <w:pPr>
              <w:spacing w:before="120" w:line="240" w:lineRule="auto"/>
              <w:jc w:val="center"/>
              <w:rPr>
                <w:rFonts w:ascii="Arial Narrow" w:hAnsi="Arial Narrow" w:cs="Arial"/>
                <w:b/>
                <w:sz w:val="20"/>
              </w:rPr>
            </w:pPr>
          </w:p>
        </w:tc>
        <w:tc>
          <w:tcPr>
            <w:tcW w:w="727" w:type="dxa"/>
            <w:shd w:val="clear" w:color="auto" w:fill="auto"/>
          </w:tcPr>
          <w:p w14:paraId="13B56416"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Have</w:t>
            </w:r>
          </w:p>
        </w:tc>
        <w:tc>
          <w:tcPr>
            <w:tcW w:w="778" w:type="dxa"/>
            <w:shd w:val="clear" w:color="auto" w:fill="auto"/>
          </w:tcPr>
          <w:p w14:paraId="13B56417"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Don’t’ Have</w:t>
            </w:r>
          </w:p>
        </w:tc>
        <w:tc>
          <w:tcPr>
            <w:tcW w:w="1162" w:type="dxa"/>
            <w:shd w:val="clear" w:color="auto" w:fill="auto"/>
          </w:tcPr>
          <w:p w14:paraId="13B56418"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Period</w:t>
            </w:r>
          </w:p>
        </w:tc>
        <w:tc>
          <w:tcPr>
            <w:tcW w:w="661" w:type="dxa"/>
            <w:shd w:val="clear" w:color="auto" w:fill="auto"/>
          </w:tcPr>
          <w:p w14:paraId="13B56419"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Have</w:t>
            </w:r>
          </w:p>
        </w:tc>
        <w:tc>
          <w:tcPr>
            <w:tcW w:w="897" w:type="dxa"/>
            <w:shd w:val="clear" w:color="auto" w:fill="auto"/>
          </w:tcPr>
          <w:p w14:paraId="13B5641A"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Don’t’ Have</w:t>
            </w:r>
          </w:p>
        </w:tc>
        <w:tc>
          <w:tcPr>
            <w:tcW w:w="1140" w:type="dxa"/>
            <w:shd w:val="clear" w:color="auto" w:fill="auto"/>
          </w:tcPr>
          <w:p w14:paraId="13B5641B" w14:textId="77777777" w:rsidR="001A5080" w:rsidRPr="000A7545" w:rsidRDefault="001A5080" w:rsidP="001A5080">
            <w:pPr>
              <w:spacing w:before="120" w:line="240" w:lineRule="auto"/>
              <w:jc w:val="center"/>
              <w:rPr>
                <w:rFonts w:ascii="Arial Narrow" w:hAnsi="Arial Narrow" w:cs="Arial"/>
                <w:b/>
                <w:sz w:val="20"/>
              </w:rPr>
            </w:pPr>
            <w:r w:rsidRPr="000A7545">
              <w:rPr>
                <w:rFonts w:ascii="Arial Narrow" w:hAnsi="Arial Narrow" w:cs="Arial"/>
                <w:b/>
                <w:sz w:val="20"/>
              </w:rPr>
              <w:t>Period</w:t>
            </w:r>
          </w:p>
        </w:tc>
        <w:tc>
          <w:tcPr>
            <w:tcW w:w="1952" w:type="dxa"/>
            <w:vMerge/>
            <w:shd w:val="clear" w:color="auto" w:fill="auto"/>
          </w:tcPr>
          <w:p w14:paraId="13B5641C" w14:textId="77777777" w:rsidR="001A5080" w:rsidRPr="000A7545" w:rsidRDefault="001A5080" w:rsidP="001A5080">
            <w:pPr>
              <w:spacing w:before="120" w:line="240" w:lineRule="auto"/>
              <w:jc w:val="center"/>
              <w:rPr>
                <w:rFonts w:ascii="Arial Narrow" w:hAnsi="Arial Narrow" w:cs="Arial"/>
                <w:b/>
                <w:sz w:val="20"/>
              </w:rPr>
            </w:pPr>
          </w:p>
        </w:tc>
      </w:tr>
      <w:tr w:rsidR="001A5080" w:rsidRPr="000A7545" w14:paraId="13B56426" w14:textId="77777777" w:rsidTr="001A5080">
        <w:trPr>
          <w:trHeight w:val="281"/>
        </w:trPr>
        <w:tc>
          <w:tcPr>
            <w:tcW w:w="1638" w:type="dxa"/>
            <w:shd w:val="clear" w:color="auto" w:fill="auto"/>
          </w:tcPr>
          <w:p w14:paraId="13B5641E"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Sarmi</w:t>
            </w:r>
          </w:p>
        </w:tc>
        <w:tc>
          <w:tcPr>
            <w:tcW w:w="727" w:type="dxa"/>
            <w:shd w:val="clear" w:color="auto" w:fill="auto"/>
          </w:tcPr>
          <w:p w14:paraId="13B5641F"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778" w:type="dxa"/>
            <w:shd w:val="clear" w:color="auto" w:fill="auto"/>
          </w:tcPr>
          <w:p w14:paraId="13B56420" w14:textId="77777777" w:rsidR="001A5080" w:rsidRPr="000A7545" w:rsidRDefault="001A5080" w:rsidP="001A5080">
            <w:pPr>
              <w:spacing w:before="120" w:line="240" w:lineRule="auto"/>
              <w:jc w:val="center"/>
              <w:rPr>
                <w:rFonts w:ascii="Arial Narrow" w:hAnsi="Arial Narrow" w:cs="Arial"/>
                <w:sz w:val="20"/>
              </w:rPr>
            </w:pPr>
          </w:p>
        </w:tc>
        <w:tc>
          <w:tcPr>
            <w:tcW w:w="1162" w:type="dxa"/>
            <w:shd w:val="clear" w:color="auto" w:fill="auto"/>
          </w:tcPr>
          <w:p w14:paraId="13B56421"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2005-2009</w:t>
            </w:r>
          </w:p>
        </w:tc>
        <w:tc>
          <w:tcPr>
            <w:tcW w:w="661" w:type="dxa"/>
            <w:shd w:val="clear" w:color="auto" w:fill="auto"/>
          </w:tcPr>
          <w:p w14:paraId="13B56422" w14:textId="77777777" w:rsidR="001A5080" w:rsidRPr="000A7545" w:rsidRDefault="001A5080" w:rsidP="001A5080">
            <w:pPr>
              <w:spacing w:before="120" w:line="240" w:lineRule="auto"/>
              <w:jc w:val="center"/>
              <w:rPr>
                <w:rFonts w:ascii="Arial Narrow" w:hAnsi="Arial Narrow" w:cs="Arial"/>
                <w:sz w:val="20"/>
              </w:rPr>
            </w:pPr>
          </w:p>
        </w:tc>
        <w:tc>
          <w:tcPr>
            <w:tcW w:w="897" w:type="dxa"/>
            <w:shd w:val="clear" w:color="auto" w:fill="auto"/>
          </w:tcPr>
          <w:p w14:paraId="13B56423"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40" w:type="dxa"/>
            <w:shd w:val="clear" w:color="auto" w:fill="auto"/>
          </w:tcPr>
          <w:p w14:paraId="13B56424" w14:textId="77777777" w:rsidR="001A5080" w:rsidRPr="000A7545" w:rsidRDefault="001A5080" w:rsidP="001A5080">
            <w:pPr>
              <w:spacing w:before="120" w:line="240" w:lineRule="auto"/>
              <w:rPr>
                <w:rFonts w:ascii="Arial Narrow" w:hAnsi="Arial Narrow" w:cs="Arial"/>
                <w:sz w:val="20"/>
              </w:rPr>
            </w:pPr>
          </w:p>
        </w:tc>
        <w:tc>
          <w:tcPr>
            <w:tcW w:w="1952" w:type="dxa"/>
            <w:shd w:val="clear" w:color="auto" w:fill="auto"/>
          </w:tcPr>
          <w:p w14:paraId="13B56425"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2010-2014 (in process  MK)</w:t>
            </w:r>
          </w:p>
        </w:tc>
      </w:tr>
      <w:tr w:rsidR="001A5080" w:rsidRPr="000A7545" w14:paraId="13B5642F" w14:textId="77777777" w:rsidTr="001A5080">
        <w:trPr>
          <w:trHeight w:val="141"/>
        </w:trPr>
        <w:tc>
          <w:tcPr>
            <w:tcW w:w="1638" w:type="dxa"/>
            <w:shd w:val="clear" w:color="auto" w:fill="auto"/>
          </w:tcPr>
          <w:p w14:paraId="13B56427"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Keerom</w:t>
            </w:r>
          </w:p>
        </w:tc>
        <w:tc>
          <w:tcPr>
            <w:tcW w:w="727" w:type="dxa"/>
            <w:shd w:val="clear" w:color="auto" w:fill="auto"/>
          </w:tcPr>
          <w:p w14:paraId="13B56428"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778" w:type="dxa"/>
            <w:shd w:val="clear" w:color="auto" w:fill="auto"/>
          </w:tcPr>
          <w:p w14:paraId="13B56429" w14:textId="77777777" w:rsidR="001A5080" w:rsidRPr="000A7545" w:rsidRDefault="001A5080" w:rsidP="001A5080">
            <w:pPr>
              <w:spacing w:before="120" w:line="240" w:lineRule="auto"/>
              <w:jc w:val="center"/>
              <w:rPr>
                <w:rFonts w:ascii="Arial Narrow" w:hAnsi="Arial Narrow" w:cs="Arial"/>
                <w:sz w:val="20"/>
              </w:rPr>
            </w:pPr>
          </w:p>
        </w:tc>
        <w:tc>
          <w:tcPr>
            <w:tcW w:w="1162" w:type="dxa"/>
            <w:shd w:val="clear" w:color="auto" w:fill="auto"/>
          </w:tcPr>
          <w:p w14:paraId="13B5642A"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2011-2016</w:t>
            </w:r>
          </w:p>
        </w:tc>
        <w:tc>
          <w:tcPr>
            <w:tcW w:w="661" w:type="dxa"/>
            <w:shd w:val="clear" w:color="auto" w:fill="auto"/>
          </w:tcPr>
          <w:p w14:paraId="13B5642B"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897" w:type="dxa"/>
            <w:shd w:val="clear" w:color="auto" w:fill="auto"/>
          </w:tcPr>
          <w:p w14:paraId="13B5642C" w14:textId="77777777" w:rsidR="001A5080" w:rsidRPr="000A7545" w:rsidRDefault="001A5080" w:rsidP="001A5080">
            <w:pPr>
              <w:spacing w:before="120" w:line="240" w:lineRule="auto"/>
              <w:jc w:val="center"/>
              <w:rPr>
                <w:rFonts w:ascii="Arial Narrow" w:hAnsi="Arial Narrow" w:cs="Arial"/>
                <w:sz w:val="20"/>
              </w:rPr>
            </w:pPr>
          </w:p>
        </w:tc>
        <w:tc>
          <w:tcPr>
            <w:tcW w:w="1140" w:type="dxa"/>
            <w:shd w:val="clear" w:color="auto" w:fill="auto"/>
          </w:tcPr>
          <w:p w14:paraId="13B5642D"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2011-2016</w:t>
            </w:r>
          </w:p>
        </w:tc>
        <w:tc>
          <w:tcPr>
            <w:tcW w:w="1952" w:type="dxa"/>
            <w:shd w:val="clear" w:color="auto" w:fill="auto"/>
          </w:tcPr>
          <w:p w14:paraId="13B5642E"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2011-2016</w:t>
            </w:r>
          </w:p>
        </w:tc>
      </w:tr>
      <w:tr w:rsidR="001A5080" w:rsidRPr="000A7545" w14:paraId="13B56438" w14:textId="77777777" w:rsidTr="001A5080">
        <w:trPr>
          <w:trHeight w:val="133"/>
        </w:trPr>
        <w:tc>
          <w:tcPr>
            <w:tcW w:w="1638" w:type="dxa"/>
            <w:shd w:val="clear" w:color="auto" w:fill="auto"/>
          </w:tcPr>
          <w:p w14:paraId="13B56430"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Intan Jaya</w:t>
            </w:r>
          </w:p>
        </w:tc>
        <w:tc>
          <w:tcPr>
            <w:tcW w:w="727" w:type="dxa"/>
            <w:shd w:val="clear" w:color="auto" w:fill="auto"/>
          </w:tcPr>
          <w:p w14:paraId="13B56431"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32"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33"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In process</w:t>
            </w:r>
          </w:p>
        </w:tc>
        <w:tc>
          <w:tcPr>
            <w:tcW w:w="661" w:type="dxa"/>
            <w:shd w:val="clear" w:color="auto" w:fill="auto"/>
          </w:tcPr>
          <w:p w14:paraId="13B56434" w14:textId="77777777" w:rsidR="001A5080" w:rsidRPr="000A7545" w:rsidRDefault="001A5080" w:rsidP="001A5080">
            <w:pPr>
              <w:spacing w:before="120" w:line="240" w:lineRule="auto"/>
              <w:jc w:val="center"/>
              <w:rPr>
                <w:rFonts w:ascii="Arial Narrow" w:hAnsi="Arial Narrow" w:cs="Arial"/>
                <w:sz w:val="20"/>
              </w:rPr>
            </w:pPr>
          </w:p>
        </w:tc>
        <w:tc>
          <w:tcPr>
            <w:tcW w:w="897" w:type="dxa"/>
            <w:shd w:val="clear" w:color="auto" w:fill="auto"/>
          </w:tcPr>
          <w:p w14:paraId="13B56435"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40" w:type="dxa"/>
            <w:shd w:val="clear" w:color="auto" w:fill="auto"/>
          </w:tcPr>
          <w:p w14:paraId="13B56436"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In process</w:t>
            </w:r>
          </w:p>
        </w:tc>
        <w:tc>
          <w:tcPr>
            <w:tcW w:w="1952" w:type="dxa"/>
            <w:shd w:val="clear" w:color="auto" w:fill="auto"/>
          </w:tcPr>
          <w:p w14:paraId="13B56437" w14:textId="77777777" w:rsidR="001A5080" w:rsidRPr="000A7545" w:rsidRDefault="00737B2D" w:rsidP="001A5080">
            <w:pPr>
              <w:spacing w:before="120" w:line="240" w:lineRule="auto"/>
              <w:jc w:val="center"/>
              <w:rPr>
                <w:rFonts w:ascii="Arial Narrow" w:hAnsi="Arial Narrow" w:cs="Arial"/>
                <w:sz w:val="20"/>
              </w:rPr>
            </w:pPr>
            <w:r w:rsidRPr="000A7545">
              <w:rPr>
                <w:rFonts w:ascii="Arial Narrow" w:hAnsi="Arial Narrow" w:cs="Arial"/>
                <w:sz w:val="20"/>
              </w:rPr>
              <w:t>Careta</w:t>
            </w:r>
            <w:r w:rsidR="001A5080" w:rsidRPr="000A7545">
              <w:rPr>
                <w:rFonts w:ascii="Arial Narrow" w:hAnsi="Arial Narrow" w:cs="Arial"/>
                <w:sz w:val="20"/>
              </w:rPr>
              <w:t>ker</w:t>
            </w:r>
          </w:p>
        </w:tc>
      </w:tr>
      <w:tr w:rsidR="001A5080" w:rsidRPr="000A7545" w14:paraId="13B56441" w14:textId="77777777" w:rsidTr="001A5080">
        <w:trPr>
          <w:trHeight w:val="141"/>
        </w:trPr>
        <w:tc>
          <w:tcPr>
            <w:tcW w:w="1638" w:type="dxa"/>
            <w:shd w:val="clear" w:color="auto" w:fill="auto"/>
          </w:tcPr>
          <w:p w14:paraId="13B56439"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 xml:space="preserve">Peg. Bintang </w:t>
            </w:r>
          </w:p>
        </w:tc>
        <w:tc>
          <w:tcPr>
            <w:tcW w:w="727" w:type="dxa"/>
            <w:shd w:val="clear" w:color="auto" w:fill="auto"/>
          </w:tcPr>
          <w:p w14:paraId="13B5643A"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3B"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3C"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3D"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897" w:type="dxa"/>
            <w:shd w:val="clear" w:color="auto" w:fill="auto"/>
          </w:tcPr>
          <w:p w14:paraId="13B5643E" w14:textId="77777777" w:rsidR="001A5080" w:rsidRPr="000A7545" w:rsidRDefault="001A5080" w:rsidP="001A5080">
            <w:pPr>
              <w:spacing w:before="120" w:line="240" w:lineRule="auto"/>
              <w:jc w:val="center"/>
              <w:rPr>
                <w:rFonts w:ascii="Arial Narrow" w:hAnsi="Arial Narrow" w:cs="Arial"/>
                <w:sz w:val="20"/>
              </w:rPr>
            </w:pPr>
          </w:p>
        </w:tc>
        <w:tc>
          <w:tcPr>
            <w:tcW w:w="1140" w:type="dxa"/>
            <w:shd w:val="clear" w:color="auto" w:fill="auto"/>
          </w:tcPr>
          <w:p w14:paraId="13B5643F"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2012-2016</w:t>
            </w:r>
          </w:p>
        </w:tc>
        <w:tc>
          <w:tcPr>
            <w:tcW w:w="1952" w:type="dxa"/>
            <w:shd w:val="clear" w:color="auto" w:fill="auto"/>
          </w:tcPr>
          <w:p w14:paraId="13B56440"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2012-2016</w:t>
            </w:r>
          </w:p>
        </w:tc>
      </w:tr>
      <w:tr w:rsidR="001A5080" w:rsidRPr="000A7545" w14:paraId="13B5644A" w14:textId="77777777" w:rsidTr="001A5080">
        <w:trPr>
          <w:trHeight w:val="141"/>
        </w:trPr>
        <w:tc>
          <w:tcPr>
            <w:tcW w:w="1638" w:type="dxa"/>
            <w:shd w:val="clear" w:color="auto" w:fill="auto"/>
          </w:tcPr>
          <w:p w14:paraId="13B56442"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Nduga</w:t>
            </w:r>
          </w:p>
        </w:tc>
        <w:tc>
          <w:tcPr>
            <w:tcW w:w="727" w:type="dxa"/>
            <w:shd w:val="clear" w:color="auto" w:fill="auto"/>
          </w:tcPr>
          <w:p w14:paraId="13B56443"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44"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45"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46" w14:textId="77777777" w:rsidR="001A5080" w:rsidRPr="000A7545" w:rsidRDefault="001A5080" w:rsidP="001A5080">
            <w:pPr>
              <w:spacing w:before="120" w:line="240" w:lineRule="auto"/>
              <w:jc w:val="center"/>
              <w:rPr>
                <w:rFonts w:ascii="Arial Narrow" w:hAnsi="Arial Narrow" w:cs="Arial"/>
                <w:sz w:val="20"/>
              </w:rPr>
            </w:pPr>
          </w:p>
        </w:tc>
        <w:tc>
          <w:tcPr>
            <w:tcW w:w="897" w:type="dxa"/>
            <w:shd w:val="clear" w:color="auto" w:fill="auto"/>
          </w:tcPr>
          <w:p w14:paraId="13B56447"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40" w:type="dxa"/>
            <w:shd w:val="clear" w:color="auto" w:fill="auto"/>
          </w:tcPr>
          <w:p w14:paraId="13B56448" w14:textId="77777777" w:rsidR="001A5080" w:rsidRPr="000A7545" w:rsidRDefault="001A5080" w:rsidP="001A5080">
            <w:pPr>
              <w:spacing w:before="120" w:line="240" w:lineRule="auto"/>
              <w:rPr>
                <w:rFonts w:ascii="Arial Narrow" w:hAnsi="Arial Narrow" w:cs="Arial"/>
                <w:sz w:val="20"/>
              </w:rPr>
            </w:pPr>
          </w:p>
        </w:tc>
        <w:tc>
          <w:tcPr>
            <w:tcW w:w="1952" w:type="dxa"/>
            <w:shd w:val="clear" w:color="auto" w:fill="auto"/>
          </w:tcPr>
          <w:p w14:paraId="13B56449"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2010-2015</w:t>
            </w:r>
          </w:p>
        </w:tc>
      </w:tr>
      <w:tr w:rsidR="001A5080" w:rsidRPr="000A7545" w14:paraId="13B56453" w14:textId="77777777" w:rsidTr="001A5080">
        <w:trPr>
          <w:trHeight w:val="141"/>
        </w:trPr>
        <w:tc>
          <w:tcPr>
            <w:tcW w:w="1638" w:type="dxa"/>
            <w:shd w:val="clear" w:color="auto" w:fill="auto"/>
          </w:tcPr>
          <w:p w14:paraId="13B5644B"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Tolikara</w:t>
            </w:r>
          </w:p>
        </w:tc>
        <w:tc>
          <w:tcPr>
            <w:tcW w:w="727" w:type="dxa"/>
            <w:shd w:val="clear" w:color="auto" w:fill="auto"/>
          </w:tcPr>
          <w:p w14:paraId="13B5644C"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4D"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4E"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4F" w14:textId="77777777" w:rsidR="001A5080" w:rsidRPr="000A7545" w:rsidRDefault="001A5080" w:rsidP="001A5080">
            <w:pPr>
              <w:spacing w:before="120" w:line="240" w:lineRule="auto"/>
              <w:jc w:val="center"/>
              <w:rPr>
                <w:rFonts w:ascii="Arial Narrow" w:hAnsi="Arial Narrow" w:cs="Arial"/>
                <w:sz w:val="20"/>
              </w:rPr>
            </w:pPr>
          </w:p>
        </w:tc>
        <w:tc>
          <w:tcPr>
            <w:tcW w:w="897" w:type="dxa"/>
            <w:shd w:val="clear" w:color="auto" w:fill="auto"/>
          </w:tcPr>
          <w:p w14:paraId="13B56450"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40" w:type="dxa"/>
            <w:shd w:val="clear" w:color="auto" w:fill="auto"/>
          </w:tcPr>
          <w:p w14:paraId="13B56451" w14:textId="77777777" w:rsidR="001A5080" w:rsidRPr="000A7545" w:rsidRDefault="001A5080" w:rsidP="001A5080">
            <w:pPr>
              <w:spacing w:before="120" w:line="240" w:lineRule="auto"/>
              <w:rPr>
                <w:rFonts w:ascii="Arial Narrow" w:hAnsi="Arial Narrow" w:cs="Arial"/>
                <w:sz w:val="20"/>
              </w:rPr>
            </w:pPr>
          </w:p>
        </w:tc>
        <w:tc>
          <w:tcPr>
            <w:tcW w:w="1952" w:type="dxa"/>
            <w:shd w:val="clear" w:color="auto" w:fill="auto"/>
          </w:tcPr>
          <w:p w14:paraId="13B56452"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2010-2015</w:t>
            </w:r>
          </w:p>
        </w:tc>
      </w:tr>
      <w:tr w:rsidR="001A5080" w:rsidRPr="000A7545" w14:paraId="13B5645C" w14:textId="77777777" w:rsidTr="001A5080">
        <w:trPr>
          <w:trHeight w:val="133"/>
        </w:trPr>
        <w:tc>
          <w:tcPr>
            <w:tcW w:w="1638" w:type="dxa"/>
            <w:shd w:val="clear" w:color="auto" w:fill="auto"/>
          </w:tcPr>
          <w:p w14:paraId="13B56454"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Lanny Jaya</w:t>
            </w:r>
          </w:p>
        </w:tc>
        <w:tc>
          <w:tcPr>
            <w:tcW w:w="727" w:type="dxa"/>
            <w:shd w:val="clear" w:color="auto" w:fill="auto"/>
          </w:tcPr>
          <w:p w14:paraId="13B56455"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56"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57"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58" w14:textId="77777777" w:rsidR="001A5080" w:rsidRPr="000A7545" w:rsidRDefault="001A5080" w:rsidP="001A5080">
            <w:pPr>
              <w:spacing w:before="120" w:line="240" w:lineRule="auto"/>
              <w:jc w:val="center"/>
              <w:rPr>
                <w:rFonts w:ascii="Arial Narrow" w:hAnsi="Arial Narrow" w:cs="Arial"/>
                <w:sz w:val="20"/>
              </w:rPr>
            </w:pPr>
          </w:p>
        </w:tc>
        <w:tc>
          <w:tcPr>
            <w:tcW w:w="897" w:type="dxa"/>
            <w:shd w:val="clear" w:color="auto" w:fill="auto"/>
          </w:tcPr>
          <w:p w14:paraId="13B56459"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40" w:type="dxa"/>
            <w:shd w:val="clear" w:color="auto" w:fill="auto"/>
          </w:tcPr>
          <w:p w14:paraId="13B5645A" w14:textId="77777777" w:rsidR="001A5080" w:rsidRPr="000A7545" w:rsidRDefault="001A5080" w:rsidP="001A5080">
            <w:pPr>
              <w:spacing w:before="120" w:line="240" w:lineRule="auto"/>
              <w:rPr>
                <w:rFonts w:ascii="Arial Narrow" w:hAnsi="Arial Narrow" w:cs="Arial"/>
                <w:sz w:val="20"/>
              </w:rPr>
            </w:pPr>
          </w:p>
        </w:tc>
        <w:tc>
          <w:tcPr>
            <w:tcW w:w="1952" w:type="dxa"/>
            <w:shd w:val="clear" w:color="auto" w:fill="auto"/>
          </w:tcPr>
          <w:p w14:paraId="13B5645B"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2011-2016</w:t>
            </w:r>
          </w:p>
        </w:tc>
      </w:tr>
      <w:tr w:rsidR="001A5080" w:rsidRPr="000A7545" w14:paraId="13B56465" w14:textId="77777777" w:rsidTr="001A5080">
        <w:trPr>
          <w:trHeight w:val="281"/>
        </w:trPr>
        <w:tc>
          <w:tcPr>
            <w:tcW w:w="1638" w:type="dxa"/>
            <w:shd w:val="clear" w:color="auto" w:fill="auto"/>
          </w:tcPr>
          <w:p w14:paraId="13B5645D"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Memberamo Raya</w:t>
            </w:r>
          </w:p>
        </w:tc>
        <w:tc>
          <w:tcPr>
            <w:tcW w:w="727" w:type="dxa"/>
            <w:shd w:val="clear" w:color="auto" w:fill="auto"/>
          </w:tcPr>
          <w:p w14:paraId="13B5645E"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5F"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60"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61"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897" w:type="dxa"/>
            <w:shd w:val="clear" w:color="auto" w:fill="auto"/>
          </w:tcPr>
          <w:p w14:paraId="13B56462" w14:textId="77777777" w:rsidR="001A5080" w:rsidRPr="000A7545" w:rsidRDefault="001A5080" w:rsidP="001A5080">
            <w:pPr>
              <w:spacing w:before="120" w:line="240" w:lineRule="auto"/>
              <w:jc w:val="center"/>
              <w:rPr>
                <w:rFonts w:ascii="Arial Narrow" w:hAnsi="Arial Narrow" w:cs="Arial"/>
                <w:sz w:val="20"/>
              </w:rPr>
            </w:pPr>
          </w:p>
        </w:tc>
        <w:tc>
          <w:tcPr>
            <w:tcW w:w="1140" w:type="dxa"/>
            <w:shd w:val="clear" w:color="auto" w:fill="auto"/>
          </w:tcPr>
          <w:p w14:paraId="13B56463"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2009-2014</w:t>
            </w:r>
          </w:p>
        </w:tc>
        <w:tc>
          <w:tcPr>
            <w:tcW w:w="1952" w:type="dxa"/>
            <w:shd w:val="clear" w:color="auto" w:fill="auto"/>
          </w:tcPr>
          <w:p w14:paraId="13B56464"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2009-2014</w:t>
            </w:r>
          </w:p>
        </w:tc>
      </w:tr>
      <w:tr w:rsidR="001A5080" w:rsidRPr="000A7545" w14:paraId="13B5646E" w14:textId="77777777" w:rsidTr="001A5080">
        <w:trPr>
          <w:trHeight w:val="133"/>
        </w:trPr>
        <w:tc>
          <w:tcPr>
            <w:tcW w:w="1638" w:type="dxa"/>
            <w:shd w:val="clear" w:color="auto" w:fill="auto"/>
          </w:tcPr>
          <w:p w14:paraId="13B56466"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Asmat</w:t>
            </w:r>
          </w:p>
        </w:tc>
        <w:tc>
          <w:tcPr>
            <w:tcW w:w="727" w:type="dxa"/>
            <w:shd w:val="clear" w:color="auto" w:fill="auto"/>
          </w:tcPr>
          <w:p w14:paraId="13B56467"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68"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69"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6A"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897" w:type="dxa"/>
            <w:shd w:val="clear" w:color="auto" w:fill="auto"/>
          </w:tcPr>
          <w:p w14:paraId="13B5646B" w14:textId="77777777" w:rsidR="001A5080" w:rsidRPr="000A7545" w:rsidRDefault="001A5080" w:rsidP="001A5080">
            <w:pPr>
              <w:spacing w:before="120" w:line="240" w:lineRule="auto"/>
              <w:jc w:val="center"/>
              <w:rPr>
                <w:rFonts w:ascii="Arial Narrow" w:hAnsi="Arial Narrow" w:cs="Arial"/>
                <w:sz w:val="20"/>
              </w:rPr>
            </w:pPr>
          </w:p>
        </w:tc>
        <w:tc>
          <w:tcPr>
            <w:tcW w:w="1140" w:type="dxa"/>
            <w:shd w:val="clear" w:color="auto" w:fill="auto"/>
          </w:tcPr>
          <w:p w14:paraId="13B5646C"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2010-2015</w:t>
            </w:r>
          </w:p>
        </w:tc>
        <w:tc>
          <w:tcPr>
            <w:tcW w:w="1952" w:type="dxa"/>
            <w:shd w:val="clear" w:color="auto" w:fill="auto"/>
          </w:tcPr>
          <w:p w14:paraId="13B5646D"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2010-2015</w:t>
            </w:r>
          </w:p>
        </w:tc>
      </w:tr>
      <w:tr w:rsidR="001A5080" w:rsidRPr="000A7545" w14:paraId="13B56477" w14:textId="77777777" w:rsidTr="001A5080">
        <w:trPr>
          <w:trHeight w:val="141"/>
        </w:trPr>
        <w:tc>
          <w:tcPr>
            <w:tcW w:w="1638" w:type="dxa"/>
            <w:shd w:val="clear" w:color="auto" w:fill="auto"/>
          </w:tcPr>
          <w:p w14:paraId="13B5646F"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Merauke</w:t>
            </w:r>
          </w:p>
        </w:tc>
        <w:tc>
          <w:tcPr>
            <w:tcW w:w="727" w:type="dxa"/>
            <w:shd w:val="clear" w:color="auto" w:fill="auto"/>
          </w:tcPr>
          <w:p w14:paraId="13B56470"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778" w:type="dxa"/>
            <w:shd w:val="clear" w:color="auto" w:fill="auto"/>
          </w:tcPr>
          <w:p w14:paraId="13B56471" w14:textId="77777777" w:rsidR="001A5080" w:rsidRPr="000A7545" w:rsidRDefault="001A5080" w:rsidP="001A5080">
            <w:pPr>
              <w:spacing w:before="120" w:line="240" w:lineRule="auto"/>
              <w:jc w:val="center"/>
              <w:rPr>
                <w:rFonts w:ascii="Arial Narrow" w:hAnsi="Arial Narrow" w:cs="Arial"/>
                <w:sz w:val="20"/>
              </w:rPr>
            </w:pPr>
          </w:p>
        </w:tc>
        <w:tc>
          <w:tcPr>
            <w:tcW w:w="1162" w:type="dxa"/>
            <w:shd w:val="clear" w:color="auto" w:fill="auto"/>
          </w:tcPr>
          <w:p w14:paraId="13B56472"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Not final</w:t>
            </w:r>
          </w:p>
        </w:tc>
        <w:tc>
          <w:tcPr>
            <w:tcW w:w="661" w:type="dxa"/>
            <w:shd w:val="clear" w:color="auto" w:fill="auto"/>
          </w:tcPr>
          <w:p w14:paraId="13B56473"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897" w:type="dxa"/>
            <w:shd w:val="clear" w:color="auto" w:fill="auto"/>
          </w:tcPr>
          <w:p w14:paraId="13B56474" w14:textId="77777777" w:rsidR="001A5080" w:rsidRPr="000A7545" w:rsidRDefault="001A5080" w:rsidP="001A5080">
            <w:pPr>
              <w:spacing w:before="120" w:line="240" w:lineRule="auto"/>
              <w:jc w:val="center"/>
              <w:rPr>
                <w:rFonts w:ascii="Arial Narrow" w:hAnsi="Arial Narrow" w:cs="Arial"/>
                <w:sz w:val="20"/>
              </w:rPr>
            </w:pPr>
          </w:p>
        </w:tc>
        <w:tc>
          <w:tcPr>
            <w:tcW w:w="1140" w:type="dxa"/>
            <w:shd w:val="clear" w:color="auto" w:fill="auto"/>
          </w:tcPr>
          <w:p w14:paraId="13B56475"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2011-2016</w:t>
            </w:r>
          </w:p>
        </w:tc>
        <w:tc>
          <w:tcPr>
            <w:tcW w:w="1952" w:type="dxa"/>
            <w:shd w:val="clear" w:color="auto" w:fill="auto"/>
          </w:tcPr>
          <w:p w14:paraId="13B56476"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2011-2016</w:t>
            </w:r>
          </w:p>
        </w:tc>
      </w:tr>
      <w:tr w:rsidR="001A5080" w:rsidRPr="000A7545" w14:paraId="13B56480" w14:textId="77777777" w:rsidTr="001A5080">
        <w:trPr>
          <w:trHeight w:val="141"/>
        </w:trPr>
        <w:tc>
          <w:tcPr>
            <w:tcW w:w="1638" w:type="dxa"/>
            <w:shd w:val="clear" w:color="auto" w:fill="auto"/>
          </w:tcPr>
          <w:p w14:paraId="13B56478"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Supiori</w:t>
            </w:r>
          </w:p>
        </w:tc>
        <w:tc>
          <w:tcPr>
            <w:tcW w:w="727" w:type="dxa"/>
            <w:shd w:val="clear" w:color="auto" w:fill="auto"/>
          </w:tcPr>
          <w:p w14:paraId="13B56479"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7A"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7B"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7C"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897" w:type="dxa"/>
            <w:shd w:val="clear" w:color="auto" w:fill="auto"/>
          </w:tcPr>
          <w:p w14:paraId="13B5647D" w14:textId="77777777" w:rsidR="001A5080" w:rsidRPr="000A7545" w:rsidRDefault="001A5080" w:rsidP="001A5080">
            <w:pPr>
              <w:spacing w:before="120" w:line="240" w:lineRule="auto"/>
              <w:jc w:val="center"/>
              <w:rPr>
                <w:rFonts w:ascii="Arial Narrow" w:hAnsi="Arial Narrow" w:cs="Arial"/>
                <w:sz w:val="20"/>
              </w:rPr>
            </w:pPr>
          </w:p>
        </w:tc>
        <w:tc>
          <w:tcPr>
            <w:tcW w:w="1140" w:type="dxa"/>
            <w:shd w:val="clear" w:color="auto" w:fill="auto"/>
          </w:tcPr>
          <w:p w14:paraId="13B5647E"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2005-2011</w:t>
            </w:r>
          </w:p>
        </w:tc>
        <w:tc>
          <w:tcPr>
            <w:tcW w:w="1952" w:type="dxa"/>
            <w:shd w:val="clear" w:color="auto" w:fill="auto"/>
          </w:tcPr>
          <w:p w14:paraId="13B5647F"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2005-2011</w:t>
            </w:r>
          </w:p>
        </w:tc>
      </w:tr>
      <w:tr w:rsidR="001A5080" w:rsidRPr="000A7545" w14:paraId="13B56489" w14:textId="77777777" w:rsidTr="001A5080">
        <w:trPr>
          <w:trHeight w:val="141"/>
        </w:trPr>
        <w:tc>
          <w:tcPr>
            <w:tcW w:w="1638" w:type="dxa"/>
            <w:shd w:val="clear" w:color="auto" w:fill="auto"/>
          </w:tcPr>
          <w:p w14:paraId="13B56481"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Puncak</w:t>
            </w:r>
          </w:p>
        </w:tc>
        <w:tc>
          <w:tcPr>
            <w:tcW w:w="727" w:type="dxa"/>
            <w:shd w:val="clear" w:color="auto" w:fill="auto"/>
          </w:tcPr>
          <w:p w14:paraId="13B56482"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83"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84"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85" w14:textId="77777777" w:rsidR="001A5080" w:rsidRPr="000A7545" w:rsidRDefault="001A5080" w:rsidP="001A5080">
            <w:pPr>
              <w:spacing w:before="120" w:line="240" w:lineRule="auto"/>
              <w:jc w:val="center"/>
              <w:rPr>
                <w:rFonts w:ascii="Arial Narrow" w:hAnsi="Arial Narrow" w:cs="Arial"/>
                <w:sz w:val="20"/>
              </w:rPr>
            </w:pPr>
          </w:p>
        </w:tc>
        <w:tc>
          <w:tcPr>
            <w:tcW w:w="897" w:type="dxa"/>
            <w:shd w:val="clear" w:color="auto" w:fill="auto"/>
          </w:tcPr>
          <w:p w14:paraId="13B56486"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40" w:type="dxa"/>
            <w:shd w:val="clear" w:color="auto" w:fill="auto"/>
          </w:tcPr>
          <w:p w14:paraId="13B56487" w14:textId="77777777" w:rsidR="001A5080" w:rsidRPr="000A7545" w:rsidRDefault="001A5080" w:rsidP="001A5080">
            <w:pPr>
              <w:spacing w:before="120" w:line="240" w:lineRule="auto"/>
              <w:rPr>
                <w:rFonts w:ascii="Arial Narrow" w:hAnsi="Arial Narrow" w:cs="Arial"/>
                <w:sz w:val="20"/>
              </w:rPr>
            </w:pPr>
          </w:p>
        </w:tc>
        <w:tc>
          <w:tcPr>
            <w:tcW w:w="1952" w:type="dxa"/>
            <w:shd w:val="clear" w:color="auto" w:fill="auto"/>
          </w:tcPr>
          <w:p w14:paraId="13B56488"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PILKADA</w:t>
            </w:r>
          </w:p>
        </w:tc>
      </w:tr>
      <w:tr w:rsidR="001A5080" w:rsidRPr="000A7545" w14:paraId="13B56492" w14:textId="77777777" w:rsidTr="001A5080">
        <w:trPr>
          <w:trHeight w:val="133"/>
        </w:trPr>
        <w:tc>
          <w:tcPr>
            <w:tcW w:w="1638" w:type="dxa"/>
            <w:shd w:val="clear" w:color="auto" w:fill="auto"/>
          </w:tcPr>
          <w:p w14:paraId="13B5648A"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Paniai</w:t>
            </w:r>
          </w:p>
        </w:tc>
        <w:tc>
          <w:tcPr>
            <w:tcW w:w="727" w:type="dxa"/>
            <w:shd w:val="clear" w:color="auto" w:fill="auto"/>
          </w:tcPr>
          <w:p w14:paraId="13B5648B"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778" w:type="dxa"/>
            <w:shd w:val="clear" w:color="auto" w:fill="auto"/>
          </w:tcPr>
          <w:p w14:paraId="13B5648C" w14:textId="77777777" w:rsidR="001A5080" w:rsidRPr="000A7545" w:rsidRDefault="001A5080" w:rsidP="001A5080">
            <w:pPr>
              <w:spacing w:before="120" w:line="240" w:lineRule="auto"/>
              <w:jc w:val="center"/>
              <w:rPr>
                <w:rFonts w:ascii="Arial Narrow" w:hAnsi="Arial Narrow" w:cs="Arial"/>
                <w:sz w:val="20"/>
              </w:rPr>
            </w:pPr>
          </w:p>
        </w:tc>
        <w:tc>
          <w:tcPr>
            <w:tcW w:w="1162" w:type="dxa"/>
            <w:shd w:val="clear" w:color="auto" w:fill="auto"/>
          </w:tcPr>
          <w:p w14:paraId="13B5648D"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2008-2012</w:t>
            </w:r>
          </w:p>
        </w:tc>
        <w:tc>
          <w:tcPr>
            <w:tcW w:w="661" w:type="dxa"/>
            <w:shd w:val="clear" w:color="auto" w:fill="auto"/>
          </w:tcPr>
          <w:p w14:paraId="13B5648E"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897" w:type="dxa"/>
            <w:shd w:val="clear" w:color="auto" w:fill="auto"/>
          </w:tcPr>
          <w:p w14:paraId="13B5648F" w14:textId="77777777" w:rsidR="001A5080" w:rsidRPr="000A7545" w:rsidRDefault="001A5080" w:rsidP="001A5080">
            <w:pPr>
              <w:spacing w:before="120" w:line="240" w:lineRule="auto"/>
              <w:jc w:val="center"/>
              <w:rPr>
                <w:rFonts w:ascii="Arial Narrow" w:hAnsi="Arial Narrow" w:cs="Arial"/>
                <w:sz w:val="20"/>
              </w:rPr>
            </w:pPr>
          </w:p>
        </w:tc>
        <w:tc>
          <w:tcPr>
            <w:tcW w:w="1140" w:type="dxa"/>
            <w:shd w:val="clear" w:color="auto" w:fill="auto"/>
          </w:tcPr>
          <w:p w14:paraId="13B56490"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2007-2012</w:t>
            </w:r>
          </w:p>
        </w:tc>
        <w:tc>
          <w:tcPr>
            <w:tcW w:w="1952" w:type="dxa"/>
            <w:shd w:val="clear" w:color="auto" w:fill="auto"/>
          </w:tcPr>
          <w:p w14:paraId="13B56491"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2007-2012</w:t>
            </w:r>
          </w:p>
        </w:tc>
      </w:tr>
      <w:tr w:rsidR="001A5080" w:rsidRPr="000A7545" w14:paraId="13B5649B" w14:textId="77777777" w:rsidTr="001A5080">
        <w:trPr>
          <w:trHeight w:val="141"/>
        </w:trPr>
        <w:tc>
          <w:tcPr>
            <w:tcW w:w="1638" w:type="dxa"/>
            <w:shd w:val="clear" w:color="auto" w:fill="auto"/>
          </w:tcPr>
          <w:p w14:paraId="13B56493"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Yalimo</w:t>
            </w:r>
          </w:p>
        </w:tc>
        <w:tc>
          <w:tcPr>
            <w:tcW w:w="727" w:type="dxa"/>
            <w:shd w:val="clear" w:color="auto" w:fill="auto"/>
          </w:tcPr>
          <w:p w14:paraId="13B56494"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95"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96"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97"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897" w:type="dxa"/>
            <w:shd w:val="clear" w:color="auto" w:fill="auto"/>
          </w:tcPr>
          <w:p w14:paraId="13B56498" w14:textId="77777777" w:rsidR="001A5080" w:rsidRPr="000A7545" w:rsidRDefault="001A5080" w:rsidP="001A5080">
            <w:pPr>
              <w:spacing w:before="120" w:line="240" w:lineRule="auto"/>
              <w:jc w:val="center"/>
              <w:rPr>
                <w:rFonts w:ascii="Arial Narrow" w:hAnsi="Arial Narrow" w:cs="Arial"/>
                <w:sz w:val="20"/>
              </w:rPr>
            </w:pPr>
          </w:p>
        </w:tc>
        <w:tc>
          <w:tcPr>
            <w:tcW w:w="1140" w:type="dxa"/>
            <w:shd w:val="clear" w:color="auto" w:fill="auto"/>
          </w:tcPr>
          <w:p w14:paraId="13B56499"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2011-2016</w:t>
            </w:r>
          </w:p>
        </w:tc>
        <w:tc>
          <w:tcPr>
            <w:tcW w:w="1952" w:type="dxa"/>
            <w:shd w:val="clear" w:color="auto" w:fill="auto"/>
          </w:tcPr>
          <w:p w14:paraId="13B5649A"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2011-2016</w:t>
            </w:r>
          </w:p>
        </w:tc>
      </w:tr>
      <w:tr w:rsidR="001A5080" w:rsidRPr="000A7545" w14:paraId="13B564A4" w14:textId="77777777" w:rsidTr="001A5080">
        <w:trPr>
          <w:trHeight w:val="141"/>
        </w:trPr>
        <w:tc>
          <w:tcPr>
            <w:tcW w:w="1638" w:type="dxa"/>
            <w:shd w:val="clear" w:color="auto" w:fill="auto"/>
          </w:tcPr>
          <w:p w14:paraId="13B5649C" w14:textId="77777777" w:rsidR="001A5080" w:rsidRPr="000A7545" w:rsidRDefault="001A5080" w:rsidP="001A5080">
            <w:pPr>
              <w:spacing w:before="120" w:line="240" w:lineRule="auto"/>
              <w:rPr>
                <w:rFonts w:ascii="Arial Narrow" w:hAnsi="Arial Narrow" w:cs="Arial"/>
                <w:sz w:val="20"/>
              </w:rPr>
            </w:pPr>
            <w:r w:rsidRPr="000A7545">
              <w:rPr>
                <w:rFonts w:ascii="Arial Narrow" w:hAnsi="Arial Narrow" w:cs="Arial"/>
                <w:sz w:val="20"/>
              </w:rPr>
              <w:t>Deiyai</w:t>
            </w:r>
          </w:p>
        </w:tc>
        <w:tc>
          <w:tcPr>
            <w:tcW w:w="727" w:type="dxa"/>
            <w:shd w:val="clear" w:color="auto" w:fill="auto"/>
          </w:tcPr>
          <w:p w14:paraId="13B5649D" w14:textId="77777777" w:rsidR="001A5080" w:rsidRPr="000A7545" w:rsidRDefault="001A5080" w:rsidP="001A5080">
            <w:pPr>
              <w:spacing w:before="120" w:line="240" w:lineRule="auto"/>
              <w:jc w:val="center"/>
              <w:rPr>
                <w:rFonts w:ascii="Arial Narrow" w:hAnsi="Arial Narrow" w:cs="Arial"/>
                <w:sz w:val="20"/>
              </w:rPr>
            </w:pPr>
          </w:p>
        </w:tc>
        <w:tc>
          <w:tcPr>
            <w:tcW w:w="778" w:type="dxa"/>
            <w:shd w:val="clear" w:color="auto" w:fill="auto"/>
          </w:tcPr>
          <w:p w14:paraId="13B5649E"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62" w:type="dxa"/>
            <w:shd w:val="clear" w:color="auto" w:fill="auto"/>
          </w:tcPr>
          <w:p w14:paraId="13B5649F"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A0" w14:textId="77777777" w:rsidR="001A5080" w:rsidRPr="000A7545" w:rsidRDefault="001A5080" w:rsidP="001A5080">
            <w:pPr>
              <w:spacing w:before="120" w:line="240" w:lineRule="auto"/>
              <w:jc w:val="center"/>
              <w:rPr>
                <w:rFonts w:ascii="Arial Narrow" w:hAnsi="Arial Narrow" w:cs="Arial"/>
                <w:sz w:val="20"/>
              </w:rPr>
            </w:pPr>
          </w:p>
        </w:tc>
        <w:tc>
          <w:tcPr>
            <w:tcW w:w="897" w:type="dxa"/>
            <w:shd w:val="clear" w:color="auto" w:fill="auto"/>
          </w:tcPr>
          <w:p w14:paraId="13B564A1"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w:t>
            </w:r>
          </w:p>
        </w:tc>
        <w:tc>
          <w:tcPr>
            <w:tcW w:w="1140" w:type="dxa"/>
            <w:shd w:val="clear" w:color="auto" w:fill="auto"/>
          </w:tcPr>
          <w:p w14:paraId="13B564A2" w14:textId="77777777" w:rsidR="001A5080" w:rsidRPr="000A7545" w:rsidRDefault="001A5080" w:rsidP="001A5080">
            <w:pPr>
              <w:spacing w:before="120" w:line="240" w:lineRule="auto"/>
              <w:rPr>
                <w:rFonts w:ascii="Arial Narrow" w:hAnsi="Arial Narrow" w:cs="Arial"/>
                <w:sz w:val="20"/>
              </w:rPr>
            </w:pPr>
          </w:p>
        </w:tc>
        <w:tc>
          <w:tcPr>
            <w:tcW w:w="1952" w:type="dxa"/>
            <w:shd w:val="clear" w:color="auto" w:fill="auto"/>
          </w:tcPr>
          <w:p w14:paraId="13B564A3" w14:textId="77777777" w:rsidR="001A5080" w:rsidRPr="000A7545" w:rsidRDefault="00737B2D" w:rsidP="001A5080">
            <w:pPr>
              <w:spacing w:before="120" w:line="240" w:lineRule="auto"/>
              <w:jc w:val="center"/>
              <w:rPr>
                <w:rFonts w:ascii="Arial Narrow" w:hAnsi="Arial Narrow" w:cs="Arial"/>
                <w:sz w:val="20"/>
              </w:rPr>
            </w:pPr>
            <w:r w:rsidRPr="000A7545">
              <w:rPr>
                <w:rFonts w:ascii="Arial Narrow" w:hAnsi="Arial Narrow" w:cs="Arial"/>
                <w:sz w:val="20"/>
              </w:rPr>
              <w:t>Careta</w:t>
            </w:r>
            <w:r w:rsidR="001A5080" w:rsidRPr="000A7545">
              <w:rPr>
                <w:rFonts w:ascii="Arial Narrow" w:hAnsi="Arial Narrow" w:cs="Arial"/>
                <w:sz w:val="20"/>
              </w:rPr>
              <w:t>ker</w:t>
            </w:r>
          </w:p>
        </w:tc>
      </w:tr>
      <w:tr w:rsidR="001A5080" w:rsidRPr="000A7545" w14:paraId="13B564AD" w14:textId="77777777" w:rsidTr="001A5080">
        <w:trPr>
          <w:trHeight w:val="141"/>
        </w:trPr>
        <w:tc>
          <w:tcPr>
            <w:tcW w:w="1638" w:type="dxa"/>
            <w:shd w:val="clear" w:color="auto" w:fill="auto"/>
          </w:tcPr>
          <w:p w14:paraId="13B564A5" w14:textId="77777777" w:rsidR="001A5080" w:rsidRPr="000A7545" w:rsidRDefault="001A5080" w:rsidP="001A5080">
            <w:pPr>
              <w:spacing w:before="120" w:line="240" w:lineRule="auto"/>
              <w:rPr>
                <w:rFonts w:ascii="Arial Narrow" w:hAnsi="Arial Narrow" w:cs="Arial"/>
                <w:sz w:val="20"/>
              </w:rPr>
            </w:pPr>
          </w:p>
        </w:tc>
        <w:tc>
          <w:tcPr>
            <w:tcW w:w="727" w:type="dxa"/>
            <w:shd w:val="clear" w:color="auto" w:fill="auto"/>
          </w:tcPr>
          <w:p w14:paraId="13B564A6"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4</w:t>
            </w:r>
          </w:p>
        </w:tc>
        <w:tc>
          <w:tcPr>
            <w:tcW w:w="778" w:type="dxa"/>
            <w:shd w:val="clear" w:color="auto" w:fill="auto"/>
          </w:tcPr>
          <w:p w14:paraId="13B564A7"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11</w:t>
            </w:r>
          </w:p>
        </w:tc>
        <w:tc>
          <w:tcPr>
            <w:tcW w:w="1162" w:type="dxa"/>
            <w:shd w:val="clear" w:color="auto" w:fill="auto"/>
          </w:tcPr>
          <w:p w14:paraId="13B564A8" w14:textId="77777777" w:rsidR="001A5080" w:rsidRPr="000A7545" w:rsidRDefault="001A5080" w:rsidP="001A5080">
            <w:pPr>
              <w:spacing w:before="120" w:line="240" w:lineRule="auto"/>
              <w:rPr>
                <w:rFonts w:ascii="Arial Narrow" w:hAnsi="Arial Narrow" w:cs="Arial"/>
                <w:sz w:val="20"/>
              </w:rPr>
            </w:pPr>
          </w:p>
        </w:tc>
        <w:tc>
          <w:tcPr>
            <w:tcW w:w="661" w:type="dxa"/>
            <w:shd w:val="clear" w:color="auto" w:fill="auto"/>
          </w:tcPr>
          <w:p w14:paraId="13B564A9"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8</w:t>
            </w:r>
          </w:p>
        </w:tc>
        <w:tc>
          <w:tcPr>
            <w:tcW w:w="897" w:type="dxa"/>
            <w:shd w:val="clear" w:color="auto" w:fill="auto"/>
          </w:tcPr>
          <w:p w14:paraId="13B564AA" w14:textId="77777777" w:rsidR="001A5080" w:rsidRPr="000A7545" w:rsidRDefault="001A5080" w:rsidP="001A5080">
            <w:pPr>
              <w:spacing w:before="120" w:line="240" w:lineRule="auto"/>
              <w:jc w:val="center"/>
              <w:rPr>
                <w:rFonts w:ascii="Arial Narrow" w:hAnsi="Arial Narrow" w:cs="Arial"/>
                <w:sz w:val="20"/>
              </w:rPr>
            </w:pPr>
            <w:r w:rsidRPr="000A7545">
              <w:rPr>
                <w:rFonts w:ascii="Arial Narrow" w:hAnsi="Arial Narrow" w:cs="Arial"/>
                <w:sz w:val="20"/>
              </w:rPr>
              <w:t>7</w:t>
            </w:r>
          </w:p>
        </w:tc>
        <w:tc>
          <w:tcPr>
            <w:tcW w:w="1140" w:type="dxa"/>
            <w:shd w:val="clear" w:color="auto" w:fill="auto"/>
          </w:tcPr>
          <w:p w14:paraId="13B564AB" w14:textId="77777777" w:rsidR="001A5080" w:rsidRPr="000A7545" w:rsidRDefault="001A5080" w:rsidP="001A5080">
            <w:pPr>
              <w:spacing w:before="120" w:line="240" w:lineRule="auto"/>
              <w:rPr>
                <w:rFonts w:ascii="Arial Narrow" w:hAnsi="Arial Narrow" w:cs="Arial"/>
                <w:sz w:val="20"/>
              </w:rPr>
            </w:pPr>
          </w:p>
        </w:tc>
        <w:tc>
          <w:tcPr>
            <w:tcW w:w="1952" w:type="dxa"/>
            <w:shd w:val="clear" w:color="auto" w:fill="auto"/>
          </w:tcPr>
          <w:p w14:paraId="13B564AC" w14:textId="77777777" w:rsidR="001A5080" w:rsidRPr="000A7545" w:rsidRDefault="001A5080" w:rsidP="001A5080">
            <w:pPr>
              <w:spacing w:before="120" w:line="240" w:lineRule="auto"/>
              <w:jc w:val="center"/>
              <w:rPr>
                <w:rFonts w:ascii="Arial Narrow" w:hAnsi="Arial Narrow" w:cs="Arial"/>
                <w:sz w:val="20"/>
              </w:rPr>
            </w:pPr>
          </w:p>
        </w:tc>
      </w:tr>
    </w:tbl>
    <w:p w14:paraId="13B564AE" w14:textId="77777777" w:rsidR="001A5080" w:rsidRPr="000A7545" w:rsidRDefault="001A5080" w:rsidP="007C578C">
      <w:pPr>
        <w:rPr>
          <w:highlight w:val="yellow"/>
        </w:rPr>
      </w:pPr>
    </w:p>
    <w:p w14:paraId="13B564AF" w14:textId="77777777" w:rsidR="001A5080" w:rsidRPr="000A7545" w:rsidRDefault="001A5080" w:rsidP="007C578C">
      <w:pPr>
        <w:rPr>
          <w:highlight w:val="yellow"/>
        </w:rPr>
      </w:pPr>
    </w:p>
    <w:p w14:paraId="13B564B0" w14:textId="77777777" w:rsidR="001A5080" w:rsidRPr="000A7545" w:rsidRDefault="001A5080" w:rsidP="007C578C">
      <w:pPr>
        <w:rPr>
          <w:highlight w:val="yellow"/>
        </w:rPr>
      </w:pPr>
      <w:r w:rsidRPr="000A7545">
        <w:rPr>
          <w:highlight w:val="yellow"/>
        </w:rPr>
        <w:br w:type="page"/>
      </w:r>
    </w:p>
    <w:p w14:paraId="13B564B1" w14:textId="77777777" w:rsidR="007C578C" w:rsidRPr="000A7545" w:rsidRDefault="008D4CDE" w:rsidP="00876DBD">
      <w:pPr>
        <w:pStyle w:val="Heading1"/>
        <w:numPr>
          <w:ilvl w:val="0"/>
          <w:numId w:val="0"/>
        </w:numPr>
        <w:ind w:left="360" w:hanging="360"/>
      </w:pPr>
      <w:bookmarkStart w:id="106" w:name="_Toc322702788"/>
      <w:r w:rsidRPr="000A7545">
        <w:t xml:space="preserve">Annex 3: </w:t>
      </w:r>
      <w:r w:rsidR="00486C82" w:rsidRPr="000A7545">
        <w:t>Routine School Monitoring Instrument</w:t>
      </w:r>
      <w:bookmarkEnd w:id="106"/>
    </w:p>
    <w:p w14:paraId="13B564B2" w14:textId="77777777" w:rsidR="001A5080" w:rsidRPr="000A7545" w:rsidRDefault="001A5080" w:rsidP="001A5080">
      <w:pPr>
        <w:pStyle w:val="Caption"/>
        <w:keepNext/>
        <w:spacing w:after="200"/>
      </w:pPr>
      <w:bookmarkStart w:id="107" w:name="_Toc322710108"/>
      <w:r w:rsidRPr="000A7545">
        <w:t xml:space="preserve">Figure </w:t>
      </w:r>
      <w:fldSimple w:instr=" SEQ Figure \* ARABIC ">
        <w:r w:rsidR="009B4D84">
          <w:rPr>
            <w:noProof/>
          </w:rPr>
          <w:t>17</w:t>
        </w:r>
      </w:fldSimple>
      <w:r w:rsidRPr="000A7545">
        <w:t>: Routine School Monitoring Instrument</w:t>
      </w:r>
      <w:bookmarkEnd w:id="107"/>
    </w:p>
    <w:tbl>
      <w:tblPr>
        <w:tblW w:w="10185" w:type="dxa"/>
        <w:tblInd w:w="93" w:type="dxa"/>
        <w:tblLook w:val="04A0" w:firstRow="1" w:lastRow="0" w:firstColumn="1" w:lastColumn="0" w:noHBand="0" w:noVBand="1"/>
      </w:tblPr>
      <w:tblGrid>
        <w:gridCol w:w="940"/>
        <w:gridCol w:w="7265"/>
        <w:gridCol w:w="1980"/>
      </w:tblGrid>
      <w:tr w:rsidR="001A5080" w:rsidRPr="000A7545" w14:paraId="13B564B5" w14:textId="77777777" w:rsidTr="001A5080">
        <w:trPr>
          <w:trHeight w:val="750"/>
        </w:trPr>
        <w:tc>
          <w:tcPr>
            <w:tcW w:w="940" w:type="dxa"/>
            <w:tcBorders>
              <w:top w:val="single" w:sz="4" w:space="0" w:color="auto"/>
              <w:left w:val="single" w:sz="4" w:space="0" w:color="auto"/>
              <w:bottom w:val="single" w:sz="4" w:space="0" w:color="auto"/>
              <w:right w:val="single" w:sz="4" w:space="0" w:color="auto"/>
            </w:tcBorders>
            <w:shd w:val="clear" w:color="000000" w:fill="FCD5B4"/>
            <w:vAlign w:val="bottom"/>
            <w:hideMark/>
          </w:tcPr>
          <w:p w14:paraId="13B564B3" w14:textId="77777777" w:rsidR="001A5080" w:rsidRPr="000A7545" w:rsidRDefault="001A5080" w:rsidP="001A5080">
            <w:pPr>
              <w:rPr>
                <w:rFonts w:ascii="Calibri" w:hAnsi="Calibri" w:cs="Calibri"/>
                <w:b/>
                <w:color w:val="000000"/>
                <w:sz w:val="18"/>
                <w:szCs w:val="18"/>
              </w:rPr>
            </w:pPr>
            <w:r w:rsidRPr="000A7545">
              <w:rPr>
                <w:rFonts w:ascii="Calibri" w:hAnsi="Calibri" w:cs="Calibri"/>
                <w:b/>
                <w:color w:val="000000"/>
                <w:sz w:val="18"/>
                <w:szCs w:val="18"/>
              </w:rPr>
              <w:t>Logframe indicator number</w:t>
            </w:r>
          </w:p>
        </w:tc>
        <w:tc>
          <w:tcPr>
            <w:tcW w:w="9245" w:type="dxa"/>
            <w:gridSpan w:val="2"/>
            <w:tcBorders>
              <w:top w:val="single" w:sz="4" w:space="0" w:color="auto"/>
              <w:left w:val="nil"/>
              <w:bottom w:val="single" w:sz="4" w:space="0" w:color="auto"/>
              <w:right w:val="single" w:sz="4" w:space="0" w:color="auto"/>
            </w:tcBorders>
            <w:shd w:val="clear" w:color="auto" w:fill="auto"/>
            <w:vAlign w:val="center"/>
            <w:hideMark/>
          </w:tcPr>
          <w:p w14:paraId="13B564B4" w14:textId="77777777" w:rsidR="001A5080" w:rsidRPr="000A7545" w:rsidRDefault="001A5080" w:rsidP="001A5080">
            <w:pPr>
              <w:jc w:val="center"/>
              <w:rPr>
                <w:rFonts w:ascii="Calibri" w:hAnsi="Calibri" w:cs="Calibri"/>
                <w:b/>
                <w:i/>
                <w:iCs/>
                <w:color w:val="000000"/>
                <w:sz w:val="36"/>
                <w:szCs w:val="36"/>
              </w:rPr>
            </w:pPr>
            <w:r w:rsidRPr="000A7545">
              <w:rPr>
                <w:rFonts w:ascii="Calibri" w:hAnsi="Calibri" w:cs="Calibri"/>
                <w:b/>
                <w:i/>
                <w:iCs/>
                <w:color w:val="000000"/>
                <w:sz w:val="36"/>
                <w:szCs w:val="36"/>
              </w:rPr>
              <w:t>Routine School Monitoring Instrument</w:t>
            </w:r>
          </w:p>
        </w:tc>
      </w:tr>
      <w:tr w:rsidR="001A5080" w:rsidRPr="000A7545" w14:paraId="13B564B8" w14:textId="77777777" w:rsidTr="001A5080">
        <w:trPr>
          <w:trHeight w:val="405"/>
        </w:trPr>
        <w:tc>
          <w:tcPr>
            <w:tcW w:w="940" w:type="dxa"/>
            <w:tcBorders>
              <w:top w:val="nil"/>
              <w:left w:val="single" w:sz="4" w:space="0" w:color="auto"/>
              <w:bottom w:val="single" w:sz="4" w:space="0" w:color="auto"/>
              <w:right w:val="single" w:sz="4" w:space="0" w:color="auto"/>
            </w:tcBorders>
            <w:shd w:val="clear" w:color="000000" w:fill="D8E4BC"/>
            <w:noWrap/>
            <w:vAlign w:val="bottom"/>
            <w:hideMark/>
          </w:tcPr>
          <w:p w14:paraId="13B564B6"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9245" w:type="dxa"/>
            <w:gridSpan w:val="2"/>
            <w:tcBorders>
              <w:top w:val="single" w:sz="4" w:space="0" w:color="auto"/>
              <w:left w:val="nil"/>
              <w:bottom w:val="single" w:sz="4" w:space="0" w:color="auto"/>
              <w:right w:val="single" w:sz="4" w:space="0" w:color="auto"/>
            </w:tcBorders>
            <w:shd w:val="clear" w:color="000000" w:fill="D8E4BC"/>
            <w:vAlign w:val="center"/>
            <w:hideMark/>
          </w:tcPr>
          <w:p w14:paraId="13B564B7"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Pakem</w:t>
            </w:r>
          </w:p>
        </w:tc>
      </w:tr>
      <w:tr w:rsidR="001A5080" w:rsidRPr="000A7545" w14:paraId="13B564BC" w14:textId="77777777" w:rsidTr="001A5080">
        <w:trPr>
          <w:trHeight w:val="390"/>
        </w:trPr>
        <w:tc>
          <w:tcPr>
            <w:tcW w:w="940" w:type="dxa"/>
            <w:vMerge w:val="restart"/>
            <w:tcBorders>
              <w:top w:val="nil"/>
              <w:left w:val="single" w:sz="4" w:space="0" w:color="auto"/>
              <w:bottom w:val="single" w:sz="4" w:space="0" w:color="auto"/>
              <w:right w:val="single" w:sz="4" w:space="0" w:color="auto"/>
            </w:tcBorders>
            <w:shd w:val="clear" w:color="000000" w:fill="FCD5B4"/>
            <w:vAlign w:val="center"/>
            <w:hideMark/>
          </w:tcPr>
          <w:p w14:paraId="13B564B9" w14:textId="77777777" w:rsidR="001A5080" w:rsidRPr="000A7545" w:rsidRDefault="001A5080" w:rsidP="001A5080">
            <w:pPr>
              <w:jc w:val="center"/>
              <w:rPr>
                <w:rFonts w:ascii="Calibri" w:hAnsi="Calibri" w:cs="Calibri"/>
                <w:b/>
                <w:color w:val="000000"/>
                <w:szCs w:val="24"/>
              </w:rPr>
            </w:pPr>
            <w:r w:rsidRPr="000A7545">
              <w:rPr>
                <w:rFonts w:ascii="Calibri" w:hAnsi="Calibri" w:cs="Calibri"/>
                <w:b/>
                <w:color w:val="000000"/>
                <w:szCs w:val="24"/>
              </w:rPr>
              <w:t>1.2a</w:t>
            </w:r>
          </w:p>
        </w:tc>
        <w:tc>
          <w:tcPr>
            <w:tcW w:w="7265" w:type="dxa"/>
            <w:tcBorders>
              <w:top w:val="nil"/>
              <w:left w:val="nil"/>
              <w:bottom w:val="single" w:sz="4" w:space="0" w:color="auto"/>
              <w:right w:val="single" w:sz="4" w:space="0" w:color="auto"/>
            </w:tcBorders>
            <w:shd w:val="clear" w:color="auto" w:fill="auto"/>
            <w:vAlign w:val="center"/>
            <w:hideMark/>
          </w:tcPr>
          <w:p w14:paraId="13B564BA"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Teachers use teaching aids in classroom</w:t>
            </w:r>
          </w:p>
        </w:tc>
        <w:tc>
          <w:tcPr>
            <w:tcW w:w="1980" w:type="dxa"/>
            <w:tcBorders>
              <w:top w:val="nil"/>
              <w:left w:val="nil"/>
              <w:bottom w:val="single" w:sz="4" w:space="0" w:color="auto"/>
              <w:right w:val="single" w:sz="4" w:space="0" w:color="auto"/>
            </w:tcBorders>
            <w:shd w:val="clear" w:color="auto" w:fill="auto"/>
            <w:vAlign w:val="center"/>
            <w:hideMark/>
          </w:tcPr>
          <w:p w14:paraId="13B564BB" w14:textId="77777777" w:rsidR="001A5080" w:rsidRPr="000A7545" w:rsidRDefault="001A5080" w:rsidP="008D4CDE">
            <w:pPr>
              <w:rPr>
                <w:rFonts w:ascii="Calibri" w:hAnsi="Calibri" w:cs="Calibri"/>
                <w:bCs/>
                <w:color w:val="000000"/>
                <w:szCs w:val="24"/>
              </w:rPr>
            </w:pPr>
            <w:r w:rsidRPr="000A7545">
              <w:rPr>
                <w:rFonts w:ascii="Calibri" w:hAnsi="Calibri" w:cs="Calibri"/>
                <w:color w:val="000000"/>
                <w:szCs w:val="24"/>
              </w:rPr>
              <w:t>Y</w:t>
            </w:r>
            <w:r w:rsidR="00486C82" w:rsidRPr="000A7545">
              <w:rPr>
                <w:rFonts w:ascii="Calibri" w:hAnsi="Calibri" w:cs="Calibri"/>
                <w:color w:val="000000"/>
                <w:szCs w:val="24"/>
              </w:rPr>
              <w:t>es</w:t>
            </w:r>
            <w:r w:rsidRPr="000A7545">
              <w:rPr>
                <w:rFonts w:ascii="Calibri" w:hAnsi="Calibri" w:cs="Calibri"/>
                <w:color w:val="000000"/>
                <w:szCs w:val="24"/>
              </w:rPr>
              <w:t>/</w:t>
            </w:r>
            <w:r w:rsidR="00486C82" w:rsidRPr="000A7545">
              <w:rPr>
                <w:rFonts w:ascii="Calibri" w:hAnsi="Calibri" w:cs="Calibri"/>
                <w:color w:val="000000"/>
                <w:szCs w:val="24"/>
              </w:rPr>
              <w:t>No</w:t>
            </w:r>
            <w:r w:rsidR="00737B2D" w:rsidRPr="000A7545">
              <w:rPr>
                <w:rFonts w:ascii="Calibri" w:hAnsi="Calibri" w:cs="Calibri"/>
                <w:color w:val="000000"/>
                <w:szCs w:val="24"/>
              </w:rPr>
              <w:t>&gt;</w:t>
            </w:r>
            <w:r w:rsidRPr="000A7545">
              <w:rPr>
                <w:rFonts w:ascii="Calibri" w:hAnsi="Calibri" w:cs="Calibri"/>
                <w:color w:val="000000"/>
                <w:szCs w:val="24"/>
              </w:rPr>
              <w:t>______</w:t>
            </w:r>
            <w:r w:rsidR="00737B2D" w:rsidRPr="000A7545">
              <w:rPr>
                <w:rFonts w:ascii="Calibri" w:hAnsi="Calibri" w:cs="Calibri"/>
                <w:color w:val="000000"/>
                <w:szCs w:val="24"/>
              </w:rPr>
              <w:t>___</w:t>
            </w:r>
          </w:p>
        </w:tc>
      </w:tr>
      <w:tr w:rsidR="001A5080" w:rsidRPr="000A7545" w14:paraId="13B564C0" w14:textId="77777777" w:rsidTr="001A5080">
        <w:trPr>
          <w:trHeight w:val="390"/>
        </w:trPr>
        <w:tc>
          <w:tcPr>
            <w:tcW w:w="940" w:type="dxa"/>
            <w:vMerge/>
            <w:tcBorders>
              <w:top w:val="nil"/>
              <w:left w:val="single" w:sz="4" w:space="0" w:color="auto"/>
              <w:bottom w:val="single" w:sz="4" w:space="0" w:color="auto"/>
              <w:right w:val="single" w:sz="4" w:space="0" w:color="auto"/>
            </w:tcBorders>
            <w:vAlign w:val="center"/>
            <w:hideMark/>
          </w:tcPr>
          <w:p w14:paraId="13B564BD" w14:textId="77777777" w:rsidR="001A5080" w:rsidRPr="000A7545" w:rsidRDefault="001A5080" w:rsidP="001A5080">
            <w:pPr>
              <w:rPr>
                <w:rFonts w:ascii="Calibri" w:hAnsi="Calibri" w:cs="Calibri"/>
                <w:b/>
                <w:color w:val="000000"/>
                <w:szCs w:val="24"/>
              </w:rPr>
            </w:pPr>
          </w:p>
        </w:tc>
        <w:tc>
          <w:tcPr>
            <w:tcW w:w="7265" w:type="dxa"/>
            <w:tcBorders>
              <w:top w:val="nil"/>
              <w:left w:val="nil"/>
              <w:bottom w:val="single" w:sz="4" w:space="0" w:color="auto"/>
              <w:right w:val="single" w:sz="4" w:space="0" w:color="auto"/>
            </w:tcBorders>
            <w:shd w:val="clear" w:color="auto" w:fill="auto"/>
            <w:vAlign w:val="center"/>
            <w:hideMark/>
          </w:tcPr>
          <w:p w14:paraId="13B564BE"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Students are learning actively in classroom</w:t>
            </w:r>
          </w:p>
        </w:tc>
        <w:tc>
          <w:tcPr>
            <w:tcW w:w="1980" w:type="dxa"/>
            <w:tcBorders>
              <w:top w:val="nil"/>
              <w:left w:val="nil"/>
              <w:bottom w:val="single" w:sz="4" w:space="0" w:color="auto"/>
              <w:right w:val="single" w:sz="4" w:space="0" w:color="auto"/>
            </w:tcBorders>
            <w:shd w:val="clear" w:color="auto" w:fill="auto"/>
            <w:vAlign w:val="center"/>
            <w:hideMark/>
          </w:tcPr>
          <w:p w14:paraId="13B564BF"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C4" w14:textId="77777777" w:rsidTr="001A5080">
        <w:trPr>
          <w:trHeight w:val="390"/>
        </w:trPr>
        <w:tc>
          <w:tcPr>
            <w:tcW w:w="940" w:type="dxa"/>
            <w:vMerge/>
            <w:tcBorders>
              <w:top w:val="nil"/>
              <w:left w:val="single" w:sz="4" w:space="0" w:color="auto"/>
              <w:bottom w:val="single" w:sz="4" w:space="0" w:color="auto"/>
              <w:right w:val="single" w:sz="4" w:space="0" w:color="auto"/>
            </w:tcBorders>
            <w:vAlign w:val="center"/>
            <w:hideMark/>
          </w:tcPr>
          <w:p w14:paraId="13B564C1" w14:textId="77777777" w:rsidR="001A5080" w:rsidRPr="000A7545" w:rsidRDefault="001A5080" w:rsidP="001A5080">
            <w:pPr>
              <w:rPr>
                <w:rFonts w:ascii="Calibri" w:hAnsi="Calibri" w:cs="Calibri"/>
                <w:b/>
                <w:color w:val="000000"/>
                <w:szCs w:val="24"/>
              </w:rPr>
            </w:pPr>
          </w:p>
        </w:tc>
        <w:tc>
          <w:tcPr>
            <w:tcW w:w="7265" w:type="dxa"/>
            <w:tcBorders>
              <w:top w:val="nil"/>
              <w:left w:val="nil"/>
              <w:bottom w:val="single" w:sz="4" w:space="0" w:color="auto"/>
              <w:right w:val="single" w:sz="4" w:space="0" w:color="auto"/>
            </w:tcBorders>
            <w:shd w:val="clear" w:color="auto" w:fill="auto"/>
            <w:vAlign w:val="center"/>
            <w:hideMark/>
          </w:tcPr>
          <w:p w14:paraId="13B564C2"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Children’s work displayed in classroom</w:t>
            </w:r>
          </w:p>
        </w:tc>
        <w:tc>
          <w:tcPr>
            <w:tcW w:w="1980" w:type="dxa"/>
            <w:tcBorders>
              <w:top w:val="nil"/>
              <w:left w:val="nil"/>
              <w:bottom w:val="single" w:sz="4" w:space="0" w:color="auto"/>
              <w:right w:val="single" w:sz="4" w:space="0" w:color="auto"/>
            </w:tcBorders>
            <w:shd w:val="clear" w:color="auto" w:fill="auto"/>
            <w:vAlign w:val="center"/>
            <w:hideMark/>
          </w:tcPr>
          <w:p w14:paraId="13B564C3"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C7"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D8E4BC"/>
            <w:noWrap/>
            <w:vAlign w:val="bottom"/>
            <w:hideMark/>
          </w:tcPr>
          <w:p w14:paraId="13B564C5"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9245" w:type="dxa"/>
            <w:gridSpan w:val="2"/>
            <w:tcBorders>
              <w:top w:val="single" w:sz="4" w:space="0" w:color="auto"/>
              <w:left w:val="nil"/>
              <w:bottom w:val="single" w:sz="4" w:space="0" w:color="auto"/>
              <w:right w:val="single" w:sz="4" w:space="0" w:color="auto"/>
            </w:tcBorders>
            <w:shd w:val="clear" w:color="000000" w:fill="D8E4BC"/>
            <w:vAlign w:val="center"/>
            <w:hideMark/>
          </w:tcPr>
          <w:p w14:paraId="13B564C6"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Multi-Grade</w:t>
            </w:r>
          </w:p>
        </w:tc>
      </w:tr>
      <w:tr w:rsidR="001A5080" w:rsidRPr="000A7545" w14:paraId="13B564CB" w14:textId="77777777" w:rsidTr="001A5080">
        <w:trPr>
          <w:trHeight w:val="390"/>
        </w:trPr>
        <w:tc>
          <w:tcPr>
            <w:tcW w:w="940" w:type="dxa"/>
            <w:vMerge w:val="restart"/>
            <w:tcBorders>
              <w:top w:val="nil"/>
              <w:left w:val="single" w:sz="4" w:space="0" w:color="auto"/>
              <w:bottom w:val="single" w:sz="4" w:space="0" w:color="auto"/>
              <w:right w:val="single" w:sz="4" w:space="0" w:color="auto"/>
            </w:tcBorders>
            <w:shd w:val="clear" w:color="000000" w:fill="FCD5B4"/>
            <w:vAlign w:val="center"/>
            <w:hideMark/>
          </w:tcPr>
          <w:p w14:paraId="13B564C8" w14:textId="77777777" w:rsidR="001A5080" w:rsidRPr="000A7545" w:rsidRDefault="001A5080" w:rsidP="001A5080">
            <w:pPr>
              <w:jc w:val="center"/>
              <w:rPr>
                <w:rFonts w:ascii="Calibri" w:hAnsi="Calibri" w:cs="Calibri"/>
                <w:b/>
                <w:color w:val="000000"/>
                <w:szCs w:val="24"/>
              </w:rPr>
            </w:pPr>
            <w:r w:rsidRPr="000A7545">
              <w:rPr>
                <w:rFonts w:ascii="Calibri" w:hAnsi="Calibri" w:cs="Calibri"/>
                <w:b/>
                <w:color w:val="000000"/>
                <w:szCs w:val="24"/>
              </w:rPr>
              <w:t>1.2b</w:t>
            </w:r>
          </w:p>
        </w:tc>
        <w:tc>
          <w:tcPr>
            <w:tcW w:w="7265" w:type="dxa"/>
            <w:tcBorders>
              <w:top w:val="nil"/>
              <w:left w:val="nil"/>
              <w:bottom w:val="single" w:sz="4" w:space="0" w:color="auto"/>
              <w:right w:val="single" w:sz="4" w:space="0" w:color="auto"/>
            </w:tcBorders>
            <w:shd w:val="clear" w:color="auto" w:fill="auto"/>
            <w:vAlign w:val="center"/>
            <w:hideMark/>
          </w:tcPr>
          <w:p w14:paraId="13B564C9"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student needs mapping conducted by teachers</w:t>
            </w:r>
          </w:p>
        </w:tc>
        <w:tc>
          <w:tcPr>
            <w:tcW w:w="1980" w:type="dxa"/>
            <w:tcBorders>
              <w:top w:val="nil"/>
              <w:left w:val="nil"/>
              <w:bottom w:val="single" w:sz="4" w:space="0" w:color="auto"/>
              <w:right w:val="single" w:sz="4" w:space="0" w:color="auto"/>
            </w:tcBorders>
            <w:shd w:val="clear" w:color="auto" w:fill="auto"/>
            <w:vAlign w:val="center"/>
            <w:hideMark/>
          </w:tcPr>
          <w:p w14:paraId="13B564CA"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CF" w14:textId="77777777" w:rsidTr="001A5080">
        <w:trPr>
          <w:trHeight w:val="390"/>
        </w:trPr>
        <w:tc>
          <w:tcPr>
            <w:tcW w:w="940" w:type="dxa"/>
            <w:vMerge/>
            <w:tcBorders>
              <w:top w:val="nil"/>
              <w:left w:val="single" w:sz="4" w:space="0" w:color="auto"/>
              <w:bottom w:val="single" w:sz="4" w:space="0" w:color="auto"/>
              <w:right w:val="single" w:sz="4" w:space="0" w:color="auto"/>
            </w:tcBorders>
            <w:vAlign w:val="center"/>
            <w:hideMark/>
          </w:tcPr>
          <w:p w14:paraId="13B564CC" w14:textId="77777777" w:rsidR="001A5080" w:rsidRPr="000A7545" w:rsidRDefault="001A5080" w:rsidP="001A5080">
            <w:pPr>
              <w:rPr>
                <w:rFonts w:ascii="Calibri" w:hAnsi="Calibri" w:cs="Calibri"/>
                <w:b/>
                <w:color w:val="000000"/>
                <w:szCs w:val="24"/>
              </w:rPr>
            </w:pPr>
          </w:p>
        </w:tc>
        <w:tc>
          <w:tcPr>
            <w:tcW w:w="7265" w:type="dxa"/>
            <w:tcBorders>
              <w:top w:val="nil"/>
              <w:left w:val="nil"/>
              <w:bottom w:val="single" w:sz="4" w:space="0" w:color="auto"/>
              <w:right w:val="single" w:sz="4" w:space="0" w:color="auto"/>
            </w:tcBorders>
            <w:shd w:val="clear" w:color="auto" w:fill="auto"/>
            <w:vAlign w:val="center"/>
            <w:hideMark/>
          </w:tcPr>
          <w:p w14:paraId="13B564CD"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xml:space="preserve"> local learning aids used to support learning in classroom</w:t>
            </w:r>
          </w:p>
        </w:tc>
        <w:tc>
          <w:tcPr>
            <w:tcW w:w="1980" w:type="dxa"/>
            <w:tcBorders>
              <w:top w:val="nil"/>
              <w:left w:val="nil"/>
              <w:bottom w:val="single" w:sz="4" w:space="0" w:color="auto"/>
              <w:right w:val="single" w:sz="4" w:space="0" w:color="auto"/>
            </w:tcBorders>
            <w:shd w:val="clear" w:color="auto" w:fill="auto"/>
            <w:vAlign w:val="center"/>
            <w:hideMark/>
          </w:tcPr>
          <w:p w14:paraId="13B564CE"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D3" w14:textId="77777777" w:rsidTr="001A5080">
        <w:trPr>
          <w:trHeight w:val="390"/>
        </w:trPr>
        <w:tc>
          <w:tcPr>
            <w:tcW w:w="940" w:type="dxa"/>
            <w:vMerge/>
            <w:tcBorders>
              <w:top w:val="nil"/>
              <w:left w:val="single" w:sz="4" w:space="0" w:color="auto"/>
              <w:bottom w:val="single" w:sz="4" w:space="0" w:color="auto"/>
              <w:right w:val="single" w:sz="4" w:space="0" w:color="auto"/>
            </w:tcBorders>
            <w:vAlign w:val="center"/>
            <w:hideMark/>
          </w:tcPr>
          <w:p w14:paraId="13B564D0" w14:textId="77777777" w:rsidR="001A5080" w:rsidRPr="000A7545" w:rsidRDefault="001A5080" w:rsidP="001A5080">
            <w:pPr>
              <w:rPr>
                <w:rFonts w:ascii="Calibri" w:hAnsi="Calibri" w:cs="Calibri"/>
                <w:b/>
                <w:color w:val="000000"/>
                <w:szCs w:val="24"/>
              </w:rPr>
            </w:pPr>
          </w:p>
        </w:tc>
        <w:tc>
          <w:tcPr>
            <w:tcW w:w="7265" w:type="dxa"/>
            <w:tcBorders>
              <w:top w:val="nil"/>
              <w:left w:val="nil"/>
              <w:bottom w:val="single" w:sz="4" w:space="0" w:color="auto"/>
              <w:right w:val="single" w:sz="4" w:space="0" w:color="auto"/>
            </w:tcBorders>
            <w:shd w:val="clear" w:color="auto" w:fill="auto"/>
            <w:vAlign w:val="center"/>
            <w:hideMark/>
          </w:tcPr>
          <w:p w14:paraId="13B564D1"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Teacher is applying student lesson plan for multi-grades</w:t>
            </w:r>
          </w:p>
        </w:tc>
        <w:tc>
          <w:tcPr>
            <w:tcW w:w="1980" w:type="dxa"/>
            <w:tcBorders>
              <w:top w:val="nil"/>
              <w:left w:val="nil"/>
              <w:bottom w:val="single" w:sz="4" w:space="0" w:color="auto"/>
              <w:right w:val="single" w:sz="4" w:space="0" w:color="auto"/>
            </w:tcBorders>
            <w:shd w:val="clear" w:color="auto" w:fill="auto"/>
            <w:vAlign w:val="center"/>
            <w:hideMark/>
          </w:tcPr>
          <w:p w14:paraId="13B564D2"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D7"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4D4"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1.2.2c</w:t>
            </w:r>
          </w:p>
        </w:tc>
        <w:tc>
          <w:tcPr>
            <w:tcW w:w="7265" w:type="dxa"/>
            <w:tcBorders>
              <w:top w:val="nil"/>
              <w:left w:val="nil"/>
              <w:bottom w:val="single" w:sz="4" w:space="0" w:color="auto"/>
              <w:right w:val="single" w:sz="4" w:space="0" w:color="auto"/>
            </w:tcBorders>
            <w:shd w:val="clear" w:color="auto" w:fill="auto"/>
            <w:vAlign w:val="center"/>
            <w:hideMark/>
          </w:tcPr>
          <w:p w14:paraId="13B564D5"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Number of teachers trained (by gender) in multi</w:t>
            </w:r>
            <w:r w:rsidR="00156AF3" w:rsidRPr="000A7545">
              <w:rPr>
                <w:rFonts w:ascii="Calibri" w:hAnsi="Calibri" w:cs="Calibri"/>
                <w:color w:val="000000"/>
                <w:szCs w:val="24"/>
              </w:rPr>
              <w:t>-</w:t>
            </w:r>
            <w:r w:rsidRPr="000A7545">
              <w:rPr>
                <w:rFonts w:ascii="Calibri" w:hAnsi="Calibri" w:cs="Calibri"/>
                <w:color w:val="000000"/>
                <w:szCs w:val="24"/>
              </w:rPr>
              <w:t>grade teaching methods</w:t>
            </w:r>
          </w:p>
        </w:tc>
        <w:tc>
          <w:tcPr>
            <w:tcW w:w="1980" w:type="dxa"/>
            <w:tcBorders>
              <w:top w:val="nil"/>
              <w:left w:val="nil"/>
              <w:bottom w:val="single" w:sz="4" w:space="0" w:color="auto"/>
              <w:right w:val="single" w:sz="4" w:space="0" w:color="auto"/>
            </w:tcBorders>
            <w:shd w:val="clear" w:color="auto" w:fill="auto"/>
            <w:vAlign w:val="center"/>
            <w:hideMark/>
          </w:tcPr>
          <w:p w14:paraId="13B564D6"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L___ P____</w:t>
            </w:r>
          </w:p>
        </w:tc>
      </w:tr>
      <w:tr w:rsidR="001A5080" w:rsidRPr="000A7545" w14:paraId="13B564DB"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4D8"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1.2.2d.</w:t>
            </w:r>
          </w:p>
        </w:tc>
        <w:tc>
          <w:tcPr>
            <w:tcW w:w="7265" w:type="dxa"/>
            <w:tcBorders>
              <w:top w:val="nil"/>
              <w:left w:val="nil"/>
              <w:bottom w:val="single" w:sz="4" w:space="0" w:color="auto"/>
              <w:right w:val="single" w:sz="4" w:space="0" w:color="auto"/>
            </w:tcBorders>
            <w:shd w:val="clear" w:color="auto" w:fill="auto"/>
            <w:vAlign w:val="center"/>
            <w:hideMark/>
          </w:tcPr>
          <w:p w14:paraId="13B564D9"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Number of t</w:t>
            </w:r>
            <w:r w:rsidR="00E377B2">
              <w:rPr>
                <w:rFonts w:ascii="Calibri" w:hAnsi="Calibri" w:cs="Calibri"/>
                <w:color w:val="000000"/>
                <w:szCs w:val="24"/>
              </w:rPr>
              <w:t>eachers applying improved multi-</w:t>
            </w:r>
            <w:r w:rsidRPr="000A7545">
              <w:rPr>
                <w:rFonts w:ascii="Calibri" w:hAnsi="Calibri" w:cs="Calibri"/>
                <w:color w:val="000000"/>
                <w:szCs w:val="24"/>
              </w:rPr>
              <w:t>grade teaching in the classroom</w:t>
            </w:r>
          </w:p>
        </w:tc>
        <w:tc>
          <w:tcPr>
            <w:tcW w:w="1980" w:type="dxa"/>
            <w:tcBorders>
              <w:top w:val="nil"/>
              <w:left w:val="nil"/>
              <w:bottom w:val="single" w:sz="4" w:space="0" w:color="auto"/>
              <w:right w:val="single" w:sz="4" w:space="0" w:color="auto"/>
            </w:tcBorders>
            <w:shd w:val="clear" w:color="auto" w:fill="auto"/>
            <w:vAlign w:val="center"/>
            <w:hideMark/>
          </w:tcPr>
          <w:p w14:paraId="13B564DA"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L___ P____</w:t>
            </w:r>
          </w:p>
        </w:tc>
      </w:tr>
      <w:tr w:rsidR="001A5080" w:rsidRPr="000A7545" w14:paraId="13B564DF"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4DC"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1.2.4a.</w:t>
            </w:r>
          </w:p>
        </w:tc>
        <w:tc>
          <w:tcPr>
            <w:tcW w:w="7265" w:type="dxa"/>
            <w:tcBorders>
              <w:top w:val="nil"/>
              <w:left w:val="nil"/>
              <w:bottom w:val="single" w:sz="4" w:space="0" w:color="auto"/>
              <w:right w:val="single" w:sz="4" w:space="0" w:color="auto"/>
            </w:tcBorders>
            <w:shd w:val="clear" w:color="auto" w:fill="auto"/>
            <w:vAlign w:val="center"/>
            <w:hideMark/>
          </w:tcPr>
          <w:p w14:paraId="13B564DD"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School has access to multi</w:t>
            </w:r>
            <w:r w:rsidR="00156AF3" w:rsidRPr="000A7545">
              <w:rPr>
                <w:rFonts w:ascii="Calibri" w:hAnsi="Calibri" w:cs="Calibri"/>
                <w:color w:val="000000"/>
                <w:szCs w:val="24"/>
              </w:rPr>
              <w:t>-</w:t>
            </w:r>
            <w:r w:rsidRPr="000A7545">
              <w:rPr>
                <w:rFonts w:ascii="Calibri" w:hAnsi="Calibri" w:cs="Calibri"/>
                <w:color w:val="000000"/>
                <w:szCs w:val="24"/>
              </w:rPr>
              <w:t>grade resource kits</w:t>
            </w:r>
          </w:p>
        </w:tc>
        <w:tc>
          <w:tcPr>
            <w:tcW w:w="1980" w:type="dxa"/>
            <w:tcBorders>
              <w:top w:val="nil"/>
              <w:left w:val="nil"/>
              <w:bottom w:val="single" w:sz="4" w:space="0" w:color="auto"/>
              <w:right w:val="single" w:sz="4" w:space="0" w:color="auto"/>
            </w:tcBorders>
            <w:shd w:val="clear" w:color="auto" w:fill="auto"/>
            <w:vAlign w:val="center"/>
            <w:hideMark/>
          </w:tcPr>
          <w:p w14:paraId="13B564DE"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E2"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D8E4BC"/>
            <w:noWrap/>
            <w:vAlign w:val="bottom"/>
            <w:hideMark/>
          </w:tcPr>
          <w:p w14:paraId="13B564E0"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9245" w:type="dxa"/>
            <w:gridSpan w:val="2"/>
            <w:tcBorders>
              <w:top w:val="single" w:sz="4" w:space="0" w:color="auto"/>
              <w:left w:val="nil"/>
              <w:bottom w:val="single" w:sz="4" w:space="0" w:color="auto"/>
              <w:right w:val="single" w:sz="4" w:space="0" w:color="auto"/>
            </w:tcBorders>
            <w:shd w:val="clear" w:color="000000" w:fill="D8E4BC"/>
            <w:vAlign w:val="center"/>
            <w:hideMark/>
          </w:tcPr>
          <w:p w14:paraId="13B564E1" w14:textId="77777777" w:rsidR="001A5080" w:rsidRPr="000A7545" w:rsidRDefault="00E377B2" w:rsidP="001A5080">
            <w:pPr>
              <w:rPr>
                <w:rFonts w:ascii="Calibri" w:hAnsi="Calibri" w:cs="Calibri"/>
                <w:b/>
                <w:color w:val="000000"/>
                <w:szCs w:val="24"/>
              </w:rPr>
            </w:pPr>
            <w:r>
              <w:rPr>
                <w:rFonts w:ascii="Calibri" w:hAnsi="Calibri" w:cs="Calibri"/>
                <w:b/>
                <w:color w:val="000000"/>
                <w:szCs w:val="24"/>
              </w:rPr>
              <w:t>Early-grade</w:t>
            </w:r>
          </w:p>
        </w:tc>
      </w:tr>
      <w:tr w:rsidR="001A5080" w:rsidRPr="000A7545" w14:paraId="13B564E6" w14:textId="77777777" w:rsidTr="001A5080">
        <w:trPr>
          <w:trHeight w:val="390"/>
        </w:trPr>
        <w:tc>
          <w:tcPr>
            <w:tcW w:w="940" w:type="dxa"/>
            <w:vMerge w:val="restart"/>
            <w:tcBorders>
              <w:top w:val="nil"/>
              <w:left w:val="single" w:sz="4" w:space="0" w:color="auto"/>
              <w:bottom w:val="single" w:sz="4" w:space="0" w:color="auto"/>
              <w:right w:val="single" w:sz="4" w:space="0" w:color="auto"/>
            </w:tcBorders>
            <w:shd w:val="clear" w:color="000000" w:fill="FCD5B4"/>
            <w:vAlign w:val="center"/>
            <w:hideMark/>
          </w:tcPr>
          <w:p w14:paraId="13B564E3" w14:textId="77777777" w:rsidR="001A5080" w:rsidRPr="000A7545" w:rsidRDefault="001A5080" w:rsidP="001A5080">
            <w:pPr>
              <w:jc w:val="center"/>
              <w:rPr>
                <w:rFonts w:ascii="Calibri" w:hAnsi="Calibri" w:cs="Calibri"/>
                <w:b/>
                <w:color w:val="000000"/>
                <w:szCs w:val="24"/>
              </w:rPr>
            </w:pPr>
            <w:r w:rsidRPr="000A7545">
              <w:rPr>
                <w:rFonts w:ascii="Calibri" w:hAnsi="Calibri" w:cs="Calibri"/>
                <w:b/>
                <w:color w:val="000000"/>
                <w:szCs w:val="24"/>
              </w:rPr>
              <w:t>2.1c</w:t>
            </w:r>
          </w:p>
        </w:tc>
        <w:tc>
          <w:tcPr>
            <w:tcW w:w="7265" w:type="dxa"/>
            <w:tcBorders>
              <w:top w:val="nil"/>
              <w:left w:val="nil"/>
              <w:bottom w:val="single" w:sz="4" w:space="0" w:color="auto"/>
              <w:right w:val="single" w:sz="4" w:space="0" w:color="auto"/>
            </w:tcBorders>
            <w:shd w:val="clear" w:color="auto" w:fill="auto"/>
            <w:vAlign w:val="center"/>
            <w:hideMark/>
          </w:tcPr>
          <w:p w14:paraId="13B564E4"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xml:space="preserve">Teacher uses mother tongue to support teacher for </w:t>
            </w:r>
            <w:r w:rsidR="00E377B2">
              <w:rPr>
                <w:rFonts w:ascii="Calibri" w:hAnsi="Calibri" w:cs="Calibri"/>
                <w:color w:val="000000"/>
                <w:szCs w:val="24"/>
              </w:rPr>
              <w:t>early-grade</w:t>
            </w:r>
            <w:r w:rsidRPr="000A7545">
              <w:rPr>
                <w:rFonts w:ascii="Calibri" w:hAnsi="Calibri" w:cs="Calibri"/>
                <w:color w:val="000000"/>
                <w:szCs w:val="24"/>
              </w:rPr>
              <w:t>s</w:t>
            </w:r>
          </w:p>
        </w:tc>
        <w:tc>
          <w:tcPr>
            <w:tcW w:w="1980" w:type="dxa"/>
            <w:tcBorders>
              <w:top w:val="nil"/>
              <w:left w:val="nil"/>
              <w:bottom w:val="single" w:sz="4" w:space="0" w:color="auto"/>
              <w:right w:val="single" w:sz="4" w:space="0" w:color="auto"/>
            </w:tcBorders>
            <w:shd w:val="clear" w:color="auto" w:fill="auto"/>
            <w:vAlign w:val="center"/>
            <w:hideMark/>
          </w:tcPr>
          <w:p w14:paraId="13B564E5"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EA" w14:textId="77777777" w:rsidTr="001A5080">
        <w:trPr>
          <w:trHeight w:val="390"/>
        </w:trPr>
        <w:tc>
          <w:tcPr>
            <w:tcW w:w="940" w:type="dxa"/>
            <w:vMerge/>
            <w:tcBorders>
              <w:top w:val="nil"/>
              <w:left w:val="single" w:sz="4" w:space="0" w:color="auto"/>
              <w:bottom w:val="single" w:sz="4" w:space="0" w:color="auto"/>
              <w:right w:val="single" w:sz="4" w:space="0" w:color="auto"/>
            </w:tcBorders>
            <w:vAlign w:val="center"/>
            <w:hideMark/>
          </w:tcPr>
          <w:p w14:paraId="13B564E7" w14:textId="77777777" w:rsidR="001A5080" w:rsidRPr="000A7545" w:rsidRDefault="001A5080" w:rsidP="001A5080">
            <w:pPr>
              <w:rPr>
                <w:rFonts w:ascii="Calibri" w:hAnsi="Calibri" w:cs="Calibri"/>
                <w:b/>
                <w:color w:val="000000"/>
                <w:szCs w:val="24"/>
              </w:rPr>
            </w:pPr>
          </w:p>
        </w:tc>
        <w:tc>
          <w:tcPr>
            <w:tcW w:w="7265" w:type="dxa"/>
            <w:tcBorders>
              <w:top w:val="nil"/>
              <w:left w:val="nil"/>
              <w:bottom w:val="single" w:sz="4" w:space="0" w:color="auto"/>
              <w:right w:val="single" w:sz="4" w:space="0" w:color="auto"/>
            </w:tcBorders>
            <w:shd w:val="clear" w:color="auto" w:fill="auto"/>
            <w:vAlign w:val="center"/>
            <w:hideMark/>
          </w:tcPr>
          <w:p w14:paraId="13B564E8"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xml:space="preserve">Teacher used thematic based lesson plans for </w:t>
            </w:r>
            <w:r w:rsidR="00E377B2">
              <w:rPr>
                <w:rFonts w:ascii="Calibri" w:hAnsi="Calibri" w:cs="Calibri"/>
                <w:color w:val="000000"/>
                <w:szCs w:val="24"/>
              </w:rPr>
              <w:t>early-grade</w:t>
            </w:r>
            <w:r w:rsidRPr="000A7545">
              <w:rPr>
                <w:rFonts w:ascii="Calibri" w:hAnsi="Calibri" w:cs="Calibri"/>
                <w:color w:val="000000"/>
                <w:szCs w:val="24"/>
              </w:rPr>
              <w:t>s</w:t>
            </w:r>
          </w:p>
        </w:tc>
        <w:tc>
          <w:tcPr>
            <w:tcW w:w="1980" w:type="dxa"/>
            <w:tcBorders>
              <w:top w:val="nil"/>
              <w:left w:val="nil"/>
              <w:bottom w:val="single" w:sz="4" w:space="0" w:color="auto"/>
              <w:right w:val="single" w:sz="4" w:space="0" w:color="auto"/>
            </w:tcBorders>
            <w:shd w:val="clear" w:color="auto" w:fill="auto"/>
            <w:vAlign w:val="center"/>
            <w:hideMark/>
          </w:tcPr>
          <w:p w14:paraId="13B564E9"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EE" w14:textId="77777777" w:rsidTr="001A5080">
        <w:trPr>
          <w:trHeight w:val="390"/>
        </w:trPr>
        <w:tc>
          <w:tcPr>
            <w:tcW w:w="940" w:type="dxa"/>
            <w:vMerge/>
            <w:tcBorders>
              <w:top w:val="nil"/>
              <w:left w:val="single" w:sz="4" w:space="0" w:color="auto"/>
              <w:bottom w:val="single" w:sz="4" w:space="0" w:color="auto"/>
              <w:right w:val="single" w:sz="4" w:space="0" w:color="auto"/>
            </w:tcBorders>
            <w:vAlign w:val="center"/>
            <w:hideMark/>
          </w:tcPr>
          <w:p w14:paraId="13B564EB" w14:textId="77777777" w:rsidR="001A5080" w:rsidRPr="000A7545" w:rsidRDefault="001A5080" w:rsidP="001A5080">
            <w:pPr>
              <w:rPr>
                <w:rFonts w:ascii="Calibri" w:hAnsi="Calibri" w:cs="Calibri"/>
                <w:b/>
                <w:color w:val="000000"/>
                <w:szCs w:val="24"/>
              </w:rPr>
            </w:pPr>
          </w:p>
        </w:tc>
        <w:tc>
          <w:tcPr>
            <w:tcW w:w="7265" w:type="dxa"/>
            <w:tcBorders>
              <w:top w:val="nil"/>
              <w:left w:val="nil"/>
              <w:bottom w:val="single" w:sz="4" w:space="0" w:color="auto"/>
              <w:right w:val="single" w:sz="4" w:space="0" w:color="auto"/>
            </w:tcBorders>
            <w:shd w:val="clear" w:color="auto" w:fill="auto"/>
            <w:vAlign w:val="center"/>
            <w:hideMark/>
          </w:tcPr>
          <w:p w14:paraId="13B564EC"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Children use literacy and numeracy packs</w:t>
            </w:r>
          </w:p>
        </w:tc>
        <w:tc>
          <w:tcPr>
            <w:tcW w:w="1980" w:type="dxa"/>
            <w:tcBorders>
              <w:top w:val="nil"/>
              <w:left w:val="nil"/>
              <w:bottom w:val="single" w:sz="4" w:space="0" w:color="auto"/>
              <w:right w:val="single" w:sz="4" w:space="0" w:color="auto"/>
            </w:tcBorders>
            <w:shd w:val="clear" w:color="auto" w:fill="auto"/>
            <w:vAlign w:val="center"/>
            <w:hideMark/>
          </w:tcPr>
          <w:p w14:paraId="13B564ED"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F2"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4EF"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1.2.4b.</w:t>
            </w:r>
          </w:p>
        </w:tc>
        <w:tc>
          <w:tcPr>
            <w:tcW w:w="7265" w:type="dxa"/>
            <w:tcBorders>
              <w:top w:val="nil"/>
              <w:left w:val="nil"/>
              <w:bottom w:val="single" w:sz="4" w:space="0" w:color="auto"/>
              <w:right w:val="single" w:sz="4" w:space="0" w:color="auto"/>
            </w:tcBorders>
            <w:shd w:val="clear" w:color="auto" w:fill="auto"/>
            <w:vAlign w:val="center"/>
            <w:hideMark/>
          </w:tcPr>
          <w:p w14:paraId="13B564F0"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xml:space="preserve">School has access to  </w:t>
            </w:r>
            <w:r w:rsidR="00E377B2">
              <w:rPr>
                <w:rFonts w:ascii="Calibri" w:hAnsi="Calibri" w:cs="Calibri"/>
                <w:color w:val="000000"/>
                <w:szCs w:val="24"/>
              </w:rPr>
              <w:t>early-grade</w:t>
            </w:r>
            <w:r w:rsidRPr="000A7545">
              <w:rPr>
                <w:rFonts w:ascii="Calibri" w:hAnsi="Calibri" w:cs="Calibri"/>
                <w:color w:val="000000"/>
                <w:szCs w:val="24"/>
              </w:rPr>
              <w:t xml:space="preserve"> teacher resource kits</w:t>
            </w:r>
          </w:p>
        </w:tc>
        <w:tc>
          <w:tcPr>
            <w:tcW w:w="1980" w:type="dxa"/>
            <w:tcBorders>
              <w:top w:val="nil"/>
              <w:left w:val="nil"/>
              <w:bottom w:val="single" w:sz="4" w:space="0" w:color="auto"/>
              <w:right w:val="single" w:sz="4" w:space="0" w:color="auto"/>
            </w:tcBorders>
            <w:shd w:val="clear" w:color="auto" w:fill="auto"/>
            <w:vAlign w:val="center"/>
            <w:hideMark/>
          </w:tcPr>
          <w:p w14:paraId="13B564F1"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F6"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4F3"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1.2.4c</w:t>
            </w:r>
          </w:p>
        </w:tc>
        <w:tc>
          <w:tcPr>
            <w:tcW w:w="7265" w:type="dxa"/>
            <w:tcBorders>
              <w:top w:val="nil"/>
              <w:left w:val="nil"/>
              <w:bottom w:val="single" w:sz="4" w:space="0" w:color="auto"/>
              <w:right w:val="single" w:sz="4" w:space="0" w:color="auto"/>
            </w:tcBorders>
            <w:shd w:val="clear" w:color="auto" w:fill="auto"/>
            <w:vAlign w:val="center"/>
            <w:hideMark/>
          </w:tcPr>
          <w:p w14:paraId="13B564F4"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School has literacy, numeracy and children’s book kits</w:t>
            </w:r>
          </w:p>
        </w:tc>
        <w:tc>
          <w:tcPr>
            <w:tcW w:w="1980" w:type="dxa"/>
            <w:tcBorders>
              <w:top w:val="nil"/>
              <w:left w:val="nil"/>
              <w:bottom w:val="single" w:sz="4" w:space="0" w:color="auto"/>
              <w:right w:val="single" w:sz="4" w:space="0" w:color="auto"/>
            </w:tcBorders>
            <w:shd w:val="clear" w:color="auto" w:fill="auto"/>
            <w:vAlign w:val="center"/>
            <w:hideMark/>
          </w:tcPr>
          <w:p w14:paraId="13B564F5"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4FA"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4F7"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1.2.3a.</w:t>
            </w:r>
          </w:p>
        </w:tc>
        <w:tc>
          <w:tcPr>
            <w:tcW w:w="7265" w:type="dxa"/>
            <w:tcBorders>
              <w:top w:val="nil"/>
              <w:left w:val="nil"/>
              <w:bottom w:val="single" w:sz="4" w:space="0" w:color="auto"/>
              <w:right w:val="single" w:sz="4" w:space="0" w:color="auto"/>
            </w:tcBorders>
            <w:shd w:val="clear" w:color="auto" w:fill="auto"/>
            <w:vAlign w:val="center"/>
            <w:hideMark/>
          </w:tcPr>
          <w:p w14:paraId="13B564F8"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xml:space="preserve">Number of teachers trained in </w:t>
            </w:r>
            <w:r w:rsidR="00E377B2">
              <w:rPr>
                <w:rFonts w:ascii="Calibri" w:hAnsi="Calibri" w:cs="Calibri"/>
                <w:color w:val="000000"/>
                <w:szCs w:val="24"/>
              </w:rPr>
              <w:t>early-grade</w:t>
            </w:r>
            <w:r w:rsidRPr="000A7545">
              <w:rPr>
                <w:rFonts w:ascii="Calibri" w:hAnsi="Calibri" w:cs="Calibri"/>
                <w:color w:val="000000"/>
                <w:szCs w:val="24"/>
              </w:rPr>
              <w:t xml:space="preserve"> teaching</w:t>
            </w:r>
          </w:p>
        </w:tc>
        <w:tc>
          <w:tcPr>
            <w:tcW w:w="1980" w:type="dxa"/>
            <w:tcBorders>
              <w:top w:val="nil"/>
              <w:left w:val="nil"/>
              <w:bottom w:val="single" w:sz="4" w:space="0" w:color="auto"/>
              <w:right w:val="single" w:sz="4" w:space="0" w:color="auto"/>
            </w:tcBorders>
            <w:shd w:val="clear" w:color="auto" w:fill="auto"/>
            <w:vAlign w:val="center"/>
            <w:hideMark/>
          </w:tcPr>
          <w:p w14:paraId="13B564F9"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L___ P____</w:t>
            </w:r>
          </w:p>
        </w:tc>
      </w:tr>
      <w:tr w:rsidR="001A5080" w:rsidRPr="000A7545" w14:paraId="13B564FE"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4FB"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1.2.3b.</w:t>
            </w:r>
          </w:p>
        </w:tc>
        <w:tc>
          <w:tcPr>
            <w:tcW w:w="7265" w:type="dxa"/>
            <w:tcBorders>
              <w:top w:val="nil"/>
              <w:left w:val="nil"/>
              <w:bottom w:val="single" w:sz="4" w:space="0" w:color="auto"/>
              <w:right w:val="single" w:sz="4" w:space="0" w:color="auto"/>
            </w:tcBorders>
            <w:shd w:val="clear" w:color="auto" w:fill="auto"/>
            <w:vAlign w:val="center"/>
            <w:hideMark/>
          </w:tcPr>
          <w:p w14:paraId="13B564FC"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xml:space="preserve">Number of </w:t>
            </w:r>
            <w:r w:rsidR="00156AF3" w:rsidRPr="000A7545">
              <w:rPr>
                <w:rFonts w:ascii="Calibri" w:hAnsi="Calibri" w:cs="Calibri"/>
                <w:color w:val="000000"/>
                <w:szCs w:val="24"/>
              </w:rPr>
              <w:t>t</w:t>
            </w:r>
            <w:r w:rsidRPr="000A7545">
              <w:rPr>
                <w:rFonts w:ascii="Calibri" w:hAnsi="Calibri" w:cs="Calibri"/>
                <w:color w:val="000000"/>
                <w:szCs w:val="24"/>
              </w:rPr>
              <w:t xml:space="preserve">eachers applying improved </w:t>
            </w:r>
            <w:r w:rsidR="00E377B2">
              <w:rPr>
                <w:rFonts w:ascii="Calibri" w:hAnsi="Calibri" w:cs="Calibri"/>
                <w:color w:val="000000"/>
                <w:szCs w:val="24"/>
              </w:rPr>
              <w:t>early-grade</w:t>
            </w:r>
            <w:r w:rsidRPr="000A7545">
              <w:rPr>
                <w:rFonts w:ascii="Calibri" w:hAnsi="Calibri" w:cs="Calibri"/>
                <w:color w:val="000000"/>
                <w:szCs w:val="24"/>
              </w:rPr>
              <w:t xml:space="preserve"> teaching in the classroom</w:t>
            </w:r>
          </w:p>
        </w:tc>
        <w:tc>
          <w:tcPr>
            <w:tcW w:w="1980" w:type="dxa"/>
            <w:tcBorders>
              <w:top w:val="nil"/>
              <w:left w:val="nil"/>
              <w:bottom w:val="single" w:sz="4" w:space="0" w:color="auto"/>
              <w:right w:val="single" w:sz="4" w:space="0" w:color="auto"/>
            </w:tcBorders>
            <w:shd w:val="clear" w:color="auto" w:fill="auto"/>
            <w:vAlign w:val="center"/>
            <w:hideMark/>
          </w:tcPr>
          <w:p w14:paraId="13B564FD"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L___ P____</w:t>
            </w:r>
          </w:p>
        </w:tc>
      </w:tr>
      <w:tr w:rsidR="001A5080" w:rsidRPr="000A7545" w14:paraId="13B56501"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D8E4BC"/>
            <w:noWrap/>
            <w:vAlign w:val="bottom"/>
            <w:hideMark/>
          </w:tcPr>
          <w:p w14:paraId="13B564FF"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9245" w:type="dxa"/>
            <w:gridSpan w:val="2"/>
            <w:tcBorders>
              <w:top w:val="single" w:sz="4" w:space="0" w:color="auto"/>
              <w:left w:val="nil"/>
              <w:bottom w:val="single" w:sz="4" w:space="0" w:color="auto"/>
              <w:right w:val="single" w:sz="4" w:space="0" w:color="auto"/>
            </w:tcBorders>
            <w:shd w:val="clear" w:color="000000" w:fill="D8E4BC"/>
            <w:vAlign w:val="center"/>
            <w:hideMark/>
          </w:tcPr>
          <w:p w14:paraId="13B56500"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Leadership</w:t>
            </w:r>
          </w:p>
        </w:tc>
      </w:tr>
      <w:tr w:rsidR="001A5080" w:rsidRPr="000A7545" w14:paraId="13B56505"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502"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1.3.1a</w:t>
            </w:r>
          </w:p>
        </w:tc>
        <w:tc>
          <w:tcPr>
            <w:tcW w:w="7265" w:type="dxa"/>
            <w:tcBorders>
              <w:top w:val="nil"/>
              <w:left w:val="nil"/>
              <w:bottom w:val="single" w:sz="4" w:space="0" w:color="auto"/>
              <w:right w:val="single" w:sz="4" w:space="0" w:color="auto"/>
            </w:tcBorders>
            <w:shd w:val="clear" w:color="auto" w:fill="auto"/>
            <w:vAlign w:val="center"/>
            <w:hideMark/>
          </w:tcPr>
          <w:p w14:paraId="13B56503"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Principal trained in leadership (by gender)</w:t>
            </w:r>
          </w:p>
        </w:tc>
        <w:tc>
          <w:tcPr>
            <w:tcW w:w="1980" w:type="dxa"/>
            <w:tcBorders>
              <w:top w:val="nil"/>
              <w:left w:val="nil"/>
              <w:bottom w:val="single" w:sz="4" w:space="0" w:color="auto"/>
              <w:right w:val="single" w:sz="4" w:space="0" w:color="auto"/>
            </w:tcBorders>
            <w:shd w:val="clear" w:color="auto" w:fill="auto"/>
            <w:vAlign w:val="center"/>
            <w:hideMark/>
          </w:tcPr>
          <w:p w14:paraId="13B56504"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xml:space="preserve">Principal: L___ P____  </w:t>
            </w:r>
          </w:p>
        </w:tc>
      </w:tr>
      <w:tr w:rsidR="001A5080" w:rsidRPr="000A7545" w14:paraId="13B56509"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506"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1.3.e</w:t>
            </w:r>
          </w:p>
        </w:tc>
        <w:tc>
          <w:tcPr>
            <w:tcW w:w="7265" w:type="dxa"/>
            <w:tcBorders>
              <w:top w:val="nil"/>
              <w:left w:val="nil"/>
              <w:bottom w:val="single" w:sz="4" w:space="0" w:color="auto"/>
              <w:right w:val="single" w:sz="4" w:space="0" w:color="auto"/>
            </w:tcBorders>
            <w:shd w:val="clear" w:color="auto" w:fill="auto"/>
            <w:vAlign w:val="center"/>
            <w:hideMark/>
          </w:tcPr>
          <w:p w14:paraId="13B56507"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Principal holds meetings with supervisors and teachers</w:t>
            </w:r>
          </w:p>
        </w:tc>
        <w:tc>
          <w:tcPr>
            <w:tcW w:w="1980" w:type="dxa"/>
            <w:tcBorders>
              <w:top w:val="nil"/>
              <w:left w:val="nil"/>
              <w:bottom w:val="single" w:sz="4" w:space="0" w:color="auto"/>
              <w:right w:val="single" w:sz="4" w:space="0" w:color="auto"/>
            </w:tcBorders>
            <w:shd w:val="clear" w:color="auto" w:fill="auto"/>
            <w:vAlign w:val="center"/>
            <w:hideMark/>
          </w:tcPr>
          <w:p w14:paraId="13B56508"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50D"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50A"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1.3.f</w:t>
            </w:r>
          </w:p>
        </w:tc>
        <w:tc>
          <w:tcPr>
            <w:tcW w:w="7265" w:type="dxa"/>
            <w:tcBorders>
              <w:top w:val="nil"/>
              <w:left w:val="nil"/>
              <w:bottom w:val="single" w:sz="4" w:space="0" w:color="auto"/>
              <w:right w:val="single" w:sz="4" w:space="0" w:color="auto"/>
            </w:tcBorders>
            <w:shd w:val="clear" w:color="auto" w:fill="auto"/>
            <w:vAlign w:val="center"/>
            <w:hideMark/>
          </w:tcPr>
          <w:p w14:paraId="13B5650B"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of school committees that provide management advice to schools</w:t>
            </w:r>
          </w:p>
        </w:tc>
        <w:tc>
          <w:tcPr>
            <w:tcW w:w="1980" w:type="dxa"/>
            <w:tcBorders>
              <w:top w:val="nil"/>
              <w:left w:val="nil"/>
              <w:bottom w:val="single" w:sz="4" w:space="0" w:color="auto"/>
              <w:right w:val="single" w:sz="4" w:space="0" w:color="auto"/>
            </w:tcBorders>
            <w:shd w:val="clear" w:color="auto" w:fill="auto"/>
            <w:vAlign w:val="center"/>
            <w:hideMark/>
          </w:tcPr>
          <w:p w14:paraId="13B5650C"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511" w14:textId="77777777" w:rsidTr="001A5080">
        <w:trPr>
          <w:trHeight w:val="615"/>
        </w:trPr>
        <w:tc>
          <w:tcPr>
            <w:tcW w:w="940" w:type="dxa"/>
            <w:vMerge w:val="restart"/>
            <w:tcBorders>
              <w:top w:val="nil"/>
              <w:left w:val="single" w:sz="4" w:space="0" w:color="auto"/>
              <w:bottom w:val="single" w:sz="4" w:space="0" w:color="auto"/>
              <w:right w:val="single" w:sz="4" w:space="0" w:color="auto"/>
            </w:tcBorders>
            <w:shd w:val="clear" w:color="000000" w:fill="FCD5B4"/>
            <w:vAlign w:val="center"/>
            <w:hideMark/>
          </w:tcPr>
          <w:p w14:paraId="13B5650E"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1.3.2a</w:t>
            </w:r>
          </w:p>
        </w:tc>
        <w:tc>
          <w:tcPr>
            <w:tcW w:w="7265" w:type="dxa"/>
            <w:tcBorders>
              <w:top w:val="nil"/>
              <w:left w:val="nil"/>
              <w:bottom w:val="single" w:sz="4" w:space="0" w:color="auto"/>
              <w:right w:val="single" w:sz="4" w:space="0" w:color="auto"/>
            </w:tcBorders>
            <w:shd w:val="clear" w:color="auto" w:fill="auto"/>
            <w:vAlign w:val="center"/>
            <w:hideMark/>
          </w:tcPr>
          <w:p w14:paraId="13B5650F"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xml:space="preserve">School committee members (by gender) in target districts trained  in school management </w:t>
            </w:r>
          </w:p>
        </w:tc>
        <w:tc>
          <w:tcPr>
            <w:tcW w:w="1980" w:type="dxa"/>
            <w:tcBorders>
              <w:top w:val="nil"/>
              <w:left w:val="nil"/>
              <w:bottom w:val="single" w:sz="4" w:space="0" w:color="auto"/>
              <w:right w:val="single" w:sz="4" w:space="0" w:color="auto"/>
            </w:tcBorders>
            <w:shd w:val="clear" w:color="auto" w:fill="auto"/>
            <w:vAlign w:val="center"/>
            <w:hideMark/>
          </w:tcPr>
          <w:p w14:paraId="13B56510"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L___ P____</w:t>
            </w:r>
          </w:p>
        </w:tc>
      </w:tr>
      <w:tr w:rsidR="001A5080" w:rsidRPr="000A7545" w14:paraId="13B56515" w14:textId="77777777" w:rsidTr="001A5080">
        <w:trPr>
          <w:trHeight w:val="390"/>
        </w:trPr>
        <w:tc>
          <w:tcPr>
            <w:tcW w:w="940" w:type="dxa"/>
            <w:vMerge/>
            <w:tcBorders>
              <w:top w:val="nil"/>
              <w:left w:val="single" w:sz="4" w:space="0" w:color="auto"/>
              <w:bottom w:val="single" w:sz="4" w:space="0" w:color="auto"/>
              <w:right w:val="single" w:sz="4" w:space="0" w:color="auto"/>
            </w:tcBorders>
            <w:vAlign w:val="center"/>
            <w:hideMark/>
          </w:tcPr>
          <w:p w14:paraId="13B56512" w14:textId="77777777" w:rsidR="001A5080" w:rsidRPr="000A7545" w:rsidRDefault="001A5080" w:rsidP="001A5080">
            <w:pPr>
              <w:rPr>
                <w:rFonts w:ascii="Calibri" w:hAnsi="Calibri" w:cs="Calibri"/>
                <w:b/>
                <w:color w:val="000000"/>
                <w:szCs w:val="24"/>
              </w:rPr>
            </w:pPr>
          </w:p>
        </w:tc>
        <w:tc>
          <w:tcPr>
            <w:tcW w:w="7265" w:type="dxa"/>
            <w:tcBorders>
              <w:top w:val="nil"/>
              <w:left w:val="nil"/>
              <w:bottom w:val="single" w:sz="4" w:space="0" w:color="auto"/>
              <w:right w:val="single" w:sz="4" w:space="0" w:color="auto"/>
            </w:tcBorders>
            <w:shd w:val="clear" w:color="auto" w:fill="auto"/>
            <w:vAlign w:val="center"/>
            <w:hideMark/>
          </w:tcPr>
          <w:p w14:paraId="13B56513"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In model schools</w:t>
            </w:r>
          </w:p>
        </w:tc>
        <w:tc>
          <w:tcPr>
            <w:tcW w:w="1980" w:type="dxa"/>
            <w:tcBorders>
              <w:top w:val="nil"/>
              <w:left w:val="nil"/>
              <w:bottom w:val="single" w:sz="4" w:space="0" w:color="auto"/>
              <w:right w:val="single" w:sz="4" w:space="0" w:color="auto"/>
            </w:tcBorders>
            <w:shd w:val="clear" w:color="auto" w:fill="auto"/>
            <w:vAlign w:val="center"/>
            <w:hideMark/>
          </w:tcPr>
          <w:p w14:paraId="13B56514"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L___ P____</w:t>
            </w:r>
          </w:p>
        </w:tc>
      </w:tr>
      <w:tr w:rsidR="001A5080" w:rsidRPr="000A7545" w14:paraId="13B56519" w14:textId="77777777" w:rsidTr="001A5080">
        <w:trPr>
          <w:trHeight w:val="390"/>
        </w:trPr>
        <w:tc>
          <w:tcPr>
            <w:tcW w:w="940" w:type="dxa"/>
            <w:vMerge/>
            <w:tcBorders>
              <w:top w:val="nil"/>
              <w:left w:val="single" w:sz="4" w:space="0" w:color="auto"/>
              <w:bottom w:val="single" w:sz="4" w:space="0" w:color="auto"/>
              <w:right w:val="single" w:sz="4" w:space="0" w:color="auto"/>
            </w:tcBorders>
            <w:vAlign w:val="center"/>
            <w:hideMark/>
          </w:tcPr>
          <w:p w14:paraId="13B56516" w14:textId="77777777" w:rsidR="001A5080" w:rsidRPr="000A7545" w:rsidRDefault="001A5080" w:rsidP="001A5080">
            <w:pPr>
              <w:rPr>
                <w:rFonts w:ascii="Calibri" w:hAnsi="Calibri" w:cs="Calibri"/>
                <w:b/>
                <w:color w:val="000000"/>
                <w:szCs w:val="24"/>
              </w:rPr>
            </w:pPr>
          </w:p>
        </w:tc>
        <w:tc>
          <w:tcPr>
            <w:tcW w:w="7265" w:type="dxa"/>
            <w:tcBorders>
              <w:top w:val="nil"/>
              <w:left w:val="nil"/>
              <w:bottom w:val="single" w:sz="4" w:space="0" w:color="auto"/>
              <w:right w:val="single" w:sz="4" w:space="0" w:color="auto"/>
            </w:tcBorders>
            <w:shd w:val="clear" w:color="auto" w:fill="auto"/>
            <w:vAlign w:val="center"/>
            <w:hideMark/>
          </w:tcPr>
          <w:p w14:paraId="13B56517"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In non-model schools</w:t>
            </w:r>
          </w:p>
        </w:tc>
        <w:tc>
          <w:tcPr>
            <w:tcW w:w="1980" w:type="dxa"/>
            <w:tcBorders>
              <w:top w:val="nil"/>
              <w:left w:val="nil"/>
              <w:bottom w:val="single" w:sz="4" w:space="0" w:color="auto"/>
              <w:right w:val="single" w:sz="4" w:space="0" w:color="auto"/>
            </w:tcBorders>
            <w:shd w:val="clear" w:color="auto" w:fill="auto"/>
            <w:vAlign w:val="center"/>
            <w:hideMark/>
          </w:tcPr>
          <w:p w14:paraId="13B56518"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L___ P____</w:t>
            </w:r>
          </w:p>
        </w:tc>
      </w:tr>
      <w:tr w:rsidR="001A5080" w:rsidRPr="000A7545" w14:paraId="13B5651D"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51A"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1.1.3b</w:t>
            </w:r>
          </w:p>
        </w:tc>
        <w:tc>
          <w:tcPr>
            <w:tcW w:w="7265" w:type="dxa"/>
            <w:tcBorders>
              <w:top w:val="nil"/>
              <w:left w:val="nil"/>
              <w:bottom w:val="single" w:sz="4" w:space="0" w:color="auto"/>
              <w:right w:val="single" w:sz="4" w:space="0" w:color="auto"/>
            </w:tcBorders>
            <w:shd w:val="clear" w:color="auto" w:fill="auto"/>
            <w:vAlign w:val="center"/>
            <w:hideMark/>
          </w:tcPr>
          <w:p w14:paraId="13B5651B"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 of schools in which committees have access to financial information</w:t>
            </w:r>
          </w:p>
        </w:tc>
        <w:tc>
          <w:tcPr>
            <w:tcW w:w="1980" w:type="dxa"/>
            <w:tcBorders>
              <w:top w:val="nil"/>
              <w:left w:val="nil"/>
              <w:bottom w:val="single" w:sz="4" w:space="0" w:color="auto"/>
              <w:right w:val="single" w:sz="4" w:space="0" w:color="auto"/>
            </w:tcBorders>
            <w:shd w:val="clear" w:color="auto" w:fill="auto"/>
            <w:vAlign w:val="center"/>
            <w:hideMark/>
          </w:tcPr>
          <w:p w14:paraId="13B5651C"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521"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51E"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7265" w:type="dxa"/>
            <w:tcBorders>
              <w:top w:val="nil"/>
              <w:left w:val="nil"/>
              <w:bottom w:val="single" w:sz="4" w:space="0" w:color="auto"/>
              <w:right w:val="single" w:sz="4" w:space="0" w:color="auto"/>
            </w:tcBorders>
            <w:shd w:val="clear" w:color="auto" w:fill="auto"/>
            <w:vAlign w:val="center"/>
            <w:hideMark/>
          </w:tcPr>
          <w:p w14:paraId="13B5651F"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School has allocated BOS funding for teacher training</w:t>
            </w:r>
          </w:p>
        </w:tc>
        <w:tc>
          <w:tcPr>
            <w:tcW w:w="1980" w:type="dxa"/>
            <w:tcBorders>
              <w:top w:val="nil"/>
              <w:left w:val="nil"/>
              <w:bottom w:val="single" w:sz="4" w:space="0" w:color="auto"/>
              <w:right w:val="single" w:sz="4" w:space="0" w:color="auto"/>
            </w:tcBorders>
            <w:shd w:val="clear" w:color="auto" w:fill="auto"/>
            <w:vAlign w:val="center"/>
            <w:hideMark/>
          </w:tcPr>
          <w:p w14:paraId="13B56520"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525"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FCD5B4"/>
            <w:vAlign w:val="bottom"/>
            <w:hideMark/>
          </w:tcPr>
          <w:p w14:paraId="13B56522"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7265" w:type="dxa"/>
            <w:tcBorders>
              <w:top w:val="nil"/>
              <w:left w:val="nil"/>
              <w:bottom w:val="single" w:sz="4" w:space="0" w:color="auto"/>
              <w:right w:val="single" w:sz="4" w:space="0" w:color="auto"/>
            </w:tcBorders>
            <w:shd w:val="clear" w:color="auto" w:fill="auto"/>
            <w:vAlign w:val="center"/>
            <w:hideMark/>
          </w:tcPr>
          <w:p w14:paraId="13B56523"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Principal has regular meeting with community members</w:t>
            </w:r>
          </w:p>
        </w:tc>
        <w:tc>
          <w:tcPr>
            <w:tcW w:w="1980" w:type="dxa"/>
            <w:tcBorders>
              <w:top w:val="nil"/>
              <w:left w:val="nil"/>
              <w:bottom w:val="single" w:sz="4" w:space="0" w:color="auto"/>
              <w:right w:val="single" w:sz="4" w:space="0" w:color="auto"/>
            </w:tcBorders>
            <w:shd w:val="clear" w:color="auto" w:fill="auto"/>
            <w:vAlign w:val="center"/>
            <w:hideMark/>
          </w:tcPr>
          <w:p w14:paraId="13B56524"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528" w14:textId="77777777" w:rsidTr="001A5080">
        <w:trPr>
          <w:trHeight w:val="390"/>
        </w:trPr>
        <w:tc>
          <w:tcPr>
            <w:tcW w:w="940" w:type="dxa"/>
            <w:tcBorders>
              <w:top w:val="nil"/>
              <w:left w:val="single" w:sz="4" w:space="0" w:color="auto"/>
              <w:bottom w:val="single" w:sz="4" w:space="0" w:color="auto"/>
              <w:right w:val="single" w:sz="4" w:space="0" w:color="auto"/>
            </w:tcBorders>
            <w:shd w:val="clear" w:color="000000" w:fill="D8E4BC"/>
            <w:noWrap/>
            <w:vAlign w:val="bottom"/>
            <w:hideMark/>
          </w:tcPr>
          <w:p w14:paraId="13B56526"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9245" w:type="dxa"/>
            <w:gridSpan w:val="2"/>
            <w:tcBorders>
              <w:top w:val="single" w:sz="4" w:space="0" w:color="auto"/>
              <w:left w:val="nil"/>
              <w:bottom w:val="single" w:sz="4" w:space="0" w:color="auto"/>
              <w:right w:val="single" w:sz="4" w:space="0" w:color="auto"/>
            </w:tcBorders>
            <w:shd w:val="clear" w:color="000000" w:fill="D8E4BC"/>
            <w:vAlign w:val="center"/>
            <w:hideMark/>
          </w:tcPr>
          <w:p w14:paraId="13B56527"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HIV</w:t>
            </w:r>
          </w:p>
        </w:tc>
      </w:tr>
      <w:tr w:rsidR="001A5080" w:rsidRPr="000A7545" w14:paraId="13B5652C" w14:textId="77777777" w:rsidTr="001A5080">
        <w:trPr>
          <w:trHeight w:val="39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3B56529"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7265" w:type="dxa"/>
            <w:tcBorders>
              <w:top w:val="nil"/>
              <w:left w:val="nil"/>
              <w:bottom w:val="single" w:sz="4" w:space="0" w:color="auto"/>
              <w:right w:val="single" w:sz="4" w:space="0" w:color="auto"/>
            </w:tcBorders>
            <w:shd w:val="clear" w:color="auto" w:fill="auto"/>
            <w:noWrap/>
            <w:vAlign w:val="center"/>
            <w:hideMark/>
          </w:tcPr>
          <w:p w14:paraId="13B5652A" w14:textId="77777777" w:rsidR="001A5080" w:rsidRPr="000A7545" w:rsidRDefault="001A5080" w:rsidP="001A5080">
            <w:pPr>
              <w:rPr>
                <w:rFonts w:ascii="Calibri" w:hAnsi="Calibri" w:cs="Calibri"/>
                <w:color w:val="000000"/>
                <w:szCs w:val="24"/>
              </w:rPr>
            </w:pPr>
            <w:r w:rsidRPr="000A7545">
              <w:rPr>
                <w:rFonts w:ascii="Calibri" w:hAnsi="Calibri" w:cs="Calibri"/>
                <w:color w:val="000000"/>
                <w:szCs w:val="24"/>
              </w:rPr>
              <w:t xml:space="preserve">HIV&amp;AIDS </w:t>
            </w:r>
            <w:r w:rsidR="00981ADD" w:rsidRPr="000A7545">
              <w:rPr>
                <w:rFonts w:ascii="Calibri" w:hAnsi="Calibri" w:cs="Calibri"/>
                <w:color w:val="000000"/>
                <w:szCs w:val="24"/>
              </w:rPr>
              <w:t>incorporated</w:t>
            </w:r>
            <w:r w:rsidRPr="000A7545">
              <w:rPr>
                <w:rFonts w:ascii="Calibri" w:hAnsi="Calibri" w:cs="Calibri"/>
                <w:color w:val="000000"/>
                <w:szCs w:val="24"/>
              </w:rPr>
              <w:t xml:space="preserve"> in KTSP for above grade 5 and 6</w:t>
            </w:r>
          </w:p>
        </w:tc>
        <w:tc>
          <w:tcPr>
            <w:tcW w:w="1980" w:type="dxa"/>
            <w:tcBorders>
              <w:top w:val="nil"/>
              <w:left w:val="nil"/>
              <w:bottom w:val="single" w:sz="4" w:space="0" w:color="auto"/>
              <w:right w:val="single" w:sz="4" w:space="0" w:color="auto"/>
            </w:tcBorders>
            <w:shd w:val="clear" w:color="auto" w:fill="auto"/>
            <w:vAlign w:val="center"/>
            <w:hideMark/>
          </w:tcPr>
          <w:p w14:paraId="13B5652B"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530" w14:textId="77777777" w:rsidTr="001A5080">
        <w:trPr>
          <w:trHeight w:val="39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3B5652D"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7265" w:type="dxa"/>
            <w:tcBorders>
              <w:top w:val="nil"/>
              <w:left w:val="nil"/>
              <w:bottom w:val="single" w:sz="4" w:space="0" w:color="auto"/>
              <w:right w:val="single" w:sz="4" w:space="0" w:color="auto"/>
            </w:tcBorders>
            <w:shd w:val="clear" w:color="auto" w:fill="auto"/>
            <w:noWrap/>
            <w:vAlign w:val="center"/>
            <w:hideMark/>
          </w:tcPr>
          <w:p w14:paraId="13B5652E" w14:textId="77777777" w:rsidR="001A5080" w:rsidRPr="000A7545" w:rsidRDefault="001A5080" w:rsidP="001A5080">
            <w:pPr>
              <w:rPr>
                <w:rFonts w:ascii="Calibri" w:hAnsi="Calibri" w:cs="Calibri"/>
                <w:color w:val="000000"/>
                <w:szCs w:val="24"/>
              </w:rPr>
            </w:pPr>
            <w:r w:rsidRPr="000A7545">
              <w:rPr>
                <w:rFonts w:ascii="Calibri" w:hAnsi="Calibri" w:cs="Calibri"/>
                <w:color w:val="000000"/>
                <w:szCs w:val="24"/>
              </w:rPr>
              <w:t>Teacher lesson plan for HIV&amp;AIDS available grade 5 and 6</w:t>
            </w:r>
          </w:p>
        </w:tc>
        <w:tc>
          <w:tcPr>
            <w:tcW w:w="1980" w:type="dxa"/>
            <w:tcBorders>
              <w:top w:val="nil"/>
              <w:left w:val="nil"/>
              <w:bottom w:val="single" w:sz="4" w:space="0" w:color="auto"/>
              <w:right w:val="single" w:sz="4" w:space="0" w:color="auto"/>
            </w:tcBorders>
            <w:shd w:val="clear" w:color="auto" w:fill="auto"/>
            <w:vAlign w:val="center"/>
            <w:hideMark/>
          </w:tcPr>
          <w:p w14:paraId="13B5652F"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r w:rsidR="001A5080" w:rsidRPr="000A7545" w14:paraId="13B56534" w14:textId="77777777" w:rsidTr="001A5080">
        <w:trPr>
          <w:trHeight w:val="39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3B56531" w14:textId="77777777" w:rsidR="001A5080" w:rsidRPr="000A7545" w:rsidRDefault="001A5080" w:rsidP="001A5080">
            <w:pPr>
              <w:rPr>
                <w:rFonts w:ascii="Calibri" w:hAnsi="Calibri" w:cs="Calibri"/>
                <w:b/>
                <w:color w:val="000000"/>
                <w:szCs w:val="24"/>
              </w:rPr>
            </w:pPr>
            <w:r w:rsidRPr="000A7545">
              <w:rPr>
                <w:rFonts w:ascii="Calibri" w:hAnsi="Calibri" w:cs="Calibri"/>
                <w:b/>
                <w:color w:val="000000"/>
                <w:szCs w:val="24"/>
              </w:rPr>
              <w:t> </w:t>
            </w:r>
          </w:p>
        </w:tc>
        <w:tc>
          <w:tcPr>
            <w:tcW w:w="7265" w:type="dxa"/>
            <w:tcBorders>
              <w:top w:val="nil"/>
              <w:left w:val="nil"/>
              <w:bottom w:val="single" w:sz="4" w:space="0" w:color="auto"/>
              <w:right w:val="single" w:sz="4" w:space="0" w:color="auto"/>
            </w:tcBorders>
            <w:shd w:val="clear" w:color="auto" w:fill="auto"/>
            <w:noWrap/>
            <w:vAlign w:val="bottom"/>
            <w:hideMark/>
          </w:tcPr>
          <w:p w14:paraId="13B56532" w14:textId="77777777" w:rsidR="001A5080" w:rsidRPr="000A7545" w:rsidRDefault="001A5080" w:rsidP="001A5080">
            <w:pPr>
              <w:rPr>
                <w:rFonts w:ascii="Calibri" w:hAnsi="Calibri" w:cs="Calibri"/>
                <w:bCs/>
                <w:color w:val="000000"/>
                <w:szCs w:val="24"/>
              </w:rPr>
            </w:pPr>
            <w:r w:rsidRPr="000A7545">
              <w:rPr>
                <w:rFonts w:ascii="Calibri" w:hAnsi="Calibri" w:cs="Calibri"/>
                <w:color w:val="000000"/>
                <w:szCs w:val="24"/>
              </w:rPr>
              <w:t>HIV&amp;AIDS incorporated into school subject time table grade 5 and 6</w:t>
            </w:r>
          </w:p>
        </w:tc>
        <w:tc>
          <w:tcPr>
            <w:tcW w:w="1980" w:type="dxa"/>
            <w:tcBorders>
              <w:top w:val="nil"/>
              <w:left w:val="nil"/>
              <w:bottom w:val="single" w:sz="4" w:space="0" w:color="auto"/>
              <w:right w:val="single" w:sz="4" w:space="0" w:color="auto"/>
            </w:tcBorders>
            <w:shd w:val="clear" w:color="auto" w:fill="auto"/>
            <w:vAlign w:val="center"/>
            <w:hideMark/>
          </w:tcPr>
          <w:p w14:paraId="13B56533" w14:textId="77777777" w:rsidR="001A5080" w:rsidRPr="000A7545" w:rsidRDefault="00737B2D" w:rsidP="001A5080">
            <w:pPr>
              <w:rPr>
                <w:rFonts w:ascii="Calibri" w:hAnsi="Calibri" w:cs="Calibri"/>
                <w:bCs/>
                <w:color w:val="000000"/>
                <w:szCs w:val="24"/>
              </w:rPr>
            </w:pPr>
            <w:r w:rsidRPr="000A7545">
              <w:rPr>
                <w:rFonts w:ascii="Calibri" w:hAnsi="Calibri" w:cs="Calibri"/>
                <w:color w:val="000000"/>
                <w:szCs w:val="24"/>
              </w:rPr>
              <w:t>Yes/No&gt;_________</w:t>
            </w:r>
          </w:p>
        </w:tc>
      </w:tr>
    </w:tbl>
    <w:p w14:paraId="13B56535" w14:textId="77777777" w:rsidR="007C578C" w:rsidRPr="000A7545" w:rsidRDefault="007C578C" w:rsidP="007C578C"/>
    <w:p w14:paraId="13B56536" w14:textId="77777777" w:rsidR="007C578C" w:rsidRPr="000A7545" w:rsidRDefault="007C578C" w:rsidP="007C578C"/>
    <w:p w14:paraId="13B56537" w14:textId="77777777" w:rsidR="007C578C" w:rsidRPr="000A7545" w:rsidRDefault="007C578C" w:rsidP="00D60A17"/>
    <w:p w14:paraId="13B56538" w14:textId="77777777" w:rsidR="007C578C" w:rsidRPr="000A7545" w:rsidRDefault="007C578C" w:rsidP="00D60A17"/>
    <w:p w14:paraId="13B56539" w14:textId="77777777" w:rsidR="007C578C" w:rsidRPr="000A7545" w:rsidRDefault="007C578C" w:rsidP="00D60A17">
      <w:pPr>
        <w:sectPr w:rsidR="007C578C" w:rsidRPr="000A7545" w:rsidSect="00C041A2">
          <w:pgSz w:w="11906" w:h="16838"/>
          <w:pgMar w:top="1440" w:right="1440" w:bottom="1440" w:left="1440" w:header="720" w:footer="720" w:gutter="0"/>
          <w:cols w:space="720"/>
          <w:docGrid w:linePitch="360"/>
        </w:sectPr>
      </w:pPr>
    </w:p>
    <w:p w14:paraId="13B5653A" w14:textId="77777777" w:rsidR="007C578C" w:rsidRPr="000A7545" w:rsidRDefault="007C578C" w:rsidP="007C578C">
      <w:pPr>
        <w:jc w:val="center"/>
        <w:rPr>
          <w:rFonts w:cs="Arial"/>
          <w:b/>
          <w:iCs/>
          <w:sz w:val="28"/>
          <w:szCs w:val="28"/>
          <w:u w:val="single"/>
        </w:rPr>
      </w:pPr>
    </w:p>
    <w:p w14:paraId="13B5653B" w14:textId="77777777" w:rsidR="007C578C" w:rsidRPr="000A7545" w:rsidRDefault="007C578C" w:rsidP="007C578C">
      <w:pPr>
        <w:jc w:val="center"/>
        <w:rPr>
          <w:rFonts w:cs="Arial"/>
          <w:b/>
          <w:iCs/>
          <w:sz w:val="28"/>
          <w:szCs w:val="28"/>
          <w:u w:val="single"/>
        </w:rPr>
      </w:pPr>
    </w:p>
    <w:p w14:paraId="13B5653C" w14:textId="77777777" w:rsidR="007C578C" w:rsidRPr="000A7545" w:rsidRDefault="007C578C" w:rsidP="007C578C">
      <w:pPr>
        <w:pStyle w:val="Heading1"/>
        <w:numPr>
          <w:ilvl w:val="0"/>
          <w:numId w:val="0"/>
        </w:numPr>
        <w:ind w:left="360"/>
        <w:jc w:val="center"/>
        <w:rPr>
          <w:color w:val="auto"/>
          <w:u w:val="single"/>
        </w:rPr>
      </w:pPr>
      <w:bookmarkStart w:id="108" w:name="_Toc303330158"/>
      <w:bookmarkStart w:id="109" w:name="_Toc322507193"/>
      <w:bookmarkStart w:id="110" w:name="_Toc322702789"/>
      <w:r w:rsidRPr="000A7545">
        <w:rPr>
          <w:color w:val="auto"/>
          <w:u w:val="single"/>
        </w:rPr>
        <w:t>Donor Report Feedback Form</w:t>
      </w:r>
      <w:bookmarkEnd w:id="108"/>
      <w:bookmarkEnd w:id="109"/>
      <w:bookmarkEnd w:id="110"/>
    </w:p>
    <w:p w14:paraId="13B5653D" w14:textId="77777777" w:rsidR="007C578C" w:rsidRPr="000A7545" w:rsidRDefault="007C578C" w:rsidP="007C578C">
      <w:pPr>
        <w:autoSpaceDE w:val="0"/>
        <w:autoSpaceDN w:val="0"/>
        <w:adjustRightInd w:val="0"/>
        <w:rPr>
          <w:rFonts w:cs="Arial"/>
          <w:sz w:val="20"/>
          <w:szCs w:val="20"/>
        </w:rPr>
      </w:pPr>
      <w:r w:rsidRPr="000A7545">
        <w:rPr>
          <w:rFonts w:cs="Arial"/>
          <w:sz w:val="20"/>
          <w:szCs w:val="20"/>
        </w:rPr>
        <w:t>UNICEF is working to improve the quality of our reports and would highly appreciate your feedback. Kindly answer the questions below for the above-mentioned report and return to UNICEF Jakarta who will share your input with relevant colleagues in the field and in headquarters. Thank you!</w:t>
      </w:r>
    </w:p>
    <w:p w14:paraId="13B5653E" w14:textId="77777777" w:rsidR="007C578C" w:rsidRPr="000A7545" w:rsidRDefault="007C578C" w:rsidP="007C578C">
      <w:pPr>
        <w:autoSpaceDE w:val="0"/>
        <w:autoSpaceDN w:val="0"/>
        <w:adjustRightInd w:val="0"/>
        <w:rPr>
          <w:rFonts w:cs="Arial"/>
          <w:sz w:val="20"/>
          <w:szCs w:val="20"/>
        </w:rPr>
      </w:pPr>
    </w:p>
    <w:p w14:paraId="13B5653F" w14:textId="77777777" w:rsidR="007C578C" w:rsidRPr="000A7545" w:rsidRDefault="007C578C" w:rsidP="007C578C">
      <w:pPr>
        <w:autoSpaceDE w:val="0"/>
        <w:autoSpaceDN w:val="0"/>
        <w:adjustRightInd w:val="0"/>
        <w:rPr>
          <w:rFonts w:cs="Arial"/>
          <w:sz w:val="20"/>
          <w:szCs w:val="20"/>
        </w:rPr>
      </w:pPr>
      <w:r w:rsidRPr="000A7545">
        <w:rPr>
          <w:rFonts w:cs="Arial"/>
          <w:sz w:val="20"/>
          <w:szCs w:val="20"/>
        </w:rPr>
        <w:t xml:space="preserve">Please return the completed form back to UNICEF by email to: </w:t>
      </w:r>
    </w:p>
    <w:p w14:paraId="13B56540" w14:textId="77777777" w:rsidR="007C578C" w:rsidRPr="00A667A4" w:rsidRDefault="007C578C" w:rsidP="007C578C">
      <w:pPr>
        <w:rPr>
          <w:rFonts w:cs="Arial"/>
          <w:bCs/>
          <w:sz w:val="20"/>
          <w:szCs w:val="20"/>
          <w:lang w:val="de-DE"/>
        </w:rPr>
      </w:pPr>
      <w:r w:rsidRPr="00A667A4">
        <w:rPr>
          <w:rFonts w:cs="Arial"/>
          <w:bCs/>
          <w:sz w:val="20"/>
          <w:szCs w:val="20"/>
          <w:lang w:val="de-DE"/>
        </w:rPr>
        <w:t>Name: Karoline Gerber</w:t>
      </w:r>
    </w:p>
    <w:p w14:paraId="13B56541" w14:textId="77777777" w:rsidR="007C578C" w:rsidRPr="00A667A4" w:rsidRDefault="007C578C" w:rsidP="007C578C">
      <w:pPr>
        <w:rPr>
          <w:rFonts w:cs="Arial"/>
          <w:bCs/>
          <w:sz w:val="20"/>
          <w:szCs w:val="20"/>
          <w:lang w:val="de-DE"/>
        </w:rPr>
      </w:pPr>
      <w:r w:rsidRPr="00A667A4">
        <w:rPr>
          <w:rFonts w:cs="Arial"/>
          <w:bCs/>
          <w:sz w:val="20"/>
          <w:szCs w:val="20"/>
          <w:lang w:val="de-DE"/>
        </w:rPr>
        <w:t>Email: kgerber@unicef.org</w:t>
      </w:r>
    </w:p>
    <w:p w14:paraId="13B56542" w14:textId="77777777" w:rsidR="007C578C" w:rsidRPr="000A7545" w:rsidRDefault="007C578C" w:rsidP="007C578C">
      <w:pPr>
        <w:spacing w:after="0" w:line="240" w:lineRule="auto"/>
        <w:jc w:val="center"/>
        <w:rPr>
          <w:rFonts w:cs="Arial"/>
          <w:sz w:val="20"/>
          <w:szCs w:val="20"/>
        </w:rPr>
      </w:pPr>
      <w:r w:rsidRPr="000A7545">
        <w:rPr>
          <w:rFonts w:cs="Arial"/>
          <w:sz w:val="20"/>
          <w:szCs w:val="20"/>
        </w:rPr>
        <w:t>***</w:t>
      </w:r>
    </w:p>
    <w:p w14:paraId="13B56543" w14:textId="77777777" w:rsidR="007C578C" w:rsidRPr="000A7545" w:rsidRDefault="007C578C" w:rsidP="007C578C">
      <w:pPr>
        <w:spacing w:after="0" w:line="240" w:lineRule="auto"/>
        <w:jc w:val="center"/>
        <w:rPr>
          <w:rFonts w:cs="Arial"/>
          <w:sz w:val="20"/>
          <w:szCs w:val="20"/>
        </w:rPr>
      </w:pPr>
    </w:p>
    <w:p w14:paraId="13B56544" w14:textId="77777777" w:rsidR="007C578C" w:rsidRPr="000A7545" w:rsidRDefault="007C578C" w:rsidP="007C578C">
      <w:pPr>
        <w:jc w:val="both"/>
        <w:rPr>
          <w:rFonts w:ascii="Verdana" w:hAnsi="Verdana"/>
          <w:sz w:val="20"/>
          <w:szCs w:val="20"/>
        </w:rPr>
      </w:pPr>
      <w:r w:rsidRPr="000A7545">
        <w:rPr>
          <w:rFonts w:cs="Arial"/>
          <w:noProof/>
          <w:lang w:val="en-AU" w:eastAsia="en-AU"/>
        </w:rPr>
        <mc:AlternateContent>
          <mc:Choice Requires="wps">
            <w:drawing>
              <wp:anchor distT="0" distB="0" distL="114300" distR="114300" simplePos="0" relativeHeight="251661312" behindDoc="0" locked="0" layoutInCell="1" allowOverlap="1" wp14:anchorId="13B565F1" wp14:editId="13B565F2">
                <wp:simplePos x="0" y="0"/>
                <wp:positionH relativeFrom="column">
                  <wp:posOffset>228600</wp:posOffset>
                </wp:positionH>
                <wp:positionV relativeFrom="paragraph">
                  <wp:posOffset>73025</wp:posOffset>
                </wp:positionV>
                <wp:extent cx="5029200" cy="451485"/>
                <wp:effectExtent l="0" t="0" r="1905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1485"/>
                        </a:xfrm>
                        <a:prstGeom prst="rect">
                          <a:avLst/>
                        </a:prstGeom>
                        <a:solidFill>
                          <a:schemeClr val="tx2">
                            <a:lumMod val="40000"/>
                            <a:lumOff val="60000"/>
                          </a:schemeClr>
                        </a:solidFill>
                        <a:ln w="9525">
                          <a:solidFill>
                            <a:srgbClr val="000000"/>
                          </a:solidFill>
                          <a:miter lim="800000"/>
                          <a:headEnd/>
                          <a:tailEnd/>
                        </a:ln>
                      </wps:spPr>
                      <wps:txbx>
                        <w:txbxContent>
                          <w:p w14:paraId="13B56612" w14:textId="77777777" w:rsidR="00003C07" w:rsidRPr="0096569F" w:rsidRDefault="00003C07" w:rsidP="007C578C">
                            <w:r w:rsidRPr="0096569F">
                              <w:t xml:space="preserve">SCORING: </w:t>
                            </w:r>
                            <w:r w:rsidRPr="0096569F">
                              <w:tab/>
                              <w:t>5 indicates “highest level of satisfaction” while</w:t>
                            </w:r>
                          </w:p>
                          <w:p w14:paraId="13B56613" w14:textId="77777777" w:rsidR="00003C07" w:rsidRPr="0096569F" w:rsidRDefault="00003C07" w:rsidP="007C578C">
                            <w:pPr>
                              <w:ind w:left="720" w:firstLine="720"/>
                            </w:pPr>
                            <w:r w:rsidRPr="0096569F">
                              <w:t>0 indicates “complete dissatisfaction”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8pt;margin-top:5.75pt;width:396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" fillcolor="#8db3e2 [1311]">
                <v:textbox style="mso-fit-shape-to-text:t">
                  <w:txbxContent>
                    <w:p w:rsidR="007C4313" w:rsidRPr="0096569F" w:rsidRDefault="007C4313" w:rsidP="007C578C">
                      <w:r w:rsidRPr="0096569F">
                        <w:t xml:space="preserve">SCORING: </w:t>
                      </w:r>
                      <w:r w:rsidRPr="0096569F">
                        <w:tab/>
                        <w:t>5 indicates “highest level of satisfaction” while</w:t>
                      </w:r>
                    </w:p>
                    <w:p w:rsidR="007C4313" w:rsidRPr="0096569F" w:rsidRDefault="007C4313" w:rsidP="007C578C">
                      <w:pPr>
                        <w:ind w:left="720" w:firstLine="720"/>
                      </w:pPr>
                      <w:r w:rsidRPr="0096569F">
                        <w:t>0 indicates “complete dissatisfaction”</w:t>
                      </w:r>
                    </w:p>
                  </w:txbxContent>
                </v:textbox>
                <w10:wrap type="square"/>
              </v:shape>
            </w:pict>
          </mc:Fallback>
        </mc:AlternateContent>
      </w:r>
    </w:p>
    <w:p w14:paraId="13B56545" w14:textId="77777777" w:rsidR="007C578C" w:rsidRPr="000A7545" w:rsidRDefault="007C578C" w:rsidP="007C578C">
      <w:pPr>
        <w:ind w:left="360"/>
        <w:rPr>
          <w:rFonts w:ascii="Verdana" w:hAnsi="Verdana"/>
          <w:sz w:val="20"/>
          <w:szCs w:val="20"/>
        </w:rPr>
      </w:pPr>
    </w:p>
    <w:p w14:paraId="13B56546" w14:textId="77777777" w:rsidR="007C578C" w:rsidRPr="000A7545" w:rsidRDefault="007C578C" w:rsidP="007C578C">
      <w:pPr>
        <w:ind w:left="360"/>
        <w:rPr>
          <w:rFonts w:ascii="Verdana" w:hAnsi="Verdana"/>
          <w:sz w:val="20"/>
          <w:szCs w:val="20"/>
        </w:rPr>
      </w:pPr>
    </w:p>
    <w:p w14:paraId="13B56547" w14:textId="77777777" w:rsidR="007C578C" w:rsidRPr="000A7545" w:rsidRDefault="007C578C" w:rsidP="007C578C">
      <w:pPr>
        <w:ind w:left="360"/>
        <w:rPr>
          <w:rFonts w:ascii="Verdana" w:hAnsi="Verdana"/>
          <w:sz w:val="20"/>
          <w:szCs w:val="20"/>
        </w:rPr>
      </w:pPr>
    </w:p>
    <w:p w14:paraId="13B56548" w14:textId="77777777" w:rsidR="007C578C" w:rsidRPr="000A7545" w:rsidRDefault="007C578C" w:rsidP="007C578C">
      <w:pPr>
        <w:ind w:left="360"/>
        <w:rPr>
          <w:rFonts w:ascii="Verdana" w:hAnsi="Verdana"/>
          <w:sz w:val="20"/>
          <w:szCs w:val="20"/>
        </w:rPr>
      </w:pPr>
    </w:p>
    <w:p w14:paraId="13B56549" w14:textId="77777777" w:rsidR="007C578C" w:rsidRPr="000A7545" w:rsidRDefault="007C578C" w:rsidP="00697327">
      <w:pPr>
        <w:numPr>
          <w:ilvl w:val="0"/>
          <w:numId w:val="2"/>
        </w:numPr>
        <w:spacing w:after="0" w:line="240" w:lineRule="auto"/>
        <w:rPr>
          <w:rFonts w:cs="Arial"/>
          <w:sz w:val="20"/>
          <w:szCs w:val="20"/>
        </w:rPr>
      </w:pPr>
      <w:r w:rsidRPr="000A7545">
        <w:rPr>
          <w:rFonts w:cs="Arial"/>
          <w:sz w:val="20"/>
          <w:szCs w:val="20"/>
        </w:rPr>
        <w:t>To what extent did the narrative content of the report conform to your reporting expectations? (For example, the overall analysis and identification of challenges and solutions)</w:t>
      </w:r>
    </w:p>
    <w:p w14:paraId="13B5654A" w14:textId="77777777" w:rsidR="007C578C" w:rsidRPr="000A7545" w:rsidRDefault="007C578C" w:rsidP="007C578C">
      <w:pPr>
        <w:spacing w:after="0" w:line="240" w:lineRule="auto"/>
        <w:rPr>
          <w:rFonts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5"/>
        <w:gridCol w:w="654"/>
        <w:gridCol w:w="655"/>
        <w:gridCol w:w="654"/>
        <w:gridCol w:w="655"/>
        <w:gridCol w:w="654"/>
        <w:gridCol w:w="655"/>
        <w:gridCol w:w="654"/>
        <w:gridCol w:w="655"/>
        <w:gridCol w:w="655"/>
      </w:tblGrid>
      <w:tr w:rsidR="007C578C" w:rsidRPr="000A7545" w14:paraId="13B56556" w14:textId="77777777" w:rsidTr="00594D91">
        <w:tc>
          <w:tcPr>
            <w:tcW w:w="654" w:type="dxa"/>
            <w:shd w:val="pct12" w:color="000000" w:fill="FFFFFF"/>
          </w:tcPr>
          <w:p w14:paraId="13B5654B"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5</w:t>
            </w:r>
          </w:p>
        </w:tc>
        <w:tc>
          <w:tcPr>
            <w:tcW w:w="655" w:type="dxa"/>
            <w:tcBorders>
              <w:top w:val="nil"/>
              <w:bottom w:val="nil"/>
            </w:tcBorders>
          </w:tcPr>
          <w:p w14:paraId="13B5654C"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4D"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4</w:t>
            </w:r>
          </w:p>
        </w:tc>
        <w:tc>
          <w:tcPr>
            <w:tcW w:w="655" w:type="dxa"/>
            <w:tcBorders>
              <w:top w:val="nil"/>
              <w:bottom w:val="nil"/>
            </w:tcBorders>
          </w:tcPr>
          <w:p w14:paraId="13B5654E"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4F"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3</w:t>
            </w:r>
          </w:p>
        </w:tc>
        <w:tc>
          <w:tcPr>
            <w:tcW w:w="655" w:type="dxa"/>
            <w:tcBorders>
              <w:top w:val="nil"/>
              <w:bottom w:val="nil"/>
            </w:tcBorders>
          </w:tcPr>
          <w:p w14:paraId="13B56550"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51"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2</w:t>
            </w:r>
          </w:p>
        </w:tc>
        <w:tc>
          <w:tcPr>
            <w:tcW w:w="655" w:type="dxa"/>
            <w:tcBorders>
              <w:top w:val="nil"/>
              <w:bottom w:val="nil"/>
            </w:tcBorders>
          </w:tcPr>
          <w:p w14:paraId="13B56552"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53"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1</w:t>
            </w:r>
          </w:p>
        </w:tc>
        <w:tc>
          <w:tcPr>
            <w:tcW w:w="655" w:type="dxa"/>
            <w:tcBorders>
              <w:top w:val="nil"/>
              <w:bottom w:val="nil"/>
            </w:tcBorders>
          </w:tcPr>
          <w:p w14:paraId="13B56554" w14:textId="77777777" w:rsidR="007C578C" w:rsidRPr="000A7545" w:rsidRDefault="007C578C" w:rsidP="00594D91">
            <w:pPr>
              <w:spacing w:after="0" w:line="240" w:lineRule="auto"/>
              <w:jc w:val="center"/>
              <w:rPr>
                <w:rFonts w:cs="Arial"/>
                <w:b/>
                <w:sz w:val="20"/>
                <w:szCs w:val="20"/>
              </w:rPr>
            </w:pPr>
          </w:p>
        </w:tc>
        <w:tc>
          <w:tcPr>
            <w:tcW w:w="655" w:type="dxa"/>
            <w:shd w:val="pct12" w:color="000000" w:fill="FFFFFF"/>
          </w:tcPr>
          <w:p w14:paraId="13B56555"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0</w:t>
            </w:r>
          </w:p>
        </w:tc>
      </w:tr>
      <w:tr w:rsidR="007C578C" w:rsidRPr="000A7545" w14:paraId="13B56562" w14:textId="77777777" w:rsidTr="00594D91">
        <w:tc>
          <w:tcPr>
            <w:tcW w:w="654" w:type="dxa"/>
          </w:tcPr>
          <w:p w14:paraId="13B56557"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58" w14:textId="77777777" w:rsidR="007C578C" w:rsidRPr="000A7545" w:rsidRDefault="007C578C" w:rsidP="00594D91">
            <w:pPr>
              <w:spacing w:after="0" w:line="240" w:lineRule="auto"/>
              <w:jc w:val="center"/>
              <w:rPr>
                <w:rFonts w:cs="Arial"/>
                <w:b/>
                <w:sz w:val="20"/>
                <w:szCs w:val="20"/>
              </w:rPr>
            </w:pPr>
          </w:p>
        </w:tc>
        <w:tc>
          <w:tcPr>
            <w:tcW w:w="654" w:type="dxa"/>
          </w:tcPr>
          <w:p w14:paraId="13B56559"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5A" w14:textId="77777777" w:rsidR="007C578C" w:rsidRPr="000A7545" w:rsidRDefault="007C578C" w:rsidP="00594D91">
            <w:pPr>
              <w:spacing w:after="0" w:line="240" w:lineRule="auto"/>
              <w:jc w:val="center"/>
              <w:rPr>
                <w:rFonts w:cs="Arial"/>
                <w:b/>
                <w:sz w:val="20"/>
                <w:szCs w:val="20"/>
              </w:rPr>
            </w:pPr>
          </w:p>
        </w:tc>
        <w:tc>
          <w:tcPr>
            <w:tcW w:w="654" w:type="dxa"/>
          </w:tcPr>
          <w:p w14:paraId="13B5655B"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5C" w14:textId="77777777" w:rsidR="007C578C" w:rsidRPr="000A7545" w:rsidRDefault="007C578C" w:rsidP="00594D91">
            <w:pPr>
              <w:spacing w:after="0" w:line="240" w:lineRule="auto"/>
              <w:jc w:val="center"/>
              <w:rPr>
                <w:rFonts w:cs="Arial"/>
                <w:b/>
                <w:sz w:val="20"/>
                <w:szCs w:val="20"/>
              </w:rPr>
            </w:pPr>
          </w:p>
        </w:tc>
        <w:tc>
          <w:tcPr>
            <w:tcW w:w="654" w:type="dxa"/>
          </w:tcPr>
          <w:p w14:paraId="13B5655D"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5E" w14:textId="77777777" w:rsidR="007C578C" w:rsidRPr="000A7545" w:rsidRDefault="007C578C" w:rsidP="00594D91">
            <w:pPr>
              <w:spacing w:after="0" w:line="240" w:lineRule="auto"/>
              <w:jc w:val="center"/>
              <w:rPr>
                <w:rFonts w:cs="Arial"/>
                <w:b/>
                <w:sz w:val="20"/>
                <w:szCs w:val="20"/>
              </w:rPr>
            </w:pPr>
          </w:p>
        </w:tc>
        <w:tc>
          <w:tcPr>
            <w:tcW w:w="654" w:type="dxa"/>
          </w:tcPr>
          <w:p w14:paraId="13B5655F"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60" w14:textId="77777777" w:rsidR="007C578C" w:rsidRPr="000A7545" w:rsidRDefault="007C578C" w:rsidP="00594D91">
            <w:pPr>
              <w:spacing w:after="0" w:line="240" w:lineRule="auto"/>
              <w:jc w:val="center"/>
              <w:rPr>
                <w:rFonts w:cs="Arial"/>
                <w:b/>
                <w:sz w:val="20"/>
                <w:szCs w:val="20"/>
              </w:rPr>
            </w:pPr>
          </w:p>
        </w:tc>
        <w:tc>
          <w:tcPr>
            <w:tcW w:w="655" w:type="dxa"/>
          </w:tcPr>
          <w:p w14:paraId="13B56561" w14:textId="77777777" w:rsidR="007C578C" w:rsidRPr="000A7545" w:rsidRDefault="007C578C" w:rsidP="00594D91">
            <w:pPr>
              <w:spacing w:after="0" w:line="240" w:lineRule="auto"/>
              <w:jc w:val="center"/>
              <w:rPr>
                <w:rFonts w:cs="Arial"/>
                <w:b/>
                <w:sz w:val="20"/>
                <w:szCs w:val="20"/>
              </w:rPr>
            </w:pPr>
          </w:p>
        </w:tc>
      </w:tr>
    </w:tbl>
    <w:p w14:paraId="13B56563" w14:textId="77777777" w:rsidR="007C578C" w:rsidRPr="000A7545" w:rsidRDefault="007C578C" w:rsidP="007C578C">
      <w:pPr>
        <w:spacing w:after="0" w:line="240" w:lineRule="auto"/>
        <w:rPr>
          <w:rFonts w:cs="Arial"/>
          <w:sz w:val="20"/>
          <w:szCs w:val="20"/>
        </w:rPr>
      </w:pPr>
    </w:p>
    <w:p w14:paraId="13B56564" w14:textId="77777777" w:rsidR="007C578C" w:rsidRPr="000A7545" w:rsidRDefault="007C578C" w:rsidP="007C578C">
      <w:pPr>
        <w:spacing w:after="0" w:line="240" w:lineRule="auto"/>
        <w:ind w:left="720"/>
        <w:rPr>
          <w:rFonts w:cs="Arial"/>
          <w:sz w:val="20"/>
          <w:szCs w:val="20"/>
        </w:rPr>
      </w:pPr>
    </w:p>
    <w:p w14:paraId="13B56565" w14:textId="77777777" w:rsidR="007C578C" w:rsidRPr="000A7545" w:rsidRDefault="007C578C" w:rsidP="007C578C">
      <w:pPr>
        <w:spacing w:after="0" w:line="240" w:lineRule="auto"/>
        <w:ind w:left="720"/>
        <w:rPr>
          <w:rFonts w:cs="Arial"/>
          <w:sz w:val="20"/>
          <w:szCs w:val="20"/>
        </w:rPr>
      </w:pPr>
      <w:r w:rsidRPr="000A7545">
        <w:rPr>
          <w:rFonts w:cs="Arial"/>
          <w:sz w:val="20"/>
          <w:szCs w:val="20"/>
        </w:rPr>
        <w:t>If you have not been fully satisfied, could you please tell us what we missed or what we could do better next time?</w:t>
      </w:r>
    </w:p>
    <w:p w14:paraId="13B56566" w14:textId="77777777" w:rsidR="007C578C" w:rsidRPr="000A7545" w:rsidRDefault="007C578C" w:rsidP="007C578C">
      <w:pPr>
        <w:spacing w:after="0" w:line="240" w:lineRule="auto"/>
        <w:ind w:left="720"/>
        <w:rPr>
          <w:rFonts w:cs="Arial"/>
          <w:sz w:val="20"/>
          <w:szCs w:val="20"/>
        </w:rPr>
      </w:pPr>
    </w:p>
    <w:p w14:paraId="13B56567" w14:textId="77777777" w:rsidR="007C578C" w:rsidRPr="000A7545" w:rsidRDefault="007C578C" w:rsidP="007C578C">
      <w:pPr>
        <w:spacing w:after="0" w:line="240" w:lineRule="auto"/>
        <w:ind w:left="720"/>
        <w:rPr>
          <w:rFonts w:cs="Arial"/>
          <w:sz w:val="20"/>
          <w:szCs w:val="20"/>
        </w:rPr>
      </w:pPr>
      <w:r w:rsidRPr="000A7545">
        <w:rPr>
          <w:rFonts w:cs="Arial"/>
          <w:sz w:val="20"/>
          <w:szCs w:val="20"/>
        </w:rPr>
        <w:t>______________________________________________________________________________________________________________________________________________________________________________________________________________________________</w:t>
      </w:r>
    </w:p>
    <w:p w14:paraId="13B56568" w14:textId="77777777" w:rsidR="007C578C" w:rsidRPr="000A7545" w:rsidRDefault="007C578C" w:rsidP="007C578C">
      <w:pPr>
        <w:spacing w:after="0" w:line="240" w:lineRule="auto"/>
        <w:ind w:left="720"/>
        <w:rPr>
          <w:rFonts w:cs="Arial"/>
          <w:sz w:val="20"/>
          <w:szCs w:val="20"/>
        </w:rPr>
      </w:pPr>
    </w:p>
    <w:p w14:paraId="13B56569" w14:textId="77777777" w:rsidR="007C578C" w:rsidRPr="000A7545" w:rsidRDefault="007C578C" w:rsidP="007C578C">
      <w:pPr>
        <w:spacing w:after="0" w:line="240" w:lineRule="auto"/>
        <w:ind w:left="720"/>
        <w:rPr>
          <w:rFonts w:cs="Arial"/>
          <w:sz w:val="20"/>
          <w:szCs w:val="20"/>
        </w:rPr>
      </w:pPr>
    </w:p>
    <w:p w14:paraId="13B5656A" w14:textId="77777777" w:rsidR="007C578C" w:rsidRPr="000A7545" w:rsidRDefault="007C578C" w:rsidP="007C578C">
      <w:pPr>
        <w:spacing w:after="0" w:line="240" w:lineRule="auto"/>
        <w:rPr>
          <w:rFonts w:cs="Arial"/>
          <w:sz w:val="20"/>
          <w:szCs w:val="20"/>
        </w:rPr>
      </w:pPr>
    </w:p>
    <w:p w14:paraId="13B5656B" w14:textId="77777777" w:rsidR="007C578C" w:rsidRPr="000A7545" w:rsidRDefault="007C578C" w:rsidP="00697327">
      <w:pPr>
        <w:numPr>
          <w:ilvl w:val="0"/>
          <w:numId w:val="2"/>
        </w:numPr>
        <w:spacing w:after="0" w:line="240" w:lineRule="auto"/>
        <w:rPr>
          <w:rFonts w:cs="Arial"/>
          <w:sz w:val="20"/>
          <w:szCs w:val="20"/>
        </w:rPr>
      </w:pPr>
      <w:r w:rsidRPr="000A7545">
        <w:rPr>
          <w:rFonts w:cs="Arial"/>
          <w:sz w:val="20"/>
          <w:szCs w:val="20"/>
        </w:rPr>
        <w:t>To what extent did the fund utilization part of the report meet your reporting expectations?</w:t>
      </w:r>
    </w:p>
    <w:p w14:paraId="13B5656C" w14:textId="77777777" w:rsidR="007C578C" w:rsidRPr="000A7545" w:rsidRDefault="007C578C" w:rsidP="007C578C">
      <w:pPr>
        <w:spacing w:after="0" w:line="240" w:lineRule="auto"/>
        <w:rPr>
          <w:rFonts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5"/>
        <w:gridCol w:w="654"/>
        <w:gridCol w:w="655"/>
        <w:gridCol w:w="654"/>
        <w:gridCol w:w="655"/>
        <w:gridCol w:w="654"/>
        <w:gridCol w:w="655"/>
        <w:gridCol w:w="654"/>
        <w:gridCol w:w="655"/>
        <w:gridCol w:w="655"/>
      </w:tblGrid>
      <w:tr w:rsidR="007C578C" w:rsidRPr="000A7545" w14:paraId="13B56578" w14:textId="77777777" w:rsidTr="00594D91">
        <w:tc>
          <w:tcPr>
            <w:tcW w:w="654" w:type="dxa"/>
            <w:shd w:val="pct12" w:color="000000" w:fill="FFFFFF"/>
          </w:tcPr>
          <w:p w14:paraId="13B5656D"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5</w:t>
            </w:r>
          </w:p>
        </w:tc>
        <w:tc>
          <w:tcPr>
            <w:tcW w:w="655" w:type="dxa"/>
            <w:tcBorders>
              <w:top w:val="nil"/>
              <w:bottom w:val="nil"/>
            </w:tcBorders>
          </w:tcPr>
          <w:p w14:paraId="13B5656E"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6F"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4</w:t>
            </w:r>
          </w:p>
        </w:tc>
        <w:tc>
          <w:tcPr>
            <w:tcW w:w="655" w:type="dxa"/>
            <w:tcBorders>
              <w:top w:val="nil"/>
              <w:bottom w:val="nil"/>
            </w:tcBorders>
          </w:tcPr>
          <w:p w14:paraId="13B56570"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71"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3</w:t>
            </w:r>
          </w:p>
        </w:tc>
        <w:tc>
          <w:tcPr>
            <w:tcW w:w="655" w:type="dxa"/>
            <w:tcBorders>
              <w:top w:val="nil"/>
              <w:bottom w:val="nil"/>
            </w:tcBorders>
          </w:tcPr>
          <w:p w14:paraId="13B56572"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73"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2</w:t>
            </w:r>
          </w:p>
        </w:tc>
        <w:tc>
          <w:tcPr>
            <w:tcW w:w="655" w:type="dxa"/>
            <w:tcBorders>
              <w:top w:val="nil"/>
              <w:bottom w:val="nil"/>
            </w:tcBorders>
          </w:tcPr>
          <w:p w14:paraId="13B56574"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75"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1</w:t>
            </w:r>
          </w:p>
        </w:tc>
        <w:tc>
          <w:tcPr>
            <w:tcW w:w="655" w:type="dxa"/>
            <w:tcBorders>
              <w:top w:val="nil"/>
              <w:bottom w:val="nil"/>
            </w:tcBorders>
          </w:tcPr>
          <w:p w14:paraId="13B56576" w14:textId="77777777" w:rsidR="007C578C" w:rsidRPr="000A7545" w:rsidRDefault="007C578C" w:rsidP="00594D91">
            <w:pPr>
              <w:spacing w:after="0" w:line="240" w:lineRule="auto"/>
              <w:jc w:val="center"/>
              <w:rPr>
                <w:rFonts w:cs="Arial"/>
                <w:b/>
                <w:sz w:val="20"/>
                <w:szCs w:val="20"/>
              </w:rPr>
            </w:pPr>
          </w:p>
        </w:tc>
        <w:tc>
          <w:tcPr>
            <w:tcW w:w="655" w:type="dxa"/>
            <w:shd w:val="pct12" w:color="000000" w:fill="FFFFFF"/>
          </w:tcPr>
          <w:p w14:paraId="13B56577"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0</w:t>
            </w:r>
          </w:p>
        </w:tc>
      </w:tr>
      <w:tr w:rsidR="007C578C" w:rsidRPr="000A7545" w14:paraId="13B56584" w14:textId="77777777" w:rsidTr="00594D91">
        <w:tc>
          <w:tcPr>
            <w:tcW w:w="654" w:type="dxa"/>
          </w:tcPr>
          <w:p w14:paraId="13B56579"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7A" w14:textId="77777777" w:rsidR="007C578C" w:rsidRPr="000A7545" w:rsidRDefault="007C578C" w:rsidP="00594D91">
            <w:pPr>
              <w:spacing w:after="0" w:line="240" w:lineRule="auto"/>
              <w:jc w:val="center"/>
              <w:rPr>
                <w:rFonts w:cs="Arial"/>
                <w:b/>
                <w:sz w:val="20"/>
                <w:szCs w:val="20"/>
              </w:rPr>
            </w:pPr>
          </w:p>
        </w:tc>
        <w:tc>
          <w:tcPr>
            <w:tcW w:w="654" w:type="dxa"/>
          </w:tcPr>
          <w:p w14:paraId="13B5657B"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7C" w14:textId="77777777" w:rsidR="007C578C" w:rsidRPr="000A7545" w:rsidRDefault="007C578C" w:rsidP="00594D91">
            <w:pPr>
              <w:spacing w:after="0" w:line="240" w:lineRule="auto"/>
              <w:jc w:val="center"/>
              <w:rPr>
                <w:rFonts w:cs="Arial"/>
                <w:b/>
                <w:sz w:val="20"/>
                <w:szCs w:val="20"/>
              </w:rPr>
            </w:pPr>
          </w:p>
        </w:tc>
        <w:tc>
          <w:tcPr>
            <w:tcW w:w="654" w:type="dxa"/>
          </w:tcPr>
          <w:p w14:paraId="13B5657D"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7E" w14:textId="77777777" w:rsidR="007C578C" w:rsidRPr="000A7545" w:rsidRDefault="007C578C" w:rsidP="00594D91">
            <w:pPr>
              <w:spacing w:after="0" w:line="240" w:lineRule="auto"/>
              <w:jc w:val="center"/>
              <w:rPr>
                <w:rFonts w:cs="Arial"/>
                <w:b/>
                <w:sz w:val="20"/>
                <w:szCs w:val="20"/>
              </w:rPr>
            </w:pPr>
          </w:p>
        </w:tc>
        <w:tc>
          <w:tcPr>
            <w:tcW w:w="654" w:type="dxa"/>
          </w:tcPr>
          <w:p w14:paraId="13B5657F"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80" w14:textId="77777777" w:rsidR="007C578C" w:rsidRPr="000A7545" w:rsidRDefault="007C578C" w:rsidP="00594D91">
            <w:pPr>
              <w:spacing w:after="0" w:line="240" w:lineRule="auto"/>
              <w:jc w:val="center"/>
              <w:rPr>
                <w:rFonts w:cs="Arial"/>
                <w:b/>
                <w:sz w:val="20"/>
                <w:szCs w:val="20"/>
              </w:rPr>
            </w:pPr>
          </w:p>
        </w:tc>
        <w:tc>
          <w:tcPr>
            <w:tcW w:w="654" w:type="dxa"/>
          </w:tcPr>
          <w:p w14:paraId="13B56581"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82" w14:textId="77777777" w:rsidR="007C578C" w:rsidRPr="000A7545" w:rsidRDefault="007C578C" w:rsidP="00594D91">
            <w:pPr>
              <w:spacing w:after="0" w:line="240" w:lineRule="auto"/>
              <w:jc w:val="center"/>
              <w:rPr>
                <w:rFonts w:cs="Arial"/>
                <w:b/>
                <w:sz w:val="20"/>
                <w:szCs w:val="20"/>
              </w:rPr>
            </w:pPr>
          </w:p>
        </w:tc>
        <w:tc>
          <w:tcPr>
            <w:tcW w:w="655" w:type="dxa"/>
          </w:tcPr>
          <w:p w14:paraId="13B56583" w14:textId="77777777" w:rsidR="007C578C" w:rsidRPr="000A7545" w:rsidRDefault="007C578C" w:rsidP="00594D91">
            <w:pPr>
              <w:spacing w:after="0" w:line="240" w:lineRule="auto"/>
              <w:jc w:val="center"/>
              <w:rPr>
                <w:rFonts w:cs="Arial"/>
                <w:b/>
                <w:sz w:val="20"/>
                <w:szCs w:val="20"/>
              </w:rPr>
            </w:pPr>
          </w:p>
        </w:tc>
      </w:tr>
    </w:tbl>
    <w:p w14:paraId="13B56585" w14:textId="77777777" w:rsidR="007C578C" w:rsidRPr="000A7545" w:rsidRDefault="007C578C" w:rsidP="007C578C">
      <w:pPr>
        <w:spacing w:after="0" w:line="240" w:lineRule="auto"/>
        <w:rPr>
          <w:rFonts w:cs="Arial"/>
          <w:sz w:val="20"/>
          <w:szCs w:val="20"/>
        </w:rPr>
      </w:pPr>
    </w:p>
    <w:p w14:paraId="13B56586" w14:textId="77777777" w:rsidR="007C578C" w:rsidRPr="000A7545" w:rsidRDefault="007C578C" w:rsidP="007C578C">
      <w:pPr>
        <w:spacing w:after="0" w:line="240" w:lineRule="auto"/>
        <w:rPr>
          <w:rFonts w:cs="Arial"/>
          <w:sz w:val="20"/>
          <w:szCs w:val="20"/>
        </w:rPr>
      </w:pPr>
    </w:p>
    <w:p w14:paraId="13B56587" w14:textId="77777777" w:rsidR="007C578C" w:rsidRPr="000A7545" w:rsidRDefault="007C578C" w:rsidP="007C578C">
      <w:pPr>
        <w:spacing w:after="0" w:line="240" w:lineRule="auto"/>
        <w:ind w:left="720"/>
        <w:rPr>
          <w:rFonts w:cs="Arial"/>
          <w:sz w:val="20"/>
          <w:szCs w:val="20"/>
        </w:rPr>
      </w:pPr>
      <w:r w:rsidRPr="000A7545">
        <w:rPr>
          <w:rFonts w:cs="Arial"/>
          <w:sz w:val="20"/>
          <w:szCs w:val="20"/>
        </w:rPr>
        <w:t>If you have not been fully satisfied, could you please tell us what we missed or what we could do better next time?</w:t>
      </w:r>
    </w:p>
    <w:p w14:paraId="13B56588" w14:textId="77777777" w:rsidR="007C578C" w:rsidRPr="000A7545" w:rsidRDefault="007C578C" w:rsidP="007C578C">
      <w:pPr>
        <w:spacing w:after="0" w:line="240" w:lineRule="auto"/>
        <w:ind w:left="720"/>
        <w:rPr>
          <w:rFonts w:cs="Arial"/>
          <w:sz w:val="20"/>
          <w:szCs w:val="20"/>
        </w:rPr>
      </w:pPr>
    </w:p>
    <w:p w14:paraId="13B56589" w14:textId="77777777" w:rsidR="007C578C" w:rsidRPr="000A7545" w:rsidRDefault="007C578C" w:rsidP="007C578C">
      <w:pPr>
        <w:spacing w:after="0" w:line="240" w:lineRule="auto"/>
        <w:ind w:left="720"/>
        <w:rPr>
          <w:rFonts w:cs="Arial"/>
          <w:sz w:val="20"/>
          <w:szCs w:val="20"/>
        </w:rPr>
      </w:pPr>
      <w:r w:rsidRPr="000A7545">
        <w:rPr>
          <w:rFonts w:cs="Arial"/>
          <w:sz w:val="20"/>
          <w:szCs w:val="20"/>
        </w:rPr>
        <w:t>______________________________________________________________________________________________________________________________________________________________________________________________________________________________</w:t>
      </w:r>
    </w:p>
    <w:p w14:paraId="13B5658A" w14:textId="77777777" w:rsidR="007C578C" w:rsidRPr="000A7545" w:rsidRDefault="007C578C" w:rsidP="007C578C">
      <w:pPr>
        <w:spacing w:after="0" w:line="240" w:lineRule="auto"/>
        <w:rPr>
          <w:rFonts w:cs="Arial"/>
          <w:sz w:val="20"/>
          <w:szCs w:val="20"/>
        </w:rPr>
      </w:pPr>
    </w:p>
    <w:p w14:paraId="13B5658B" w14:textId="77777777" w:rsidR="007C578C" w:rsidRPr="000A7545" w:rsidRDefault="007C578C" w:rsidP="007C578C">
      <w:pPr>
        <w:spacing w:after="0" w:line="240" w:lineRule="auto"/>
        <w:rPr>
          <w:rFonts w:cs="Arial"/>
          <w:sz w:val="20"/>
          <w:szCs w:val="20"/>
        </w:rPr>
      </w:pPr>
    </w:p>
    <w:p w14:paraId="13B5658C" w14:textId="77777777" w:rsidR="007C578C" w:rsidRPr="000A7545" w:rsidRDefault="007C578C" w:rsidP="007C578C">
      <w:pPr>
        <w:tabs>
          <w:tab w:val="left" w:pos="5220"/>
        </w:tabs>
        <w:spacing w:after="0" w:line="240" w:lineRule="auto"/>
        <w:ind w:right="180"/>
        <w:rPr>
          <w:rFonts w:cs="Arial"/>
          <w:sz w:val="20"/>
          <w:szCs w:val="20"/>
        </w:rPr>
      </w:pPr>
    </w:p>
    <w:p w14:paraId="13B5658D" w14:textId="77777777" w:rsidR="007C578C" w:rsidRPr="000A7545" w:rsidRDefault="007C578C" w:rsidP="007C578C">
      <w:pPr>
        <w:tabs>
          <w:tab w:val="left" w:pos="5220"/>
        </w:tabs>
        <w:spacing w:after="0" w:line="240" w:lineRule="auto"/>
        <w:ind w:right="180"/>
        <w:rPr>
          <w:rFonts w:cs="Arial"/>
          <w:sz w:val="20"/>
          <w:szCs w:val="20"/>
        </w:rPr>
      </w:pPr>
    </w:p>
    <w:p w14:paraId="13B5658E" w14:textId="77777777" w:rsidR="007C578C" w:rsidRPr="000A7545" w:rsidRDefault="007C578C" w:rsidP="007C578C">
      <w:pPr>
        <w:tabs>
          <w:tab w:val="left" w:pos="5220"/>
        </w:tabs>
        <w:spacing w:after="0" w:line="240" w:lineRule="auto"/>
        <w:ind w:right="180"/>
        <w:rPr>
          <w:rFonts w:cs="Arial"/>
          <w:sz w:val="20"/>
          <w:szCs w:val="20"/>
        </w:rPr>
      </w:pPr>
    </w:p>
    <w:p w14:paraId="13B5658F" w14:textId="77777777" w:rsidR="007C578C" w:rsidRPr="000A7545" w:rsidRDefault="007C578C" w:rsidP="00697327">
      <w:pPr>
        <w:numPr>
          <w:ilvl w:val="0"/>
          <w:numId w:val="2"/>
        </w:numPr>
        <w:tabs>
          <w:tab w:val="left" w:pos="5220"/>
        </w:tabs>
        <w:spacing w:after="0" w:line="240" w:lineRule="auto"/>
        <w:ind w:right="180"/>
        <w:rPr>
          <w:rFonts w:cs="Arial"/>
          <w:sz w:val="20"/>
          <w:szCs w:val="20"/>
        </w:rPr>
      </w:pPr>
      <w:r w:rsidRPr="000A7545">
        <w:rPr>
          <w:rFonts w:cs="Arial"/>
          <w:sz w:val="20"/>
          <w:szCs w:val="20"/>
        </w:rPr>
        <w:t xml:space="preserve">To what extent does the report meet your expectations in regard to the analysis provided, including identification of difficulties and shortcomings as well as remedies to these? </w:t>
      </w:r>
    </w:p>
    <w:p w14:paraId="13B56590" w14:textId="77777777" w:rsidR="007C578C" w:rsidRPr="000A7545" w:rsidRDefault="007C578C" w:rsidP="007C578C">
      <w:pPr>
        <w:tabs>
          <w:tab w:val="left" w:pos="5220"/>
        </w:tabs>
        <w:spacing w:after="0" w:line="240" w:lineRule="auto"/>
        <w:ind w:right="180"/>
        <w:rPr>
          <w:rFonts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5"/>
        <w:gridCol w:w="654"/>
        <w:gridCol w:w="655"/>
        <w:gridCol w:w="654"/>
        <w:gridCol w:w="655"/>
        <w:gridCol w:w="654"/>
        <w:gridCol w:w="655"/>
        <w:gridCol w:w="654"/>
        <w:gridCol w:w="655"/>
        <w:gridCol w:w="655"/>
      </w:tblGrid>
      <w:tr w:rsidR="007C578C" w:rsidRPr="000A7545" w14:paraId="13B5659C" w14:textId="77777777" w:rsidTr="00594D91">
        <w:tc>
          <w:tcPr>
            <w:tcW w:w="654" w:type="dxa"/>
            <w:shd w:val="pct12" w:color="000000" w:fill="FFFFFF"/>
          </w:tcPr>
          <w:p w14:paraId="13B56591"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5</w:t>
            </w:r>
          </w:p>
        </w:tc>
        <w:tc>
          <w:tcPr>
            <w:tcW w:w="655" w:type="dxa"/>
            <w:tcBorders>
              <w:top w:val="nil"/>
              <w:bottom w:val="nil"/>
            </w:tcBorders>
          </w:tcPr>
          <w:p w14:paraId="13B56592"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93"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4</w:t>
            </w:r>
          </w:p>
        </w:tc>
        <w:tc>
          <w:tcPr>
            <w:tcW w:w="655" w:type="dxa"/>
            <w:tcBorders>
              <w:top w:val="nil"/>
              <w:bottom w:val="nil"/>
            </w:tcBorders>
          </w:tcPr>
          <w:p w14:paraId="13B56594"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95"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3</w:t>
            </w:r>
          </w:p>
        </w:tc>
        <w:tc>
          <w:tcPr>
            <w:tcW w:w="655" w:type="dxa"/>
            <w:tcBorders>
              <w:top w:val="nil"/>
              <w:bottom w:val="nil"/>
            </w:tcBorders>
          </w:tcPr>
          <w:p w14:paraId="13B56596"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97"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2</w:t>
            </w:r>
          </w:p>
        </w:tc>
        <w:tc>
          <w:tcPr>
            <w:tcW w:w="655" w:type="dxa"/>
            <w:tcBorders>
              <w:top w:val="nil"/>
              <w:bottom w:val="nil"/>
            </w:tcBorders>
          </w:tcPr>
          <w:p w14:paraId="13B56598"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99"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1</w:t>
            </w:r>
          </w:p>
        </w:tc>
        <w:tc>
          <w:tcPr>
            <w:tcW w:w="655" w:type="dxa"/>
            <w:tcBorders>
              <w:top w:val="nil"/>
              <w:bottom w:val="nil"/>
            </w:tcBorders>
          </w:tcPr>
          <w:p w14:paraId="13B5659A" w14:textId="77777777" w:rsidR="007C578C" w:rsidRPr="000A7545" w:rsidRDefault="007C578C" w:rsidP="00594D91">
            <w:pPr>
              <w:spacing w:after="0" w:line="240" w:lineRule="auto"/>
              <w:jc w:val="center"/>
              <w:rPr>
                <w:rFonts w:cs="Arial"/>
                <w:b/>
                <w:sz w:val="20"/>
                <w:szCs w:val="20"/>
              </w:rPr>
            </w:pPr>
          </w:p>
        </w:tc>
        <w:tc>
          <w:tcPr>
            <w:tcW w:w="655" w:type="dxa"/>
            <w:shd w:val="pct12" w:color="000000" w:fill="FFFFFF"/>
          </w:tcPr>
          <w:p w14:paraId="13B5659B"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0</w:t>
            </w:r>
          </w:p>
        </w:tc>
      </w:tr>
      <w:tr w:rsidR="007C578C" w:rsidRPr="000A7545" w14:paraId="13B565A8" w14:textId="77777777" w:rsidTr="00594D91">
        <w:tc>
          <w:tcPr>
            <w:tcW w:w="654" w:type="dxa"/>
          </w:tcPr>
          <w:p w14:paraId="13B5659D"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9E" w14:textId="77777777" w:rsidR="007C578C" w:rsidRPr="000A7545" w:rsidRDefault="007C578C" w:rsidP="00594D91">
            <w:pPr>
              <w:spacing w:after="0" w:line="240" w:lineRule="auto"/>
              <w:jc w:val="center"/>
              <w:rPr>
                <w:rFonts w:cs="Arial"/>
                <w:b/>
                <w:sz w:val="20"/>
                <w:szCs w:val="20"/>
              </w:rPr>
            </w:pPr>
          </w:p>
        </w:tc>
        <w:tc>
          <w:tcPr>
            <w:tcW w:w="654" w:type="dxa"/>
          </w:tcPr>
          <w:p w14:paraId="13B5659F"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A0" w14:textId="77777777" w:rsidR="007C578C" w:rsidRPr="000A7545" w:rsidRDefault="007C578C" w:rsidP="00594D91">
            <w:pPr>
              <w:spacing w:after="0" w:line="240" w:lineRule="auto"/>
              <w:jc w:val="center"/>
              <w:rPr>
                <w:rFonts w:cs="Arial"/>
                <w:b/>
                <w:sz w:val="20"/>
                <w:szCs w:val="20"/>
              </w:rPr>
            </w:pPr>
          </w:p>
        </w:tc>
        <w:tc>
          <w:tcPr>
            <w:tcW w:w="654" w:type="dxa"/>
          </w:tcPr>
          <w:p w14:paraId="13B565A1"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A2" w14:textId="77777777" w:rsidR="007C578C" w:rsidRPr="000A7545" w:rsidRDefault="007C578C" w:rsidP="00594D91">
            <w:pPr>
              <w:spacing w:after="0" w:line="240" w:lineRule="auto"/>
              <w:jc w:val="center"/>
              <w:rPr>
                <w:rFonts w:cs="Arial"/>
                <w:b/>
                <w:sz w:val="20"/>
                <w:szCs w:val="20"/>
              </w:rPr>
            </w:pPr>
          </w:p>
        </w:tc>
        <w:tc>
          <w:tcPr>
            <w:tcW w:w="654" w:type="dxa"/>
          </w:tcPr>
          <w:p w14:paraId="13B565A3"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A4" w14:textId="77777777" w:rsidR="007C578C" w:rsidRPr="000A7545" w:rsidRDefault="007C578C" w:rsidP="00594D91">
            <w:pPr>
              <w:spacing w:after="0" w:line="240" w:lineRule="auto"/>
              <w:jc w:val="center"/>
              <w:rPr>
                <w:rFonts w:cs="Arial"/>
                <w:b/>
                <w:sz w:val="20"/>
                <w:szCs w:val="20"/>
              </w:rPr>
            </w:pPr>
          </w:p>
        </w:tc>
        <w:tc>
          <w:tcPr>
            <w:tcW w:w="654" w:type="dxa"/>
          </w:tcPr>
          <w:p w14:paraId="13B565A5"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A6" w14:textId="77777777" w:rsidR="007C578C" w:rsidRPr="000A7545" w:rsidRDefault="007C578C" w:rsidP="00594D91">
            <w:pPr>
              <w:spacing w:after="0" w:line="240" w:lineRule="auto"/>
              <w:jc w:val="center"/>
              <w:rPr>
                <w:rFonts w:cs="Arial"/>
                <w:b/>
                <w:sz w:val="20"/>
                <w:szCs w:val="20"/>
              </w:rPr>
            </w:pPr>
          </w:p>
        </w:tc>
        <w:tc>
          <w:tcPr>
            <w:tcW w:w="655" w:type="dxa"/>
          </w:tcPr>
          <w:p w14:paraId="13B565A7" w14:textId="77777777" w:rsidR="007C578C" w:rsidRPr="000A7545" w:rsidRDefault="007C578C" w:rsidP="00594D91">
            <w:pPr>
              <w:spacing w:after="0" w:line="240" w:lineRule="auto"/>
              <w:jc w:val="center"/>
              <w:rPr>
                <w:rFonts w:cs="Arial"/>
                <w:b/>
                <w:sz w:val="20"/>
                <w:szCs w:val="20"/>
              </w:rPr>
            </w:pPr>
          </w:p>
        </w:tc>
      </w:tr>
    </w:tbl>
    <w:p w14:paraId="13B565A9" w14:textId="77777777" w:rsidR="007C578C" w:rsidRPr="000A7545" w:rsidRDefault="007C578C" w:rsidP="007C578C">
      <w:pPr>
        <w:tabs>
          <w:tab w:val="left" w:pos="5220"/>
        </w:tabs>
        <w:spacing w:after="0" w:line="240" w:lineRule="auto"/>
        <w:ind w:right="180"/>
        <w:rPr>
          <w:rFonts w:cs="Arial"/>
          <w:sz w:val="20"/>
          <w:szCs w:val="20"/>
        </w:rPr>
      </w:pPr>
    </w:p>
    <w:p w14:paraId="13B565AA" w14:textId="77777777" w:rsidR="007C578C" w:rsidRPr="000A7545" w:rsidRDefault="007C578C" w:rsidP="007C578C">
      <w:pPr>
        <w:spacing w:after="0" w:line="240" w:lineRule="auto"/>
        <w:ind w:left="720"/>
        <w:rPr>
          <w:rFonts w:cs="Arial"/>
          <w:sz w:val="20"/>
          <w:szCs w:val="20"/>
        </w:rPr>
      </w:pPr>
      <w:r w:rsidRPr="000A7545">
        <w:rPr>
          <w:rFonts w:cs="Arial"/>
          <w:sz w:val="20"/>
          <w:szCs w:val="20"/>
        </w:rPr>
        <w:t>If you have not been fully satisfied, could you please tell us what we missed or what we could do better next time?</w:t>
      </w:r>
    </w:p>
    <w:p w14:paraId="13B565AB" w14:textId="77777777" w:rsidR="007C578C" w:rsidRPr="000A7545" w:rsidRDefault="007C578C" w:rsidP="007C578C">
      <w:pPr>
        <w:spacing w:after="0" w:line="240" w:lineRule="auto"/>
        <w:ind w:left="720"/>
        <w:rPr>
          <w:rFonts w:cs="Arial"/>
          <w:sz w:val="20"/>
          <w:szCs w:val="20"/>
        </w:rPr>
      </w:pPr>
    </w:p>
    <w:p w14:paraId="13B565AC" w14:textId="77777777" w:rsidR="007C578C" w:rsidRPr="000A7545" w:rsidRDefault="007C578C" w:rsidP="007C578C">
      <w:pPr>
        <w:spacing w:after="0" w:line="240" w:lineRule="auto"/>
        <w:ind w:left="720"/>
        <w:rPr>
          <w:rFonts w:cs="Arial"/>
          <w:sz w:val="20"/>
          <w:szCs w:val="20"/>
        </w:rPr>
      </w:pPr>
      <w:r w:rsidRPr="000A7545">
        <w:rPr>
          <w:rFonts w:cs="Arial"/>
          <w:sz w:val="20"/>
          <w:szCs w:val="20"/>
        </w:rPr>
        <w:t>______________________________________________________________________________________________________________________________________________________________________________________________________________________________</w:t>
      </w:r>
    </w:p>
    <w:p w14:paraId="13B565AD" w14:textId="77777777" w:rsidR="007C578C" w:rsidRPr="000A7545" w:rsidRDefault="007C578C" w:rsidP="007C578C">
      <w:pPr>
        <w:spacing w:after="0" w:line="240" w:lineRule="auto"/>
        <w:ind w:left="720"/>
        <w:rPr>
          <w:rFonts w:cs="Arial"/>
          <w:sz w:val="20"/>
          <w:szCs w:val="20"/>
        </w:rPr>
      </w:pPr>
    </w:p>
    <w:p w14:paraId="13B565AE" w14:textId="77777777" w:rsidR="007C578C" w:rsidRPr="000A7545" w:rsidRDefault="007C578C" w:rsidP="007C578C">
      <w:pPr>
        <w:tabs>
          <w:tab w:val="left" w:pos="5220"/>
        </w:tabs>
        <w:spacing w:after="0" w:line="240" w:lineRule="auto"/>
        <w:ind w:right="180"/>
        <w:rPr>
          <w:rFonts w:cs="Arial"/>
          <w:sz w:val="20"/>
          <w:szCs w:val="20"/>
        </w:rPr>
      </w:pPr>
    </w:p>
    <w:p w14:paraId="13B565AF" w14:textId="77777777" w:rsidR="007C578C" w:rsidRPr="000A7545" w:rsidRDefault="007C578C" w:rsidP="007C578C">
      <w:pPr>
        <w:tabs>
          <w:tab w:val="left" w:pos="5220"/>
        </w:tabs>
        <w:spacing w:after="0" w:line="240" w:lineRule="auto"/>
        <w:ind w:right="180"/>
        <w:rPr>
          <w:rFonts w:cs="Arial"/>
          <w:sz w:val="20"/>
          <w:szCs w:val="20"/>
        </w:rPr>
      </w:pPr>
    </w:p>
    <w:p w14:paraId="13B565B0" w14:textId="77777777" w:rsidR="007C578C" w:rsidRPr="000A7545" w:rsidRDefault="007C578C" w:rsidP="00697327">
      <w:pPr>
        <w:numPr>
          <w:ilvl w:val="0"/>
          <w:numId w:val="2"/>
        </w:numPr>
        <w:tabs>
          <w:tab w:val="left" w:pos="5220"/>
        </w:tabs>
        <w:spacing w:after="0" w:line="240" w:lineRule="auto"/>
        <w:ind w:right="180"/>
        <w:rPr>
          <w:rFonts w:cs="Arial"/>
          <w:sz w:val="20"/>
          <w:szCs w:val="20"/>
        </w:rPr>
      </w:pPr>
      <w:r w:rsidRPr="000A7545">
        <w:rPr>
          <w:rFonts w:cs="Arial"/>
          <w:sz w:val="20"/>
          <w:szCs w:val="20"/>
        </w:rPr>
        <w:t>To what extent does the report meet your expectations with regard to reporting on results?</w:t>
      </w:r>
    </w:p>
    <w:p w14:paraId="13B565B1" w14:textId="77777777" w:rsidR="007C578C" w:rsidRPr="000A7545" w:rsidRDefault="007C578C" w:rsidP="007C578C">
      <w:pPr>
        <w:spacing w:after="0" w:line="240" w:lineRule="auto"/>
        <w:rPr>
          <w:rFonts w:cs="Arial"/>
          <w:sz w:val="20"/>
          <w:szCs w:val="20"/>
        </w:rPr>
      </w:pPr>
    </w:p>
    <w:p w14:paraId="13B565B2" w14:textId="77777777" w:rsidR="007C578C" w:rsidRPr="000A7545" w:rsidRDefault="007C578C" w:rsidP="007C578C">
      <w:pPr>
        <w:spacing w:after="0" w:line="240" w:lineRule="auto"/>
        <w:ind w:left="360"/>
        <w:rPr>
          <w:rFonts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5"/>
        <w:gridCol w:w="654"/>
        <w:gridCol w:w="655"/>
        <w:gridCol w:w="654"/>
        <w:gridCol w:w="655"/>
        <w:gridCol w:w="654"/>
        <w:gridCol w:w="655"/>
        <w:gridCol w:w="654"/>
        <w:gridCol w:w="655"/>
        <w:gridCol w:w="655"/>
      </w:tblGrid>
      <w:tr w:rsidR="007C578C" w:rsidRPr="000A7545" w14:paraId="13B565BE" w14:textId="77777777" w:rsidTr="00594D91">
        <w:tc>
          <w:tcPr>
            <w:tcW w:w="654" w:type="dxa"/>
            <w:shd w:val="pct12" w:color="000000" w:fill="FFFFFF"/>
          </w:tcPr>
          <w:p w14:paraId="13B565B3"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5</w:t>
            </w:r>
          </w:p>
        </w:tc>
        <w:tc>
          <w:tcPr>
            <w:tcW w:w="655" w:type="dxa"/>
            <w:tcBorders>
              <w:top w:val="nil"/>
              <w:bottom w:val="nil"/>
            </w:tcBorders>
          </w:tcPr>
          <w:p w14:paraId="13B565B4"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B5"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4</w:t>
            </w:r>
          </w:p>
        </w:tc>
        <w:tc>
          <w:tcPr>
            <w:tcW w:w="655" w:type="dxa"/>
            <w:tcBorders>
              <w:top w:val="nil"/>
              <w:bottom w:val="nil"/>
            </w:tcBorders>
          </w:tcPr>
          <w:p w14:paraId="13B565B6"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B7"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3</w:t>
            </w:r>
          </w:p>
        </w:tc>
        <w:tc>
          <w:tcPr>
            <w:tcW w:w="655" w:type="dxa"/>
            <w:tcBorders>
              <w:top w:val="nil"/>
              <w:bottom w:val="nil"/>
            </w:tcBorders>
          </w:tcPr>
          <w:p w14:paraId="13B565B8"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B9"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2</w:t>
            </w:r>
          </w:p>
        </w:tc>
        <w:tc>
          <w:tcPr>
            <w:tcW w:w="655" w:type="dxa"/>
            <w:tcBorders>
              <w:top w:val="nil"/>
              <w:bottom w:val="nil"/>
            </w:tcBorders>
          </w:tcPr>
          <w:p w14:paraId="13B565BA" w14:textId="77777777" w:rsidR="007C578C" w:rsidRPr="000A7545" w:rsidRDefault="007C578C" w:rsidP="00594D91">
            <w:pPr>
              <w:spacing w:after="0" w:line="240" w:lineRule="auto"/>
              <w:jc w:val="center"/>
              <w:rPr>
                <w:rFonts w:cs="Arial"/>
                <w:b/>
                <w:sz w:val="20"/>
                <w:szCs w:val="20"/>
              </w:rPr>
            </w:pPr>
          </w:p>
        </w:tc>
        <w:tc>
          <w:tcPr>
            <w:tcW w:w="654" w:type="dxa"/>
            <w:shd w:val="pct12" w:color="000000" w:fill="FFFFFF"/>
          </w:tcPr>
          <w:p w14:paraId="13B565BB"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1</w:t>
            </w:r>
          </w:p>
        </w:tc>
        <w:tc>
          <w:tcPr>
            <w:tcW w:w="655" w:type="dxa"/>
            <w:tcBorders>
              <w:top w:val="nil"/>
              <w:bottom w:val="nil"/>
            </w:tcBorders>
          </w:tcPr>
          <w:p w14:paraId="13B565BC" w14:textId="77777777" w:rsidR="007C578C" w:rsidRPr="000A7545" w:rsidRDefault="007C578C" w:rsidP="00594D91">
            <w:pPr>
              <w:spacing w:after="0" w:line="240" w:lineRule="auto"/>
              <w:jc w:val="center"/>
              <w:rPr>
                <w:rFonts w:cs="Arial"/>
                <w:b/>
                <w:sz w:val="20"/>
                <w:szCs w:val="20"/>
              </w:rPr>
            </w:pPr>
          </w:p>
        </w:tc>
        <w:tc>
          <w:tcPr>
            <w:tcW w:w="655" w:type="dxa"/>
            <w:shd w:val="pct12" w:color="000000" w:fill="FFFFFF"/>
          </w:tcPr>
          <w:p w14:paraId="13B565BD" w14:textId="77777777" w:rsidR="007C578C" w:rsidRPr="000A7545" w:rsidRDefault="007C578C" w:rsidP="00594D91">
            <w:pPr>
              <w:spacing w:after="0" w:line="240" w:lineRule="auto"/>
              <w:jc w:val="center"/>
              <w:rPr>
                <w:rFonts w:cs="Arial"/>
                <w:b/>
                <w:sz w:val="20"/>
                <w:szCs w:val="20"/>
              </w:rPr>
            </w:pPr>
            <w:r w:rsidRPr="000A7545">
              <w:rPr>
                <w:rFonts w:cs="Arial"/>
                <w:b/>
                <w:sz w:val="20"/>
                <w:szCs w:val="20"/>
              </w:rPr>
              <w:t>0</w:t>
            </w:r>
          </w:p>
        </w:tc>
      </w:tr>
      <w:tr w:rsidR="007C578C" w:rsidRPr="000A7545" w14:paraId="13B565CA" w14:textId="77777777" w:rsidTr="00594D91">
        <w:tc>
          <w:tcPr>
            <w:tcW w:w="654" w:type="dxa"/>
          </w:tcPr>
          <w:p w14:paraId="13B565BF"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C0" w14:textId="77777777" w:rsidR="007C578C" w:rsidRPr="000A7545" w:rsidRDefault="007C578C" w:rsidP="00594D91">
            <w:pPr>
              <w:spacing w:after="0" w:line="240" w:lineRule="auto"/>
              <w:jc w:val="center"/>
              <w:rPr>
                <w:rFonts w:cs="Arial"/>
                <w:b/>
                <w:sz w:val="20"/>
                <w:szCs w:val="20"/>
              </w:rPr>
            </w:pPr>
          </w:p>
        </w:tc>
        <w:tc>
          <w:tcPr>
            <w:tcW w:w="654" w:type="dxa"/>
          </w:tcPr>
          <w:p w14:paraId="13B565C1"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C2" w14:textId="77777777" w:rsidR="007C578C" w:rsidRPr="000A7545" w:rsidRDefault="007C578C" w:rsidP="00594D91">
            <w:pPr>
              <w:spacing w:after="0" w:line="240" w:lineRule="auto"/>
              <w:jc w:val="center"/>
              <w:rPr>
                <w:rFonts w:cs="Arial"/>
                <w:b/>
                <w:sz w:val="20"/>
                <w:szCs w:val="20"/>
              </w:rPr>
            </w:pPr>
          </w:p>
        </w:tc>
        <w:tc>
          <w:tcPr>
            <w:tcW w:w="654" w:type="dxa"/>
          </w:tcPr>
          <w:p w14:paraId="13B565C3"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C4" w14:textId="77777777" w:rsidR="007C578C" w:rsidRPr="000A7545" w:rsidRDefault="007C578C" w:rsidP="00594D91">
            <w:pPr>
              <w:spacing w:after="0" w:line="240" w:lineRule="auto"/>
              <w:jc w:val="center"/>
              <w:rPr>
                <w:rFonts w:cs="Arial"/>
                <w:b/>
                <w:sz w:val="20"/>
                <w:szCs w:val="20"/>
              </w:rPr>
            </w:pPr>
          </w:p>
        </w:tc>
        <w:tc>
          <w:tcPr>
            <w:tcW w:w="654" w:type="dxa"/>
          </w:tcPr>
          <w:p w14:paraId="13B565C5"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C6" w14:textId="77777777" w:rsidR="007C578C" w:rsidRPr="000A7545" w:rsidRDefault="007C578C" w:rsidP="00594D91">
            <w:pPr>
              <w:spacing w:after="0" w:line="240" w:lineRule="auto"/>
              <w:jc w:val="center"/>
              <w:rPr>
                <w:rFonts w:cs="Arial"/>
                <w:b/>
                <w:sz w:val="20"/>
                <w:szCs w:val="20"/>
              </w:rPr>
            </w:pPr>
          </w:p>
        </w:tc>
        <w:tc>
          <w:tcPr>
            <w:tcW w:w="654" w:type="dxa"/>
          </w:tcPr>
          <w:p w14:paraId="13B565C7" w14:textId="77777777" w:rsidR="007C578C" w:rsidRPr="000A7545" w:rsidRDefault="007C578C" w:rsidP="00594D91">
            <w:pPr>
              <w:spacing w:after="0" w:line="240" w:lineRule="auto"/>
              <w:jc w:val="center"/>
              <w:rPr>
                <w:rFonts w:cs="Arial"/>
                <w:b/>
                <w:sz w:val="20"/>
                <w:szCs w:val="20"/>
              </w:rPr>
            </w:pPr>
          </w:p>
        </w:tc>
        <w:tc>
          <w:tcPr>
            <w:tcW w:w="655" w:type="dxa"/>
            <w:tcBorders>
              <w:top w:val="nil"/>
              <w:bottom w:val="nil"/>
            </w:tcBorders>
          </w:tcPr>
          <w:p w14:paraId="13B565C8" w14:textId="77777777" w:rsidR="007C578C" w:rsidRPr="000A7545" w:rsidRDefault="007C578C" w:rsidP="00594D91">
            <w:pPr>
              <w:spacing w:after="0" w:line="240" w:lineRule="auto"/>
              <w:jc w:val="center"/>
              <w:rPr>
                <w:rFonts w:cs="Arial"/>
                <w:b/>
                <w:sz w:val="20"/>
                <w:szCs w:val="20"/>
              </w:rPr>
            </w:pPr>
          </w:p>
        </w:tc>
        <w:tc>
          <w:tcPr>
            <w:tcW w:w="655" w:type="dxa"/>
          </w:tcPr>
          <w:p w14:paraId="13B565C9" w14:textId="77777777" w:rsidR="007C578C" w:rsidRPr="000A7545" w:rsidRDefault="007C578C" w:rsidP="00594D91">
            <w:pPr>
              <w:spacing w:after="0" w:line="240" w:lineRule="auto"/>
              <w:jc w:val="center"/>
              <w:rPr>
                <w:rFonts w:cs="Arial"/>
                <w:b/>
                <w:sz w:val="20"/>
                <w:szCs w:val="20"/>
              </w:rPr>
            </w:pPr>
          </w:p>
        </w:tc>
      </w:tr>
    </w:tbl>
    <w:p w14:paraId="13B565CB" w14:textId="77777777" w:rsidR="007C578C" w:rsidRPr="000A7545" w:rsidRDefault="007C578C" w:rsidP="007C578C">
      <w:pPr>
        <w:spacing w:after="0" w:line="240" w:lineRule="auto"/>
        <w:rPr>
          <w:rFonts w:cs="Arial"/>
          <w:sz w:val="20"/>
          <w:szCs w:val="20"/>
        </w:rPr>
      </w:pPr>
    </w:p>
    <w:p w14:paraId="13B565CC" w14:textId="77777777" w:rsidR="007C578C" w:rsidRPr="000A7545" w:rsidRDefault="007C578C" w:rsidP="007C578C">
      <w:pPr>
        <w:spacing w:after="0" w:line="240" w:lineRule="auto"/>
        <w:ind w:left="720"/>
        <w:rPr>
          <w:rFonts w:cs="Arial"/>
          <w:sz w:val="20"/>
          <w:szCs w:val="20"/>
        </w:rPr>
      </w:pPr>
      <w:r w:rsidRPr="000A7545">
        <w:rPr>
          <w:rFonts w:cs="Arial"/>
          <w:sz w:val="20"/>
          <w:szCs w:val="20"/>
        </w:rPr>
        <w:t>If you have not been fully satisfied, could you please tell us what we missed or what we could do better next time?</w:t>
      </w:r>
    </w:p>
    <w:p w14:paraId="13B565CD" w14:textId="77777777" w:rsidR="007C578C" w:rsidRPr="000A7545" w:rsidRDefault="007C578C" w:rsidP="007C578C">
      <w:pPr>
        <w:spacing w:after="0" w:line="240" w:lineRule="auto"/>
        <w:rPr>
          <w:rFonts w:cs="Arial"/>
          <w:sz w:val="20"/>
          <w:szCs w:val="20"/>
        </w:rPr>
      </w:pPr>
    </w:p>
    <w:p w14:paraId="13B565CE" w14:textId="77777777" w:rsidR="007C578C" w:rsidRPr="000A7545" w:rsidRDefault="007C578C" w:rsidP="007C578C">
      <w:pPr>
        <w:spacing w:after="0" w:line="240" w:lineRule="auto"/>
        <w:ind w:left="720"/>
        <w:rPr>
          <w:rFonts w:cs="Arial"/>
          <w:sz w:val="20"/>
          <w:szCs w:val="20"/>
        </w:rPr>
      </w:pPr>
      <w:r w:rsidRPr="000A7545">
        <w:rPr>
          <w:rFonts w:cs="Arial"/>
          <w:sz w:val="20"/>
          <w:szCs w:val="20"/>
        </w:rPr>
        <w:t>______________________________________________________________________________________________________________________________________________________________________________________________________________________________</w:t>
      </w:r>
    </w:p>
    <w:p w14:paraId="13B565CF" w14:textId="77777777" w:rsidR="007C578C" w:rsidRPr="000A7545" w:rsidRDefault="007C578C" w:rsidP="007C578C">
      <w:pPr>
        <w:spacing w:after="0" w:line="240" w:lineRule="auto"/>
        <w:rPr>
          <w:rFonts w:cs="Arial"/>
          <w:sz w:val="20"/>
          <w:szCs w:val="20"/>
        </w:rPr>
      </w:pPr>
    </w:p>
    <w:p w14:paraId="13B565D0" w14:textId="77777777" w:rsidR="007C578C" w:rsidRPr="000A7545" w:rsidRDefault="007C578C" w:rsidP="007C578C">
      <w:pPr>
        <w:spacing w:after="0" w:line="240" w:lineRule="auto"/>
        <w:rPr>
          <w:rFonts w:cs="Arial"/>
          <w:sz w:val="20"/>
          <w:szCs w:val="20"/>
        </w:rPr>
      </w:pPr>
    </w:p>
    <w:p w14:paraId="13B565D1" w14:textId="77777777" w:rsidR="007C578C" w:rsidRPr="000A7545" w:rsidRDefault="007C578C" w:rsidP="007C578C">
      <w:pPr>
        <w:spacing w:after="0" w:line="240" w:lineRule="auto"/>
        <w:rPr>
          <w:rFonts w:cs="Arial"/>
          <w:sz w:val="20"/>
          <w:szCs w:val="20"/>
        </w:rPr>
      </w:pPr>
    </w:p>
    <w:p w14:paraId="13B565D2" w14:textId="77777777" w:rsidR="007C578C" w:rsidRPr="000A7545" w:rsidRDefault="007C578C" w:rsidP="00697327">
      <w:pPr>
        <w:numPr>
          <w:ilvl w:val="0"/>
          <w:numId w:val="2"/>
        </w:numPr>
        <w:tabs>
          <w:tab w:val="left" w:pos="5220"/>
        </w:tabs>
        <w:spacing w:after="0" w:line="240" w:lineRule="auto"/>
        <w:ind w:right="180"/>
        <w:rPr>
          <w:rFonts w:cs="Arial"/>
          <w:sz w:val="20"/>
          <w:szCs w:val="20"/>
        </w:rPr>
      </w:pPr>
      <w:r w:rsidRPr="000A7545">
        <w:rPr>
          <w:rFonts w:cs="Arial"/>
          <w:sz w:val="20"/>
          <w:szCs w:val="20"/>
        </w:rPr>
        <w:t>Please provide us with your suggestions on how this report could be improved to meet your expectations.</w:t>
      </w:r>
    </w:p>
    <w:p w14:paraId="13B565D3" w14:textId="77777777" w:rsidR="007C578C" w:rsidRPr="000A7545" w:rsidRDefault="007C578C" w:rsidP="007C578C">
      <w:pPr>
        <w:spacing w:after="0" w:line="240" w:lineRule="auto"/>
        <w:rPr>
          <w:rFonts w:cs="Arial"/>
          <w:sz w:val="20"/>
          <w:szCs w:val="20"/>
        </w:rPr>
      </w:pPr>
    </w:p>
    <w:p w14:paraId="13B565D4" w14:textId="77777777" w:rsidR="007C578C" w:rsidRPr="000A7545" w:rsidRDefault="007C578C" w:rsidP="007C578C">
      <w:pPr>
        <w:spacing w:after="0" w:line="240" w:lineRule="auto"/>
        <w:ind w:left="720"/>
        <w:rPr>
          <w:rFonts w:cs="Arial"/>
          <w:sz w:val="20"/>
          <w:szCs w:val="20"/>
        </w:rPr>
      </w:pPr>
      <w:r w:rsidRPr="000A7545">
        <w:rPr>
          <w:rFonts w:cs="Arial"/>
          <w:sz w:val="20"/>
          <w:szCs w:val="20"/>
        </w:rPr>
        <w:t>______________________________________________________________________________________________________________________________________________________________________________________________________________________________</w:t>
      </w:r>
    </w:p>
    <w:p w14:paraId="13B565D5" w14:textId="77777777" w:rsidR="007C578C" w:rsidRPr="000A7545" w:rsidRDefault="007C578C" w:rsidP="007C578C">
      <w:pPr>
        <w:spacing w:after="0" w:line="240" w:lineRule="auto"/>
        <w:ind w:left="720"/>
        <w:rPr>
          <w:rFonts w:cs="Arial"/>
          <w:sz w:val="20"/>
          <w:szCs w:val="20"/>
        </w:rPr>
      </w:pPr>
    </w:p>
    <w:p w14:paraId="13B565D6" w14:textId="77777777" w:rsidR="007C578C" w:rsidRPr="000A7545" w:rsidRDefault="007C578C" w:rsidP="007C578C">
      <w:pPr>
        <w:spacing w:after="0" w:line="240" w:lineRule="auto"/>
        <w:ind w:left="720"/>
        <w:rPr>
          <w:rFonts w:cs="Arial"/>
          <w:sz w:val="20"/>
          <w:szCs w:val="20"/>
        </w:rPr>
      </w:pPr>
    </w:p>
    <w:p w14:paraId="13B565D7" w14:textId="77777777" w:rsidR="007C578C" w:rsidRPr="000A7545" w:rsidRDefault="007C578C" w:rsidP="007C578C">
      <w:pPr>
        <w:spacing w:after="0" w:line="240" w:lineRule="auto"/>
        <w:ind w:left="720"/>
        <w:rPr>
          <w:rFonts w:cs="Arial"/>
          <w:sz w:val="20"/>
          <w:szCs w:val="20"/>
        </w:rPr>
      </w:pPr>
    </w:p>
    <w:p w14:paraId="13B565D8" w14:textId="77777777" w:rsidR="007C578C" w:rsidRPr="000A7545" w:rsidRDefault="007C578C" w:rsidP="00697327">
      <w:pPr>
        <w:numPr>
          <w:ilvl w:val="0"/>
          <w:numId w:val="2"/>
        </w:numPr>
        <w:spacing w:after="0" w:line="240" w:lineRule="auto"/>
        <w:rPr>
          <w:rFonts w:cs="Arial"/>
          <w:sz w:val="20"/>
          <w:szCs w:val="20"/>
        </w:rPr>
      </w:pPr>
      <w:r w:rsidRPr="000A7545">
        <w:rPr>
          <w:rFonts w:cs="Arial"/>
          <w:sz w:val="20"/>
          <w:szCs w:val="20"/>
        </w:rPr>
        <w:t>Are there any other comments that you would like to share with us?</w:t>
      </w:r>
    </w:p>
    <w:p w14:paraId="13B565D9" w14:textId="77777777" w:rsidR="007C578C" w:rsidRPr="000A7545" w:rsidRDefault="007C578C" w:rsidP="007C578C">
      <w:pPr>
        <w:spacing w:after="0" w:line="240" w:lineRule="auto"/>
        <w:ind w:left="720"/>
        <w:rPr>
          <w:rFonts w:cs="Arial"/>
          <w:sz w:val="20"/>
          <w:szCs w:val="20"/>
        </w:rPr>
      </w:pPr>
    </w:p>
    <w:p w14:paraId="13B565DA" w14:textId="77777777" w:rsidR="007C578C" w:rsidRPr="000A7545" w:rsidRDefault="007C578C" w:rsidP="007C578C">
      <w:pPr>
        <w:spacing w:after="0" w:line="240" w:lineRule="auto"/>
        <w:ind w:left="720"/>
        <w:rPr>
          <w:rFonts w:cs="Arial"/>
          <w:sz w:val="20"/>
          <w:szCs w:val="20"/>
        </w:rPr>
      </w:pPr>
      <w:r w:rsidRPr="000A7545">
        <w:rPr>
          <w:rFonts w:cs="Arial"/>
          <w:sz w:val="20"/>
          <w:szCs w:val="20"/>
        </w:rPr>
        <w:t>______________________________________________________________________________________________________________________________________________________________________________________________________________________________</w:t>
      </w:r>
    </w:p>
    <w:p w14:paraId="13B565DB" w14:textId="77777777" w:rsidR="007C578C" w:rsidRPr="000A7545" w:rsidRDefault="007C578C" w:rsidP="007C578C">
      <w:pPr>
        <w:spacing w:after="0" w:line="240" w:lineRule="auto"/>
        <w:rPr>
          <w:rFonts w:cs="Arial"/>
          <w:sz w:val="20"/>
          <w:szCs w:val="20"/>
        </w:rPr>
      </w:pPr>
    </w:p>
    <w:p w14:paraId="13B565DC" w14:textId="77777777" w:rsidR="007C578C" w:rsidRPr="000A7545" w:rsidRDefault="007C578C" w:rsidP="007C578C"/>
    <w:sectPr w:rsidR="007C578C" w:rsidRPr="000A7545" w:rsidSect="00C041A2">
      <w:headerReference w:type="default" r:id="rId30"/>
      <w:footerReference w:type="defaul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565F5" w14:textId="77777777" w:rsidR="001A7437" w:rsidRDefault="001A7437" w:rsidP="006F3DA3">
      <w:pPr>
        <w:spacing w:after="0" w:line="240" w:lineRule="auto"/>
      </w:pPr>
      <w:r>
        <w:separator/>
      </w:r>
    </w:p>
  </w:endnote>
  <w:endnote w:type="continuationSeparator" w:id="0">
    <w:p w14:paraId="13B565F6" w14:textId="77777777" w:rsidR="001A7437" w:rsidRDefault="001A7437" w:rsidP="006F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8DAC5" w14:textId="77777777" w:rsidR="008D7FBB" w:rsidRDefault="008D7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F81BD" w:themeColor="accent1"/>
      </w:rPr>
      <w:id w:val="735591109"/>
      <w:docPartObj>
        <w:docPartGallery w:val="Page Numbers (Bottom of Page)"/>
        <w:docPartUnique/>
      </w:docPartObj>
    </w:sdtPr>
    <w:sdtEndPr>
      <w:rPr>
        <w:i/>
        <w:noProof/>
      </w:rPr>
    </w:sdtEndPr>
    <w:sdtContent>
      <w:p w14:paraId="13B565F7" w14:textId="77777777" w:rsidR="00003C07" w:rsidRPr="007C578C" w:rsidRDefault="00003C07" w:rsidP="004652D0">
        <w:pPr>
          <w:pStyle w:val="Footer"/>
          <w:tabs>
            <w:tab w:val="clear" w:pos="9360"/>
            <w:tab w:val="right" w:pos="9000"/>
          </w:tabs>
          <w:rPr>
            <w:i/>
            <w:color w:val="4F81BD" w:themeColor="accent1"/>
          </w:rPr>
        </w:pPr>
        <w:r w:rsidRPr="004652D0">
          <w:rPr>
            <w:i/>
            <w:color w:val="4F81BD" w:themeColor="accent1"/>
          </w:rPr>
          <w:t>Second Progress Report 20 April 2012</w:t>
        </w:r>
        <w:r w:rsidRPr="007C578C">
          <w:rPr>
            <w:i/>
            <w:color w:val="4F81BD" w:themeColor="accent1"/>
          </w:rPr>
          <w:tab/>
        </w:r>
        <w:r w:rsidRPr="007C578C">
          <w:rPr>
            <w:i/>
            <w:color w:val="4F81BD" w:themeColor="accent1"/>
          </w:rPr>
          <w:tab/>
        </w:r>
        <w:r>
          <w:rPr>
            <w:i/>
            <w:color w:val="4F81BD" w:themeColor="accent1"/>
          </w:rPr>
          <w:fldChar w:fldCharType="begin"/>
        </w:r>
        <w:r>
          <w:rPr>
            <w:i/>
            <w:color w:val="4F81BD" w:themeColor="accent1"/>
          </w:rPr>
          <w:instrText xml:space="preserve"> PAGE  \* roman  \* MERGEFORMAT </w:instrText>
        </w:r>
        <w:r>
          <w:rPr>
            <w:i/>
            <w:color w:val="4F81BD" w:themeColor="accent1"/>
          </w:rPr>
          <w:fldChar w:fldCharType="separate"/>
        </w:r>
        <w:r w:rsidR="008D7FBB">
          <w:rPr>
            <w:i/>
            <w:noProof/>
            <w:color w:val="4F81BD" w:themeColor="accent1"/>
          </w:rPr>
          <w:t>ii</w:t>
        </w:r>
        <w:r>
          <w:rPr>
            <w:i/>
            <w:color w:val="4F81BD" w:themeColor="accent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9F599" w14:textId="77777777" w:rsidR="008D7FBB" w:rsidRDefault="008D7F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F81BD" w:themeColor="accent1"/>
      </w:rPr>
      <w:id w:val="-468969020"/>
      <w:docPartObj>
        <w:docPartGallery w:val="Page Numbers (Bottom of Page)"/>
        <w:docPartUnique/>
      </w:docPartObj>
    </w:sdtPr>
    <w:sdtEndPr>
      <w:rPr>
        <w:i/>
        <w:noProof/>
      </w:rPr>
    </w:sdtEndPr>
    <w:sdtContent>
      <w:p w14:paraId="13B565F9" w14:textId="77777777" w:rsidR="00003C07" w:rsidRPr="007C578C" w:rsidRDefault="00003C07" w:rsidP="0049157F">
        <w:pPr>
          <w:pStyle w:val="Footer"/>
          <w:tabs>
            <w:tab w:val="clear" w:pos="9360"/>
            <w:tab w:val="right" w:pos="9090"/>
          </w:tabs>
          <w:rPr>
            <w:i/>
            <w:color w:val="4F81BD" w:themeColor="accent1"/>
          </w:rPr>
        </w:pPr>
        <w:r w:rsidRPr="009508F8">
          <w:rPr>
            <w:i/>
            <w:color w:val="4F81BD" w:themeColor="accent1"/>
          </w:rPr>
          <w:t>Second Progress Report 20 April 2012</w:t>
        </w:r>
        <w:r w:rsidRPr="007C578C">
          <w:rPr>
            <w:i/>
            <w:color w:val="4F81BD" w:themeColor="accent1"/>
          </w:rPr>
          <w:tab/>
        </w:r>
        <w:r w:rsidRPr="007C578C">
          <w:rPr>
            <w:i/>
            <w:color w:val="4F81BD" w:themeColor="accent1"/>
          </w:rPr>
          <w:tab/>
        </w:r>
        <w:r>
          <w:rPr>
            <w:i/>
            <w:color w:val="4F81BD" w:themeColor="accent1"/>
          </w:rPr>
          <w:fldChar w:fldCharType="begin"/>
        </w:r>
        <w:r>
          <w:rPr>
            <w:i/>
            <w:color w:val="4F81BD" w:themeColor="accent1"/>
          </w:rPr>
          <w:instrText xml:space="preserve"> PAGE  \* Arabic  \* MERGEFORMAT </w:instrText>
        </w:r>
        <w:r>
          <w:rPr>
            <w:i/>
            <w:color w:val="4F81BD" w:themeColor="accent1"/>
          </w:rPr>
          <w:fldChar w:fldCharType="separate"/>
        </w:r>
        <w:r w:rsidR="008D7FBB">
          <w:rPr>
            <w:i/>
            <w:noProof/>
            <w:color w:val="4F81BD" w:themeColor="accent1"/>
          </w:rPr>
          <w:t>81</w:t>
        </w:r>
        <w:r>
          <w:rPr>
            <w:i/>
            <w:color w:val="4F81BD" w:themeColor="accent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565FE" w14:textId="77777777" w:rsidR="00003C07" w:rsidRPr="001F4876" w:rsidRDefault="00003C07" w:rsidP="001F4876">
    <w:pPr>
      <w:pStyle w:val="Footer"/>
      <w:jc w:val="center"/>
    </w:pPr>
    <w:r>
      <w:rPr>
        <w:noProof/>
        <w:lang w:val="en-AU" w:eastAsia="en-AU"/>
      </w:rPr>
      <w:drawing>
        <wp:inline distT="0" distB="0" distL="0" distR="0" wp14:anchorId="13B565FF" wp14:editId="13B56600">
          <wp:extent cx="5760720" cy="320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565F3" w14:textId="77777777" w:rsidR="001A7437" w:rsidRDefault="001A7437" w:rsidP="006F3DA3">
      <w:pPr>
        <w:spacing w:after="0" w:line="240" w:lineRule="auto"/>
      </w:pPr>
      <w:r>
        <w:separator/>
      </w:r>
    </w:p>
  </w:footnote>
  <w:footnote w:type="continuationSeparator" w:id="0">
    <w:p w14:paraId="13B565F4" w14:textId="77777777" w:rsidR="001A7437" w:rsidRDefault="001A7437" w:rsidP="006F3DA3">
      <w:pPr>
        <w:spacing w:after="0" w:line="240" w:lineRule="auto"/>
      </w:pPr>
      <w:r>
        <w:continuationSeparator/>
      </w:r>
    </w:p>
  </w:footnote>
  <w:footnote w:id="1">
    <w:p w14:paraId="13B56601" w14:textId="77777777" w:rsidR="00003C07" w:rsidRPr="0018048F" w:rsidRDefault="00003C07" w:rsidP="00A47718">
      <w:pPr>
        <w:pStyle w:val="FootnoteText"/>
      </w:pPr>
      <w:r w:rsidRPr="0018048F">
        <w:rPr>
          <w:rStyle w:val="IntenseEmphasis"/>
          <w:color w:val="auto"/>
          <w:sz w:val="18"/>
          <w:vertAlign w:val="superscript"/>
        </w:rPr>
        <w:footnoteRef/>
      </w:r>
      <w:r w:rsidRPr="0018048F">
        <w:rPr>
          <w:rStyle w:val="IntenseEmphasis"/>
          <w:color w:val="auto"/>
          <w:sz w:val="18"/>
        </w:rPr>
        <w:t xml:space="preserve"> BPS 2010 Census data shows that rates of participation are in fact much lower than the official rates listed herein, with over 300,000 primary school aged children out-of-school and a school participation rate of some 61 per cent for children ages 7-15 years old.</w:t>
      </w:r>
    </w:p>
  </w:footnote>
  <w:footnote w:id="2">
    <w:p w14:paraId="13B56602" w14:textId="77777777" w:rsidR="00003C07" w:rsidRPr="0018048F" w:rsidRDefault="00003C07">
      <w:pPr>
        <w:pStyle w:val="FootnoteText"/>
      </w:pPr>
      <w:r w:rsidRPr="0018048F">
        <w:rPr>
          <w:rStyle w:val="FootnoteReference"/>
        </w:rPr>
        <w:footnoteRef/>
      </w:r>
      <w:r w:rsidRPr="0018048F">
        <w:t xml:space="preserve"> </w:t>
      </w:r>
      <w:r w:rsidRPr="0018048F">
        <w:rPr>
          <w:rStyle w:val="IntenseEmphasis"/>
          <w:bCs w:val="0"/>
          <w:iCs w:val="0"/>
          <w:color w:val="auto"/>
          <w:sz w:val="18"/>
        </w:rPr>
        <w:t>At the end of 2009, about 333,200 people were estimated to be living with HIV in Papua and West Papua, 25 per cent of them women. During the same year, the number of reported AIDS cases per 100,000 people for Papua had increased to 133.07. This is 15 times higher than the national rate of 8.66, while the number in West Papua is double the national average (17.32). Failure to curb the spread of the AIDS epidemic in Tanah Papua may ultimately negate any possible advances made in relation to achieving equitable access to quality education services. Conversely, good quality education, including Life Skills education, can significantly help reduce the spread of HIV and AIDS.</w:t>
      </w:r>
    </w:p>
  </w:footnote>
  <w:footnote w:id="3">
    <w:p w14:paraId="13B56603" w14:textId="77777777" w:rsidR="00003C07" w:rsidRPr="0018048F" w:rsidRDefault="00003C07" w:rsidP="006800CF">
      <w:pPr>
        <w:pStyle w:val="FootnoteText"/>
      </w:pPr>
      <w:r w:rsidRPr="0018048F">
        <w:rPr>
          <w:rStyle w:val="FootnoteReference"/>
        </w:rPr>
        <w:footnoteRef/>
      </w:r>
      <w:r w:rsidRPr="0018048F">
        <w:t xml:space="preserve"> AusAID - Aide Memoir: “Evaluation of Australia-UNICEF Education Support to Papua”, 28 February 2012, p 2.</w:t>
      </w:r>
    </w:p>
  </w:footnote>
  <w:footnote w:id="4">
    <w:p w14:paraId="13B56604" w14:textId="77777777" w:rsidR="00003C07" w:rsidRPr="0018048F" w:rsidRDefault="00003C07" w:rsidP="005A04CA">
      <w:pPr>
        <w:ind w:left="180" w:hanging="180"/>
        <w:rPr>
          <w:rFonts w:cstheme="minorHAnsi"/>
          <w:i/>
          <w:sz w:val="18"/>
          <w:szCs w:val="18"/>
        </w:rPr>
      </w:pPr>
      <w:r w:rsidRPr="0018048F">
        <w:rPr>
          <w:rStyle w:val="FootnoteReference"/>
        </w:rPr>
        <w:footnoteRef/>
      </w:r>
      <w:r w:rsidRPr="0018048F">
        <w:rPr>
          <w:rStyle w:val="FootnoteTextChar"/>
        </w:rPr>
        <w:t xml:space="preserve"> The full eight steps include: Step 1: Applying a Rights Based Approach to Programming; Step 2: Strategic Planning; Step 3: Updating Education Profile (or situation analysis); Step 4: Formulating Strategic Interventions;</w:t>
      </w:r>
      <w:r w:rsidRPr="0018048F">
        <w:rPr>
          <w:rFonts w:cstheme="minorHAnsi"/>
          <w:sz w:val="18"/>
          <w:szCs w:val="18"/>
        </w:rPr>
        <w:t xml:space="preserve"> </w:t>
      </w:r>
      <w:r w:rsidRPr="0018048F">
        <w:rPr>
          <w:rStyle w:val="FootnoteTextChar"/>
        </w:rPr>
        <w:t>Step 5: Institutional Visioning; Step 6: Formulating a Strategic Program; Step 7: Formulating M&amp;E Plan, and Step 8: Promoting Community Participation.</w:t>
      </w:r>
    </w:p>
  </w:footnote>
  <w:footnote w:id="5">
    <w:p w14:paraId="13B56605" w14:textId="77777777" w:rsidR="00003C07" w:rsidRPr="0018048F" w:rsidRDefault="00003C07" w:rsidP="002D05F6">
      <w:pPr>
        <w:pStyle w:val="FootnoteText"/>
      </w:pPr>
      <w:r w:rsidRPr="0018048F">
        <w:rPr>
          <w:rStyle w:val="FootnoteReference"/>
        </w:rPr>
        <w:footnoteRef/>
      </w:r>
      <w:r w:rsidRPr="0018048F">
        <w:t xml:space="preserve"> Analysis of Reports from Renstra consultants; and Implementation Reports from partners.</w:t>
      </w:r>
    </w:p>
  </w:footnote>
  <w:footnote w:id="6">
    <w:p w14:paraId="13B56606" w14:textId="77777777" w:rsidR="00003C07" w:rsidRPr="0018048F" w:rsidRDefault="00003C07" w:rsidP="002D05F6">
      <w:pPr>
        <w:pStyle w:val="FootnoteText"/>
        <w:rPr>
          <w:sz w:val="16"/>
          <w:szCs w:val="16"/>
        </w:rPr>
      </w:pPr>
      <w:r w:rsidRPr="0018048F">
        <w:rPr>
          <w:rStyle w:val="FootnoteReference"/>
        </w:rPr>
        <w:footnoteRef/>
      </w:r>
      <w:r w:rsidRPr="0018048F">
        <w:t xml:space="preserve"> Tuban, Bojonegoro, Mojokerto, East Java and Pangkep, Baru, Sidrap, South Sulawesi.</w:t>
      </w:r>
    </w:p>
  </w:footnote>
  <w:footnote w:id="7">
    <w:p w14:paraId="13B56607" w14:textId="77777777" w:rsidR="00003C07" w:rsidRPr="0018048F" w:rsidRDefault="00003C07" w:rsidP="00554F4B">
      <w:pPr>
        <w:pStyle w:val="FootnoteText"/>
        <w:rPr>
          <w:rFonts w:cs="Arial"/>
          <w:sz w:val="16"/>
          <w:szCs w:val="16"/>
        </w:rPr>
      </w:pPr>
      <w:r w:rsidRPr="0018048F">
        <w:rPr>
          <w:rStyle w:val="FootnoteReference"/>
          <w:rFonts w:cs="Arial"/>
        </w:rPr>
        <w:footnoteRef/>
      </w:r>
      <w:r w:rsidRPr="0018048F">
        <w:rPr>
          <w:rFonts w:cs="Arial"/>
          <w:sz w:val="16"/>
          <w:szCs w:val="16"/>
        </w:rPr>
        <w:t xml:space="preserve"> </w:t>
      </w:r>
      <w:r w:rsidRPr="0018048F">
        <w:rPr>
          <w:rStyle w:val="FootnoteTextChar"/>
        </w:rPr>
        <w:t>Renstra, Annual Planning, Information Management, and Monitoring and Support for School.</w:t>
      </w:r>
    </w:p>
  </w:footnote>
  <w:footnote w:id="8">
    <w:p w14:paraId="13B56608" w14:textId="77777777" w:rsidR="00003C07" w:rsidRPr="0018048F" w:rsidRDefault="00003C07" w:rsidP="00554F4B">
      <w:pPr>
        <w:pStyle w:val="FootnoteText"/>
      </w:pPr>
      <w:r w:rsidRPr="0018048F">
        <w:rPr>
          <w:rStyle w:val="FootnoteReference"/>
          <w:rFonts w:cs="Arial"/>
        </w:rPr>
        <w:footnoteRef/>
      </w:r>
      <w:r w:rsidRPr="0018048F">
        <w:rPr>
          <w:rFonts w:cs="Arial"/>
          <w:sz w:val="16"/>
          <w:szCs w:val="16"/>
        </w:rPr>
        <w:t xml:space="preserve"> </w:t>
      </w:r>
      <w:r w:rsidRPr="0018048F">
        <w:rPr>
          <w:rStyle w:val="FootnoteTextChar"/>
        </w:rPr>
        <w:t>Teaching and Learning (PAKEM, multi-grade, early-grade), School Management, Community Participation, External support (KKG, Pengawas), HIV/AIDS information and awareness.</w:t>
      </w:r>
    </w:p>
  </w:footnote>
  <w:footnote w:id="9">
    <w:p w14:paraId="13B56609" w14:textId="77777777" w:rsidR="00003C07" w:rsidRPr="0018048F" w:rsidRDefault="00003C07" w:rsidP="000B6F5F">
      <w:pPr>
        <w:pStyle w:val="FootnoteText"/>
      </w:pPr>
      <w:r w:rsidRPr="0018048F">
        <w:rPr>
          <w:rStyle w:val="FootnoteReference"/>
        </w:rPr>
        <w:footnoteRef/>
      </w:r>
      <w:r w:rsidRPr="0018048F">
        <w:rPr>
          <w:vertAlign w:val="superscript"/>
        </w:rPr>
        <w:t xml:space="preserve"> </w:t>
      </w:r>
      <w:r w:rsidRPr="0018048F">
        <w:t>Together with government partners the programme is currently finalizing a standardised set of SBM indicators that will be used to provide an overall evaluation of progress with SBM implementation at school level.  Moreover, the system will be a standardised government monitoring system, rather than one that is simply duplicating government monitoring (and thus not sustainable).</w:t>
      </w:r>
    </w:p>
  </w:footnote>
  <w:footnote w:id="10">
    <w:p w14:paraId="13B5660A" w14:textId="77777777" w:rsidR="00003C07" w:rsidRPr="0018048F" w:rsidRDefault="00003C07" w:rsidP="003D39E1">
      <w:pPr>
        <w:pStyle w:val="FootnoteText"/>
      </w:pPr>
      <w:r w:rsidRPr="0018048F">
        <w:rPr>
          <w:rStyle w:val="FootnoteReference"/>
          <w:vertAlign w:val="baseline"/>
        </w:rPr>
        <w:footnoteRef/>
      </w:r>
      <w:r w:rsidRPr="0018048F">
        <w:t xml:space="preserve"> Analysis of trip reports UNICEF PO and minutes of meeting in Biak SBM meetings.</w:t>
      </w:r>
    </w:p>
  </w:footnote>
  <w:footnote w:id="11">
    <w:p w14:paraId="13B5660B" w14:textId="77777777" w:rsidR="00003C07" w:rsidRPr="0018048F" w:rsidRDefault="00003C07" w:rsidP="00297112">
      <w:pPr>
        <w:pStyle w:val="FootnoteText"/>
      </w:pPr>
      <w:r w:rsidRPr="0018048F">
        <w:rPr>
          <w:rStyle w:val="FootnoteReference"/>
        </w:rPr>
        <w:footnoteRef/>
      </w:r>
      <w:r w:rsidRPr="0018048F">
        <w:t xml:space="preserve"> The same method was applied for the selection of multi-grade master trainers from target districts.</w:t>
      </w:r>
    </w:p>
  </w:footnote>
  <w:footnote w:id="12">
    <w:p w14:paraId="13B5660C" w14:textId="77777777" w:rsidR="00003C07" w:rsidRPr="0018048F" w:rsidRDefault="00003C07" w:rsidP="00F94699">
      <w:pPr>
        <w:pStyle w:val="FootnoteText"/>
      </w:pPr>
      <w:r w:rsidRPr="0018048F">
        <w:rPr>
          <w:rStyle w:val="FootnoteReference"/>
        </w:rPr>
        <w:footnoteRef/>
      </w:r>
      <w:r w:rsidRPr="0018048F">
        <w:rPr>
          <w:vertAlign w:val="superscript"/>
        </w:rPr>
        <w:t xml:space="preserve"> </w:t>
      </w:r>
      <w:r w:rsidRPr="0018048F">
        <w:t>While data is still being processed, a similar level of coverage has been achieved in all other target districts.</w:t>
      </w:r>
    </w:p>
  </w:footnote>
  <w:footnote w:id="13">
    <w:p w14:paraId="13B5660D" w14:textId="77777777" w:rsidR="00003C07" w:rsidRPr="0018048F" w:rsidRDefault="00003C07" w:rsidP="002B53B2">
      <w:pPr>
        <w:pStyle w:val="FootnoteText"/>
        <w:rPr>
          <w:b/>
        </w:rPr>
      </w:pPr>
      <w:r w:rsidRPr="0018048F">
        <w:rPr>
          <w:rStyle w:val="FootnoteReference"/>
          <w:b/>
        </w:rPr>
        <w:footnoteRef/>
      </w:r>
      <w:r w:rsidRPr="0018048F">
        <w:rPr>
          <w:b/>
        </w:rPr>
        <w:t xml:space="preserve"> </w:t>
      </w:r>
      <w:r w:rsidRPr="0018048F">
        <w:t>The development team consists of assenting University lecturers (UNCEN, UNIPA), LPMP trainers, school supervisors, Summer Institute of Linguistic and schools that have implemented early-grade teaching.</w:t>
      </w:r>
    </w:p>
  </w:footnote>
  <w:footnote w:id="14">
    <w:p w14:paraId="13B5660E" w14:textId="77777777" w:rsidR="00003C07" w:rsidRPr="0018048F" w:rsidRDefault="00003C07" w:rsidP="0010522D">
      <w:pPr>
        <w:rPr>
          <w:sz w:val="18"/>
          <w:szCs w:val="20"/>
        </w:rPr>
      </w:pPr>
      <w:r w:rsidRPr="0018048F">
        <w:rPr>
          <w:rStyle w:val="FootnoteReference"/>
        </w:rPr>
        <w:footnoteRef/>
      </w:r>
      <w:r w:rsidRPr="0018048F">
        <w:t xml:space="preserve"> </w:t>
      </w:r>
      <w:r w:rsidRPr="0018048F">
        <w:rPr>
          <w:rStyle w:val="FootnoteTextChar"/>
        </w:rPr>
        <w:t>Asal Mula Danau Sentani, Raksasa Sumda, Asal Mula Sungai Kohoin, Manawer, Iluagek Hitigama, Tana Napiri Sosane Basien, Kisah Semut dan Rajawali, Kisah Gurita dan Kuskus, Tupai yang Sombong, Nuri dan Kakatua, Isuo Ple, Bulan Sagu di Ibuanari, Asal Mula Wamena, Legenda Waso, Robhonsolo, Putri Kepala Suku dan Cenderawasih, Ansara Bo, Sungai Yamet.</w:t>
      </w:r>
    </w:p>
  </w:footnote>
  <w:footnote w:id="15">
    <w:p w14:paraId="13B5660F" w14:textId="77777777" w:rsidR="00003C07" w:rsidRPr="0018048F" w:rsidRDefault="00003C07" w:rsidP="002B53B2">
      <w:pPr>
        <w:pStyle w:val="FootnoteText"/>
        <w:rPr>
          <w:b/>
        </w:rPr>
      </w:pPr>
      <w:r w:rsidRPr="0018048F">
        <w:rPr>
          <w:rStyle w:val="FootnoteReference"/>
          <w:b/>
        </w:rPr>
        <w:footnoteRef/>
      </w:r>
      <w:r w:rsidRPr="0018048F">
        <w:t xml:space="preserve"> SIL is a locally respected language institute that has worked together with UNICEF, local universities, and the provincial government since the start of the programme to develop early-grade and multi-grade support materials to strengthen teacher competencies and support children’s achievement of learning competencies in the classroom.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6F1A6" w14:textId="77777777" w:rsidR="008D7FBB" w:rsidRDefault="008D7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05EA" w14:textId="77777777" w:rsidR="008D7FBB" w:rsidRDefault="008D7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A6FAB" w14:textId="77777777" w:rsidR="008D7FBB" w:rsidRDefault="008D7F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565F8" w14:textId="77777777" w:rsidR="00003C07" w:rsidRDefault="00003C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565FA" w14:textId="77777777" w:rsidR="00003C07" w:rsidRDefault="00003C07" w:rsidP="0096569F">
    <w:pPr>
      <w:spacing w:after="0" w:line="240" w:lineRule="auto"/>
      <w:rPr>
        <w:rFonts w:ascii="Arial Narrow" w:hAnsi="Arial Narrow" w:cs="Arial"/>
        <w:sz w:val="20"/>
        <w:szCs w:val="20"/>
      </w:rPr>
    </w:pPr>
    <w:r w:rsidRPr="0096569F">
      <w:rPr>
        <w:rFonts w:ascii="Arial Narrow" w:hAnsi="Arial Narrow" w:cs="Arial"/>
        <w:sz w:val="20"/>
        <w:szCs w:val="20"/>
      </w:rPr>
      <w:t>Title of Report/</w:t>
    </w:r>
    <w:r>
      <w:rPr>
        <w:rFonts w:ascii="Arial Narrow" w:hAnsi="Arial Narrow" w:cs="Arial"/>
        <w:sz w:val="20"/>
        <w:szCs w:val="20"/>
      </w:rPr>
      <w:t xml:space="preserve"> Project:</w:t>
    </w:r>
    <w:r>
      <w:rPr>
        <w:rFonts w:ascii="Arial Narrow" w:hAnsi="Arial Narrow" w:cs="Arial"/>
        <w:sz w:val="20"/>
        <w:szCs w:val="20"/>
      </w:rPr>
      <w:tab/>
      <w:t>Australia-UNICEF Education Assistance to Papua and West Papua</w:t>
    </w:r>
  </w:p>
  <w:p w14:paraId="13B565FB" w14:textId="77777777" w:rsidR="00003C07" w:rsidRPr="0096569F" w:rsidRDefault="00003C07" w:rsidP="0096569F">
    <w:pPr>
      <w:spacing w:after="0" w:line="240" w:lineRule="auto"/>
      <w:rPr>
        <w:rFonts w:ascii="Arial Narrow" w:hAnsi="Arial Narrow" w:cs="Arial"/>
        <w:sz w:val="20"/>
        <w:szCs w:val="20"/>
      </w:rPr>
    </w:pPr>
    <w:r w:rsidRPr="0096569F">
      <w:rPr>
        <w:rFonts w:ascii="Arial Narrow" w:hAnsi="Arial Narrow" w:cs="Arial"/>
        <w:sz w:val="20"/>
        <w:szCs w:val="20"/>
      </w:rPr>
      <w:t>UNICEF Office:</w:t>
    </w:r>
    <w:r>
      <w:rPr>
        <w:rFonts w:ascii="Arial Narrow" w:hAnsi="Arial Narrow" w:cs="Arial"/>
        <w:sz w:val="20"/>
        <w:szCs w:val="20"/>
      </w:rPr>
      <w:tab/>
    </w:r>
    <w:r>
      <w:rPr>
        <w:rFonts w:ascii="Arial Narrow" w:hAnsi="Arial Narrow" w:cs="Arial"/>
        <w:sz w:val="20"/>
        <w:szCs w:val="20"/>
      </w:rPr>
      <w:tab/>
      <w:t>Jakarta</w:t>
    </w:r>
  </w:p>
  <w:p w14:paraId="13B565FC" w14:textId="77777777" w:rsidR="00003C07" w:rsidRPr="0096569F" w:rsidRDefault="00003C07" w:rsidP="0096569F">
    <w:pPr>
      <w:spacing w:after="0" w:line="240" w:lineRule="auto"/>
      <w:rPr>
        <w:rFonts w:ascii="Arial Narrow" w:hAnsi="Arial Narrow" w:cs="Arial"/>
        <w:sz w:val="20"/>
        <w:szCs w:val="20"/>
      </w:rPr>
    </w:pPr>
    <w:r>
      <w:rPr>
        <w:rFonts w:ascii="Arial Narrow" w:hAnsi="Arial Narrow" w:cs="Arial"/>
        <w:sz w:val="20"/>
        <w:szCs w:val="20"/>
      </w:rPr>
      <w:t>Donor:</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AusAID</w:t>
    </w:r>
  </w:p>
  <w:p w14:paraId="13B565FD" w14:textId="77777777" w:rsidR="00003C07" w:rsidRPr="0096569F" w:rsidRDefault="00003C07" w:rsidP="0096569F">
    <w:pPr>
      <w:spacing w:after="0" w:line="240" w:lineRule="auto"/>
      <w:rPr>
        <w:rFonts w:ascii="Arial Narrow" w:hAnsi="Arial Narrow" w:cs="Arial"/>
        <w:sz w:val="20"/>
        <w:szCs w:val="20"/>
      </w:rPr>
    </w:pPr>
    <w:r w:rsidRPr="0096569F">
      <w:rPr>
        <w:rFonts w:ascii="Arial Narrow" w:hAnsi="Arial Narrow" w:cs="Arial"/>
        <w:sz w:val="20"/>
        <w:szCs w:val="20"/>
      </w:rPr>
      <w:t>Date:</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Report submitted on 20 April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611"/>
    <w:multiLevelType w:val="hybridMultilevel"/>
    <w:tmpl w:val="014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C54918"/>
    <w:multiLevelType w:val="hybridMultilevel"/>
    <w:tmpl w:val="B3C05062"/>
    <w:lvl w:ilvl="0" w:tplc="F80EF224">
      <w:start w:val="1"/>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CB7422"/>
    <w:multiLevelType w:val="hybridMultilevel"/>
    <w:tmpl w:val="040468DE"/>
    <w:lvl w:ilvl="0" w:tplc="4EB012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6A60AC"/>
    <w:multiLevelType w:val="hybridMultilevel"/>
    <w:tmpl w:val="DA742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154BC"/>
    <w:multiLevelType w:val="hybridMultilevel"/>
    <w:tmpl w:val="87788BD4"/>
    <w:lvl w:ilvl="0" w:tplc="376C93B2">
      <w:start w:val="1"/>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3537F"/>
    <w:multiLevelType w:val="hybridMultilevel"/>
    <w:tmpl w:val="0AB88270"/>
    <w:lvl w:ilvl="0" w:tplc="13BEA338">
      <w:start w:val="1"/>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141AD"/>
    <w:multiLevelType w:val="hybridMultilevel"/>
    <w:tmpl w:val="B428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70332"/>
    <w:multiLevelType w:val="hybridMultilevel"/>
    <w:tmpl w:val="AF504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E52611"/>
    <w:multiLevelType w:val="hybridMultilevel"/>
    <w:tmpl w:val="1BCE0646"/>
    <w:lvl w:ilvl="0" w:tplc="E286CE2A">
      <w:start w:val="1"/>
      <w:numFmt w:val="decimal"/>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8D07CE"/>
    <w:multiLevelType w:val="hybridMultilevel"/>
    <w:tmpl w:val="4684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07F60"/>
    <w:multiLevelType w:val="hybridMultilevel"/>
    <w:tmpl w:val="A9E8C88E"/>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406212"/>
    <w:multiLevelType w:val="hybridMultilevel"/>
    <w:tmpl w:val="2188D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9D4EF4"/>
    <w:multiLevelType w:val="hybridMultilevel"/>
    <w:tmpl w:val="07D48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72049"/>
    <w:multiLevelType w:val="hybridMultilevel"/>
    <w:tmpl w:val="70C4AC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B86467"/>
    <w:multiLevelType w:val="hybridMultilevel"/>
    <w:tmpl w:val="C3540C90"/>
    <w:lvl w:ilvl="0" w:tplc="56F0A762">
      <w:start w:val="1"/>
      <w:numFmt w:val="decimal"/>
      <w:lvlText w:val="%1."/>
      <w:lvlJc w:val="left"/>
      <w:pPr>
        <w:ind w:left="360" w:hanging="360"/>
      </w:pPr>
      <w:rPr>
        <w:rFonts w:ascii="Arial" w:hAnsi="Arial"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9B7527C"/>
    <w:multiLevelType w:val="hybridMultilevel"/>
    <w:tmpl w:val="2F1484B4"/>
    <w:lvl w:ilvl="0" w:tplc="B708640A">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57680D"/>
    <w:multiLevelType w:val="hybridMultilevel"/>
    <w:tmpl w:val="AC1C34C6"/>
    <w:lvl w:ilvl="0" w:tplc="41F4A8F0">
      <w:start w:val="1"/>
      <w:numFmt w:val="decimal"/>
      <w:lvlText w:val="%1."/>
      <w:lvlJc w:val="left"/>
      <w:pPr>
        <w:ind w:left="360" w:hanging="360"/>
      </w:pPr>
      <w:rPr>
        <w:rFonts w:ascii="Arial" w:hAnsi="Arial"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EBD1847"/>
    <w:multiLevelType w:val="multilevel"/>
    <w:tmpl w:val="988CD5D2"/>
    <w:styleLink w:val="Reportheadings"/>
    <w:lvl w:ilvl="0">
      <w:start w:val="1"/>
      <w:numFmt w:val="decimal"/>
      <w:pStyle w:val="Heading1"/>
      <w:suff w:val="space"/>
      <w:lvlText w:val="%1"/>
      <w:lvlJc w:val="left"/>
      <w:pPr>
        <w:ind w:left="360" w:hanging="360"/>
      </w:pPr>
      <w:rPr>
        <w:rFonts w:hint="default"/>
        <w:spacing w:val="0"/>
        <w:w w:val="100"/>
        <w:position w:val="0"/>
      </w:rPr>
    </w:lvl>
    <w:lvl w:ilvl="1">
      <w:start w:val="1"/>
      <w:numFmt w:val="decimal"/>
      <w:pStyle w:val="Heading2"/>
      <w:suff w:val="space"/>
      <w:lvlText w:val="%1.%2"/>
      <w:lvlJc w:val="left"/>
      <w:pPr>
        <w:ind w:left="360" w:hanging="360"/>
      </w:pPr>
      <w:rPr>
        <w:rFonts w:hint="default"/>
      </w:rPr>
    </w:lvl>
    <w:lvl w:ilvl="2">
      <w:start w:val="1"/>
      <w:numFmt w:val="none"/>
      <w:pStyle w:val="Heading3"/>
      <w:suff w:val="space"/>
      <w:lvlText w:val=""/>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decimal"/>
      <w:pStyle w:val="Heading5"/>
      <w:lvlText w:val="%1.%2.%3.%4.%5"/>
      <w:lvlJc w:val="left"/>
      <w:pPr>
        <w:ind w:left="1800" w:hanging="360"/>
      </w:pPr>
      <w:rPr>
        <w:rFonts w:hint="default"/>
      </w:rPr>
    </w:lvl>
    <w:lvl w:ilvl="5">
      <w:start w:val="1"/>
      <w:numFmt w:val="none"/>
      <w:lvlText w:val="%1.%2.%3.%4.%5.1"/>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4092640C"/>
    <w:multiLevelType w:val="hybridMultilevel"/>
    <w:tmpl w:val="52F02EF8"/>
    <w:lvl w:ilvl="0" w:tplc="3984DB4C">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1C1721"/>
    <w:multiLevelType w:val="hybridMultilevel"/>
    <w:tmpl w:val="325A206A"/>
    <w:lvl w:ilvl="0" w:tplc="E176ED1E">
      <w:start w:val="1"/>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34DCF"/>
    <w:multiLevelType w:val="multilevel"/>
    <w:tmpl w:val="988CD5D2"/>
    <w:numStyleLink w:val="Reportheadings"/>
  </w:abstractNum>
  <w:abstractNum w:abstractNumId="21">
    <w:nsid w:val="4D7C49B9"/>
    <w:multiLevelType w:val="hybridMultilevel"/>
    <w:tmpl w:val="E20A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F87AB4"/>
    <w:multiLevelType w:val="hybridMultilevel"/>
    <w:tmpl w:val="2C0AE1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FF4104"/>
    <w:multiLevelType w:val="hybridMultilevel"/>
    <w:tmpl w:val="FC7CE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984521"/>
    <w:multiLevelType w:val="hybridMultilevel"/>
    <w:tmpl w:val="CEAAC5DA"/>
    <w:lvl w:ilvl="0" w:tplc="E2E4EADE">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A15AF4"/>
    <w:multiLevelType w:val="hybridMultilevel"/>
    <w:tmpl w:val="26D8B8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457329"/>
    <w:multiLevelType w:val="hybridMultilevel"/>
    <w:tmpl w:val="5A9459F6"/>
    <w:lvl w:ilvl="0" w:tplc="F80EF224">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E53F02"/>
    <w:multiLevelType w:val="hybridMultilevel"/>
    <w:tmpl w:val="F1724B24"/>
    <w:lvl w:ilvl="0" w:tplc="4EB012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C6DA6"/>
    <w:multiLevelType w:val="hybridMultilevel"/>
    <w:tmpl w:val="38FCA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54223B"/>
    <w:multiLevelType w:val="hybridMultilevel"/>
    <w:tmpl w:val="8D544194"/>
    <w:lvl w:ilvl="0" w:tplc="BD20EA98">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6B3143"/>
    <w:multiLevelType w:val="hybridMultilevel"/>
    <w:tmpl w:val="3914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F7374F"/>
    <w:multiLevelType w:val="hybridMultilevel"/>
    <w:tmpl w:val="09A0982E"/>
    <w:lvl w:ilvl="0" w:tplc="F80EF224">
      <w:start w:val="1"/>
      <w:numFmt w:val="decimal"/>
      <w:lvlText w:val="%1)"/>
      <w:lvlJc w:val="left"/>
      <w:pPr>
        <w:ind w:left="612" w:hanging="360"/>
      </w:pPr>
      <w:rPr>
        <w:rFonts w:eastAsiaTheme="minorHAnsi" w:hint="default"/>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nsid w:val="628E3CF5"/>
    <w:multiLevelType w:val="hybridMultilevel"/>
    <w:tmpl w:val="09A0982E"/>
    <w:lvl w:ilvl="0" w:tplc="F80EF224">
      <w:start w:val="1"/>
      <w:numFmt w:val="decimal"/>
      <w:lvlText w:val="%1)"/>
      <w:lvlJc w:val="left"/>
      <w:pPr>
        <w:ind w:left="612" w:hanging="360"/>
      </w:pPr>
      <w:rPr>
        <w:rFonts w:eastAsiaTheme="minorHAnsi" w:hint="default"/>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nsid w:val="682D5118"/>
    <w:multiLevelType w:val="hybridMultilevel"/>
    <w:tmpl w:val="B296C74A"/>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4">
    <w:nsid w:val="6A592837"/>
    <w:multiLevelType w:val="hybridMultilevel"/>
    <w:tmpl w:val="ED0EDF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9941E8"/>
    <w:multiLevelType w:val="hybridMultilevel"/>
    <w:tmpl w:val="394ED8FE"/>
    <w:lvl w:ilvl="0" w:tplc="5A6670D6">
      <w:start w:val="1"/>
      <w:numFmt w:val="decimal"/>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4258F"/>
    <w:multiLevelType w:val="hybridMultilevel"/>
    <w:tmpl w:val="0DE0BD8E"/>
    <w:lvl w:ilvl="0" w:tplc="E286CE2A">
      <w:start w:val="1"/>
      <w:numFmt w:val="decimal"/>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521383"/>
    <w:multiLevelType w:val="hybridMultilevel"/>
    <w:tmpl w:val="4424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8"/>
  </w:num>
  <w:num w:numId="4">
    <w:abstractNumId w:val="30"/>
  </w:num>
  <w:num w:numId="5">
    <w:abstractNumId w:val="21"/>
  </w:num>
  <w:num w:numId="6">
    <w:abstractNumId w:val="8"/>
  </w:num>
  <w:num w:numId="7">
    <w:abstractNumId w:val="36"/>
  </w:num>
  <w:num w:numId="8">
    <w:abstractNumId w:val="16"/>
  </w:num>
  <w:num w:numId="9">
    <w:abstractNumId w:val="29"/>
  </w:num>
  <w:num w:numId="10">
    <w:abstractNumId w:val="25"/>
  </w:num>
  <w:num w:numId="11">
    <w:abstractNumId w:val="14"/>
  </w:num>
  <w:num w:numId="12">
    <w:abstractNumId w:val="4"/>
  </w:num>
  <w:num w:numId="13">
    <w:abstractNumId w:val="5"/>
  </w:num>
  <w:num w:numId="14">
    <w:abstractNumId w:val="19"/>
  </w:num>
  <w:num w:numId="15">
    <w:abstractNumId w:val="35"/>
  </w:num>
  <w:num w:numId="16">
    <w:abstractNumId w:val="34"/>
  </w:num>
  <w:num w:numId="17">
    <w:abstractNumId w:val="13"/>
  </w:num>
  <w:num w:numId="18">
    <w:abstractNumId w:val="20"/>
  </w:num>
  <w:num w:numId="19">
    <w:abstractNumId w:val="33"/>
  </w:num>
  <w:num w:numId="20">
    <w:abstractNumId w:val="15"/>
  </w:num>
  <w:num w:numId="21">
    <w:abstractNumId w:val="24"/>
  </w:num>
  <w:num w:numId="22">
    <w:abstractNumId w:val="12"/>
  </w:num>
  <w:num w:numId="23">
    <w:abstractNumId w:val="37"/>
  </w:num>
  <w:num w:numId="24">
    <w:abstractNumId w:val="23"/>
  </w:num>
  <w:num w:numId="25">
    <w:abstractNumId w:val="2"/>
  </w:num>
  <w:num w:numId="26">
    <w:abstractNumId w:val="27"/>
  </w:num>
  <w:num w:numId="27">
    <w:abstractNumId w:val="7"/>
  </w:num>
  <w:num w:numId="28">
    <w:abstractNumId w:val="9"/>
  </w:num>
  <w:num w:numId="29">
    <w:abstractNumId w:val="31"/>
  </w:num>
  <w:num w:numId="30">
    <w:abstractNumId w:val="1"/>
  </w:num>
  <w:num w:numId="31">
    <w:abstractNumId w:val="0"/>
  </w:num>
  <w:num w:numId="32">
    <w:abstractNumId w:val="6"/>
  </w:num>
  <w:num w:numId="33">
    <w:abstractNumId w:val="11"/>
  </w:num>
  <w:num w:numId="34">
    <w:abstractNumId w:val="32"/>
  </w:num>
  <w:num w:numId="35">
    <w:abstractNumId w:val="28"/>
  </w:num>
  <w:num w:numId="36">
    <w:abstractNumId w:val="3"/>
  </w:num>
  <w:num w:numId="37">
    <w:abstractNumId w:val="26"/>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0E"/>
    <w:rsid w:val="00003C07"/>
    <w:rsid w:val="00003FB1"/>
    <w:rsid w:val="00004E63"/>
    <w:rsid w:val="00006441"/>
    <w:rsid w:val="00007130"/>
    <w:rsid w:val="00007D29"/>
    <w:rsid w:val="00012354"/>
    <w:rsid w:val="00013FF4"/>
    <w:rsid w:val="00016622"/>
    <w:rsid w:val="000171DC"/>
    <w:rsid w:val="00017258"/>
    <w:rsid w:val="00017879"/>
    <w:rsid w:val="00022854"/>
    <w:rsid w:val="00025655"/>
    <w:rsid w:val="00032D28"/>
    <w:rsid w:val="00036F8E"/>
    <w:rsid w:val="00037A25"/>
    <w:rsid w:val="0004054E"/>
    <w:rsid w:val="0004530D"/>
    <w:rsid w:val="00050452"/>
    <w:rsid w:val="000512AB"/>
    <w:rsid w:val="0005214B"/>
    <w:rsid w:val="00052789"/>
    <w:rsid w:val="000537E2"/>
    <w:rsid w:val="00060001"/>
    <w:rsid w:val="00063F4C"/>
    <w:rsid w:val="000673BB"/>
    <w:rsid w:val="0007008A"/>
    <w:rsid w:val="00070311"/>
    <w:rsid w:val="000752C1"/>
    <w:rsid w:val="00076E77"/>
    <w:rsid w:val="00081404"/>
    <w:rsid w:val="00084A50"/>
    <w:rsid w:val="00084C95"/>
    <w:rsid w:val="00086205"/>
    <w:rsid w:val="00086309"/>
    <w:rsid w:val="00090D42"/>
    <w:rsid w:val="00094F7F"/>
    <w:rsid w:val="0009787A"/>
    <w:rsid w:val="00097D03"/>
    <w:rsid w:val="000A033A"/>
    <w:rsid w:val="000A49F3"/>
    <w:rsid w:val="000A5EF6"/>
    <w:rsid w:val="000A6A3F"/>
    <w:rsid w:val="000A7545"/>
    <w:rsid w:val="000B2618"/>
    <w:rsid w:val="000B3188"/>
    <w:rsid w:val="000B59D5"/>
    <w:rsid w:val="000B6F5F"/>
    <w:rsid w:val="000C01C2"/>
    <w:rsid w:val="000C43C9"/>
    <w:rsid w:val="000C45F5"/>
    <w:rsid w:val="000C5021"/>
    <w:rsid w:val="000D003F"/>
    <w:rsid w:val="000D0FB2"/>
    <w:rsid w:val="000D46A0"/>
    <w:rsid w:val="000D71CB"/>
    <w:rsid w:val="000D77FC"/>
    <w:rsid w:val="000E1CDA"/>
    <w:rsid w:val="000E2747"/>
    <w:rsid w:val="000E34D7"/>
    <w:rsid w:val="000E35C3"/>
    <w:rsid w:val="000E55D2"/>
    <w:rsid w:val="000E6E6A"/>
    <w:rsid w:val="000F1F12"/>
    <w:rsid w:val="000F4C1D"/>
    <w:rsid w:val="00100779"/>
    <w:rsid w:val="0010522D"/>
    <w:rsid w:val="001110DF"/>
    <w:rsid w:val="00115115"/>
    <w:rsid w:val="00116A94"/>
    <w:rsid w:val="0011778C"/>
    <w:rsid w:val="00123EA7"/>
    <w:rsid w:val="00125D0A"/>
    <w:rsid w:val="00131C7E"/>
    <w:rsid w:val="0013309A"/>
    <w:rsid w:val="00146EBC"/>
    <w:rsid w:val="001531BA"/>
    <w:rsid w:val="0015353F"/>
    <w:rsid w:val="00153606"/>
    <w:rsid w:val="00155CB1"/>
    <w:rsid w:val="00156AF3"/>
    <w:rsid w:val="00172910"/>
    <w:rsid w:val="00173CC5"/>
    <w:rsid w:val="001772CA"/>
    <w:rsid w:val="00177CAA"/>
    <w:rsid w:val="0018048F"/>
    <w:rsid w:val="001805FA"/>
    <w:rsid w:val="001815E7"/>
    <w:rsid w:val="001824C8"/>
    <w:rsid w:val="00184D8E"/>
    <w:rsid w:val="00185221"/>
    <w:rsid w:val="00190803"/>
    <w:rsid w:val="0019597A"/>
    <w:rsid w:val="001A5080"/>
    <w:rsid w:val="001A5873"/>
    <w:rsid w:val="001A6131"/>
    <w:rsid w:val="001A7437"/>
    <w:rsid w:val="001B1042"/>
    <w:rsid w:val="001B3B1C"/>
    <w:rsid w:val="001B4400"/>
    <w:rsid w:val="001B638F"/>
    <w:rsid w:val="001C1002"/>
    <w:rsid w:val="001C42B5"/>
    <w:rsid w:val="001C53F6"/>
    <w:rsid w:val="001D5163"/>
    <w:rsid w:val="001D6203"/>
    <w:rsid w:val="001D6A29"/>
    <w:rsid w:val="001E1053"/>
    <w:rsid w:val="001E28B4"/>
    <w:rsid w:val="001E3EC2"/>
    <w:rsid w:val="001F01BD"/>
    <w:rsid w:val="001F31D5"/>
    <w:rsid w:val="001F4876"/>
    <w:rsid w:val="00207561"/>
    <w:rsid w:val="00207706"/>
    <w:rsid w:val="002117A0"/>
    <w:rsid w:val="002144F6"/>
    <w:rsid w:val="00220984"/>
    <w:rsid w:val="00220B44"/>
    <w:rsid w:val="002214AD"/>
    <w:rsid w:val="002253B4"/>
    <w:rsid w:val="00231CEC"/>
    <w:rsid w:val="00233746"/>
    <w:rsid w:val="002363F4"/>
    <w:rsid w:val="00237116"/>
    <w:rsid w:val="00241A98"/>
    <w:rsid w:val="00241AB0"/>
    <w:rsid w:val="00246E1B"/>
    <w:rsid w:val="00251FBE"/>
    <w:rsid w:val="0025581A"/>
    <w:rsid w:val="002561C0"/>
    <w:rsid w:val="00262CA4"/>
    <w:rsid w:val="002658DE"/>
    <w:rsid w:val="00267C34"/>
    <w:rsid w:val="00267C48"/>
    <w:rsid w:val="00270C11"/>
    <w:rsid w:val="00270F45"/>
    <w:rsid w:val="00271032"/>
    <w:rsid w:val="00272E9F"/>
    <w:rsid w:val="00276BBB"/>
    <w:rsid w:val="00281970"/>
    <w:rsid w:val="00283991"/>
    <w:rsid w:val="00285560"/>
    <w:rsid w:val="00285FB6"/>
    <w:rsid w:val="00286AB7"/>
    <w:rsid w:val="00286D6A"/>
    <w:rsid w:val="00287AB8"/>
    <w:rsid w:val="00287B7D"/>
    <w:rsid w:val="0029608D"/>
    <w:rsid w:val="00297112"/>
    <w:rsid w:val="00297E5E"/>
    <w:rsid w:val="00297EA7"/>
    <w:rsid w:val="002A0B4D"/>
    <w:rsid w:val="002A1899"/>
    <w:rsid w:val="002A2C20"/>
    <w:rsid w:val="002A45DF"/>
    <w:rsid w:val="002A64F1"/>
    <w:rsid w:val="002A764D"/>
    <w:rsid w:val="002B02D2"/>
    <w:rsid w:val="002B3E58"/>
    <w:rsid w:val="002B40DA"/>
    <w:rsid w:val="002B53B2"/>
    <w:rsid w:val="002B6BF7"/>
    <w:rsid w:val="002B6C69"/>
    <w:rsid w:val="002C0E46"/>
    <w:rsid w:val="002C4204"/>
    <w:rsid w:val="002C4E06"/>
    <w:rsid w:val="002C51CC"/>
    <w:rsid w:val="002C5459"/>
    <w:rsid w:val="002D05F6"/>
    <w:rsid w:val="002E169F"/>
    <w:rsid w:val="002E2CAB"/>
    <w:rsid w:val="002E38AB"/>
    <w:rsid w:val="002E3B6E"/>
    <w:rsid w:val="002E4F31"/>
    <w:rsid w:val="002E6A3C"/>
    <w:rsid w:val="002F372B"/>
    <w:rsid w:val="002F582D"/>
    <w:rsid w:val="002F5ACB"/>
    <w:rsid w:val="002F7D07"/>
    <w:rsid w:val="00303A78"/>
    <w:rsid w:val="00307980"/>
    <w:rsid w:val="0031259F"/>
    <w:rsid w:val="00312C60"/>
    <w:rsid w:val="00313963"/>
    <w:rsid w:val="00314743"/>
    <w:rsid w:val="00314D97"/>
    <w:rsid w:val="00315056"/>
    <w:rsid w:val="00315176"/>
    <w:rsid w:val="00315382"/>
    <w:rsid w:val="00320DAF"/>
    <w:rsid w:val="00320E02"/>
    <w:rsid w:val="00321AAC"/>
    <w:rsid w:val="0032693C"/>
    <w:rsid w:val="00330FB4"/>
    <w:rsid w:val="00332A13"/>
    <w:rsid w:val="003335CC"/>
    <w:rsid w:val="00334299"/>
    <w:rsid w:val="00335972"/>
    <w:rsid w:val="003362E4"/>
    <w:rsid w:val="003427A9"/>
    <w:rsid w:val="00343671"/>
    <w:rsid w:val="0034419B"/>
    <w:rsid w:val="003455CD"/>
    <w:rsid w:val="00346B05"/>
    <w:rsid w:val="00346B40"/>
    <w:rsid w:val="003478EA"/>
    <w:rsid w:val="00351817"/>
    <w:rsid w:val="003531FB"/>
    <w:rsid w:val="00362FD4"/>
    <w:rsid w:val="003634C9"/>
    <w:rsid w:val="003753CC"/>
    <w:rsid w:val="003756FD"/>
    <w:rsid w:val="00380819"/>
    <w:rsid w:val="00382C54"/>
    <w:rsid w:val="003851AF"/>
    <w:rsid w:val="003917C1"/>
    <w:rsid w:val="0039349F"/>
    <w:rsid w:val="003B00C0"/>
    <w:rsid w:val="003B158D"/>
    <w:rsid w:val="003B5A02"/>
    <w:rsid w:val="003C1343"/>
    <w:rsid w:val="003C259B"/>
    <w:rsid w:val="003D2427"/>
    <w:rsid w:val="003D25B8"/>
    <w:rsid w:val="003D39E1"/>
    <w:rsid w:val="003D6E49"/>
    <w:rsid w:val="003D753C"/>
    <w:rsid w:val="003E28BC"/>
    <w:rsid w:val="003F0C79"/>
    <w:rsid w:val="003F221F"/>
    <w:rsid w:val="003F3645"/>
    <w:rsid w:val="003F3664"/>
    <w:rsid w:val="003F4996"/>
    <w:rsid w:val="003F5894"/>
    <w:rsid w:val="003F5E1D"/>
    <w:rsid w:val="003F6870"/>
    <w:rsid w:val="004022D7"/>
    <w:rsid w:val="004035F3"/>
    <w:rsid w:val="00403721"/>
    <w:rsid w:val="0040690F"/>
    <w:rsid w:val="00411583"/>
    <w:rsid w:val="00411E08"/>
    <w:rsid w:val="00412CB3"/>
    <w:rsid w:val="004145FF"/>
    <w:rsid w:val="00414AAE"/>
    <w:rsid w:val="00414CCB"/>
    <w:rsid w:val="004177C8"/>
    <w:rsid w:val="0042067E"/>
    <w:rsid w:val="00432CE8"/>
    <w:rsid w:val="00434370"/>
    <w:rsid w:val="00437479"/>
    <w:rsid w:val="00437F12"/>
    <w:rsid w:val="00443110"/>
    <w:rsid w:val="0044550A"/>
    <w:rsid w:val="004633E9"/>
    <w:rsid w:val="00464094"/>
    <w:rsid w:val="00465001"/>
    <w:rsid w:val="004652D0"/>
    <w:rsid w:val="004677B3"/>
    <w:rsid w:val="00473C6A"/>
    <w:rsid w:val="00476BA0"/>
    <w:rsid w:val="00486C82"/>
    <w:rsid w:val="00490248"/>
    <w:rsid w:val="004907A0"/>
    <w:rsid w:val="0049157F"/>
    <w:rsid w:val="00491F62"/>
    <w:rsid w:val="00492123"/>
    <w:rsid w:val="004922FF"/>
    <w:rsid w:val="004938C9"/>
    <w:rsid w:val="004A4094"/>
    <w:rsid w:val="004B1910"/>
    <w:rsid w:val="004B2C7D"/>
    <w:rsid w:val="004B2E28"/>
    <w:rsid w:val="004B3979"/>
    <w:rsid w:val="004B6A73"/>
    <w:rsid w:val="004B72AB"/>
    <w:rsid w:val="004D7EBA"/>
    <w:rsid w:val="004E3D46"/>
    <w:rsid w:val="004F654B"/>
    <w:rsid w:val="00501450"/>
    <w:rsid w:val="00503117"/>
    <w:rsid w:val="0050348B"/>
    <w:rsid w:val="00505A4C"/>
    <w:rsid w:val="00510346"/>
    <w:rsid w:val="0051073F"/>
    <w:rsid w:val="00511F50"/>
    <w:rsid w:val="0051275D"/>
    <w:rsid w:val="0051369A"/>
    <w:rsid w:val="00524597"/>
    <w:rsid w:val="00525D99"/>
    <w:rsid w:val="00526468"/>
    <w:rsid w:val="00530C95"/>
    <w:rsid w:val="00536444"/>
    <w:rsid w:val="005369C2"/>
    <w:rsid w:val="00541FA4"/>
    <w:rsid w:val="00542373"/>
    <w:rsid w:val="00544F09"/>
    <w:rsid w:val="0054672A"/>
    <w:rsid w:val="0055465D"/>
    <w:rsid w:val="00554F4B"/>
    <w:rsid w:val="00560A3D"/>
    <w:rsid w:val="00570937"/>
    <w:rsid w:val="005751C9"/>
    <w:rsid w:val="005777AF"/>
    <w:rsid w:val="0058016A"/>
    <w:rsid w:val="00581ED6"/>
    <w:rsid w:val="0058331B"/>
    <w:rsid w:val="00584D3A"/>
    <w:rsid w:val="0059156C"/>
    <w:rsid w:val="00591633"/>
    <w:rsid w:val="00594D91"/>
    <w:rsid w:val="005A04CA"/>
    <w:rsid w:val="005A5237"/>
    <w:rsid w:val="005B3018"/>
    <w:rsid w:val="005B4233"/>
    <w:rsid w:val="005B50E4"/>
    <w:rsid w:val="005B6D21"/>
    <w:rsid w:val="005C3A33"/>
    <w:rsid w:val="005C75D3"/>
    <w:rsid w:val="005E0585"/>
    <w:rsid w:val="005E2FA3"/>
    <w:rsid w:val="005E3156"/>
    <w:rsid w:val="005E70EF"/>
    <w:rsid w:val="005E74E3"/>
    <w:rsid w:val="005F16CB"/>
    <w:rsid w:val="005F1D5C"/>
    <w:rsid w:val="005F2347"/>
    <w:rsid w:val="006009D8"/>
    <w:rsid w:val="00602135"/>
    <w:rsid w:val="00603FF0"/>
    <w:rsid w:val="00607424"/>
    <w:rsid w:val="00607D99"/>
    <w:rsid w:val="006122B8"/>
    <w:rsid w:val="0061316F"/>
    <w:rsid w:val="00613D1F"/>
    <w:rsid w:val="0061510C"/>
    <w:rsid w:val="006158EC"/>
    <w:rsid w:val="00623D74"/>
    <w:rsid w:val="00623FE6"/>
    <w:rsid w:val="00624058"/>
    <w:rsid w:val="00624742"/>
    <w:rsid w:val="0062592B"/>
    <w:rsid w:val="00631E51"/>
    <w:rsid w:val="0063388E"/>
    <w:rsid w:val="00645A2F"/>
    <w:rsid w:val="006472FF"/>
    <w:rsid w:val="0065354D"/>
    <w:rsid w:val="00653C58"/>
    <w:rsid w:val="00655A51"/>
    <w:rsid w:val="00655B92"/>
    <w:rsid w:val="0065608C"/>
    <w:rsid w:val="00656FE3"/>
    <w:rsid w:val="0065735B"/>
    <w:rsid w:val="00662539"/>
    <w:rsid w:val="00662795"/>
    <w:rsid w:val="00662B16"/>
    <w:rsid w:val="0066614F"/>
    <w:rsid w:val="006672BC"/>
    <w:rsid w:val="00676983"/>
    <w:rsid w:val="00676E9B"/>
    <w:rsid w:val="00677EEB"/>
    <w:rsid w:val="006800CF"/>
    <w:rsid w:val="006813A8"/>
    <w:rsid w:val="0068497E"/>
    <w:rsid w:val="00684D40"/>
    <w:rsid w:val="006936CC"/>
    <w:rsid w:val="006961D7"/>
    <w:rsid w:val="00697327"/>
    <w:rsid w:val="006A10B9"/>
    <w:rsid w:val="006A4256"/>
    <w:rsid w:val="006A4964"/>
    <w:rsid w:val="006A4E50"/>
    <w:rsid w:val="006B162C"/>
    <w:rsid w:val="006B3421"/>
    <w:rsid w:val="006B3BB2"/>
    <w:rsid w:val="006C19DB"/>
    <w:rsid w:val="006C4FB3"/>
    <w:rsid w:val="006C5596"/>
    <w:rsid w:val="006C660C"/>
    <w:rsid w:val="006D0EF3"/>
    <w:rsid w:val="006D1216"/>
    <w:rsid w:val="006D4B71"/>
    <w:rsid w:val="006D52C8"/>
    <w:rsid w:val="006E1B73"/>
    <w:rsid w:val="006E33B0"/>
    <w:rsid w:val="006E454B"/>
    <w:rsid w:val="006F3DA3"/>
    <w:rsid w:val="006F6808"/>
    <w:rsid w:val="006F6860"/>
    <w:rsid w:val="00702151"/>
    <w:rsid w:val="00706E27"/>
    <w:rsid w:val="00707B8B"/>
    <w:rsid w:val="00710427"/>
    <w:rsid w:val="00714F73"/>
    <w:rsid w:val="007151E7"/>
    <w:rsid w:val="00715C13"/>
    <w:rsid w:val="0071673D"/>
    <w:rsid w:val="00721622"/>
    <w:rsid w:val="00723AFF"/>
    <w:rsid w:val="0072548D"/>
    <w:rsid w:val="00725BDB"/>
    <w:rsid w:val="00725D89"/>
    <w:rsid w:val="0073105D"/>
    <w:rsid w:val="00735667"/>
    <w:rsid w:val="00736892"/>
    <w:rsid w:val="00737B2D"/>
    <w:rsid w:val="007426DE"/>
    <w:rsid w:val="00743BFA"/>
    <w:rsid w:val="00746CAF"/>
    <w:rsid w:val="00752EE7"/>
    <w:rsid w:val="00762F54"/>
    <w:rsid w:val="0076386D"/>
    <w:rsid w:val="00767823"/>
    <w:rsid w:val="00767EA3"/>
    <w:rsid w:val="007706E4"/>
    <w:rsid w:val="00771084"/>
    <w:rsid w:val="00775FA5"/>
    <w:rsid w:val="007768EB"/>
    <w:rsid w:val="0077798C"/>
    <w:rsid w:val="00777C89"/>
    <w:rsid w:val="0078013A"/>
    <w:rsid w:val="00780DDB"/>
    <w:rsid w:val="007812CB"/>
    <w:rsid w:val="00781991"/>
    <w:rsid w:val="00783562"/>
    <w:rsid w:val="00784607"/>
    <w:rsid w:val="00785CB2"/>
    <w:rsid w:val="00786078"/>
    <w:rsid w:val="00786F29"/>
    <w:rsid w:val="00787D64"/>
    <w:rsid w:val="0079175C"/>
    <w:rsid w:val="00791E6A"/>
    <w:rsid w:val="00793B06"/>
    <w:rsid w:val="00794FE8"/>
    <w:rsid w:val="00795655"/>
    <w:rsid w:val="007A4FB1"/>
    <w:rsid w:val="007A6EA1"/>
    <w:rsid w:val="007A7380"/>
    <w:rsid w:val="007B4E9C"/>
    <w:rsid w:val="007B5126"/>
    <w:rsid w:val="007B5F3A"/>
    <w:rsid w:val="007B6327"/>
    <w:rsid w:val="007C4313"/>
    <w:rsid w:val="007C578C"/>
    <w:rsid w:val="007C5972"/>
    <w:rsid w:val="007C6DB8"/>
    <w:rsid w:val="007C7071"/>
    <w:rsid w:val="007D1310"/>
    <w:rsid w:val="007D1E80"/>
    <w:rsid w:val="007D5B8E"/>
    <w:rsid w:val="007E1A95"/>
    <w:rsid w:val="007E7CCB"/>
    <w:rsid w:val="007F164D"/>
    <w:rsid w:val="007F1769"/>
    <w:rsid w:val="007F5362"/>
    <w:rsid w:val="007F792A"/>
    <w:rsid w:val="008017B0"/>
    <w:rsid w:val="00801863"/>
    <w:rsid w:val="00803760"/>
    <w:rsid w:val="00804089"/>
    <w:rsid w:val="00804D96"/>
    <w:rsid w:val="00806F29"/>
    <w:rsid w:val="00817809"/>
    <w:rsid w:val="00820AE3"/>
    <w:rsid w:val="00822E13"/>
    <w:rsid w:val="0083528F"/>
    <w:rsid w:val="00837573"/>
    <w:rsid w:val="0084008E"/>
    <w:rsid w:val="008418FB"/>
    <w:rsid w:val="00842521"/>
    <w:rsid w:val="008426A8"/>
    <w:rsid w:val="00844F99"/>
    <w:rsid w:val="00847DE2"/>
    <w:rsid w:val="00850BC9"/>
    <w:rsid w:val="00853C0A"/>
    <w:rsid w:val="00861A6C"/>
    <w:rsid w:val="00875D37"/>
    <w:rsid w:val="008761C0"/>
    <w:rsid w:val="00876DBD"/>
    <w:rsid w:val="00886234"/>
    <w:rsid w:val="00890D4C"/>
    <w:rsid w:val="008951AA"/>
    <w:rsid w:val="00897B61"/>
    <w:rsid w:val="008A2172"/>
    <w:rsid w:val="008A7940"/>
    <w:rsid w:val="008B4DD7"/>
    <w:rsid w:val="008B4F9A"/>
    <w:rsid w:val="008B5D97"/>
    <w:rsid w:val="008B6968"/>
    <w:rsid w:val="008C2ED8"/>
    <w:rsid w:val="008D072A"/>
    <w:rsid w:val="008D128D"/>
    <w:rsid w:val="008D3449"/>
    <w:rsid w:val="008D3742"/>
    <w:rsid w:val="008D4C7C"/>
    <w:rsid w:val="008D4CDE"/>
    <w:rsid w:val="008D64D8"/>
    <w:rsid w:val="008D7FBB"/>
    <w:rsid w:val="008E2CA6"/>
    <w:rsid w:val="008E58A1"/>
    <w:rsid w:val="008F1DD2"/>
    <w:rsid w:val="008F41E9"/>
    <w:rsid w:val="008F5276"/>
    <w:rsid w:val="008F6AA5"/>
    <w:rsid w:val="008F6DFC"/>
    <w:rsid w:val="008F6F11"/>
    <w:rsid w:val="008F7205"/>
    <w:rsid w:val="00900E07"/>
    <w:rsid w:val="00903516"/>
    <w:rsid w:val="00903E02"/>
    <w:rsid w:val="00905A4D"/>
    <w:rsid w:val="0090679A"/>
    <w:rsid w:val="009103E4"/>
    <w:rsid w:val="0091213F"/>
    <w:rsid w:val="00917FDF"/>
    <w:rsid w:val="00920FFA"/>
    <w:rsid w:val="00923D34"/>
    <w:rsid w:val="00924DFA"/>
    <w:rsid w:val="009253B4"/>
    <w:rsid w:val="00927DDA"/>
    <w:rsid w:val="00936494"/>
    <w:rsid w:val="00937C6F"/>
    <w:rsid w:val="00942A46"/>
    <w:rsid w:val="009439FC"/>
    <w:rsid w:val="00943BAD"/>
    <w:rsid w:val="00945561"/>
    <w:rsid w:val="00945999"/>
    <w:rsid w:val="00945DA7"/>
    <w:rsid w:val="00950241"/>
    <w:rsid w:val="009508F8"/>
    <w:rsid w:val="00951349"/>
    <w:rsid w:val="0096234B"/>
    <w:rsid w:val="009639BE"/>
    <w:rsid w:val="0096569F"/>
    <w:rsid w:val="00966C47"/>
    <w:rsid w:val="00971CCE"/>
    <w:rsid w:val="00973991"/>
    <w:rsid w:val="00974298"/>
    <w:rsid w:val="0098063B"/>
    <w:rsid w:val="00981ADD"/>
    <w:rsid w:val="00983DC0"/>
    <w:rsid w:val="00986417"/>
    <w:rsid w:val="0099238B"/>
    <w:rsid w:val="00993F12"/>
    <w:rsid w:val="00994A64"/>
    <w:rsid w:val="0099666D"/>
    <w:rsid w:val="009A29C7"/>
    <w:rsid w:val="009B0582"/>
    <w:rsid w:val="009B4D84"/>
    <w:rsid w:val="009C1A9B"/>
    <w:rsid w:val="009D1AC6"/>
    <w:rsid w:val="009D2810"/>
    <w:rsid w:val="009D3EF8"/>
    <w:rsid w:val="009D4295"/>
    <w:rsid w:val="009D7FD5"/>
    <w:rsid w:val="009E7350"/>
    <w:rsid w:val="009F008A"/>
    <w:rsid w:val="009F2471"/>
    <w:rsid w:val="009F248E"/>
    <w:rsid w:val="009F2E9F"/>
    <w:rsid w:val="009F61EE"/>
    <w:rsid w:val="009F70A1"/>
    <w:rsid w:val="00A0244D"/>
    <w:rsid w:val="00A06D9F"/>
    <w:rsid w:val="00A138FC"/>
    <w:rsid w:val="00A15D21"/>
    <w:rsid w:val="00A17561"/>
    <w:rsid w:val="00A22923"/>
    <w:rsid w:val="00A34295"/>
    <w:rsid w:val="00A3470E"/>
    <w:rsid w:val="00A34E1A"/>
    <w:rsid w:val="00A37329"/>
    <w:rsid w:val="00A37FCE"/>
    <w:rsid w:val="00A45D2F"/>
    <w:rsid w:val="00A46F36"/>
    <w:rsid w:val="00A47718"/>
    <w:rsid w:val="00A47AA8"/>
    <w:rsid w:val="00A521B6"/>
    <w:rsid w:val="00A52B91"/>
    <w:rsid w:val="00A54926"/>
    <w:rsid w:val="00A6030F"/>
    <w:rsid w:val="00A6381D"/>
    <w:rsid w:val="00A63E0D"/>
    <w:rsid w:val="00A65319"/>
    <w:rsid w:val="00A656B3"/>
    <w:rsid w:val="00A65E10"/>
    <w:rsid w:val="00A667A4"/>
    <w:rsid w:val="00A66D69"/>
    <w:rsid w:val="00A73970"/>
    <w:rsid w:val="00A73D59"/>
    <w:rsid w:val="00A742F3"/>
    <w:rsid w:val="00A74BBA"/>
    <w:rsid w:val="00A766C4"/>
    <w:rsid w:val="00A77390"/>
    <w:rsid w:val="00A80CF8"/>
    <w:rsid w:val="00A83E13"/>
    <w:rsid w:val="00A93A96"/>
    <w:rsid w:val="00A96BE8"/>
    <w:rsid w:val="00A96D90"/>
    <w:rsid w:val="00AA6144"/>
    <w:rsid w:val="00AB06AB"/>
    <w:rsid w:val="00AB08EF"/>
    <w:rsid w:val="00AB2375"/>
    <w:rsid w:val="00AC3760"/>
    <w:rsid w:val="00AD15E2"/>
    <w:rsid w:val="00AD65E4"/>
    <w:rsid w:val="00AD68DC"/>
    <w:rsid w:val="00AD7161"/>
    <w:rsid w:val="00AE106D"/>
    <w:rsid w:val="00AE20D8"/>
    <w:rsid w:val="00AE2E09"/>
    <w:rsid w:val="00AE46A7"/>
    <w:rsid w:val="00AE5EDE"/>
    <w:rsid w:val="00AE6158"/>
    <w:rsid w:val="00AF3779"/>
    <w:rsid w:val="00AF38C0"/>
    <w:rsid w:val="00AF7098"/>
    <w:rsid w:val="00B037ED"/>
    <w:rsid w:val="00B04001"/>
    <w:rsid w:val="00B05D52"/>
    <w:rsid w:val="00B06A86"/>
    <w:rsid w:val="00B06E93"/>
    <w:rsid w:val="00B12B26"/>
    <w:rsid w:val="00B15F1C"/>
    <w:rsid w:val="00B17345"/>
    <w:rsid w:val="00B17F66"/>
    <w:rsid w:val="00B22BEE"/>
    <w:rsid w:val="00B261F0"/>
    <w:rsid w:val="00B27F80"/>
    <w:rsid w:val="00B35516"/>
    <w:rsid w:val="00B43CAE"/>
    <w:rsid w:val="00B52975"/>
    <w:rsid w:val="00B53F1A"/>
    <w:rsid w:val="00B54BF8"/>
    <w:rsid w:val="00B56CEA"/>
    <w:rsid w:val="00B6083D"/>
    <w:rsid w:val="00B611B9"/>
    <w:rsid w:val="00B61E6A"/>
    <w:rsid w:val="00B67BAB"/>
    <w:rsid w:val="00B71492"/>
    <w:rsid w:val="00B73CC0"/>
    <w:rsid w:val="00B8080E"/>
    <w:rsid w:val="00B8094D"/>
    <w:rsid w:val="00B812C8"/>
    <w:rsid w:val="00B81587"/>
    <w:rsid w:val="00B82FCE"/>
    <w:rsid w:val="00B83C59"/>
    <w:rsid w:val="00B8733D"/>
    <w:rsid w:val="00B92437"/>
    <w:rsid w:val="00B94E1B"/>
    <w:rsid w:val="00B964E0"/>
    <w:rsid w:val="00B97A91"/>
    <w:rsid w:val="00BA2B54"/>
    <w:rsid w:val="00BA332A"/>
    <w:rsid w:val="00BB1970"/>
    <w:rsid w:val="00BB432E"/>
    <w:rsid w:val="00BB5F39"/>
    <w:rsid w:val="00BB6297"/>
    <w:rsid w:val="00BC33DD"/>
    <w:rsid w:val="00BC4490"/>
    <w:rsid w:val="00BD0D31"/>
    <w:rsid w:val="00BD2FFB"/>
    <w:rsid w:val="00BD7580"/>
    <w:rsid w:val="00BE01BA"/>
    <w:rsid w:val="00BE0A0B"/>
    <w:rsid w:val="00BE704C"/>
    <w:rsid w:val="00BF5A7E"/>
    <w:rsid w:val="00C00891"/>
    <w:rsid w:val="00C01F96"/>
    <w:rsid w:val="00C0376C"/>
    <w:rsid w:val="00C041A2"/>
    <w:rsid w:val="00C072C8"/>
    <w:rsid w:val="00C10D04"/>
    <w:rsid w:val="00C1110E"/>
    <w:rsid w:val="00C151BB"/>
    <w:rsid w:val="00C156B4"/>
    <w:rsid w:val="00C15EF9"/>
    <w:rsid w:val="00C17C69"/>
    <w:rsid w:val="00C20ACA"/>
    <w:rsid w:val="00C22993"/>
    <w:rsid w:val="00C30D2D"/>
    <w:rsid w:val="00C314C3"/>
    <w:rsid w:val="00C3508C"/>
    <w:rsid w:val="00C444C4"/>
    <w:rsid w:val="00C45F8A"/>
    <w:rsid w:val="00C52ECE"/>
    <w:rsid w:val="00C57A82"/>
    <w:rsid w:val="00C6302B"/>
    <w:rsid w:val="00C6336A"/>
    <w:rsid w:val="00C63397"/>
    <w:rsid w:val="00C67384"/>
    <w:rsid w:val="00C75043"/>
    <w:rsid w:val="00C80694"/>
    <w:rsid w:val="00C91EDF"/>
    <w:rsid w:val="00CA05C8"/>
    <w:rsid w:val="00CB26CA"/>
    <w:rsid w:val="00CB30D7"/>
    <w:rsid w:val="00CB48A5"/>
    <w:rsid w:val="00CB4E86"/>
    <w:rsid w:val="00CC0FE8"/>
    <w:rsid w:val="00CC222E"/>
    <w:rsid w:val="00CC260A"/>
    <w:rsid w:val="00CC4C1C"/>
    <w:rsid w:val="00CD4B89"/>
    <w:rsid w:val="00CD70E2"/>
    <w:rsid w:val="00CE0BE4"/>
    <w:rsid w:val="00CE1DCE"/>
    <w:rsid w:val="00CF19CB"/>
    <w:rsid w:val="00CF6BAC"/>
    <w:rsid w:val="00D03920"/>
    <w:rsid w:val="00D11511"/>
    <w:rsid w:val="00D11583"/>
    <w:rsid w:val="00D14061"/>
    <w:rsid w:val="00D14E55"/>
    <w:rsid w:val="00D20D7A"/>
    <w:rsid w:val="00D22999"/>
    <w:rsid w:val="00D25051"/>
    <w:rsid w:val="00D31FD0"/>
    <w:rsid w:val="00D35458"/>
    <w:rsid w:val="00D466DC"/>
    <w:rsid w:val="00D51AD1"/>
    <w:rsid w:val="00D52B62"/>
    <w:rsid w:val="00D53D1A"/>
    <w:rsid w:val="00D54E4A"/>
    <w:rsid w:val="00D5692A"/>
    <w:rsid w:val="00D60A17"/>
    <w:rsid w:val="00D64BF4"/>
    <w:rsid w:val="00D64F70"/>
    <w:rsid w:val="00D6546A"/>
    <w:rsid w:val="00D66000"/>
    <w:rsid w:val="00D71912"/>
    <w:rsid w:val="00D71FF7"/>
    <w:rsid w:val="00D726FA"/>
    <w:rsid w:val="00D74772"/>
    <w:rsid w:val="00D771FD"/>
    <w:rsid w:val="00D845F2"/>
    <w:rsid w:val="00D84CA5"/>
    <w:rsid w:val="00D87238"/>
    <w:rsid w:val="00D92BF5"/>
    <w:rsid w:val="00D967B0"/>
    <w:rsid w:val="00DA0A3C"/>
    <w:rsid w:val="00DA2EA0"/>
    <w:rsid w:val="00DA711E"/>
    <w:rsid w:val="00DB02A5"/>
    <w:rsid w:val="00DB5D37"/>
    <w:rsid w:val="00DC0175"/>
    <w:rsid w:val="00DC2D94"/>
    <w:rsid w:val="00DC3C66"/>
    <w:rsid w:val="00DC6FC3"/>
    <w:rsid w:val="00DD07BE"/>
    <w:rsid w:val="00DD3C2D"/>
    <w:rsid w:val="00DD47D2"/>
    <w:rsid w:val="00DD78ED"/>
    <w:rsid w:val="00DE43CF"/>
    <w:rsid w:val="00DE4F46"/>
    <w:rsid w:val="00DE5D4E"/>
    <w:rsid w:val="00DE6071"/>
    <w:rsid w:val="00DF1710"/>
    <w:rsid w:val="00DF372B"/>
    <w:rsid w:val="00DF3D3A"/>
    <w:rsid w:val="00DF4334"/>
    <w:rsid w:val="00DF5489"/>
    <w:rsid w:val="00DF60B9"/>
    <w:rsid w:val="00E00A80"/>
    <w:rsid w:val="00E0443B"/>
    <w:rsid w:val="00E05E9A"/>
    <w:rsid w:val="00E07C30"/>
    <w:rsid w:val="00E1091C"/>
    <w:rsid w:val="00E11AB7"/>
    <w:rsid w:val="00E11D54"/>
    <w:rsid w:val="00E14193"/>
    <w:rsid w:val="00E1713C"/>
    <w:rsid w:val="00E2103E"/>
    <w:rsid w:val="00E33E67"/>
    <w:rsid w:val="00E35787"/>
    <w:rsid w:val="00E35B51"/>
    <w:rsid w:val="00E377B2"/>
    <w:rsid w:val="00E40002"/>
    <w:rsid w:val="00E41895"/>
    <w:rsid w:val="00E4207B"/>
    <w:rsid w:val="00E54533"/>
    <w:rsid w:val="00E577B4"/>
    <w:rsid w:val="00E6085A"/>
    <w:rsid w:val="00E62079"/>
    <w:rsid w:val="00E62C2C"/>
    <w:rsid w:val="00E64C1A"/>
    <w:rsid w:val="00E660C8"/>
    <w:rsid w:val="00E66411"/>
    <w:rsid w:val="00E80674"/>
    <w:rsid w:val="00E830B6"/>
    <w:rsid w:val="00E903CC"/>
    <w:rsid w:val="00E912E3"/>
    <w:rsid w:val="00E978BA"/>
    <w:rsid w:val="00EA13CC"/>
    <w:rsid w:val="00EA27E4"/>
    <w:rsid w:val="00EA6140"/>
    <w:rsid w:val="00EB081F"/>
    <w:rsid w:val="00EB3DA7"/>
    <w:rsid w:val="00EC2B44"/>
    <w:rsid w:val="00EC3DC2"/>
    <w:rsid w:val="00EC7985"/>
    <w:rsid w:val="00ED713B"/>
    <w:rsid w:val="00EE4179"/>
    <w:rsid w:val="00EE74E5"/>
    <w:rsid w:val="00EE7744"/>
    <w:rsid w:val="00F002EB"/>
    <w:rsid w:val="00F0088F"/>
    <w:rsid w:val="00F01677"/>
    <w:rsid w:val="00F03DC8"/>
    <w:rsid w:val="00F04535"/>
    <w:rsid w:val="00F101CF"/>
    <w:rsid w:val="00F113B6"/>
    <w:rsid w:val="00F14D0C"/>
    <w:rsid w:val="00F1570E"/>
    <w:rsid w:val="00F2101B"/>
    <w:rsid w:val="00F279B1"/>
    <w:rsid w:val="00F30A11"/>
    <w:rsid w:val="00F34163"/>
    <w:rsid w:val="00F356FC"/>
    <w:rsid w:val="00F404EF"/>
    <w:rsid w:val="00F40E79"/>
    <w:rsid w:val="00F44104"/>
    <w:rsid w:val="00F44A72"/>
    <w:rsid w:val="00F45232"/>
    <w:rsid w:val="00F4661F"/>
    <w:rsid w:val="00F47B63"/>
    <w:rsid w:val="00F50409"/>
    <w:rsid w:val="00F52070"/>
    <w:rsid w:val="00F530B4"/>
    <w:rsid w:val="00F53A7D"/>
    <w:rsid w:val="00F55FE3"/>
    <w:rsid w:val="00F65A13"/>
    <w:rsid w:val="00F66971"/>
    <w:rsid w:val="00F7314E"/>
    <w:rsid w:val="00F75548"/>
    <w:rsid w:val="00F779A0"/>
    <w:rsid w:val="00F83D26"/>
    <w:rsid w:val="00F9071E"/>
    <w:rsid w:val="00F90FEF"/>
    <w:rsid w:val="00F94699"/>
    <w:rsid w:val="00F9554F"/>
    <w:rsid w:val="00FA0536"/>
    <w:rsid w:val="00FA09D3"/>
    <w:rsid w:val="00FA25E1"/>
    <w:rsid w:val="00FA2BE9"/>
    <w:rsid w:val="00FA3235"/>
    <w:rsid w:val="00FA47AC"/>
    <w:rsid w:val="00FB1041"/>
    <w:rsid w:val="00FB2AEB"/>
    <w:rsid w:val="00FB64E4"/>
    <w:rsid w:val="00FC0837"/>
    <w:rsid w:val="00FC1523"/>
    <w:rsid w:val="00FC3552"/>
    <w:rsid w:val="00FC3B6B"/>
    <w:rsid w:val="00FC4A17"/>
    <w:rsid w:val="00FC71B8"/>
    <w:rsid w:val="00FC7C61"/>
    <w:rsid w:val="00FD03D1"/>
    <w:rsid w:val="00FD2496"/>
    <w:rsid w:val="00FD2F58"/>
    <w:rsid w:val="00FD4B7C"/>
    <w:rsid w:val="00FD6F6E"/>
    <w:rsid w:val="00FE13C2"/>
    <w:rsid w:val="00FE3515"/>
    <w:rsid w:val="00FE4FD9"/>
    <w:rsid w:val="00FE56A7"/>
    <w:rsid w:val="00FE583E"/>
    <w:rsid w:val="00FF2607"/>
    <w:rsid w:val="00FF3DDC"/>
    <w:rsid w:val="00FF4EAD"/>
    <w:rsid w:val="00FF6549"/>
    <w:rsid w:val="00FF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5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0A17"/>
    <w:pPr>
      <w:spacing w:after="120"/>
    </w:pPr>
    <w:rPr>
      <w:rFonts w:ascii="Arial" w:hAnsi="Arial"/>
    </w:rPr>
  </w:style>
  <w:style w:type="paragraph" w:styleId="Heading1">
    <w:name w:val="heading 1"/>
    <w:next w:val="Normal"/>
    <w:link w:val="Heading1Char"/>
    <w:uiPriority w:val="9"/>
    <w:qFormat/>
    <w:rsid w:val="00185221"/>
    <w:pPr>
      <w:keepNext/>
      <w:numPr>
        <w:numId w:val="18"/>
      </w:numPr>
      <w:tabs>
        <w:tab w:val="left" w:pos="8640"/>
      </w:tabs>
      <w:spacing w:before="240" w:after="240" w:line="240" w:lineRule="auto"/>
      <w:outlineLvl w:val="0"/>
    </w:pPr>
    <w:rPr>
      <w:rFonts w:ascii="Arial Bold" w:eastAsia="Times New Roman" w:hAnsi="Arial Bold" w:cs="Times New Roman"/>
      <w:b/>
      <w:caps/>
      <w:color w:val="4F81BD" w:themeColor="accent1"/>
      <w:sz w:val="28"/>
      <w:szCs w:val="20"/>
    </w:rPr>
  </w:style>
  <w:style w:type="paragraph" w:styleId="Heading2">
    <w:name w:val="heading 2"/>
    <w:basedOn w:val="Heading1"/>
    <w:next w:val="Normal"/>
    <w:link w:val="Heading2Char"/>
    <w:uiPriority w:val="9"/>
    <w:qFormat/>
    <w:rsid w:val="00DE43CF"/>
    <w:pPr>
      <w:numPr>
        <w:ilvl w:val="1"/>
      </w:numPr>
      <w:spacing w:before="120"/>
      <w:outlineLvl w:val="1"/>
    </w:pPr>
    <w:rPr>
      <w:rFonts w:eastAsia="Batang"/>
      <w:b w:val="0"/>
      <w:sz w:val="24"/>
      <w:lang w:val="fr-FR"/>
    </w:rPr>
  </w:style>
  <w:style w:type="paragraph" w:styleId="Heading3">
    <w:name w:val="heading 3"/>
    <w:basedOn w:val="Heading2"/>
    <w:next w:val="Normal"/>
    <w:link w:val="Heading3Char"/>
    <w:uiPriority w:val="9"/>
    <w:qFormat/>
    <w:rsid w:val="00662795"/>
    <w:pPr>
      <w:numPr>
        <w:ilvl w:val="2"/>
      </w:numPr>
      <w:outlineLvl w:val="2"/>
    </w:pPr>
    <w:rPr>
      <w:rFonts w:eastAsia="Times New Roman"/>
      <w:b/>
      <w:caps w:val="0"/>
      <w:u w:val="single"/>
    </w:rPr>
  </w:style>
  <w:style w:type="paragraph" w:styleId="Heading4">
    <w:name w:val="heading 4"/>
    <w:basedOn w:val="Heading3"/>
    <w:next w:val="Normal"/>
    <w:link w:val="Heading4Char"/>
    <w:uiPriority w:val="9"/>
    <w:unhideWhenUsed/>
    <w:qFormat/>
    <w:rsid w:val="00AD65E4"/>
    <w:pPr>
      <w:keepLines/>
      <w:numPr>
        <w:ilvl w:val="3"/>
      </w:numPr>
      <w:tabs>
        <w:tab w:val="clear" w:pos="8640"/>
      </w:tabs>
      <w:outlineLvl w:val="3"/>
    </w:pPr>
    <w:rPr>
      <w:rFonts w:eastAsiaTheme="majorEastAsia" w:cstheme="majorBidi"/>
      <w:b w:val="0"/>
      <w:bCs/>
      <w:iCs/>
    </w:rPr>
  </w:style>
  <w:style w:type="paragraph" w:styleId="Heading5">
    <w:name w:val="heading 5"/>
    <w:basedOn w:val="Heading4"/>
    <w:next w:val="Normal"/>
    <w:link w:val="Heading5Char"/>
    <w:uiPriority w:val="9"/>
    <w:unhideWhenUsed/>
    <w:qFormat/>
    <w:rsid w:val="00AD65E4"/>
    <w:pPr>
      <w:numPr>
        <w:ilvl w:val="4"/>
      </w:numPr>
      <w:spacing w:after="120"/>
      <w:outlineLvl w:val="4"/>
    </w:pPr>
    <w:rPr>
      <w:b/>
      <w:u w:val="none"/>
    </w:rPr>
  </w:style>
  <w:style w:type="paragraph" w:styleId="Heading6">
    <w:name w:val="heading 6"/>
    <w:basedOn w:val="Heading5"/>
    <w:next w:val="Normal"/>
    <w:link w:val="Heading6Char"/>
    <w:uiPriority w:val="9"/>
    <w:unhideWhenUsed/>
    <w:qFormat/>
    <w:rsid w:val="00AD65E4"/>
    <w:pPr>
      <w:outlineLvl w:val="5"/>
    </w:pPr>
    <w:rPr>
      <w:b w:val="0"/>
      <w:i/>
      <w:iCs w:val="0"/>
    </w:rPr>
  </w:style>
  <w:style w:type="paragraph" w:styleId="Heading7">
    <w:name w:val="heading 7"/>
    <w:basedOn w:val="Heading6"/>
    <w:next w:val="Normal"/>
    <w:link w:val="Heading7Char"/>
    <w:uiPriority w:val="9"/>
    <w:unhideWhenUsed/>
    <w:qFormat/>
    <w:rsid w:val="00AD65E4"/>
    <w:pPr>
      <w:outlineLvl w:val="6"/>
    </w:pPr>
    <w:rPr>
      <w:iCs/>
    </w:rPr>
  </w:style>
  <w:style w:type="paragraph" w:styleId="Heading8">
    <w:name w:val="heading 8"/>
    <w:basedOn w:val="Normal"/>
    <w:next w:val="Normal"/>
    <w:link w:val="Heading8Char"/>
    <w:unhideWhenUsed/>
    <w:qFormat/>
    <w:rsid w:val="00AD65E4"/>
    <w:pPr>
      <w:keepNext/>
      <w:keepLines/>
      <w:spacing w:before="120" w:line="240" w:lineRule="auto"/>
      <w:outlineLvl w:val="7"/>
    </w:pPr>
    <w:rPr>
      <w:rFonts w:eastAsiaTheme="majorEastAsia" w:cstheme="majorBidi"/>
      <w:b/>
      <w:color w:val="4F81BD" w:themeColor="accent1"/>
      <w:szCs w:val="20"/>
    </w:rPr>
  </w:style>
  <w:style w:type="paragraph" w:styleId="Heading9">
    <w:name w:val="heading 9"/>
    <w:basedOn w:val="Heading8"/>
    <w:next w:val="Normal"/>
    <w:link w:val="Heading9Char"/>
    <w:unhideWhenUsed/>
    <w:qFormat/>
    <w:rsid w:val="00AD65E4"/>
    <w:p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ection"/>
    <w:basedOn w:val="Normal"/>
    <w:link w:val="ListParagraphChar"/>
    <w:uiPriority w:val="34"/>
    <w:qFormat/>
    <w:rsid w:val="00767823"/>
    <w:pPr>
      <w:ind w:left="720"/>
    </w:pPr>
  </w:style>
  <w:style w:type="character" w:customStyle="1" w:styleId="Heading1Char">
    <w:name w:val="Heading 1 Char"/>
    <w:basedOn w:val="DefaultParagraphFont"/>
    <w:link w:val="Heading1"/>
    <w:uiPriority w:val="9"/>
    <w:rsid w:val="00185221"/>
    <w:rPr>
      <w:rFonts w:ascii="Arial Bold" w:eastAsia="Times New Roman" w:hAnsi="Arial Bold" w:cs="Times New Roman"/>
      <w:b/>
      <w:caps/>
      <w:color w:val="4F81BD" w:themeColor="accent1"/>
      <w:sz w:val="28"/>
      <w:szCs w:val="20"/>
    </w:rPr>
  </w:style>
  <w:style w:type="character" w:customStyle="1" w:styleId="Heading2Char">
    <w:name w:val="Heading 2 Char"/>
    <w:basedOn w:val="DefaultParagraphFont"/>
    <w:link w:val="Heading2"/>
    <w:uiPriority w:val="9"/>
    <w:rsid w:val="00DE43CF"/>
    <w:rPr>
      <w:rFonts w:ascii="Arial Bold" w:eastAsia="Batang" w:hAnsi="Arial Bold" w:cs="Times New Roman"/>
      <w:caps/>
      <w:color w:val="4F81BD" w:themeColor="accent1"/>
      <w:sz w:val="24"/>
      <w:szCs w:val="20"/>
      <w:lang w:val="fr-FR"/>
    </w:rPr>
  </w:style>
  <w:style w:type="character" w:customStyle="1" w:styleId="Heading3Char">
    <w:name w:val="Heading 3 Char"/>
    <w:basedOn w:val="DefaultParagraphFont"/>
    <w:link w:val="Heading3"/>
    <w:uiPriority w:val="9"/>
    <w:rsid w:val="00662795"/>
    <w:rPr>
      <w:rFonts w:ascii="Arial Bold" w:eastAsia="Times New Roman" w:hAnsi="Arial Bold" w:cs="Times New Roman"/>
      <w:b/>
      <w:color w:val="4F81BD" w:themeColor="accent1"/>
      <w:sz w:val="24"/>
      <w:szCs w:val="20"/>
      <w:u w:val="single"/>
      <w:lang w:val="fr-FR"/>
    </w:rPr>
  </w:style>
  <w:style w:type="paragraph" w:styleId="Title">
    <w:name w:val="Title"/>
    <w:basedOn w:val="Normal"/>
    <w:link w:val="TitleChar"/>
    <w:uiPriority w:val="99"/>
    <w:qFormat/>
    <w:rsid w:val="00D60A17"/>
    <w:pPr>
      <w:spacing w:after="0" w:line="240" w:lineRule="auto"/>
      <w:jc w:val="center"/>
    </w:pPr>
    <w:rPr>
      <w:rFonts w:eastAsia="Times New Roman" w:cs="Times New Roman"/>
      <w:b/>
      <w:bCs/>
      <w:color w:val="4F81BD" w:themeColor="accent1"/>
      <w:sz w:val="48"/>
      <w:szCs w:val="24"/>
    </w:rPr>
  </w:style>
  <w:style w:type="character" w:customStyle="1" w:styleId="TitleChar">
    <w:name w:val="Title Char"/>
    <w:basedOn w:val="DefaultParagraphFont"/>
    <w:link w:val="Title"/>
    <w:uiPriority w:val="99"/>
    <w:rsid w:val="00D60A17"/>
    <w:rPr>
      <w:rFonts w:ascii="Arial" w:eastAsia="Times New Roman" w:hAnsi="Arial" w:cs="Times New Roman"/>
      <w:b/>
      <w:bCs/>
      <w:color w:val="4F81BD" w:themeColor="accent1"/>
      <w:sz w:val="48"/>
      <w:szCs w:val="24"/>
    </w:rPr>
  </w:style>
  <w:style w:type="paragraph" w:styleId="BalloonText">
    <w:name w:val="Balloon Text"/>
    <w:basedOn w:val="Normal"/>
    <w:link w:val="BalloonTextChar"/>
    <w:uiPriority w:val="99"/>
    <w:semiHidden/>
    <w:unhideWhenUsed/>
    <w:rsid w:val="00546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72A"/>
    <w:rPr>
      <w:rFonts w:ascii="Tahoma" w:hAnsi="Tahoma" w:cs="Tahoma"/>
      <w:sz w:val="16"/>
      <w:szCs w:val="16"/>
    </w:rPr>
  </w:style>
  <w:style w:type="character" w:styleId="Hyperlink">
    <w:name w:val="Hyperlink"/>
    <w:basedOn w:val="DefaultParagraphFont"/>
    <w:uiPriority w:val="99"/>
    <w:unhideWhenUsed/>
    <w:rsid w:val="00286AB7"/>
    <w:rPr>
      <w:color w:val="0000FF" w:themeColor="hyperlink"/>
      <w:u w:val="single"/>
    </w:rPr>
  </w:style>
  <w:style w:type="paragraph" w:styleId="Header">
    <w:name w:val="header"/>
    <w:basedOn w:val="Normal"/>
    <w:link w:val="HeaderChar"/>
    <w:uiPriority w:val="99"/>
    <w:unhideWhenUsed/>
    <w:rsid w:val="00DD07BE"/>
    <w:pPr>
      <w:tabs>
        <w:tab w:val="center" w:pos="4513"/>
        <w:tab w:val="right" w:pos="9026"/>
      </w:tabs>
      <w:spacing w:after="0" w:line="240" w:lineRule="auto"/>
    </w:pPr>
  </w:style>
  <w:style w:type="character" w:styleId="FollowedHyperlink">
    <w:name w:val="FollowedHyperlink"/>
    <w:basedOn w:val="DefaultParagraphFont"/>
    <w:uiPriority w:val="99"/>
    <w:semiHidden/>
    <w:unhideWhenUsed/>
    <w:rsid w:val="00E11D54"/>
    <w:rPr>
      <w:color w:val="800080" w:themeColor="followedHyperlink"/>
      <w:u w:val="single"/>
    </w:rPr>
  </w:style>
  <w:style w:type="character" w:customStyle="1" w:styleId="HeaderChar">
    <w:name w:val="Header Char"/>
    <w:basedOn w:val="DefaultParagraphFont"/>
    <w:link w:val="Header"/>
    <w:uiPriority w:val="99"/>
    <w:rsid w:val="00DD07BE"/>
    <w:rPr>
      <w:rFonts w:ascii="Arial" w:hAnsi="Arial"/>
    </w:rPr>
  </w:style>
  <w:style w:type="paragraph" w:styleId="TOC2">
    <w:name w:val="toc 2"/>
    <w:basedOn w:val="Normal"/>
    <w:next w:val="Normal"/>
    <w:autoRedefine/>
    <w:uiPriority w:val="39"/>
    <w:unhideWhenUsed/>
    <w:qFormat/>
    <w:rsid w:val="00DD07BE"/>
    <w:pPr>
      <w:spacing w:after="100"/>
      <w:ind w:left="220"/>
    </w:pPr>
  </w:style>
  <w:style w:type="paragraph" w:styleId="Footer">
    <w:name w:val="footer"/>
    <w:basedOn w:val="Normal"/>
    <w:link w:val="FooterChar"/>
    <w:uiPriority w:val="99"/>
    <w:unhideWhenUsed/>
    <w:rsid w:val="00DD07BE"/>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DD07BE"/>
    <w:rPr>
      <w:rFonts w:ascii="Arial" w:hAnsi="Arial"/>
      <w:sz w:val="20"/>
    </w:rPr>
  </w:style>
  <w:style w:type="paragraph" w:styleId="TOC1">
    <w:name w:val="toc 1"/>
    <w:basedOn w:val="Normal"/>
    <w:next w:val="Normal"/>
    <w:autoRedefine/>
    <w:uiPriority w:val="39"/>
    <w:unhideWhenUsed/>
    <w:qFormat/>
    <w:rsid w:val="00DD07BE"/>
    <w:pPr>
      <w:spacing w:after="100"/>
    </w:pPr>
  </w:style>
  <w:style w:type="paragraph" w:styleId="TOC3">
    <w:name w:val="toc 3"/>
    <w:basedOn w:val="Normal"/>
    <w:next w:val="Normal"/>
    <w:autoRedefine/>
    <w:uiPriority w:val="39"/>
    <w:unhideWhenUsed/>
    <w:qFormat/>
    <w:rsid w:val="00DD07BE"/>
    <w:pPr>
      <w:spacing w:after="100"/>
      <w:ind w:left="440"/>
    </w:pPr>
  </w:style>
  <w:style w:type="paragraph" w:styleId="TOC4">
    <w:name w:val="toc 4"/>
    <w:basedOn w:val="Normal"/>
    <w:next w:val="Normal"/>
    <w:autoRedefine/>
    <w:uiPriority w:val="39"/>
    <w:unhideWhenUsed/>
    <w:rsid w:val="00DD07BE"/>
    <w:pPr>
      <w:spacing w:after="100"/>
      <w:ind w:left="660"/>
    </w:pPr>
  </w:style>
  <w:style w:type="character" w:styleId="CommentReference">
    <w:name w:val="annotation reference"/>
    <w:basedOn w:val="DefaultParagraphFont"/>
    <w:uiPriority w:val="99"/>
    <w:unhideWhenUsed/>
    <w:rsid w:val="00437479"/>
    <w:rPr>
      <w:sz w:val="16"/>
      <w:szCs w:val="16"/>
    </w:rPr>
  </w:style>
  <w:style w:type="paragraph" w:styleId="CommentText">
    <w:name w:val="annotation text"/>
    <w:basedOn w:val="Normal"/>
    <w:link w:val="CommentTextChar"/>
    <w:uiPriority w:val="99"/>
    <w:unhideWhenUsed/>
    <w:rsid w:val="00437479"/>
    <w:pPr>
      <w:spacing w:line="240" w:lineRule="auto"/>
    </w:pPr>
    <w:rPr>
      <w:sz w:val="20"/>
      <w:szCs w:val="20"/>
    </w:rPr>
  </w:style>
  <w:style w:type="character" w:customStyle="1" w:styleId="CommentTextChar">
    <w:name w:val="Comment Text Char"/>
    <w:basedOn w:val="DefaultParagraphFont"/>
    <w:link w:val="CommentText"/>
    <w:uiPriority w:val="99"/>
    <w:rsid w:val="00437479"/>
    <w:rPr>
      <w:sz w:val="20"/>
      <w:szCs w:val="20"/>
    </w:rPr>
  </w:style>
  <w:style w:type="paragraph" w:styleId="CommentSubject">
    <w:name w:val="annotation subject"/>
    <w:basedOn w:val="CommentText"/>
    <w:next w:val="CommentText"/>
    <w:link w:val="CommentSubjectChar"/>
    <w:uiPriority w:val="99"/>
    <w:semiHidden/>
    <w:unhideWhenUsed/>
    <w:rsid w:val="00437479"/>
    <w:rPr>
      <w:b/>
      <w:bCs/>
    </w:rPr>
  </w:style>
  <w:style w:type="character" w:customStyle="1" w:styleId="CommentSubjectChar">
    <w:name w:val="Comment Subject Char"/>
    <w:basedOn w:val="CommentTextChar"/>
    <w:link w:val="CommentSubject"/>
    <w:uiPriority w:val="99"/>
    <w:semiHidden/>
    <w:rsid w:val="00437479"/>
    <w:rPr>
      <w:b/>
      <w:bCs/>
      <w:sz w:val="20"/>
      <w:szCs w:val="20"/>
    </w:rPr>
  </w:style>
  <w:style w:type="paragraph" w:styleId="Caption">
    <w:name w:val="caption"/>
    <w:basedOn w:val="Normal"/>
    <w:next w:val="Normal"/>
    <w:uiPriority w:val="35"/>
    <w:unhideWhenUsed/>
    <w:qFormat/>
    <w:rsid w:val="00AD65E4"/>
    <w:pPr>
      <w:spacing w:before="200" w:after="0" w:line="240" w:lineRule="auto"/>
    </w:pPr>
    <w:rPr>
      <w:rFonts w:ascii="Arial Bold" w:hAnsi="Arial Bold"/>
      <w:b/>
      <w:bCs/>
      <w:color w:val="4F81BD" w:themeColor="accent1"/>
      <w:sz w:val="18"/>
      <w:szCs w:val="18"/>
    </w:rPr>
  </w:style>
  <w:style w:type="numbering" w:customStyle="1" w:styleId="Reportheadings">
    <w:name w:val="Report headings"/>
    <w:uiPriority w:val="99"/>
    <w:rsid w:val="00185221"/>
    <w:pPr>
      <w:numPr>
        <w:numId w:val="1"/>
      </w:numPr>
    </w:pPr>
  </w:style>
  <w:style w:type="character" w:customStyle="1" w:styleId="Heading4Char">
    <w:name w:val="Heading 4 Char"/>
    <w:basedOn w:val="DefaultParagraphFont"/>
    <w:link w:val="Heading4"/>
    <w:uiPriority w:val="9"/>
    <w:rsid w:val="00AD65E4"/>
    <w:rPr>
      <w:rFonts w:ascii="Arial Bold" w:eastAsiaTheme="majorEastAsia" w:hAnsi="Arial Bold" w:cstheme="majorBidi"/>
      <w:bCs/>
      <w:iCs/>
      <w:color w:val="4F81BD" w:themeColor="accent1"/>
      <w:sz w:val="24"/>
      <w:szCs w:val="20"/>
      <w:u w:val="single"/>
      <w:lang w:val="fr-FR"/>
    </w:rPr>
  </w:style>
  <w:style w:type="character" w:customStyle="1" w:styleId="Heading5Char">
    <w:name w:val="Heading 5 Char"/>
    <w:basedOn w:val="DefaultParagraphFont"/>
    <w:link w:val="Heading5"/>
    <w:uiPriority w:val="9"/>
    <w:rsid w:val="00AD65E4"/>
    <w:rPr>
      <w:rFonts w:ascii="Arial Bold" w:eastAsiaTheme="majorEastAsia" w:hAnsi="Arial Bold" w:cstheme="majorBidi"/>
      <w:b/>
      <w:bCs/>
      <w:iCs/>
      <w:color w:val="4F81BD" w:themeColor="accent1"/>
      <w:sz w:val="24"/>
      <w:szCs w:val="20"/>
      <w:lang w:val="fr-FR"/>
    </w:rPr>
  </w:style>
  <w:style w:type="paragraph" w:styleId="FootnoteText">
    <w:name w:val="footnote text"/>
    <w:aliases w:val="DBW Footnote Text,FN,Footnote Text Char1 Char1,Footnote Text Char Char Char1,Footnote Text Char1 Char Char Char1,Footnote Text Char Char Char Char Char Char Char1,Footnote Text Char Char Char1 Char Char Char1"/>
    <w:basedOn w:val="Normal"/>
    <w:link w:val="FootnoteTextChar"/>
    <w:unhideWhenUsed/>
    <w:rsid w:val="009508F8"/>
    <w:pPr>
      <w:spacing w:after="0" w:line="240" w:lineRule="auto"/>
    </w:pPr>
    <w:rPr>
      <w:sz w:val="18"/>
      <w:szCs w:val="20"/>
    </w:rPr>
  </w:style>
  <w:style w:type="character" w:customStyle="1" w:styleId="FootnoteTextChar">
    <w:name w:val="Footnote Text Char"/>
    <w:aliases w:val="DBW Footnote Text Char,FN Char,Footnote Text Char1 Char1 Char,Footnote Text Char Char Char1 Char,Footnote Text Char1 Char Char Char1 Char,Footnote Text Char Char Char Char Char Char Char1 Char"/>
    <w:basedOn w:val="DefaultParagraphFont"/>
    <w:link w:val="FootnoteText"/>
    <w:rsid w:val="009508F8"/>
    <w:rPr>
      <w:rFonts w:ascii="Arial" w:hAnsi="Arial"/>
      <w:sz w:val="18"/>
      <w:szCs w:val="20"/>
    </w:rPr>
  </w:style>
  <w:style w:type="character" w:styleId="FootnoteReference">
    <w:name w:val="footnote reference"/>
    <w:aliases w:val="BVI fnr,ftref"/>
    <w:basedOn w:val="DefaultParagraphFont"/>
    <w:unhideWhenUsed/>
    <w:rsid w:val="00D22999"/>
    <w:rPr>
      <w:vertAlign w:val="superscript"/>
    </w:rPr>
  </w:style>
  <w:style w:type="character" w:customStyle="1" w:styleId="Heading6Char">
    <w:name w:val="Heading 6 Char"/>
    <w:basedOn w:val="DefaultParagraphFont"/>
    <w:link w:val="Heading6"/>
    <w:uiPriority w:val="9"/>
    <w:rsid w:val="00AD65E4"/>
    <w:rPr>
      <w:rFonts w:ascii="Arial Bold" w:eastAsiaTheme="majorEastAsia" w:hAnsi="Arial Bold" w:cstheme="majorBidi"/>
      <w:bCs/>
      <w:i/>
      <w:color w:val="4F81BD" w:themeColor="accent1"/>
      <w:sz w:val="24"/>
      <w:szCs w:val="20"/>
      <w:lang w:val="fr-FR"/>
    </w:rPr>
  </w:style>
  <w:style w:type="character" w:customStyle="1" w:styleId="Heading7Char">
    <w:name w:val="Heading 7 Char"/>
    <w:basedOn w:val="DefaultParagraphFont"/>
    <w:link w:val="Heading7"/>
    <w:uiPriority w:val="9"/>
    <w:rsid w:val="00AD65E4"/>
    <w:rPr>
      <w:rFonts w:ascii="Arial Bold" w:eastAsiaTheme="majorEastAsia" w:hAnsi="Arial Bold" w:cstheme="majorBidi"/>
      <w:bCs/>
      <w:i/>
      <w:iCs/>
      <w:color w:val="4F81BD" w:themeColor="accent1"/>
      <w:sz w:val="24"/>
      <w:szCs w:val="20"/>
      <w:lang w:val="fr-FR"/>
    </w:rPr>
  </w:style>
  <w:style w:type="paragraph" w:styleId="IntenseQuote">
    <w:name w:val="Intense Quote"/>
    <w:basedOn w:val="Normal"/>
    <w:next w:val="Normal"/>
    <w:link w:val="IntenseQuoteChar"/>
    <w:uiPriority w:val="30"/>
    <w:qFormat/>
    <w:rsid w:val="00AD65E4"/>
    <w:pPr>
      <w:pBdr>
        <w:bottom w:val="single" w:sz="4" w:space="4" w:color="4F81BD" w:themeColor="accent1"/>
      </w:pBdr>
      <w:spacing w:before="200" w:after="280"/>
    </w:pPr>
    <w:rPr>
      <w:b/>
      <w:bCs/>
      <w:i/>
      <w:iCs/>
      <w:color w:val="4F81BD" w:themeColor="accent1"/>
    </w:rPr>
  </w:style>
  <w:style w:type="character" w:customStyle="1" w:styleId="IntenseQuoteChar">
    <w:name w:val="Intense Quote Char"/>
    <w:basedOn w:val="DefaultParagraphFont"/>
    <w:link w:val="IntenseQuote"/>
    <w:uiPriority w:val="30"/>
    <w:rsid w:val="00AD65E4"/>
    <w:rPr>
      <w:rFonts w:ascii="Arial" w:hAnsi="Arial"/>
      <w:b/>
      <w:bCs/>
      <w:i/>
      <w:iCs/>
      <w:color w:val="4F81BD" w:themeColor="accent1"/>
    </w:rPr>
  </w:style>
  <w:style w:type="paragraph" w:styleId="Subtitle">
    <w:name w:val="Subtitle"/>
    <w:basedOn w:val="Normal"/>
    <w:next w:val="Normal"/>
    <w:link w:val="SubtitleChar"/>
    <w:uiPriority w:val="11"/>
    <w:qFormat/>
    <w:rsid w:val="00D60A17"/>
    <w:pPr>
      <w:numPr>
        <w:ilvl w:val="1"/>
      </w:numPr>
      <w:spacing w:before="240" w:after="240" w:line="240" w:lineRule="auto"/>
      <w:jc w:val="center"/>
    </w:pPr>
    <w:rPr>
      <w:rFonts w:eastAsiaTheme="majorEastAsia" w:cstheme="majorBidi"/>
      <w:b/>
      <w:iCs/>
      <w:color w:val="4F81BD" w:themeColor="accent1"/>
      <w:spacing w:val="15"/>
      <w:sz w:val="28"/>
      <w:szCs w:val="24"/>
    </w:rPr>
  </w:style>
  <w:style w:type="character" w:customStyle="1" w:styleId="SubtitleChar">
    <w:name w:val="Subtitle Char"/>
    <w:basedOn w:val="DefaultParagraphFont"/>
    <w:link w:val="Subtitle"/>
    <w:uiPriority w:val="11"/>
    <w:rsid w:val="00D60A17"/>
    <w:rPr>
      <w:rFonts w:ascii="Arial" w:eastAsiaTheme="majorEastAsia" w:hAnsi="Arial" w:cstheme="majorBidi"/>
      <w:b/>
      <w:iCs/>
      <w:color w:val="4F81BD" w:themeColor="accent1"/>
      <w:spacing w:val="15"/>
      <w:sz w:val="28"/>
      <w:szCs w:val="24"/>
    </w:rPr>
  </w:style>
  <w:style w:type="character" w:customStyle="1" w:styleId="Heading8Char">
    <w:name w:val="Heading 8 Char"/>
    <w:basedOn w:val="DefaultParagraphFont"/>
    <w:link w:val="Heading8"/>
    <w:uiPriority w:val="9"/>
    <w:rsid w:val="00AD65E4"/>
    <w:rPr>
      <w:rFonts w:ascii="Arial" w:eastAsiaTheme="majorEastAsia" w:hAnsi="Arial" w:cstheme="majorBidi"/>
      <w:b/>
      <w:color w:val="4F81BD" w:themeColor="accent1"/>
      <w:szCs w:val="20"/>
    </w:rPr>
  </w:style>
  <w:style w:type="character" w:customStyle="1" w:styleId="Heading9Char">
    <w:name w:val="Heading 9 Char"/>
    <w:basedOn w:val="DefaultParagraphFont"/>
    <w:link w:val="Heading9"/>
    <w:uiPriority w:val="9"/>
    <w:semiHidden/>
    <w:rsid w:val="00AD65E4"/>
    <w:rPr>
      <w:rFonts w:ascii="Arial" w:eastAsiaTheme="majorEastAsia" w:hAnsi="Arial" w:cstheme="majorBidi"/>
      <w:b/>
      <w:iCs/>
      <w:color w:val="4F81BD" w:themeColor="accent1"/>
      <w:szCs w:val="20"/>
    </w:rPr>
  </w:style>
  <w:style w:type="character" w:styleId="Emphasis">
    <w:name w:val="Emphasis"/>
    <w:basedOn w:val="DefaultParagraphFont"/>
    <w:uiPriority w:val="20"/>
    <w:qFormat/>
    <w:rsid w:val="00A34E1A"/>
    <w:rPr>
      <w:rFonts w:ascii="Arial Bold" w:hAnsi="Arial Bold"/>
      <w:b/>
      <w:iCs/>
      <w:color w:val="4F81BD" w:themeColor="accent1"/>
      <w:sz w:val="22"/>
      <w:u w:val="single" w:color="4F81BD" w:themeColor="accent1"/>
    </w:rPr>
  </w:style>
  <w:style w:type="character" w:styleId="IntenseEmphasis">
    <w:name w:val="Intense Emphasis"/>
    <w:basedOn w:val="DefaultParagraphFont"/>
    <w:qFormat/>
    <w:rsid w:val="00D60A17"/>
    <w:rPr>
      <w:rFonts w:ascii="Arial" w:hAnsi="Arial"/>
      <w:b w:val="0"/>
      <w:bCs/>
      <w:i w:val="0"/>
      <w:iCs/>
      <w:color w:val="4F81BD" w:themeColor="accent1"/>
      <w:sz w:val="28"/>
    </w:rPr>
  </w:style>
  <w:style w:type="character" w:customStyle="1" w:styleId="ListParagraphChar">
    <w:name w:val="List Paragraph Char"/>
    <w:aliases w:val="sub-section Char"/>
    <w:basedOn w:val="DefaultParagraphFont"/>
    <w:link w:val="ListParagraph"/>
    <w:uiPriority w:val="34"/>
    <w:locked/>
    <w:rsid w:val="00F1570E"/>
    <w:rPr>
      <w:rFonts w:ascii="Arial" w:hAnsi="Arial"/>
    </w:rPr>
  </w:style>
  <w:style w:type="paragraph" w:customStyle="1" w:styleId="2heading">
    <w:name w:val="2 heading"/>
    <w:uiPriority w:val="1"/>
    <w:qFormat/>
    <w:rsid w:val="0091213F"/>
    <w:pPr>
      <w:spacing w:after="0" w:line="240" w:lineRule="auto"/>
      <w:outlineLvl w:val="2"/>
    </w:pPr>
    <w:rPr>
      <w:rFonts w:ascii="Arial Bold" w:eastAsia="Times New Roman" w:hAnsi="Arial Bold" w:cs="Times New Roman"/>
      <w:b/>
      <w:bCs/>
      <w:caps/>
      <w:color w:val="4F81BD" w:themeColor="accent1"/>
      <w:sz w:val="24"/>
      <w:szCs w:val="20"/>
    </w:rPr>
  </w:style>
  <w:style w:type="table" w:styleId="TableGrid">
    <w:name w:val="Table Grid"/>
    <w:basedOn w:val="TableNormal"/>
    <w:uiPriority w:val="59"/>
    <w:rsid w:val="0066279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5A04CA"/>
  </w:style>
  <w:style w:type="paragraph" w:customStyle="1" w:styleId="NoSpacing1">
    <w:name w:val="No Spacing1"/>
    <w:aliases w:val="Headings4"/>
    <w:uiPriority w:val="1"/>
    <w:qFormat/>
    <w:rsid w:val="005A04CA"/>
    <w:pPr>
      <w:spacing w:after="0" w:line="240" w:lineRule="auto"/>
      <w:ind w:left="720"/>
    </w:pPr>
    <w:rPr>
      <w:rFonts w:ascii="Arial" w:eastAsia="Times New Roman" w:hAnsi="Arial" w:cs="Times New Roman"/>
      <w:b/>
      <w:bCs/>
      <w:i/>
      <w:sz w:val="24"/>
      <w:szCs w:val="20"/>
    </w:rPr>
  </w:style>
  <w:style w:type="paragraph" w:styleId="NoSpacing">
    <w:name w:val="No Spacing"/>
    <w:qFormat/>
    <w:rsid w:val="002D05F6"/>
    <w:pPr>
      <w:spacing w:after="0" w:line="240" w:lineRule="auto"/>
    </w:pPr>
    <w:rPr>
      <w:rFonts w:ascii="Calibri" w:eastAsia="Times New Roman" w:hAnsi="Calibri" w:cs="Calibri"/>
      <w:lang w:val="en-AU"/>
    </w:rPr>
  </w:style>
  <w:style w:type="character" w:customStyle="1" w:styleId="hps">
    <w:name w:val="hps"/>
    <w:basedOn w:val="DefaultParagraphFont"/>
    <w:rsid w:val="002D05F6"/>
  </w:style>
  <w:style w:type="paragraph" w:customStyle="1" w:styleId="TablesforTOC">
    <w:name w:val="Tables for TOC"/>
    <w:basedOn w:val="Heading4"/>
    <w:rsid w:val="00153606"/>
    <w:pPr>
      <w:keepLines w:val="0"/>
      <w:numPr>
        <w:ilvl w:val="0"/>
        <w:numId w:val="0"/>
      </w:numPr>
      <w:spacing w:before="240" w:after="120"/>
      <w:ind w:left="1124"/>
      <w:jc w:val="both"/>
    </w:pPr>
    <w:rPr>
      <w:rFonts w:asciiTheme="minorHAnsi" w:eastAsia="Times New Roman" w:hAnsiTheme="minorHAnsi" w:cs="Arial"/>
      <w:b/>
      <w:iCs w:val="0"/>
      <w:color w:val="auto"/>
      <w:szCs w:val="22"/>
      <w:u w:val="none"/>
      <w:lang w:val="en-US"/>
    </w:rPr>
  </w:style>
  <w:style w:type="paragraph" w:styleId="TableofFigures">
    <w:name w:val="table of figures"/>
    <w:basedOn w:val="Normal"/>
    <w:next w:val="Normal"/>
    <w:uiPriority w:val="99"/>
    <w:unhideWhenUsed/>
    <w:rsid w:val="00AE46A7"/>
    <w:pPr>
      <w:spacing w:after="0"/>
    </w:pPr>
  </w:style>
  <w:style w:type="paragraph" w:styleId="TOCHeading">
    <w:name w:val="TOC Heading"/>
    <w:basedOn w:val="Heading1"/>
    <w:next w:val="Normal"/>
    <w:uiPriority w:val="39"/>
    <w:semiHidden/>
    <w:unhideWhenUsed/>
    <w:qFormat/>
    <w:rsid w:val="005B50E4"/>
    <w:pPr>
      <w:keepLines/>
      <w:numPr>
        <w:numId w:val="0"/>
      </w:numPr>
      <w:tabs>
        <w:tab w:val="clear" w:pos="8640"/>
      </w:tabs>
      <w:spacing w:before="480" w:after="0" w:line="276" w:lineRule="auto"/>
      <w:outlineLvl w:val="9"/>
    </w:pPr>
    <w:rPr>
      <w:rFonts w:asciiTheme="majorHAnsi" w:eastAsiaTheme="majorEastAsia" w:hAnsiTheme="majorHAnsi" w:cstheme="majorBidi"/>
      <w:bCs/>
      <w:caps w:val="0"/>
      <w:color w:val="365F91" w:themeColor="accent1" w:themeShade="BF"/>
      <w:szCs w:val="28"/>
      <w:lang w:val="en-US"/>
    </w:rPr>
  </w:style>
  <w:style w:type="character" w:customStyle="1" w:styleId="CommentTextChar1">
    <w:name w:val="Comment Text Char1"/>
    <w:basedOn w:val="DefaultParagraphFont"/>
    <w:uiPriority w:val="99"/>
    <w:semiHidden/>
    <w:rsid w:val="005B50E4"/>
    <w:rPr>
      <w:rFonts w:ascii="Times New Roman" w:hAnsi="Times New Roman" w:cs="Times New Roman"/>
      <w:sz w:val="20"/>
      <w:szCs w:val="20"/>
      <w:lang w:val="id-ID"/>
    </w:rPr>
  </w:style>
  <w:style w:type="character" w:customStyle="1" w:styleId="CommentSubjectChar1">
    <w:name w:val="Comment Subject Char1"/>
    <w:basedOn w:val="CommentTextChar1"/>
    <w:uiPriority w:val="99"/>
    <w:semiHidden/>
    <w:rsid w:val="005B50E4"/>
    <w:rPr>
      <w:rFonts w:ascii="Times New Roman" w:hAnsi="Times New Roman" w:cs="Times New Roman"/>
      <w:b/>
      <w:bCs/>
      <w:sz w:val="20"/>
      <w:szCs w:val="20"/>
      <w:lang w:val="id-ID"/>
    </w:rPr>
  </w:style>
  <w:style w:type="paragraph" w:customStyle="1" w:styleId="Default">
    <w:name w:val="Default"/>
    <w:rsid w:val="005B50E4"/>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5B50E4"/>
    <w:pPr>
      <w:spacing w:after="0" w:line="240" w:lineRule="auto"/>
    </w:pPr>
    <w:rPr>
      <w:rFonts w:ascii="Times New Roman" w:hAnsi="Times New Roman" w:cs="Times New Roman"/>
      <w:sz w:val="24"/>
      <w:szCs w:val="24"/>
      <w:lang w:val="id-ID"/>
    </w:rPr>
  </w:style>
  <w:style w:type="paragraph" w:styleId="TOC5">
    <w:name w:val="toc 5"/>
    <w:basedOn w:val="Normal"/>
    <w:next w:val="Normal"/>
    <w:autoRedefine/>
    <w:uiPriority w:val="39"/>
    <w:semiHidden/>
    <w:unhideWhenUsed/>
    <w:rsid w:val="00BD0D31"/>
    <w:pPr>
      <w:spacing w:after="100"/>
      <w:ind w:left="880"/>
    </w:pPr>
  </w:style>
  <w:style w:type="paragraph" w:customStyle="1" w:styleId="AnnexHeadings">
    <w:name w:val="Annex Headings"/>
    <w:basedOn w:val="Heading5"/>
    <w:next w:val="TOC5"/>
    <w:qFormat/>
    <w:rsid w:val="00BD0D31"/>
    <w:pPr>
      <w:keepNext w:val="0"/>
      <w:keepLines w:val="0"/>
      <w:numPr>
        <w:ilvl w:val="0"/>
        <w:numId w:val="0"/>
      </w:numPr>
      <w:spacing w:after="0"/>
      <w:ind w:left="1512" w:hanging="945"/>
      <w:jc w:val="both"/>
    </w:pPr>
    <w:rPr>
      <w:rFonts w:ascii="Times New Roman" w:eastAsia="Times New Roman" w:hAnsi="Times New Roman" w:cs="Arial"/>
      <w:b w:val="0"/>
      <w:smallCaps/>
      <w:color w:val="auto"/>
      <w:sz w:val="28"/>
      <w:szCs w:val="28"/>
      <w:lang w:val="id-ID"/>
    </w:rPr>
  </w:style>
  <w:style w:type="numbering" w:customStyle="1" w:styleId="NoList1">
    <w:name w:val="No List1"/>
    <w:next w:val="NoList"/>
    <w:uiPriority w:val="99"/>
    <w:semiHidden/>
    <w:unhideWhenUsed/>
    <w:rsid w:val="000A7545"/>
  </w:style>
  <w:style w:type="table" w:customStyle="1" w:styleId="TableGrid1">
    <w:name w:val="Table Grid1"/>
    <w:basedOn w:val="TableNormal"/>
    <w:next w:val="TableGrid"/>
    <w:uiPriority w:val="59"/>
    <w:rsid w:val="000A7545"/>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0A17"/>
    <w:pPr>
      <w:spacing w:after="120"/>
    </w:pPr>
    <w:rPr>
      <w:rFonts w:ascii="Arial" w:hAnsi="Arial"/>
    </w:rPr>
  </w:style>
  <w:style w:type="paragraph" w:styleId="Heading1">
    <w:name w:val="heading 1"/>
    <w:next w:val="Normal"/>
    <w:link w:val="Heading1Char"/>
    <w:uiPriority w:val="9"/>
    <w:qFormat/>
    <w:rsid w:val="00185221"/>
    <w:pPr>
      <w:keepNext/>
      <w:numPr>
        <w:numId w:val="18"/>
      </w:numPr>
      <w:tabs>
        <w:tab w:val="left" w:pos="8640"/>
      </w:tabs>
      <w:spacing w:before="240" w:after="240" w:line="240" w:lineRule="auto"/>
      <w:outlineLvl w:val="0"/>
    </w:pPr>
    <w:rPr>
      <w:rFonts w:ascii="Arial Bold" w:eastAsia="Times New Roman" w:hAnsi="Arial Bold" w:cs="Times New Roman"/>
      <w:b/>
      <w:caps/>
      <w:color w:val="4F81BD" w:themeColor="accent1"/>
      <w:sz w:val="28"/>
      <w:szCs w:val="20"/>
    </w:rPr>
  </w:style>
  <w:style w:type="paragraph" w:styleId="Heading2">
    <w:name w:val="heading 2"/>
    <w:basedOn w:val="Heading1"/>
    <w:next w:val="Normal"/>
    <w:link w:val="Heading2Char"/>
    <w:uiPriority w:val="9"/>
    <w:qFormat/>
    <w:rsid w:val="00DE43CF"/>
    <w:pPr>
      <w:numPr>
        <w:ilvl w:val="1"/>
      </w:numPr>
      <w:spacing w:before="120"/>
      <w:outlineLvl w:val="1"/>
    </w:pPr>
    <w:rPr>
      <w:rFonts w:eastAsia="Batang"/>
      <w:b w:val="0"/>
      <w:sz w:val="24"/>
      <w:lang w:val="fr-FR"/>
    </w:rPr>
  </w:style>
  <w:style w:type="paragraph" w:styleId="Heading3">
    <w:name w:val="heading 3"/>
    <w:basedOn w:val="Heading2"/>
    <w:next w:val="Normal"/>
    <w:link w:val="Heading3Char"/>
    <w:uiPriority w:val="9"/>
    <w:qFormat/>
    <w:rsid w:val="00662795"/>
    <w:pPr>
      <w:numPr>
        <w:ilvl w:val="2"/>
      </w:numPr>
      <w:outlineLvl w:val="2"/>
    </w:pPr>
    <w:rPr>
      <w:rFonts w:eastAsia="Times New Roman"/>
      <w:b/>
      <w:caps w:val="0"/>
      <w:u w:val="single"/>
    </w:rPr>
  </w:style>
  <w:style w:type="paragraph" w:styleId="Heading4">
    <w:name w:val="heading 4"/>
    <w:basedOn w:val="Heading3"/>
    <w:next w:val="Normal"/>
    <w:link w:val="Heading4Char"/>
    <w:uiPriority w:val="9"/>
    <w:unhideWhenUsed/>
    <w:qFormat/>
    <w:rsid w:val="00AD65E4"/>
    <w:pPr>
      <w:keepLines/>
      <w:numPr>
        <w:ilvl w:val="3"/>
      </w:numPr>
      <w:tabs>
        <w:tab w:val="clear" w:pos="8640"/>
      </w:tabs>
      <w:outlineLvl w:val="3"/>
    </w:pPr>
    <w:rPr>
      <w:rFonts w:eastAsiaTheme="majorEastAsia" w:cstheme="majorBidi"/>
      <w:b w:val="0"/>
      <w:bCs/>
      <w:iCs/>
    </w:rPr>
  </w:style>
  <w:style w:type="paragraph" w:styleId="Heading5">
    <w:name w:val="heading 5"/>
    <w:basedOn w:val="Heading4"/>
    <w:next w:val="Normal"/>
    <w:link w:val="Heading5Char"/>
    <w:uiPriority w:val="9"/>
    <w:unhideWhenUsed/>
    <w:qFormat/>
    <w:rsid w:val="00AD65E4"/>
    <w:pPr>
      <w:numPr>
        <w:ilvl w:val="4"/>
      </w:numPr>
      <w:spacing w:after="120"/>
      <w:outlineLvl w:val="4"/>
    </w:pPr>
    <w:rPr>
      <w:b/>
      <w:u w:val="none"/>
    </w:rPr>
  </w:style>
  <w:style w:type="paragraph" w:styleId="Heading6">
    <w:name w:val="heading 6"/>
    <w:basedOn w:val="Heading5"/>
    <w:next w:val="Normal"/>
    <w:link w:val="Heading6Char"/>
    <w:uiPriority w:val="9"/>
    <w:unhideWhenUsed/>
    <w:qFormat/>
    <w:rsid w:val="00AD65E4"/>
    <w:pPr>
      <w:outlineLvl w:val="5"/>
    </w:pPr>
    <w:rPr>
      <w:b w:val="0"/>
      <w:i/>
      <w:iCs w:val="0"/>
    </w:rPr>
  </w:style>
  <w:style w:type="paragraph" w:styleId="Heading7">
    <w:name w:val="heading 7"/>
    <w:basedOn w:val="Heading6"/>
    <w:next w:val="Normal"/>
    <w:link w:val="Heading7Char"/>
    <w:uiPriority w:val="9"/>
    <w:unhideWhenUsed/>
    <w:qFormat/>
    <w:rsid w:val="00AD65E4"/>
    <w:pPr>
      <w:outlineLvl w:val="6"/>
    </w:pPr>
    <w:rPr>
      <w:iCs/>
    </w:rPr>
  </w:style>
  <w:style w:type="paragraph" w:styleId="Heading8">
    <w:name w:val="heading 8"/>
    <w:basedOn w:val="Normal"/>
    <w:next w:val="Normal"/>
    <w:link w:val="Heading8Char"/>
    <w:unhideWhenUsed/>
    <w:qFormat/>
    <w:rsid w:val="00AD65E4"/>
    <w:pPr>
      <w:keepNext/>
      <w:keepLines/>
      <w:spacing w:before="120" w:line="240" w:lineRule="auto"/>
      <w:outlineLvl w:val="7"/>
    </w:pPr>
    <w:rPr>
      <w:rFonts w:eastAsiaTheme="majorEastAsia" w:cstheme="majorBidi"/>
      <w:b/>
      <w:color w:val="4F81BD" w:themeColor="accent1"/>
      <w:szCs w:val="20"/>
    </w:rPr>
  </w:style>
  <w:style w:type="paragraph" w:styleId="Heading9">
    <w:name w:val="heading 9"/>
    <w:basedOn w:val="Heading8"/>
    <w:next w:val="Normal"/>
    <w:link w:val="Heading9Char"/>
    <w:unhideWhenUsed/>
    <w:qFormat/>
    <w:rsid w:val="00AD65E4"/>
    <w:p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ection"/>
    <w:basedOn w:val="Normal"/>
    <w:link w:val="ListParagraphChar"/>
    <w:uiPriority w:val="34"/>
    <w:qFormat/>
    <w:rsid w:val="00767823"/>
    <w:pPr>
      <w:ind w:left="720"/>
    </w:pPr>
  </w:style>
  <w:style w:type="character" w:customStyle="1" w:styleId="Heading1Char">
    <w:name w:val="Heading 1 Char"/>
    <w:basedOn w:val="DefaultParagraphFont"/>
    <w:link w:val="Heading1"/>
    <w:uiPriority w:val="9"/>
    <w:rsid w:val="00185221"/>
    <w:rPr>
      <w:rFonts w:ascii="Arial Bold" w:eastAsia="Times New Roman" w:hAnsi="Arial Bold" w:cs="Times New Roman"/>
      <w:b/>
      <w:caps/>
      <w:color w:val="4F81BD" w:themeColor="accent1"/>
      <w:sz w:val="28"/>
      <w:szCs w:val="20"/>
    </w:rPr>
  </w:style>
  <w:style w:type="character" w:customStyle="1" w:styleId="Heading2Char">
    <w:name w:val="Heading 2 Char"/>
    <w:basedOn w:val="DefaultParagraphFont"/>
    <w:link w:val="Heading2"/>
    <w:uiPriority w:val="9"/>
    <w:rsid w:val="00DE43CF"/>
    <w:rPr>
      <w:rFonts w:ascii="Arial Bold" w:eastAsia="Batang" w:hAnsi="Arial Bold" w:cs="Times New Roman"/>
      <w:caps/>
      <w:color w:val="4F81BD" w:themeColor="accent1"/>
      <w:sz w:val="24"/>
      <w:szCs w:val="20"/>
      <w:lang w:val="fr-FR"/>
    </w:rPr>
  </w:style>
  <w:style w:type="character" w:customStyle="1" w:styleId="Heading3Char">
    <w:name w:val="Heading 3 Char"/>
    <w:basedOn w:val="DefaultParagraphFont"/>
    <w:link w:val="Heading3"/>
    <w:uiPriority w:val="9"/>
    <w:rsid w:val="00662795"/>
    <w:rPr>
      <w:rFonts w:ascii="Arial Bold" w:eastAsia="Times New Roman" w:hAnsi="Arial Bold" w:cs="Times New Roman"/>
      <w:b/>
      <w:color w:val="4F81BD" w:themeColor="accent1"/>
      <w:sz w:val="24"/>
      <w:szCs w:val="20"/>
      <w:u w:val="single"/>
      <w:lang w:val="fr-FR"/>
    </w:rPr>
  </w:style>
  <w:style w:type="paragraph" w:styleId="Title">
    <w:name w:val="Title"/>
    <w:basedOn w:val="Normal"/>
    <w:link w:val="TitleChar"/>
    <w:uiPriority w:val="99"/>
    <w:qFormat/>
    <w:rsid w:val="00D60A17"/>
    <w:pPr>
      <w:spacing w:after="0" w:line="240" w:lineRule="auto"/>
      <w:jc w:val="center"/>
    </w:pPr>
    <w:rPr>
      <w:rFonts w:eastAsia="Times New Roman" w:cs="Times New Roman"/>
      <w:b/>
      <w:bCs/>
      <w:color w:val="4F81BD" w:themeColor="accent1"/>
      <w:sz w:val="48"/>
      <w:szCs w:val="24"/>
    </w:rPr>
  </w:style>
  <w:style w:type="character" w:customStyle="1" w:styleId="TitleChar">
    <w:name w:val="Title Char"/>
    <w:basedOn w:val="DefaultParagraphFont"/>
    <w:link w:val="Title"/>
    <w:uiPriority w:val="99"/>
    <w:rsid w:val="00D60A17"/>
    <w:rPr>
      <w:rFonts w:ascii="Arial" w:eastAsia="Times New Roman" w:hAnsi="Arial" w:cs="Times New Roman"/>
      <w:b/>
      <w:bCs/>
      <w:color w:val="4F81BD" w:themeColor="accent1"/>
      <w:sz w:val="48"/>
      <w:szCs w:val="24"/>
    </w:rPr>
  </w:style>
  <w:style w:type="paragraph" w:styleId="BalloonText">
    <w:name w:val="Balloon Text"/>
    <w:basedOn w:val="Normal"/>
    <w:link w:val="BalloonTextChar"/>
    <w:uiPriority w:val="99"/>
    <w:semiHidden/>
    <w:unhideWhenUsed/>
    <w:rsid w:val="00546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72A"/>
    <w:rPr>
      <w:rFonts w:ascii="Tahoma" w:hAnsi="Tahoma" w:cs="Tahoma"/>
      <w:sz w:val="16"/>
      <w:szCs w:val="16"/>
    </w:rPr>
  </w:style>
  <w:style w:type="character" w:styleId="Hyperlink">
    <w:name w:val="Hyperlink"/>
    <w:basedOn w:val="DefaultParagraphFont"/>
    <w:uiPriority w:val="99"/>
    <w:unhideWhenUsed/>
    <w:rsid w:val="00286AB7"/>
    <w:rPr>
      <w:color w:val="0000FF" w:themeColor="hyperlink"/>
      <w:u w:val="single"/>
    </w:rPr>
  </w:style>
  <w:style w:type="paragraph" w:styleId="Header">
    <w:name w:val="header"/>
    <w:basedOn w:val="Normal"/>
    <w:link w:val="HeaderChar"/>
    <w:uiPriority w:val="99"/>
    <w:unhideWhenUsed/>
    <w:rsid w:val="00DD07BE"/>
    <w:pPr>
      <w:tabs>
        <w:tab w:val="center" w:pos="4513"/>
        <w:tab w:val="right" w:pos="9026"/>
      </w:tabs>
      <w:spacing w:after="0" w:line="240" w:lineRule="auto"/>
    </w:pPr>
  </w:style>
  <w:style w:type="character" w:styleId="FollowedHyperlink">
    <w:name w:val="FollowedHyperlink"/>
    <w:basedOn w:val="DefaultParagraphFont"/>
    <w:uiPriority w:val="99"/>
    <w:semiHidden/>
    <w:unhideWhenUsed/>
    <w:rsid w:val="00E11D54"/>
    <w:rPr>
      <w:color w:val="800080" w:themeColor="followedHyperlink"/>
      <w:u w:val="single"/>
    </w:rPr>
  </w:style>
  <w:style w:type="character" w:customStyle="1" w:styleId="HeaderChar">
    <w:name w:val="Header Char"/>
    <w:basedOn w:val="DefaultParagraphFont"/>
    <w:link w:val="Header"/>
    <w:uiPriority w:val="99"/>
    <w:rsid w:val="00DD07BE"/>
    <w:rPr>
      <w:rFonts w:ascii="Arial" w:hAnsi="Arial"/>
    </w:rPr>
  </w:style>
  <w:style w:type="paragraph" w:styleId="TOC2">
    <w:name w:val="toc 2"/>
    <w:basedOn w:val="Normal"/>
    <w:next w:val="Normal"/>
    <w:autoRedefine/>
    <w:uiPriority w:val="39"/>
    <w:unhideWhenUsed/>
    <w:qFormat/>
    <w:rsid w:val="00DD07BE"/>
    <w:pPr>
      <w:spacing w:after="100"/>
      <w:ind w:left="220"/>
    </w:pPr>
  </w:style>
  <w:style w:type="paragraph" w:styleId="Footer">
    <w:name w:val="footer"/>
    <w:basedOn w:val="Normal"/>
    <w:link w:val="FooterChar"/>
    <w:uiPriority w:val="99"/>
    <w:unhideWhenUsed/>
    <w:rsid w:val="00DD07BE"/>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DD07BE"/>
    <w:rPr>
      <w:rFonts w:ascii="Arial" w:hAnsi="Arial"/>
      <w:sz w:val="20"/>
    </w:rPr>
  </w:style>
  <w:style w:type="paragraph" w:styleId="TOC1">
    <w:name w:val="toc 1"/>
    <w:basedOn w:val="Normal"/>
    <w:next w:val="Normal"/>
    <w:autoRedefine/>
    <w:uiPriority w:val="39"/>
    <w:unhideWhenUsed/>
    <w:qFormat/>
    <w:rsid w:val="00DD07BE"/>
    <w:pPr>
      <w:spacing w:after="100"/>
    </w:pPr>
  </w:style>
  <w:style w:type="paragraph" w:styleId="TOC3">
    <w:name w:val="toc 3"/>
    <w:basedOn w:val="Normal"/>
    <w:next w:val="Normal"/>
    <w:autoRedefine/>
    <w:uiPriority w:val="39"/>
    <w:unhideWhenUsed/>
    <w:qFormat/>
    <w:rsid w:val="00DD07BE"/>
    <w:pPr>
      <w:spacing w:after="100"/>
      <w:ind w:left="440"/>
    </w:pPr>
  </w:style>
  <w:style w:type="paragraph" w:styleId="TOC4">
    <w:name w:val="toc 4"/>
    <w:basedOn w:val="Normal"/>
    <w:next w:val="Normal"/>
    <w:autoRedefine/>
    <w:uiPriority w:val="39"/>
    <w:unhideWhenUsed/>
    <w:rsid w:val="00DD07BE"/>
    <w:pPr>
      <w:spacing w:after="100"/>
      <w:ind w:left="660"/>
    </w:pPr>
  </w:style>
  <w:style w:type="character" w:styleId="CommentReference">
    <w:name w:val="annotation reference"/>
    <w:basedOn w:val="DefaultParagraphFont"/>
    <w:uiPriority w:val="99"/>
    <w:unhideWhenUsed/>
    <w:rsid w:val="00437479"/>
    <w:rPr>
      <w:sz w:val="16"/>
      <w:szCs w:val="16"/>
    </w:rPr>
  </w:style>
  <w:style w:type="paragraph" w:styleId="CommentText">
    <w:name w:val="annotation text"/>
    <w:basedOn w:val="Normal"/>
    <w:link w:val="CommentTextChar"/>
    <w:uiPriority w:val="99"/>
    <w:unhideWhenUsed/>
    <w:rsid w:val="00437479"/>
    <w:pPr>
      <w:spacing w:line="240" w:lineRule="auto"/>
    </w:pPr>
    <w:rPr>
      <w:sz w:val="20"/>
      <w:szCs w:val="20"/>
    </w:rPr>
  </w:style>
  <w:style w:type="character" w:customStyle="1" w:styleId="CommentTextChar">
    <w:name w:val="Comment Text Char"/>
    <w:basedOn w:val="DefaultParagraphFont"/>
    <w:link w:val="CommentText"/>
    <w:uiPriority w:val="99"/>
    <w:rsid w:val="00437479"/>
    <w:rPr>
      <w:sz w:val="20"/>
      <w:szCs w:val="20"/>
    </w:rPr>
  </w:style>
  <w:style w:type="paragraph" w:styleId="CommentSubject">
    <w:name w:val="annotation subject"/>
    <w:basedOn w:val="CommentText"/>
    <w:next w:val="CommentText"/>
    <w:link w:val="CommentSubjectChar"/>
    <w:uiPriority w:val="99"/>
    <w:semiHidden/>
    <w:unhideWhenUsed/>
    <w:rsid w:val="00437479"/>
    <w:rPr>
      <w:b/>
      <w:bCs/>
    </w:rPr>
  </w:style>
  <w:style w:type="character" w:customStyle="1" w:styleId="CommentSubjectChar">
    <w:name w:val="Comment Subject Char"/>
    <w:basedOn w:val="CommentTextChar"/>
    <w:link w:val="CommentSubject"/>
    <w:uiPriority w:val="99"/>
    <w:semiHidden/>
    <w:rsid w:val="00437479"/>
    <w:rPr>
      <w:b/>
      <w:bCs/>
      <w:sz w:val="20"/>
      <w:szCs w:val="20"/>
    </w:rPr>
  </w:style>
  <w:style w:type="paragraph" w:styleId="Caption">
    <w:name w:val="caption"/>
    <w:basedOn w:val="Normal"/>
    <w:next w:val="Normal"/>
    <w:uiPriority w:val="35"/>
    <w:unhideWhenUsed/>
    <w:qFormat/>
    <w:rsid w:val="00AD65E4"/>
    <w:pPr>
      <w:spacing w:before="200" w:after="0" w:line="240" w:lineRule="auto"/>
    </w:pPr>
    <w:rPr>
      <w:rFonts w:ascii="Arial Bold" w:hAnsi="Arial Bold"/>
      <w:b/>
      <w:bCs/>
      <w:color w:val="4F81BD" w:themeColor="accent1"/>
      <w:sz w:val="18"/>
      <w:szCs w:val="18"/>
    </w:rPr>
  </w:style>
  <w:style w:type="numbering" w:customStyle="1" w:styleId="Reportheadings">
    <w:name w:val="Report headings"/>
    <w:uiPriority w:val="99"/>
    <w:rsid w:val="00185221"/>
    <w:pPr>
      <w:numPr>
        <w:numId w:val="1"/>
      </w:numPr>
    </w:pPr>
  </w:style>
  <w:style w:type="character" w:customStyle="1" w:styleId="Heading4Char">
    <w:name w:val="Heading 4 Char"/>
    <w:basedOn w:val="DefaultParagraphFont"/>
    <w:link w:val="Heading4"/>
    <w:uiPriority w:val="9"/>
    <w:rsid w:val="00AD65E4"/>
    <w:rPr>
      <w:rFonts w:ascii="Arial Bold" w:eastAsiaTheme="majorEastAsia" w:hAnsi="Arial Bold" w:cstheme="majorBidi"/>
      <w:bCs/>
      <w:iCs/>
      <w:color w:val="4F81BD" w:themeColor="accent1"/>
      <w:sz w:val="24"/>
      <w:szCs w:val="20"/>
      <w:u w:val="single"/>
      <w:lang w:val="fr-FR"/>
    </w:rPr>
  </w:style>
  <w:style w:type="character" w:customStyle="1" w:styleId="Heading5Char">
    <w:name w:val="Heading 5 Char"/>
    <w:basedOn w:val="DefaultParagraphFont"/>
    <w:link w:val="Heading5"/>
    <w:uiPriority w:val="9"/>
    <w:rsid w:val="00AD65E4"/>
    <w:rPr>
      <w:rFonts w:ascii="Arial Bold" w:eastAsiaTheme="majorEastAsia" w:hAnsi="Arial Bold" w:cstheme="majorBidi"/>
      <w:b/>
      <w:bCs/>
      <w:iCs/>
      <w:color w:val="4F81BD" w:themeColor="accent1"/>
      <w:sz w:val="24"/>
      <w:szCs w:val="20"/>
      <w:lang w:val="fr-FR"/>
    </w:rPr>
  </w:style>
  <w:style w:type="paragraph" w:styleId="FootnoteText">
    <w:name w:val="footnote text"/>
    <w:aliases w:val="DBW Footnote Text,FN,Footnote Text Char1 Char1,Footnote Text Char Char Char1,Footnote Text Char1 Char Char Char1,Footnote Text Char Char Char Char Char Char Char1,Footnote Text Char Char Char1 Char Char Char1"/>
    <w:basedOn w:val="Normal"/>
    <w:link w:val="FootnoteTextChar"/>
    <w:unhideWhenUsed/>
    <w:rsid w:val="009508F8"/>
    <w:pPr>
      <w:spacing w:after="0" w:line="240" w:lineRule="auto"/>
    </w:pPr>
    <w:rPr>
      <w:sz w:val="18"/>
      <w:szCs w:val="20"/>
    </w:rPr>
  </w:style>
  <w:style w:type="character" w:customStyle="1" w:styleId="FootnoteTextChar">
    <w:name w:val="Footnote Text Char"/>
    <w:aliases w:val="DBW Footnote Text Char,FN Char,Footnote Text Char1 Char1 Char,Footnote Text Char Char Char1 Char,Footnote Text Char1 Char Char Char1 Char,Footnote Text Char Char Char Char Char Char Char1 Char"/>
    <w:basedOn w:val="DefaultParagraphFont"/>
    <w:link w:val="FootnoteText"/>
    <w:rsid w:val="009508F8"/>
    <w:rPr>
      <w:rFonts w:ascii="Arial" w:hAnsi="Arial"/>
      <w:sz w:val="18"/>
      <w:szCs w:val="20"/>
    </w:rPr>
  </w:style>
  <w:style w:type="character" w:styleId="FootnoteReference">
    <w:name w:val="footnote reference"/>
    <w:aliases w:val="BVI fnr,ftref"/>
    <w:basedOn w:val="DefaultParagraphFont"/>
    <w:unhideWhenUsed/>
    <w:rsid w:val="00D22999"/>
    <w:rPr>
      <w:vertAlign w:val="superscript"/>
    </w:rPr>
  </w:style>
  <w:style w:type="character" w:customStyle="1" w:styleId="Heading6Char">
    <w:name w:val="Heading 6 Char"/>
    <w:basedOn w:val="DefaultParagraphFont"/>
    <w:link w:val="Heading6"/>
    <w:uiPriority w:val="9"/>
    <w:rsid w:val="00AD65E4"/>
    <w:rPr>
      <w:rFonts w:ascii="Arial Bold" w:eastAsiaTheme="majorEastAsia" w:hAnsi="Arial Bold" w:cstheme="majorBidi"/>
      <w:bCs/>
      <w:i/>
      <w:color w:val="4F81BD" w:themeColor="accent1"/>
      <w:sz w:val="24"/>
      <w:szCs w:val="20"/>
      <w:lang w:val="fr-FR"/>
    </w:rPr>
  </w:style>
  <w:style w:type="character" w:customStyle="1" w:styleId="Heading7Char">
    <w:name w:val="Heading 7 Char"/>
    <w:basedOn w:val="DefaultParagraphFont"/>
    <w:link w:val="Heading7"/>
    <w:uiPriority w:val="9"/>
    <w:rsid w:val="00AD65E4"/>
    <w:rPr>
      <w:rFonts w:ascii="Arial Bold" w:eastAsiaTheme="majorEastAsia" w:hAnsi="Arial Bold" w:cstheme="majorBidi"/>
      <w:bCs/>
      <w:i/>
      <w:iCs/>
      <w:color w:val="4F81BD" w:themeColor="accent1"/>
      <w:sz w:val="24"/>
      <w:szCs w:val="20"/>
      <w:lang w:val="fr-FR"/>
    </w:rPr>
  </w:style>
  <w:style w:type="paragraph" w:styleId="IntenseQuote">
    <w:name w:val="Intense Quote"/>
    <w:basedOn w:val="Normal"/>
    <w:next w:val="Normal"/>
    <w:link w:val="IntenseQuoteChar"/>
    <w:uiPriority w:val="30"/>
    <w:qFormat/>
    <w:rsid w:val="00AD65E4"/>
    <w:pPr>
      <w:pBdr>
        <w:bottom w:val="single" w:sz="4" w:space="4" w:color="4F81BD" w:themeColor="accent1"/>
      </w:pBdr>
      <w:spacing w:before="200" w:after="280"/>
    </w:pPr>
    <w:rPr>
      <w:b/>
      <w:bCs/>
      <w:i/>
      <w:iCs/>
      <w:color w:val="4F81BD" w:themeColor="accent1"/>
    </w:rPr>
  </w:style>
  <w:style w:type="character" w:customStyle="1" w:styleId="IntenseQuoteChar">
    <w:name w:val="Intense Quote Char"/>
    <w:basedOn w:val="DefaultParagraphFont"/>
    <w:link w:val="IntenseQuote"/>
    <w:uiPriority w:val="30"/>
    <w:rsid w:val="00AD65E4"/>
    <w:rPr>
      <w:rFonts w:ascii="Arial" w:hAnsi="Arial"/>
      <w:b/>
      <w:bCs/>
      <w:i/>
      <w:iCs/>
      <w:color w:val="4F81BD" w:themeColor="accent1"/>
    </w:rPr>
  </w:style>
  <w:style w:type="paragraph" w:styleId="Subtitle">
    <w:name w:val="Subtitle"/>
    <w:basedOn w:val="Normal"/>
    <w:next w:val="Normal"/>
    <w:link w:val="SubtitleChar"/>
    <w:uiPriority w:val="11"/>
    <w:qFormat/>
    <w:rsid w:val="00D60A17"/>
    <w:pPr>
      <w:numPr>
        <w:ilvl w:val="1"/>
      </w:numPr>
      <w:spacing w:before="240" w:after="240" w:line="240" w:lineRule="auto"/>
      <w:jc w:val="center"/>
    </w:pPr>
    <w:rPr>
      <w:rFonts w:eastAsiaTheme="majorEastAsia" w:cstheme="majorBidi"/>
      <w:b/>
      <w:iCs/>
      <w:color w:val="4F81BD" w:themeColor="accent1"/>
      <w:spacing w:val="15"/>
      <w:sz w:val="28"/>
      <w:szCs w:val="24"/>
    </w:rPr>
  </w:style>
  <w:style w:type="character" w:customStyle="1" w:styleId="SubtitleChar">
    <w:name w:val="Subtitle Char"/>
    <w:basedOn w:val="DefaultParagraphFont"/>
    <w:link w:val="Subtitle"/>
    <w:uiPriority w:val="11"/>
    <w:rsid w:val="00D60A17"/>
    <w:rPr>
      <w:rFonts w:ascii="Arial" w:eastAsiaTheme="majorEastAsia" w:hAnsi="Arial" w:cstheme="majorBidi"/>
      <w:b/>
      <w:iCs/>
      <w:color w:val="4F81BD" w:themeColor="accent1"/>
      <w:spacing w:val="15"/>
      <w:sz w:val="28"/>
      <w:szCs w:val="24"/>
    </w:rPr>
  </w:style>
  <w:style w:type="character" w:customStyle="1" w:styleId="Heading8Char">
    <w:name w:val="Heading 8 Char"/>
    <w:basedOn w:val="DefaultParagraphFont"/>
    <w:link w:val="Heading8"/>
    <w:uiPriority w:val="9"/>
    <w:rsid w:val="00AD65E4"/>
    <w:rPr>
      <w:rFonts w:ascii="Arial" w:eastAsiaTheme="majorEastAsia" w:hAnsi="Arial" w:cstheme="majorBidi"/>
      <w:b/>
      <w:color w:val="4F81BD" w:themeColor="accent1"/>
      <w:szCs w:val="20"/>
    </w:rPr>
  </w:style>
  <w:style w:type="character" w:customStyle="1" w:styleId="Heading9Char">
    <w:name w:val="Heading 9 Char"/>
    <w:basedOn w:val="DefaultParagraphFont"/>
    <w:link w:val="Heading9"/>
    <w:uiPriority w:val="9"/>
    <w:semiHidden/>
    <w:rsid w:val="00AD65E4"/>
    <w:rPr>
      <w:rFonts w:ascii="Arial" w:eastAsiaTheme="majorEastAsia" w:hAnsi="Arial" w:cstheme="majorBidi"/>
      <w:b/>
      <w:iCs/>
      <w:color w:val="4F81BD" w:themeColor="accent1"/>
      <w:szCs w:val="20"/>
    </w:rPr>
  </w:style>
  <w:style w:type="character" w:styleId="Emphasis">
    <w:name w:val="Emphasis"/>
    <w:basedOn w:val="DefaultParagraphFont"/>
    <w:uiPriority w:val="20"/>
    <w:qFormat/>
    <w:rsid w:val="00A34E1A"/>
    <w:rPr>
      <w:rFonts w:ascii="Arial Bold" w:hAnsi="Arial Bold"/>
      <w:b/>
      <w:iCs/>
      <w:color w:val="4F81BD" w:themeColor="accent1"/>
      <w:sz w:val="22"/>
      <w:u w:val="single" w:color="4F81BD" w:themeColor="accent1"/>
    </w:rPr>
  </w:style>
  <w:style w:type="character" w:styleId="IntenseEmphasis">
    <w:name w:val="Intense Emphasis"/>
    <w:basedOn w:val="DefaultParagraphFont"/>
    <w:qFormat/>
    <w:rsid w:val="00D60A17"/>
    <w:rPr>
      <w:rFonts w:ascii="Arial" w:hAnsi="Arial"/>
      <w:b w:val="0"/>
      <w:bCs/>
      <w:i w:val="0"/>
      <w:iCs/>
      <w:color w:val="4F81BD" w:themeColor="accent1"/>
      <w:sz w:val="28"/>
    </w:rPr>
  </w:style>
  <w:style w:type="character" w:customStyle="1" w:styleId="ListParagraphChar">
    <w:name w:val="List Paragraph Char"/>
    <w:aliases w:val="sub-section Char"/>
    <w:basedOn w:val="DefaultParagraphFont"/>
    <w:link w:val="ListParagraph"/>
    <w:uiPriority w:val="34"/>
    <w:locked/>
    <w:rsid w:val="00F1570E"/>
    <w:rPr>
      <w:rFonts w:ascii="Arial" w:hAnsi="Arial"/>
    </w:rPr>
  </w:style>
  <w:style w:type="paragraph" w:customStyle="1" w:styleId="2heading">
    <w:name w:val="2 heading"/>
    <w:uiPriority w:val="1"/>
    <w:qFormat/>
    <w:rsid w:val="0091213F"/>
    <w:pPr>
      <w:spacing w:after="0" w:line="240" w:lineRule="auto"/>
      <w:outlineLvl w:val="2"/>
    </w:pPr>
    <w:rPr>
      <w:rFonts w:ascii="Arial Bold" w:eastAsia="Times New Roman" w:hAnsi="Arial Bold" w:cs="Times New Roman"/>
      <w:b/>
      <w:bCs/>
      <w:caps/>
      <w:color w:val="4F81BD" w:themeColor="accent1"/>
      <w:sz w:val="24"/>
      <w:szCs w:val="20"/>
    </w:rPr>
  </w:style>
  <w:style w:type="table" w:styleId="TableGrid">
    <w:name w:val="Table Grid"/>
    <w:basedOn w:val="TableNormal"/>
    <w:uiPriority w:val="59"/>
    <w:rsid w:val="0066279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5A04CA"/>
  </w:style>
  <w:style w:type="paragraph" w:customStyle="1" w:styleId="NoSpacing1">
    <w:name w:val="No Spacing1"/>
    <w:aliases w:val="Headings4"/>
    <w:uiPriority w:val="1"/>
    <w:qFormat/>
    <w:rsid w:val="005A04CA"/>
    <w:pPr>
      <w:spacing w:after="0" w:line="240" w:lineRule="auto"/>
      <w:ind w:left="720"/>
    </w:pPr>
    <w:rPr>
      <w:rFonts w:ascii="Arial" w:eastAsia="Times New Roman" w:hAnsi="Arial" w:cs="Times New Roman"/>
      <w:b/>
      <w:bCs/>
      <w:i/>
      <w:sz w:val="24"/>
      <w:szCs w:val="20"/>
    </w:rPr>
  </w:style>
  <w:style w:type="paragraph" w:styleId="NoSpacing">
    <w:name w:val="No Spacing"/>
    <w:qFormat/>
    <w:rsid w:val="002D05F6"/>
    <w:pPr>
      <w:spacing w:after="0" w:line="240" w:lineRule="auto"/>
    </w:pPr>
    <w:rPr>
      <w:rFonts w:ascii="Calibri" w:eastAsia="Times New Roman" w:hAnsi="Calibri" w:cs="Calibri"/>
      <w:lang w:val="en-AU"/>
    </w:rPr>
  </w:style>
  <w:style w:type="character" w:customStyle="1" w:styleId="hps">
    <w:name w:val="hps"/>
    <w:basedOn w:val="DefaultParagraphFont"/>
    <w:rsid w:val="002D05F6"/>
  </w:style>
  <w:style w:type="paragraph" w:customStyle="1" w:styleId="TablesforTOC">
    <w:name w:val="Tables for TOC"/>
    <w:basedOn w:val="Heading4"/>
    <w:rsid w:val="00153606"/>
    <w:pPr>
      <w:keepLines w:val="0"/>
      <w:numPr>
        <w:ilvl w:val="0"/>
        <w:numId w:val="0"/>
      </w:numPr>
      <w:spacing w:before="240" w:after="120"/>
      <w:ind w:left="1124"/>
      <w:jc w:val="both"/>
    </w:pPr>
    <w:rPr>
      <w:rFonts w:asciiTheme="minorHAnsi" w:eastAsia="Times New Roman" w:hAnsiTheme="minorHAnsi" w:cs="Arial"/>
      <w:b/>
      <w:iCs w:val="0"/>
      <w:color w:val="auto"/>
      <w:szCs w:val="22"/>
      <w:u w:val="none"/>
      <w:lang w:val="en-US"/>
    </w:rPr>
  </w:style>
  <w:style w:type="paragraph" w:styleId="TableofFigures">
    <w:name w:val="table of figures"/>
    <w:basedOn w:val="Normal"/>
    <w:next w:val="Normal"/>
    <w:uiPriority w:val="99"/>
    <w:unhideWhenUsed/>
    <w:rsid w:val="00AE46A7"/>
    <w:pPr>
      <w:spacing w:after="0"/>
    </w:pPr>
  </w:style>
  <w:style w:type="paragraph" w:styleId="TOCHeading">
    <w:name w:val="TOC Heading"/>
    <w:basedOn w:val="Heading1"/>
    <w:next w:val="Normal"/>
    <w:uiPriority w:val="39"/>
    <w:semiHidden/>
    <w:unhideWhenUsed/>
    <w:qFormat/>
    <w:rsid w:val="005B50E4"/>
    <w:pPr>
      <w:keepLines/>
      <w:numPr>
        <w:numId w:val="0"/>
      </w:numPr>
      <w:tabs>
        <w:tab w:val="clear" w:pos="8640"/>
      </w:tabs>
      <w:spacing w:before="480" w:after="0" w:line="276" w:lineRule="auto"/>
      <w:outlineLvl w:val="9"/>
    </w:pPr>
    <w:rPr>
      <w:rFonts w:asciiTheme="majorHAnsi" w:eastAsiaTheme="majorEastAsia" w:hAnsiTheme="majorHAnsi" w:cstheme="majorBidi"/>
      <w:bCs/>
      <w:caps w:val="0"/>
      <w:color w:val="365F91" w:themeColor="accent1" w:themeShade="BF"/>
      <w:szCs w:val="28"/>
      <w:lang w:val="en-US"/>
    </w:rPr>
  </w:style>
  <w:style w:type="character" w:customStyle="1" w:styleId="CommentTextChar1">
    <w:name w:val="Comment Text Char1"/>
    <w:basedOn w:val="DefaultParagraphFont"/>
    <w:uiPriority w:val="99"/>
    <w:semiHidden/>
    <w:rsid w:val="005B50E4"/>
    <w:rPr>
      <w:rFonts w:ascii="Times New Roman" w:hAnsi="Times New Roman" w:cs="Times New Roman"/>
      <w:sz w:val="20"/>
      <w:szCs w:val="20"/>
      <w:lang w:val="id-ID"/>
    </w:rPr>
  </w:style>
  <w:style w:type="character" w:customStyle="1" w:styleId="CommentSubjectChar1">
    <w:name w:val="Comment Subject Char1"/>
    <w:basedOn w:val="CommentTextChar1"/>
    <w:uiPriority w:val="99"/>
    <w:semiHidden/>
    <w:rsid w:val="005B50E4"/>
    <w:rPr>
      <w:rFonts w:ascii="Times New Roman" w:hAnsi="Times New Roman" w:cs="Times New Roman"/>
      <w:b/>
      <w:bCs/>
      <w:sz w:val="20"/>
      <w:szCs w:val="20"/>
      <w:lang w:val="id-ID"/>
    </w:rPr>
  </w:style>
  <w:style w:type="paragraph" w:customStyle="1" w:styleId="Default">
    <w:name w:val="Default"/>
    <w:rsid w:val="005B50E4"/>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5B50E4"/>
    <w:pPr>
      <w:spacing w:after="0" w:line="240" w:lineRule="auto"/>
    </w:pPr>
    <w:rPr>
      <w:rFonts w:ascii="Times New Roman" w:hAnsi="Times New Roman" w:cs="Times New Roman"/>
      <w:sz w:val="24"/>
      <w:szCs w:val="24"/>
      <w:lang w:val="id-ID"/>
    </w:rPr>
  </w:style>
  <w:style w:type="paragraph" w:styleId="TOC5">
    <w:name w:val="toc 5"/>
    <w:basedOn w:val="Normal"/>
    <w:next w:val="Normal"/>
    <w:autoRedefine/>
    <w:uiPriority w:val="39"/>
    <w:semiHidden/>
    <w:unhideWhenUsed/>
    <w:rsid w:val="00BD0D31"/>
    <w:pPr>
      <w:spacing w:after="100"/>
      <w:ind w:left="880"/>
    </w:pPr>
  </w:style>
  <w:style w:type="paragraph" w:customStyle="1" w:styleId="AnnexHeadings">
    <w:name w:val="Annex Headings"/>
    <w:basedOn w:val="Heading5"/>
    <w:next w:val="TOC5"/>
    <w:qFormat/>
    <w:rsid w:val="00BD0D31"/>
    <w:pPr>
      <w:keepNext w:val="0"/>
      <w:keepLines w:val="0"/>
      <w:numPr>
        <w:ilvl w:val="0"/>
        <w:numId w:val="0"/>
      </w:numPr>
      <w:spacing w:after="0"/>
      <w:ind w:left="1512" w:hanging="945"/>
      <w:jc w:val="both"/>
    </w:pPr>
    <w:rPr>
      <w:rFonts w:ascii="Times New Roman" w:eastAsia="Times New Roman" w:hAnsi="Times New Roman" w:cs="Arial"/>
      <w:b w:val="0"/>
      <w:smallCaps/>
      <w:color w:val="auto"/>
      <w:sz w:val="28"/>
      <w:szCs w:val="28"/>
      <w:lang w:val="id-ID"/>
    </w:rPr>
  </w:style>
  <w:style w:type="numbering" w:customStyle="1" w:styleId="NoList1">
    <w:name w:val="No List1"/>
    <w:next w:val="NoList"/>
    <w:uiPriority w:val="99"/>
    <w:semiHidden/>
    <w:unhideWhenUsed/>
    <w:rsid w:val="000A7545"/>
  </w:style>
  <w:style w:type="table" w:customStyle="1" w:styleId="TableGrid1">
    <w:name w:val="Table Grid1"/>
    <w:basedOn w:val="TableNormal"/>
    <w:next w:val="TableGrid"/>
    <w:uiPriority w:val="59"/>
    <w:rsid w:val="000A7545"/>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037">
      <w:bodyDiv w:val="1"/>
      <w:marLeft w:val="0"/>
      <w:marRight w:val="0"/>
      <w:marTop w:val="0"/>
      <w:marBottom w:val="0"/>
      <w:divBdr>
        <w:top w:val="none" w:sz="0" w:space="0" w:color="auto"/>
        <w:left w:val="none" w:sz="0" w:space="0" w:color="auto"/>
        <w:bottom w:val="none" w:sz="0" w:space="0" w:color="auto"/>
        <w:right w:val="none" w:sz="0" w:space="0" w:color="auto"/>
      </w:divBdr>
    </w:div>
    <w:div w:id="211890918">
      <w:bodyDiv w:val="1"/>
      <w:marLeft w:val="0"/>
      <w:marRight w:val="0"/>
      <w:marTop w:val="0"/>
      <w:marBottom w:val="0"/>
      <w:divBdr>
        <w:top w:val="none" w:sz="0" w:space="0" w:color="auto"/>
        <w:left w:val="none" w:sz="0" w:space="0" w:color="auto"/>
        <w:bottom w:val="none" w:sz="0" w:space="0" w:color="auto"/>
        <w:right w:val="none" w:sz="0" w:space="0" w:color="auto"/>
      </w:divBdr>
    </w:div>
    <w:div w:id="805977813">
      <w:bodyDiv w:val="1"/>
      <w:marLeft w:val="0"/>
      <w:marRight w:val="0"/>
      <w:marTop w:val="0"/>
      <w:marBottom w:val="0"/>
      <w:divBdr>
        <w:top w:val="none" w:sz="0" w:space="0" w:color="auto"/>
        <w:left w:val="none" w:sz="0" w:space="0" w:color="auto"/>
        <w:bottom w:val="none" w:sz="0" w:space="0" w:color="auto"/>
        <w:right w:val="none" w:sz="0" w:space="0" w:color="auto"/>
      </w:divBdr>
    </w:div>
    <w:div w:id="865676988">
      <w:bodyDiv w:val="1"/>
      <w:marLeft w:val="0"/>
      <w:marRight w:val="0"/>
      <w:marTop w:val="0"/>
      <w:marBottom w:val="0"/>
      <w:divBdr>
        <w:top w:val="none" w:sz="0" w:space="0" w:color="auto"/>
        <w:left w:val="none" w:sz="0" w:space="0" w:color="auto"/>
        <w:bottom w:val="none" w:sz="0" w:space="0" w:color="auto"/>
        <w:right w:val="none" w:sz="0" w:space="0" w:color="auto"/>
      </w:divBdr>
    </w:div>
    <w:div w:id="928462100">
      <w:bodyDiv w:val="1"/>
      <w:marLeft w:val="0"/>
      <w:marRight w:val="0"/>
      <w:marTop w:val="0"/>
      <w:marBottom w:val="0"/>
      <w:divBdr>
        <w:top w:val="none" w:sz="0" w:space="0" w:color="auto"/>
        <w:left w:val="none" w:sz="0" w:space="0" w:color="auto"/>
        <w:bottom w:val="none" w:sz="0" w:space="0" w:color="auto"/>
        <w:right w:val="none" w:sz="0" w:space="0" w:color="auto"/>
      </w:divBdr>
    </w:div>
    <w:div w:id="1002707900">
      <w:bodyDiv w:val="1"/>
      <w:marLeft w:val="0"/>
      <w:marRight w:val="0"/>
      <w:marTop w:val="0"/>
      <w:marBottom w:val="0"/>
      <w:divBdr>
        <w:top w:val="none" w:sz="0" w:space="0" w:color="auto"/>
        <w:left w:val="none" w:sz="0" w:space="0" w:color="auto"/>
        <w:bottom w:val="none" w:sz="0" w:space="0" w:color="auto"/>
        <w:right w:val="none" w:sz="0" w:space="0" w:color="auto"/>
      </w:divBdr>
    </w:div>
    <w:div w:id="1152016082">
      <w:bodyDiv w:val="1"/>
      <w:marLeft w:val="0"/>
      <w:marRight w:val="0"/>
      <w:marTop w:val="0"/>
      <w:marBottom w:val="0"/>
      <w:divBdr>
        <w:top w:val="none" w:sz="0" w:space="0" w:color="auto"/>
        <w:left w:val="none" w:sz="0" w:space="0" w:color="auto"/>
        <w:bottom w:val="none" w:sz="0" w:space="0" w:color="auto"/>
        <w:right w:val="none" w:sz="0" w:space="0" w:color="auto"/>
      </w:divBdr>
    </w:div>
    <w:div w:id="1205362095">
      <w:bodyDiv w:val="1"/>
      <w:marLeft w:val="0"/>
      <w:marRight w:val="0"/>
      <w:marTop w:val="0"/>
      <w:marBottom w:val="0"/>
      <w:divBdr>
        <w:top w:val="none" w:sz="0" w:space="0" w:color="auto"/>
        <w:left w:val="none" w:sz="0" w:space="0" w:color="auto"/>
        <w:bottom w:val="none" w:sz="0" w:space="0" w:color="auto"/>
        <w:right w:val="none" w:sz="0" w:space="0" w:color="auto"/>
      </w:divBdr>
    </w:div>
    <w:div w:id="17779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gerber/Desktop/AusAID-USAID/AusAID-USAID%20report_20.04.12_final%20draft17.33.docx" TargetMode="External"/><Relationship Id="rId18" Type="http://schemas.openxmlformats.org/officeDocument/2006/relationships/header" Target="header3.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sagarwalharding@unicef.org" TargetMode="External"/><Relationship Id="rId17" Type="http://schemas.openxmlformats.org/officeDocument/2006/relationships/footer" Target="footer2.xml"/><Relationship Id="rId25" Type="http://schemas.openxmlformats.org/officeDocument/2006/relationships/chart" Target="charts/chart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earney@unicef.org" TargetMode="External"/><Relationship Id="rId24" Type="http://schemas.openxmlformats.org/officeDocument/2006/relationships/chart" Target="charts/chart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hart" Target="charts/chart3.xml"/><Relationship Id="rId28" Type="http://schemas.openxmlformats.org/officeDocument/2006/relationships/header" Target="header4.xml"/><Relationship Id="rId36"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hart" Target="charts/chart2.xml"/><Relationship Id="rId27" Type="http://schemas.openxmlformats.org/officeDocument/2006/relationships/image" Target="media/image4.jpeg"/><Relationship Id="rId30" Type="http://schemas.openxmlformats.org/officeDocument/2006/relationships/header" Target="header5.xml"/><Relationship Id="rId35" Type="http://schemas.openxmlformats.org/officeDocument/2006/relationships/customXml" Target="../customXml/item3.xml"/><Relationship Id="rId8" Type="http://schemas.openxmlformats.org/officeDocument/2006/relationships/endnotes" Target="endnotes.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Tambahan%20data%20MBS%20WP,%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widuri\Documents\MBS%20ToT\Rekapitulasi%20Evaluasi%20Pelatihan%20oleh%20peserta.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3.jpeg"/></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6285644775687"/>
          <c:y val="5.5313477119707868E-2"/>
          <c:w val="0.8941504811898513"/>
          <c:h val="0.77653296868300314"/>
        </c:manualLayout>
      </c:layout>
      <c:barChart>
        <c:barDir val="col"/>
        <c:grouping val="clustered"/>
        <c:varyColors val="0"/>
        <c:ser>
          <c:idx val="0"/>
          <c:order val="0"/>
          <c:tx>
            <c:strRef>
              <c:f>'hasil sekolah model dan non'!$A$5</c:f>
              <c:strCache>
                <c:ptCount val="1"/>
                <c:pt idx="0">
                  <c:v>Model Schools (n=6)</c:v>
                </c:pt>
              </c:strCache>
            </c:strRef>
          </c:tx>
          <c:invertIfNegative val="0"/>
          <c:cat>
            <c:strRef>
              <c:f>'hasil sekolah model dan non'!$B$4:$E$4</c:f>
              <c:strCache>
                <c:ptCount val="4"/>
                <c:pt idx="0">
                  <c:v>Management</c:v>
                </c:pt>
                <c:pt idx="1">
                  <c:v>Teaching and Learning Processes</c:v>
                </c:pt>
                <c:pt idx="2">
                  <c:v>Community Participation</c:v>
                </c:pt>
                <c:pt idx="3">
                  <c:v>Total</c:v>
                </c:pt>
              </c:strCache>
            </c:strRef>
          </c:cat>
          <c:val>
            <c:numRef>
              <c:f>'hasil sekolah model dan non'!$B$5:$E$5</c:f>
              <c:numCache>
                <c:formatCode>General</c:formatCode>
                <c:ptCount val="4"/>
                <c:pt idx="0">
                  <c:v>2</c:v>
                </c:pt>
                <c:pt idx="1">
                  <c:v>1</c:v>
                </c:pt>
                <c:pt idx="2">
                  <c:v>1.5</c:v>
                </c:pt>
                <c:pt idx="3">
                  <c:v>1.5</c:v>
                </c:pt>
              </c:numCache>
            </c:numRef>
          </c:val>
        </c:ser>
        <c:ser>
          <c:idx val="1"/>
          <c:order val="1"/>
          <c:tx>
            <c:strRef>
              <c:f>'hasil sekolah model dan non'!$A$6</c:f>
              <c:strCache>
                <c:ptCount val="1"/>
                <c:pt idx="0">
                  <c:v>Satellite Schools (n=17)</c:v>
                </c:pt>
              </c:strCache>
            </c:strRef>
          </c:tx>
          <c:invertIfNegative val="0"/>
          <c:cat>
            <c:strRef>
              <c:f>'hasil sekolah model dan non'!$B$4:$E$4</c:f>
              <c:strCache>
                <c:ptCount val="4"/>
                <c:pt idx="0">
                  <c:v>Management</c:v>
                </c:pt>
                <c:pt idx="1">
                  <c:v>Teaching and Learning Processes</c:v>
                </c:pt>
                <c:pt idx="2">
                  <c:v>Community Participation</c:v>
                </c:pt>
                <c:pt idx="3">
                  <c:v>Total</c:v>
                </c:pt>
              </c:strCache>
            </c:strRef>
          </c:cat>
          <c:val>
            <c:numRef>
              <c:f>'hasil sekolah model dan non'!$B$6:$E$6</c:f>
              <c:numCache>
                <c:formatCode>0.0</c:formatCode>
                <c:ptCount val="4"/>
                <c:pt idx="0">
                  <c:v>0.47058823529411897</c:v>
                </c:pt>
                <c:pt idx="1">
                  <c:v>0.35294117647058826</c:v>
                </c:pt>
                <c:pt idx="2">
                  <c:v>0.11764705882352942</c:v>
                </c:pt>
                <c:pt idx="3">
                  <c:v>0.31372549019607848</c:v>
                </c:pt>
              </c:numCache>
            </c:numRef>
          </c:val>
        </c:ser>
        <c:dLbls>
          <c:showLegendKey val="0"/>
          <c:showVal val="0"/>
          <c:showCatName val="0"/>
          <c:showSerName val="0"/>
          <c:showPercent val="0"/>
          <c:showBubbleSize val="0"/>
        </c:dLbls>
        <c:gapWidth val="150"/>
        <c:axId val="88457600"/>
        <c:axId val="88459136"/>
      </c:barChart>
      <c:catAx>
        <c:axId val="88457600"/>
        <c:scaling>
          <c:orientation val="minMax"/>
        </c:scaling>
        <c:delete val="0"/>
        <c:axPos val="b"/>
        <c:majorTickMark val="out"/>
        <c:minorTickMark val="none"/>
        <c:tickLblPos val="nextTo"/>
        <c:crossAx val="88459136"/>
        <c:crosses val="autoZero"/>
        <c:auto val="1"/>
        <c:lblAlgn val="ctr"/>
        <c:lblOffset val="100"/>
        <c:noMultiLvlLbl val="0"/>
      </c:catAx>
      <c:valAx>
        <c:axId val="88459136"/>
        <c:scaling>
          <c:orientation val="minMax"/>
          <c:max val="3"/>
        </c:scaling>
        <c:delete val="0"/>
        <c:axPos val="l"/>
        <c:majorGridlines/>
        <c:numFmt formatCode="General" sourceLinked="1"/>
        <c:majorTickMark val="out"/>
        <c:minorTickMark val="none"/>
        <c:tickLblPos val="nextTo"/>
        <c:crossAx val="88457600"/>
        <c:crosses val="autoZero"/>
        <c:crossBetween val="between"/>
      </c:valAx>
    </c:plotArea>
    <c:legend>
      <c:legendPos val="r"/>
      <c:layout>
        <c:manualLayout>
          <c:xMode val="edge"/>
          <c:yMode val="edge"/>
          <c:x val="8.656799220249059E-2"/>
          <c:y val="4.2084923433650737E-3"/>
          <c:w val="0.90894743860735561"/>
          <c:h val="7.4500978407410712E-2"/>
        </c:manualLayout>
      </c:layout>
      <c:overlay val="0"/>
      <c:spPr>
        <a:solidFill>
          <a:schemeClr val="bg1"/>
        </a:solidFill>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75129346850821"/>
          <c:y val="7.2057915014546448E-2"/>
          <c:w val="0.52071693733086633"/>
          <c:h val="0.61693418850461101"/>
        </c:manualLayout>
      </c:layout>
      <c:lineChart>
        <c:grouping val="standard"/>
        <c:varyColors val="0"/>
        <c:ser>
          <c:idx val="0"/>
          <c:order val="0"/>
          <c:tx>
            <c:strRef>
              <c:f>Sheet3!$B$5</c:f>
              <c:strCache>
                <c:ptCount val="1"/>
                <c:pt idx="0">
                  <c:v>Fasilitator dan Materi Pelatihan</c:v>
                </c:pt>
              </c:strCache>
            </c:strRef>
          </c:tx>
          <c:marker>
            <c:symbol val="none"/>
          </c:marker>
          <c:cat>
            <c:multiLvlStrRef>
              <c:f>Sheet3!$C$3:$F$4</c:f>
              <c:multiLvlStrCache>
                <c:ptCount val="4"/>
                <c:lvl>
                  <c:pt idx="0">
                    <c:v>Hari 1</c:v>
                  </c:pt>
                  <c:pt idx="1">
                    <c:v>Hari 2</c:v>
                  </c:pt>
                  <c:pt idx="2">
                    <c:v>Hari 3</c:v>
                  </c:pt>
                  <c:pt idx="3">
                    <c:v>Hari 4</c:v>
                  </c:pt>
                </c:lvl>
                <c:lvl>
                  <c:pt idx="0">
                    <c:v>Penilaian Peserta</c:v>
                  </c:pt>
                </c:lvl>
              </c:multiLvlStrCache>
            </c:multiLvlStrRef>
          </c:cat>
          <c:val>
            <c:numRef>
              <c:f>Sheet3!$C$5:$F$5</c:f>
              <c:numCache>
                <c:formatCode>0.00</c:formatCode>
                <c:ptCount val="4"/>
                <c:pt idx="0">
                  <c:v>3.21</c:v>
                </c:pt>
                <c:pt idx="1">
                  <c:v>2.9499999999999997</c:v>
                </c:pt>
                <c:pt idx="2">
                  <c:v>3.07</c:v>
                </c:pt>
                <c:pt idx="3">
                  <c:v>3.16</c:v>
                </c:pt>
              </c:numCache>
            </c:numRef>
          </c:val>
          <c:smooth val="0"/>
        </c:ser>
        <c:ser>
          <c:idx val="1"/>
          <c:order val="1"/>
          <c:tx>
            <c:strRef>
              <c:f>Sheet3!$B$6</c:f>
              <c:strCache>
                <c:ptCount val="1"/>
                <c:pt idx="0">
                  <c:v>Tingkat Pemahaman dan Kesiapan Melatih</c:v>
                </c:pt>
              </c:strCache>
            </c:strRef>
          </c:tx>
          <c:marker>
            <c:symbol val="none"/>
          </c:marker>
          <c:cat>
            <c:multiLvlStrRef>
              <c:f>Sheet3!$C$3:$F$4</c:f>
              <c:multiLvlStrCache>
                <c:ptCount val="4"/>
                <c:lvl>
                  <c:pt idx="0">
                    <c:v>Hari 1</c:v>
                  </c:pt>
                  <c:pt idx="1">
                    <c:v>Hari 2</c:v>
                  </c:pt>
                  <c:pt idx="2">
                    <c:v>Hari 3</c:v>
                  </c:pt>
                  <c:pt idx="3">
                    <c:v>Hari 4</c:v>
                  </c:pt>
                </c:lvl>
                <c:lvl>
                  <c:pt idx="0">
                    <c:v>Penilaian Peserta</c:v>
                  </c:pt>
                </c:lvl>
              </c:multiLvlStrCache>
            </c:multiLvlStrRef>
          </c:cat>
          <c:val>
            <c:numRef>
              <c:f>Sheet3!$C$6:$F$6</c:f>
              <c:numCache>
                <c:formatCode>0.00</c:formatCode>
                <c:ptCount val="4"/>
                <c:pt idx="0">
                  <c:v>3.2836879432624237</c:v>
                </c:pt>
                <c:pt idx="1">
                  <c:v>3.1702127659574546</c:v>
                </c:pt>
                <c:pt idx="2">
                  <c:v>3.4751773049645394</c:v>
                </c:pt>
                <c:pt idx="3">
                  <c:v>3.5319148936170213</c:v>
                </c:pt>
              </c:numCache>
            </c:numRef>
          </c:val>
          <c:smooth val="0"/>
        </c:ser>
        <c:dLbls>
          <c:showLegendKey val="0"/>
          <c:showVal val="0"/>
          <c:showCatName val="0"/>
          <c:showSerName val="0"/>
          <c:showPercent val="0"/>
          <c:showBubbleSize val="0"/>
        </c:dLbls>
        <c:marker val="1"/>
        <c:smooth val="0"/>
        <c:axId val="95259648"/>
        <c:axId val="95261440"/>
      </c:lineChart>
      <c:catAx>
        <c:axId val="95259648"/>
        <c:scaling>
          <c:orientation val="minMax"/>
        </c:scaling>
        <c:delete val="0"/>
        <c:axPos val="b"/>
        <c:majorTickMark val="out"/>
        <c:minorTickMark val="none"/>
        <c:tickLblPos val="nextTo"/>
        <c:crossAx val="95261440"/>
        <c:crosses val="autoZero"/>
        <c:auto val="1"/>
        <c:lblAlgn val="ctr"/>
        <c:lblOffset val="100"/>
        <c:noMultiLvlLbl val="0"/>
      </c:catAx>
      <c:valAx>
        <c:axId val="95261440"/>
        <c:scaling>
          <c:orientation val="minMax"/>
        </c:scaling>
        <c:delete val="0"/>
        <c:axPos val="l"/>
        <c:majorGridlines/>
        <c:numFmt formatCode="0.00" sourceLinked="1"/>
        <c:majorTickMark val="out"/>
        <c:minorTickMark val="none"/>
        <c:tickLblPos val="nextTo"/>
        <c:crossAx val="95259648"/>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65499931415862056"/>
          <c:y val="0.12334906132916564"/>
          <c:w val="0.34500068584138338"/>
          <c:h val="0.6541834205453046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a:t>MGT Participant</a:t>
            </a:r>
            <a:r>
              <a:rPr lang="id-ID" sz="1200" baseline="0"/>
              <a:t> Perception</a:t>
            </a:r>
            <a:endParaRPr lang="id-ID" sz="1200"/>
          </a:p>
        </c:rich>
      </c:tx>
      <c:layout>
        <c:manualLayout>
          <c:xMode val="edge"/>
          <c:yMode val="edge"/>
          <c:x val="0.21382745771752923"/>
          <c:y val="0"/>
        </c:manualLayout>
      </c:layout>
      <c:overlay val="0"/>
    </c:title>
    <c:autoTitleDeleted val="0"/>
    <c:plotArea>
      <c:layout>
        <c:manualLayout>
          <c:layoutTarget val="inner"/>
          <c:xMode val="edge"/>
          <c:yMode val="edge"/>
          <c:x val="0.15536124472575921"/>
          <c:y val="0.11968004431971969"/>
          <c:w val="0.68947849384883464"/>
          <c:h val="0.73599705746124477"/>
        </c:manualLayout>
      </c:layout>
      <c:lineChart>
        <c:grouping val="standard"/>
        <c:varyColors val="0"/>
        <c:ser>
          <c:idx val="0"/>
          <c:order val="0"/>
          <c:tx>
            <c:strRef>
              <c:f>Sheet1!$B$1</c:f>
              <c:strCache>
                <c:ptCount val="1"/>
                <c:pt idx="0">
                  <c:v>SC</c:v>
                </c:pt>
              </c:strCache>
            </c:strRef>
          </c:tx>
          <c:marker>
            <c:symbol val="none"/>
          </c:marker>
          <c:cat>
            <c:strRef>
              <c:f>Sheet1!$A$2:$A$6</c:f>
              <c:strCache>
                <c:ptCount val="5"/>
                <c:pt idx="0">
                  <c:v>Day 1</c:v>
                </c:pt>
                <c:pt idx="1">
                  <c:v>Day 2</c:v>
                </c:pt>
                <c:pt idx="2">
                  <c:v>Day 3</c:v>
                </c:pt>
                <c:pt idx="3">
                  <c:v>Day 4</c:v>
                </c:pt>
                <c:pt idx="4">
                  <c:v>Day 5</c:v>
                </c:pt>
              </c:strCache>
            </c:strRef>
          </c:cat>
          <c:val>
            <c:numRef>
              <c:f>Sheet1!$B$2:$B$6</c:f>
              <c:numCache>
                <c:formatCode>General</c:formatCode>
                <c:ptCount val="5"/>
                <c:pt idx="0">
                  <c:v>86</c:v>
                </c:pt>
                <c:pt idx="1">
                  <c:v>88</c:v>
                </c:pt>
                <c:pt idx="2">
                  <c:v>78</c:v>
                </c:pt>
                <c:pt idx="3">
                  <c:v>90</c:v>
                </c:pt>
                <c:pt idx="4">
                  <c:v>94</c:v>
                </c:pt>
              </c:numCache>
            </c:numRef>
          </c:val>
          <c:smooth val="0"/>
        </c:ser>
        <c:ser>
          <c:idx val="1"/>
          <c:order val="1"/>
          <c:tx>
            <c:strRef>
              <c:f>Sheet1!$C$1</c:f>
              <c:strCache>
                <c:ptCount val="1"/>
                <c:pt idx="0">
                  <c:v>TB</c:v>
                </c:pt>
              </c:strCache>
            </c:strRef>
          </c:tx>
          <c:marker>
            <c:symbol val="none"/>
          </c:marker>
          <c:cat>
            <c:strRef>
              <c:f>Sheet1!$A$2:$A$6</c:f>
              <c:strCache>
                <c:ptCount val="5"/>
                <c:pt idx="0">
                  <c:v>Day 1</c:v>
                </c:pt>
                <c:pt idx="1">
                  <c:v>Day 2</c:v>
                </c:pt>
                <c:pt idx="2">
                  <c:v>Day 3</c:v>
                </c:pt>
                <c:pt idx="3">
                  <c:v>Day 4</c:v>
                </c:pt>
                <c:pt idx="4">
                  <c:v>Day 5</c:v>
                </c:pt>
              </c:strCache>
            </c:strRef>
          </c:cat>
          <c:val>
            <c:numRef>
              <c:f>Sheet1!$C$2:$C$6</c:f>
              <c:numCache>
                <c:formatCode>General</c:formatCode>
                <c:ptCount val="5"/>
                <c:pt idx="0">
                  <c:v>80</c:v>
                </c:pt>
                <c:pt idx="1">
                  <c:v>84</c:v>
                </c:pt>
                <c:pt idx="2">
                  <c:v>80</c:v>
                </c:pt>
                <c:pt idx="3">
                  <c:v>92</c:v>
                </c:pt>
                <c:pt idx="4">
                  <c:v>94</c:v>
                </c:pt>
              </c:numCache>
            </c:numRef>
          </c:val>
          <c:smooth val="0"/>
        </c:ser>
        <c:ser>
          <c:idx val="2"/>
          <c:order val="2"/>
          <c:tx>
            <c:strRef>
              <c:f>Sheet1!$D$1</c:f>
              <c:strCache>
                <c:ptCount val="1"/>
                <c:pt idx="0">
                  <c:v>Column1</c:v>
                </c:pt>
              </c:strCache>
            </c:strRef>
          </c:tx>
          <c:marker>
            <c:symbol val="none"/>
          </c:marker>
          <c:cat>
            <c:strRef>
              <c:f>Sheet1!$A$2:$A$6</c:f>
              <c:strCache>
                <c:ptCount val="5"/>
                <c:pt idx="0">
                  <c:v>Day 1</c:v>
                </c:pt>
                <c:pt idx="1">
                  <c:v>Day 2</c:v>
                </c:pt>
                <c:pt idx="2">
                  <c:v>Day 3</c:v>
                </c:pt>
                <c:pt idx="3">
                  <c:v>Day 4</c:v>
                </c:pt>
                <c:pt idx="4">
                  <c:v>Day 5</c:v>
                </c:pt>
              </c:strCache>
            </c:strRef>
          </c:cat>
          <c:val>
            <c:numRef>
              <c:f>Sheet1!$D$2:$D$6</c:f>
              <c:numCache>
                <c:formatCode>General</c:formatCode>
                <c:ptCount val="5"/>
              </c:numCache>
            </c:numRef>
          </c:val>
          <c:smooth val="0"/>
        </c:ser>
        <c:dLbls>
          <c:showLegendKey val="0"/>
          <c:showVal val="0"/>
          <c:showCatName val="0"/>
          <c:showSerName val="0"/>
          <c:showPercent val="0"/>
          <c:showBubbleSize val="0"/>
        </c:dLbls>
        <c:marker val="1"/>
        <c:smooth val="0"/>
        <c:axId val="95283840"/>
        <c:axId val="95355264"/>
      </c:lineChart>
      <c:catAx>
        <c:axId val="95283840"/>
        <c:scaling>
          <c:orientation val="minMax"/>
        </c:scaling>
        <c:delete val="0"/>
        <c:axPos val="b"/>
        <c:majorTickMark val="none"/>
        <c:minorTickMark val="none"/>
        <c:tickLblPos val="nextTo"/>
        <c:crossAx val="95355264"/>
        <c:crosses val="autoZero"/>
        <c:auto val="1"/>
        <c:lblAlgn val="ctr"/>
        <c:lblOffset val="100"/>
        <c:noMultiLvlLbl val="0"/>
      </c:catAx>
      <c:valAx>
        <c:axId val="95355264"/>
        <c:scaling>
          <c:orientation val="minMax"/>
        </c:scaling>
        <c:delete val="0"/>
        <c:axPos val="l"/>
        <c:majorGridlines/>
        <c:title>
          <c:tx>
            <c:rich>
              <a:bodyPr/>
              <a:lstStyle/>
              <a:p>
                <a:pPr>
                  <a:defRPr/>
                </a:pPr>
                <a:r>
                  <a:rPr lang="id-ID"/>
                  <a:t>Average Score</a:t>
                </a:r>
              </a:p>
            </c:rich>
          </c:tx>
          <c:overlay val="0"/>
        </c:title>
        <c:numFmt formatCode="General" sourceLinked="1"/>
        <c:majorTickMark val="none"/>
        <c:minorTickMark val="none"/>
        <c:tickLblPos val="nextTo"/>
        <c:crossAx val="95283840"/>
        <c:crosses val="autoZero"/>
        <c:crossBetween val="between"/>
      </c:valAx>
    </c:plotArea>
    <c:legend>
      <c:legendPos val="r"/>
      <c:legendEntry>
        <c:idx val="2"/>
        <c:delete val="1"/>
      </c:legendEntry>
      <c:layout>
        <c:manualLayout>
          <c:xMode val="edge"/>
          <c:yMode val="edge"/>
          <c:x val="0.75944249335915492"/>
          <c:y val="0.48381380648074446"/>
          <c:w val="0.17810747895630771"/>
          <c:h val="0.19899792130324725"/>
        </c:manualLayout>
      </c:layout>
      <c:overlay val="0"/>
    </c:legend>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a:t>Participant Achievement in MGT Training</a:t>
            </a:r>
          </a:p>
        </c:rich>
      </c:tx>
      <c:layout>
        <c:manualLayout>
          <c:xMode val="edge"/>
          <c:yMode val="edge"/>
          <c:x val="0.16833854703692699"/>
          <c:y val="0"/>
        </c:manualLayout>
      </c:layout>
      <c:overlay val="0"/>
    </c:title>
    <c:autoTitleDeleted val="0"/>
    <c:plotArea>
      <c:layout>
        <c:manualLayout>
          <c:layoutTarget val="inner"/>
          <c:xMode val="edge"/>
          <c:yMode val="edge"/>
          <c:x val="0.17348156297981002"/>
          <c:y val="0.19212751745436488"/>
          <c:w val="0.6320681812583645"/>
          <c:h val="0.69588356747224456"/>
        </c:manualLayout>
      </c:layout>
      <c:lineChart>
        <c:grouping val="standard"/>
        <c:varyColors val="0"/>
        <c:ser>
          <c:idx val="0"/>
          <c:order val="0"/>
          <c:tx>
            <c:strRef>
              <c:f>Sheet1!$B$1</c:f>
              <c:strCache>
                <c:ptCount val="1"/>
                <c:pt idx="0">
                  <c:v>Pre Test</c:v>
                </c:pt>
              </c:strCache>
            </c:strRef>
          </c:tx>
          <c:marker>
            <c:symbol val="none"/>
          </c:marker>
          <c:cat>
            <c:strRef>
              <c:f>Sheet1!$A$2:$A$6</c:f>
              <c:strCache>
                <c:ptCount val="5"/>
                <c:pt idx="0">
                  <c:v>Day 1</c:v>
                </c:pt>
                <c:pt idx="1">
                  <c:v>Day 2</c:v>
                </c:pt>
                <c:pt idx="2">
                  <c:v>Day 3</c:v>
                </c:pt>
                <c:pt idx="3">
                  <c:v>Day 4</c:v>
                </c:pt>
                <c:pt idx="4">
                  <c:v>Day 5</c:v>
                </c:pt>
              </c:strCache>
            </c:strRef>
          </c:cat>
          <c:val>
            <c:numRef>
              <c:f>Sheet1!$B$2:$B$6</c:f>
              <c:numCache>
                <c:formatCode>General</c:formatCode>
                <c:ptCount val="5"/>
                <c:pt idx="0">
                  <c:v>74</c:v>
                </c:pt>
                <c:pt idx="1">
                  <c:v>78</c:v>
                </c:pt>
                <c:pt idx="2">
                  <c:v>76</c:v>
                </c:pt>
                <c:pt idx="3">
                  <c:v>80</c:v>
                </c:pt>
                <c:pt idx="4">
                  <c:v>78</c:v>
                </c:pt>
              </c:numCache>
            </c:numRef>
          </c:val>
          <c:smooth val="0"/>
        </c:ser>
        <c:ser>
          <c:idx val="1"/>
          <c:order val="1"/>
          <c:tx>
            <c:strRef>
              <c:f>Sheet1!$C$1</c:f>
              <c:strCache>
                <c:ptCount val="1"/>
                <c:pt idx="0">
                  <c:v>Post Test</c:v>
                </c:pt>
              </c:strCache>
            </c:strRef>
          </c:tx>
          <c:marker>
            <c:symbol val="none"/>
          </c:marker>
          <c:cat>
            <c:strRef>
              <c:f>Sheet1!$A$2:$A$6</c:f>
              <c:strCache>
                <c:ptCount val="5"/>
                <c:pt idx="0">
                  <c:v>Day 1</c:v>
                </c:pt>
                <c:pt idx="1">
                  <c:v>Day 2</c:v>
                </c:pt>
                <c:pt idx="2">
                  <c:v>Day 3</c:v>
                </c:pt>
                <c:pt idx="3">
                  <c:v>Day 4</c:v>
                </c:pt>
                <c:pt idx="4">
                  <c:v>Day 5</c:v>
                </c:pt>
              </c:strCache>
            </c:strRef>
          </c:cat>
          <c:val>
            <c:numRef>
              <c:f>Sheet1!$C$2:$C$6</c:f>
              <c:numCache>
                <c:formatCode>General</c:formatCode>
                <c:ptCount val="5"/>
                <c:pt idx="0">
                  <c:v>76</c:v>
                </c:pt>
                <c:pt idx="1">
                  <c:v>72</c:v>
                </c:pt>
                <c:pt idx="2">
                  <c:v>80</c:v>
                </c:pt>
                <c:pt idx="3">
                  <c:v>92</c:v>
                </c:pt>
                <c:pt idx="4">
                  <c:v>94</c:v>
                </c:pt>
              </c:numCache>
            </c:numRef>
          </c:val>
          <c:smooth val="0"/>
        </c:ser>
        <c:ser>
          <c:idx val="2"/>
          <c:order val="2"/>
          <c:tx>
            <c:strRef>
              <c:f>Sheet1!$D$1</c:f>
              <c:strCache>
                <c:ptCount val="1"/>
                <c:pt idx="0">
                  <c:v>Column1</c:v>
                </c:pt>
              </c:strCache>
            </c:strRef>
          </c:tx>
          <c:marker>
            <c:symbol val="none"/>
          </c:marker>
          <c:cat>
            <c:strRef>
              <c:f>Sheet1!$A$2:$A$6</c:f>
              <c:strCache>
                <c:ptCount val="5"/>
                <c:pt idx="0">
                  <c:v>Day 1</c:v>
                </c:pt>
                <c:pt idx="1">
                  <c:v>Day 2</c:v>
                </c:pt>
                <c:pt idx="2">
                  <c:v>Day 3</c:v>
                </c:pt>
                <c:pt idx="3">
                  <c:v>Day 4</c:v>
                </c:pt>
                <c:pt idx="4">
                  <c:v>Day 5</c:v>
                </c:pt>
              </c:strCache>
            </c:strRef>
          </c:cat>
          <c:val>
            <c:numRef>
              <c:f>Sheet1!$D$2:$D$6</c:f>
              <c:numCache>
                <c:formatCode>General</c:formatCode>
                <c:ptCount val="5"/>
              </c:numCache>
            </c:numRef>
          </c:val>
          <c:smooth val="0"/>
        </c:ser>
        <c:dLbls>
          <c:showLegendKey val="0"/>
          <c:showVal val="0"/>
          <c:showCatName val="0"/>
          <c:showSerName val="0"/>
          <c:showPercent val="0"/>
          <c:showBubbleSize val="0"/>
        </c:dLbls>
        <c:marker val="1"/>
        <c:smooth val="0"/>
        <c:axId val="95398528"/>
        <c:axId val="95400320"/>
      </c:lineChart>
      <c:catAx>
        <c:axId val="95398528"/>
        <c:scaling>
          <c:orientation val="minMax"/>
        </c:scaling>
        <c:delete val="0"/>
        <c:axPos val="b"/>
        <c:majorTickMark val="none"/>
        <c:minorTickMark val="none"/>
        <c:tickLblPos val="nextTo"/>
        <c:crossAx val="95400320"/>
        <c:crosses val="autoZero"/>
        <c:auto val="1"/>
        <c:lblAlgn val="ctr"/>
        <c:lblOffset val="100"/>
        <c:noMultiLvlLbl val="0"/>
      </c:catAx>
      <c:valAx>
        <c:axId val="95400320"/>
        <c:scaling>
          <c:orientation val="minMax"/>
        </c:scaling>
        <c:delete val="0"/>
        <c:axPos val="l"/>
        <c:majorGridlines/>
        <c:title>
          <c:tx>
            <c:rich>
              <a:bodyPr/>
              <a:lstStyle/>
              <a:p>
                <a:pPr>
                  <a:defRPr/>
                </a:pPr>
                <a:r>
                  <a:rPr lang="id-ID"/>
                  <a:t>Average Score</a:t>
                </a:r>
              </a:p>
            </c:rich>
          </c:tx>
          <c:overlay val="0"/>
        </c:title>
        <c:numFmt formatCode="General" sourceLinked="1"/>
        <c:majorTickMark val="none"/>
        <c:minorTickMark val="none"/>
        <c:tickLblPos val="nextTo"/>
        <c:crossAx val="95398528"/>
        <c:crosses val="autoZero"/>
        <c:crossBetween val="between"/>
      </c:valAx>
    </c:plotArea>
    <c:legend>
      <c:legendPos val="r"/>
      <c:legendEntry>
        <c:idx val="2"/>
        <c:delete val="1"/>
      </c:legendEntry>
      <c:layout>
        <c:manualLayout>
          <c:xMode val="edge"/>
          <c:yMode val="edge"/>
          <c:x val="0.72354406257305348"/>
          <c:y val="0.41144704044820579"/>
          <c:w val="0.21033455499604292"/>
          <c:h val="0.32485801045324647"/>
        </c:manualLayout>
      </c:layout>
      <c:overlay val="0"/>
    </c:legend>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Understanding Concept</a:t>
            </a:r>
          </a:p>
        </c:rich>
      </c:tx>
      <c:layout>
        <c:manualLayout>
          <c:xMode val="edge"/>
          <c:yMode val="edge"/>
          <c:x val="0.23762007239630586"/>
          <c:y val="4.2037715177447414E-3"/>
        </c:manualLayout>
      </c:layout>
      <c:overlay val="0"/>
    </c:title>
    <c:autoTitleDeleted val="0"/>
    <c:plotArea>
      <c:layout>
        <c:manualLayout>
          <c:layoutTarget val="inner"/>
          <c:xMode val="edge"/>
          <c:yMode val="edge"/>
          <c:x val="0.1411824285400449"/>
          <c:y val="0.15667933352820856"/>
          <c:w val="0.61990143584993063"/>
          <c:h val="0.70260710249570335"/>
        </c:manualLayout>
      </c:layout>
      <c:barChart>
        <c:barDir val="col"/>
        <c:grouping val="clustered"/>
        <c:varyColors val="0"/>
        <c:ser>
          <c:idx val="0"/>
          <c:order val="0"/>
          <c:tx>
            <c:strRef>
              <c:f>Sheet1!$B$1</c:f>
              <c:strCache>
                <c:ptCount val="1"/>
                <c:pt idx="0">
                  <c:v>PRE TEST</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Sheet1!$A$2:$A$5</c:f>
              <c:strCache>
                <c:ptCount val="3"/>
                <c:pt idx="0">
                  <c:v>MBS</c:v>
                </c:pt>
                <c:pt idx="1">
                  <c:v>EGT</c:v>
                </c:pt>
                <c:pt idx="2">
                  <c:v>MGT</c:v>
                </c:pt>
              </c:strCache>
            </c:strRef>
          </c:cat>
          <c:val>
            <c:numRef>
              <c:f>Sheet1!$B$2:$B$5</c:f>
              <c:numCache>
                <c:formatCode>General</c:formatCode>
                <c:ptCount val="4"/>
                <c:pt idx="0">
                  <c:v>42</c:v>
                </c:pt>
                <c:pt idx="1">
                  <c:v>15</c:v>
                </c:pt>
                <c:pt idx="2">
                  <c:v>8</c:v>
                </c:pt>
              </c:numCache>
            </c:numRef>
          </c:val>
        </c:ser>
        <c:ser>
          <c:idx val="1"/>
          <c:order val="1"/>
          <c:tx>
            <c:strRef>
              <c:f>Sheet1!$C$1</c:f>
              <c:strCache>
                <c:ptCount val="1"/>
                <c:pt idx="0">
                  <c:v>POST TEST</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Sheet1!$A$2:$A$5</c:f>
              <c:strCache>
                <c:ptCount val="3"/>
                <c:pt idx="0">
                  <c:v>MBS</c:v>
                </c:pt>
                <c:pt idx="1">
                  <c:v>EGT</c:v>
                </c:pt>
                <c:pt idx="2">
                  <c:v>MGT</c:v>
                </c:pt>
              </c:strCache>
            </c:strRef>
          </c:cat>
          <c:val>
            <c:numRef>
              <c:f>Sheet1!$C$2:$C$5</c:f>
              <c:numCache>
                <c:formatCode>General</c:formatCode>
                <c:ptCount val="4"/>
                <c:pt idx="0">
                  <c:v>86</c:v>
                </c:pt>
                <c:pt idx="1">
                  <c:v>76</c:v>
                </c:pt>
                <c:pt idx="2">
                  <c:v>70</c:v>
                </c:pt>
              </c:numCache>
            </c:numRef>
          </c:val>
        </c:ser>
        <c:ser>
          <c:idx val="2"/>
          <c:order val="2"/>
          <c:tx>
            <c:strRef>
              <c:f>Sheet1!$D$1</c:f>
              <c:strCache>
                <c:ptCount val="1"/>
                <c:pt idx="0">
                  <c:v>Column1</c:v>
                </c:pt>
              </c:strCache>
            </c:strRef>
          </c:tx>
          <c:spPr>
            <a:blipFill>
              <a:blip xmlns:r="http://schemas.openxmlformats.org/officeDocument/2006/relationships" r:embed="rId1"/>
              <a:tile tx="0" ty="0" sx="100000" sy="100000" flip="none" algn="tl"/>
            </a:blipFill>
          </c:spPr>
          <c:invertIfNegative val="0"/>
          <c:cat>
            <c:strRef>
              <c:f>Sheet1!$A$2:$A$5</c:f>
              <c:strCache>
                <c:ptCount val="3"/>
                <c:pt idx="0">
                  <c:v>MBS</c:v>
                </c:pt>
                <c:pt idx="1">
                  <c:v>EGT</c:v>
                </c:pt>
                <c:pt idx="2">
                  <c:v>MGT</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96656768"/>
        <c:axId val="96662656"/>
      </c:barChart>
      <c:catAx>
        <c:axId val="96656768"/>
        <c:scaling>
          <c:orientation val="minMax"/>
        </c:scaling>
        <c:delete val="0"/>
        <c:axPos val="b"/>
        <c:majorTickMark val="none"/>
        <c:minorTickMark val="none"/>
        <c:tickLblPos val="nextTo"/>
        <c:crossAx val="96662656"/>
        <c:crosses val="autoZero"/>
        <c:auto val="1"/>
        <c:lblAlgn val="ctr"/>
        <c:lblOffset val="100"/>
        <c:noMultiLvlLbl val="0"/>
      </c:catAx>
      <c:valAx>
        <c:axId val="96662656"/>
        <c:scaling>
          <c:orientation val="minMax"/>
        </c:scaling>
        <c:delete val="0"/>
        <c:axPos val="l"/>
        <c:majorGridlines/>
        <c:numFmt formatCode="General" sourceLinked="1"/>
        <c:majorTickMark val="none"/>
        <c:minorTickMark val="none"/>
        <c:tickLblPos val="nextTo"/>
        <c:crossAx val="96656768"/>
        <c:crosses val="autoZero"/>
        <c:crossBetween val="between"/>
      </c:valAx>
    </c:plotArea>
    <c:legend>
      <c:legendPos val="r"/>
      <c:legendEntry>
        <c:idx val="2"/>
        <c:delete val="1"/>
      </c:legendEntry>
      <c:layout>
        <c:manualLayout>
          <c:xMode val="edge"/>
          <c:yMode val="edge"/>
          <c:x val="0.75156493754512765"/>
          <c:y val="0.27877099986880616"/>
          <c:w val="0.22022487977478639"/>
          <c:h val="0.43360755258280731"/>
        </c:manualLayout>
      </c:layout>
      <c:overlay val="0"/>
    </c:legend>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Willingness to Mainstream</a:t>
            </a:r>
          </a:p>
          <a:p>
            <a:pPr>
              <a:defRPr/>
            </a:pPr>
            <a:r>
              <a:rPr lang="en-US" sz="1100"/>
              <a:t>MBS, EGT &amp;MGT</a:t>
            </a:r>
          </a:p>
        </c:rich>
      </c:tx>
      <c:layout>
        <c:manualLayout>
          <c:xMode val="edge"/>
          <c:yMode val="edge"/>
          <c:x val="0.17598434825140682"/>
          <c:y val="0"/>
        </c:manualLayout>
      </c:layout>
      <c:overlay val="0"/>
    </c:title>
    <c:autoTitleDeleted val="0"/>
    <c:plotArea>
      <c:layout>
        <c:manualLayout>
          <c:layoutTarget val="inner"/>
          <c:xMode val="edge"/>
          <c:yMode val="edge"/>
          <c:x val="0.24700450075782837"/>
          <c:y val="0.1678213368247142"/>
          <c:w val="0.67493967876172656"/>
          <c:h val="0.69765268596439767"/>
        </c:manualLayout>
      </c:layout>
      <c:barChart>
        <c:barDir val="col"/>
        <c:grouping val="clustered"/>
        <c:varyColors val="0"/>
        <c:ser>
          <c:idx val="0"/>
          <c:order val="0"/>
          <c:tx>
            <c:strRef>
              <c:f>Sheet1!$B$1</c:f>
              <c:strCache>
                <c:ptCount val="1"/>
                <c:pt idx="0">
                  <c:v>EARLY</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Sheet1!$A$2:$A$5</c:f>
              <c:strCache>
                <c:ptCount val="3"/>
                <c:pt idx="0">
                  <c:v>MBS</c:v>
                </c:pt>
                <c:pt idx="1">
                  <c:v>EGT</c:v>
                </c:pt>
                <c:pt idx="2">
                  <c:v>MGT</c:v>
                </c:pt>
              </c:strCache>
            </c:strRef>
          </c:cat>
          <c:val>
            <c:numRef>
              <c:f>Sheet1!$B$2:$B$5</c:f>
              <c:numCache>
                <c:formatCode>General</c:formatCode>
                <c:ptCount val="4"/>
                <c:pt idx="0">
                  <c:v>30</c:v>
                </c:pt>
                <c:pt idx="1">
                  <c:v>15</c:v>
                </c:pt>
                <c:pt idx="2">
                  <c:v>3</c:v>
                </c:pt>
              </c:numCache>
            </c:numRef>
          </c:val>
        </c:ser>
        <c:ser>
          <c:idx val="1"/>
          <c:order val="1"/>
          <c:tx>
            <c:strRef>
              <c:f>Sheet1!$C$1</c:f>
              <c:strCache>
                <c:ptCount val="1"/>
                <c:pt idx="0">
                  <c:v>FINAL</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Sheet1!$A$2:$A$5</c:f>
              <c:strCache>
                <c:ptCount val="3"/>
                <c:pt idx="0">
                  <c:v>MBS</c:v>
                </c:pt>
                <c:pt idx="1">
                  <c:v>EGT</c:v>
                </c:pt>
                <c:pt idx="2">
                  <c:v>MGT</c:v>
                </c:pt>
              </c:strCache>
            </c:strRef>
          </c:cat>
          <c:val>
            <c:numRef>
              <c:f>Sheet1!$C$2:$C$5</c:f>
              <c:numCache>
                <c:formatCode>General</c:formatCode>
                <c:ptCount val="4"/>
                <c:pt idx="0">
                  <c:v>100</c:v>
                </c:pt>
                <c:pt idx="1">
                  <c:v>100</c:v>
                </c:pt>
                <c:pt idx="2">
                  <c:v>100</c:v>
                </c:pt>
              </c:numCache>
            </c:numRef>
          </c:val>
        </c:ser>
        <c:ser>
          <c:idx val="2"/>
          <c:order val="2"/>
          <c:tx>
            <c:strRef>
              <c:f>Sheet1!$D$1</c:f>
              <c:strCache>
                <c:ptCount val="1"/>
                <c:pt idx="0">
                  <c:v>Column1</c:v>
                </c:pt>
              </c:strCache>
            </c:strRef>
          </c:tx>
          <c:invertIfNegative val="0"/>
          <c:cat>
            <c:strRef>
              <c:f>Sheet1!$A$2:$A$5</c:f>
              <c:strCache>
                <c:ptCount val="3"/>
                <c:pt idx="0">
                  <c:v>MBS</c:v>
                </c:pt>
                <c:pt idx="1">
                  <c:v>EGT</c:v>
                </c:pt>
                <c:pt idx="2">
                  <c:v>MGT</c:v>
                </c:pt>
              </c:strCache>
            </c:strRef>
          </c:cat>
          <c:val>
            <c:numRef>
              <c:f>Sheet1!$D$2:$D$5</c:f>
              <c:numCache>
                <c:formatCode>General</c:formatCode>
                <c:ptCount val="4"/>
              </c:numCache>
            </c:numRef>
          </c:val>
        </c:ser>
        <c:dLbls>
          <c:showLegendKey val="0"/>
          <c:showVal val="0"/>
          <c:showCatName val="0"/>
          <c:showSerName val="0"/>
          <c:showPercent val="0"/>
          <c:showBubbleSize val="0"/>
        </c:dLbls>
        <c:gapWidth val="0"/>
        <c:axId val="96780288"/>
        <c:axId val="96781824"/>
      </c:barChart>
      <c:catAx>
        <c:axId val="96780288"/>
        <c:scaling>
          <c:orientation val="minMax"/>
        </c:scaling>
        <c:delete val="0"/>
        <c:axPos val="b"/>
        <c:majorTickMark val="none"/>
        <c:minorTickMark val="none"/>
        <c:tickLblPos val="nextTo"/>
        <c:crossAx val="96781824"/>
        <c:crosses val="autoZero"/>
        <c:auto val="1"/>
        <c:lblAlgn val="ctr"/>
        <c:lblOffset val="100"/>
        <c:noMultiLvlLbl val="0"/>
      </c:catAx>
      <c:valAx>
        <c:axId val="96781824"/>
        <c:scaling>
          <c:orientation val="minMax"/>
        </c:scaling>
        <c:delete val="0"/>
        <c:axPos val="l"/>
        <c:title>
          <c:tx>
            <c:rich>
              <a:bodyPr/>
              <a:lstStyle/>
              <a:p>
                <a:pPr>
                  <a:defRPr/>
                </a:pPr>
                <a:r>
                  <a:rPr lang="en-US"/>
                  <a:t>Percentage</a:t>
                </a:r>
              </a:p>
            </c:rich>
          </c:tx>
          <c:overlay val="0"/>
        </c:title>
        <c:numFmt formatCode="General" sourceLinked="1"/>
        <c:majorTickMark val="out"/>
        <c:minorTickMark val="none"/>
        <c:tickLblPos val="nextTo"/>
        <c:crossAx val="96780288"/>
        <c:crosses val="autoZero"/>
        <c:crossBetween val="between"/>
      </c:valAx>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FB59F-F74F-45AB-8131-6178E1BA4FE5}"/>
</file>

<file path=customXml/itemProps2.xml><?xml version="1.0" encoding="utf-8"?>
<ds:datastoreItem xmlns:ds="http://schemas.openxmlformats.org/officeDocument/2006/customXml" ds:itemID="{B890ED04-3065-4510-BF78-46D3B0AB3C37}"/>
</file>

<file path=customXml/itemProps3.xml><?xml version="1.0" encoding="utf-8"?>
<ds:datastoreItem xmlns:ds="http://schemas.openxmlformats.org/officeDocument/2006/customXml" ds:itemID="{8F0B5808-50B5-48C7-96E7-7DA6886EF67E}"/>
</file>

<file path=customXml/itemProps4.xml><?xml version="1.0" encoding="utf-8"?>
<ds:datastoreItem xmlns:ds="http://schemas.openxmlformats.org/officeDocument/2006/customXml" ds:itemID="{7CC0DA12-7DDF-464E-8ABB-15792C129AF1}"/>
</file>

<file path=docProps/app.xml><?xml version="1.0" encoding="utf-8"?>
<Properties xmlns="http://schemas.openxmlformats.org/officeDocument/2006/extended-properties" xmlns:vt="http://schemas.openxmlformats.org/officeDocument/2006/docPropsVTypes">
  <Template>Normal.dotm</Template>
  <TotalTime>0</TotalTime>
  <Pages>90</Pages>
  <Words>28791</Words>
  <Characters>164111</Characters>
  <Application>Microsoft Office Word</Application>
  <DocSecurity>0</DocSecurity>
  <Lines>1367</Lines>
  <Paragraphs>385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2013-05-27T23:53:00Z</dcterms:created>
  <dcterms:modified xsi:type="dcterms:W3CDTF">2013-05-27T23:53:00Z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