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F6CE3" w14:textId="77777777" w:rsidR="000364A2" w:rsidRDefault="000364A2" w:rsidP="00D37B04">
      <w:pPr>
        <w:pStyle w:val="Title"/>
      </w:pPr>
    </w:p>
    <w:p w14:paraId="5CA13D5E" w14:textId="77777777" w:rsidR="000364A2" w:rsidRDefault="000364A2" w:rsidP="00D37B04">
      <w:pPr>
        <w:pStyle w:val="Title"/>
      </w:pPr>
    </w:p>
    <w:p w14:paraId="30BC378F" w14:textId="77777777" w:rsidR="000364A2" w:rsidRDefault="000364A2" w:rsidP="00D37B04">
      <w:pPr>
        <w:pStyle w:val="Title"/>
      </w:pPr>
    </w:p>
    <w:p w14:paraId="3FAC3ED1" w14:textId="77777777" w:rsidR="00992C76" w:rsidRDefault="001D76D7" w:rsidP="00D37B04">
      <w:pPr>
        <w:pStyle w:val="Title"/>
      </w:pPr>
      <w:r>
        <w:t xml:space="preserve">australia and timor-leste </w:t>
      </w:r>
      <w:r w:rsidR="00F82287">
        <w:t>MARITIME BOUNDARIES</w:t>
      </w:r>
      <w:r w:rsidR="00D37B04">
        <w:t xml:space="preserve"> </w:t>
      </w:r>
    </w:p>
    <w:p w14:paraId="4DF2B7E9" w14:textId="77777777" w:rsidR="00CD0E4B" w:rsidRDefault="001D76D7" w:rsidP="00D37B04">
      <w:pPr>
        <w:pStyle w:val="Subtitle"/>
      </w:pPr>
      <w:r>
        <w:t xml:space="preserve">Rules-based </w:t>
      </w:r>
      <w:r w:rsidR="006A1CCD">
        <w:t>order in action</w:t>
      </w:r>
    </w:p>
    <w:p w14:paraId="256C1DCD" w14:textId="6FF8A3D2" w:rsidR="00872AA6" w:rsidRDefault="00F82287" w:rsidP="00DF3127">
      <w:pPr>
        <w:pStyle w:val="IntroPara"/>
      </w:pPr>
      <w:r>
        <w:t>On 6 March 2018, Australia’s Minister for Foreign Affairs, the Hon Julie Bishop MP, and Timor-Leste’</w:t>
      </w:r>
      <w:r w:rsidR="000C4CC4">
        <w:t>s</w:t>
      </w:r>
      <w:r w:rsidR="00F54D87">
        <w:t xml:space="preserve"> </w:t>
      </w:r>
      <w:r w:rsidR="00F54D87" w:rsidRPr="00F54D87">
        <w:t>Minister in the Office of the Prime Minister for the Delimitation of Borders and the Agent in the Conciliation</w:t>
      </w:r>
      <w:r w:rsidR="000C4CC4">
        <w:t xml:space="preserve">, His Excellency Mr </w:t>
      </w:r>
      <w:proofErr w:type="spellStart"/>
      <w:r w:rsidR="000C4CC4">
        <w:t>Hermenegildo</w:t>
      </w:r>
      <w:proofErr w:type="spellEnd"/>
      <w:r w:rsidR="000C4CC4">
        <w:t xml:space="preserve"> Pereira, signed the Treaty </w:t>
      </w:r>
      <w:proofErr w:type="gramStart"/>
      <w:r w:rsidR="000C4CC4">
        <w:t>Between</w:t>
      </w:r>
      <w:proofErr w:type="gramEnd"/>
      <w:r w:rsidR="000C4CC4">
        <w:t xml:space="preserve"> Australia and the Democratic Republic of Timor-Leste Establishing Their Maritime Boundaries in the Timor Sea. </w:t>
      </w:r>
    </w:p>
    <w:p w14:paraId="3FC009A1" w14:textId="5E07FA59" w:rsidR="000C4CC4" w:rsidRDefault="000C4CC4" w:rsidP="009838B0">
      <w:r>
        <w:t xml:space="preserve">This </w:t>
      </w:r>
      <w:r w:rsidR="00DF3127">
        <w:t xml:space="preserve">occasion </w:t>
      </w:r>
      <w:r>
        <w:t>mar</w:t>
      </w:r>
      <w:r w:rsidR="004A1882">
        <w:t>ks a new chapter i</w:t>
      </w:r>
      <w:r w:rsidR="00DF3127">
        <w:t>n the</w:t>
      </w:r>
      <w:r>
        <w:t xml:space="preserve"> longstanding and deep ties</w:t>
      </w:r>
      <w:r w:rsidR="00DF3127">
        <w:t xml:space="preserve"> between Australia and Timor-Leste. The T</w:t>
      </w:r>
      <w:r>
        <w:t xml:space="preserve">reaty is also milestone </w:t>
      </w:r>
      <w:r w:rsidR="00B47EBB">
        <w:t xml:space="preserve">as it was reached through </w:t>
      </w:r>
      <w:r>
        <w:t>the first conci</w:t>
      </w:r>
      <w:r w:rsidR="00B47EBB">
        <w:t xml:space="preserve">liation </w:t>
      </w:r>
      <w:r w:rsidR="00F0788E">
        <w:t xml:space="preserve">conducted under </w:t>
      </w:r>
      <w:r>
        <w:t xml:space="preserve">the United Nations Convention on the Law of the Sea (UNCLOS). </w:t>
      </w:r>
      <w:r w:rsidR="006A1CCD">
        <w:t>As Australia identified in its 2017 Foreign Policy White Paper, t</w:t>
      </w:r>
      <w:r w:rsidR="002170A5">
        <w:t>he T</w:t>
      </w:r>
      <w:r w:rsidR="001D76D7">
        <w:t>reaty</w:t>
      </w:r>
      <w:r w:rsidR="006A1CCD">
        <w:t xml:space="preserve"> is a testament to the way in which international law reinforces stability and allows countries to resolve disputes peacefully. It is an example of the rules-based order in action.</w:t>
      </w:r>
    </w:p>
    <w:p w14:paraId="731C1726" w14:textId="14B0811C" w:rsidR="00FC6A1C" w:rsidRDefault="00FC6A1C" w:rsidP="009838B0">
      <w:r>
        <w:t>As Australia’s Minister for Foreign Affairs, the Hon Julie Bishop, announced after signing the treaty:</w:t>
      </w:r>
    </w:p>
    <w:p w14:paraId="16AB2874" w14:textId="7D10F5EE" w:rsidR="003A71B5" w:rsidRDefault="00FC6A1C" w:rsidP="00FC6A1C">
      <w:pPr>
        <w:ind w:left="720"/>
        <w:rPr>
          <w:i/>
        </w:rPr>
      </w:pPr>
      <w:r w:rsidRPr="006F5BB5">
        <w:rPr>
          <w:i/>
        </w:rPr>
        <w:t>This is an historic day for both our nations. We recognise that it is a particularly important day for Timor-Leste and another step forward in Timor</w:t>
      </w:r>
      <w:r w:rsidR="003A71B5">
        <w:rPr>
          <w:i/>
        </w:rPr>
        <w:t>-Leste</w:t>
      </w:r>
      <w:r w:rsidRPr="006F5BB5">
        <w:rPr>
          <w:i/>
        </w:rPr>
        <w:t>’s journey as a sovereign nation</w:t>
      </w:r>
      <w:r w:rsidR="003A71B5">
        <w:rPr>
          <w:i/>
        </w:rPr>
        <w:t xml:space="preserve">. </w:t>
      </w:r>
      <w:r w:rsidRPr="006F5BB5">
        <w:rPr>
          <w:i/>
        </w:rPr>
        <w:t xml:space="preserve">By signing this Treaty, both governments have judged it has delivered a fair and equitable outcome. </w:t>
      </w:r>
    </w:p>
    <w:p w14:paraId="5FA27166" w14:textId="0EB795A3" w:rsidR="00FC6A1C" w:rsidRPr="006F5BB5" w:rsidRDefault="00FC6A1C" w:rsidP="00FC6A1C">
      <w:pPr>
        <w:ind w:left="720"/>
        <w:rPr>
          <w:i/>
        </w:rPr>
      </w:pPr>
      <w:r w:rsidRPr="006F5BB5">
        <w:rPr>
          <w:i/>
        </w:rPr>
        <w:t>Our treaty reflects the value and importance of those rules and institutions, and the benefits for states in abiding by those rules. In particular, our treaty reflects the importance of the United Nations Convention on the Law of the Sea – UNCLOS.</w:t>
      </w:r>
    </w:p>
    <w:p w14:paraId="6C575ECD" w14:textId="77777777" w:rsidR="001259B2" w:rsidRDefault="00FC6A1C" w:rsidP="009838B0">
      <w:r>
        <w:t xml:space="preserve">Timor-Leste’s </w:t>
      </w:r>
      <w:r w:rsidRPr="00F54D87">
        <w:t>Minister in the Office of the Prime Minister for the Delimitation of Borders and the Agent in the Conciliation</w:t>
      </w:r>
      <w:r>
        <w:t xml:space="preserve">, His Excellency Mr </w:t>
      </w:r>
      <w:proofErr w:type="spellStart"/>
      <w:r>
        <w:t>Hermenegildo</w:t>
      </w:r>
      <w:proofErr w:type="spellEnd"/>
      <w:r>
        <w:t xml:space="preserve"> Pereira</w:t>
      </w:r>
      <w:r w:rsidR="006F5BB5">
        <w:t>, said</w:t>
      </w:r>
      <w:r w:rsidR="001259B2">
        <w:t>:</w:t>
      </w:r>
    </w:p>
    <w:p w14:paraId="1871C49B" w14:textId="05F963F3" w:rsidR="00FC6A1C" w:rsidRPr="008560D3" w:rsidRDefault="00247C22" w:rsidP="00247C22">
      <w:pPr>
        <w:ind w:firstLine="720"/>
        <w:rPr>
          <w:i/>
        </w:rPr>
      </w:pPr>
      <w:r w:rsidRPr="008560D3">
        <w:rPr>
          <w:i/>
        </w:rPr>
        <w:t>T</w:t>
      </w:r>
      <w:r w:rsidR="006F5BB5" w:rsidRPr="008560D3">
        <w:rPr>
          <w:i/>
        </w:rPr>
        <w:t>he treaty we have signed is a good treaty, it is equitable and forward-leaning.</w:t>
      </w:r>
    </w:p>
    <w:p w14:paraId="4B7C0DC9" w14:textId="46424173" w:rsidR="00247C22" w:rsidRPr="008560D3" w:rsidRDefault="00247C22" w:rsidP="00247C22">
      <w:pPr>
        <w:ind w:left="720"/>
        <w:rPr>
          <w:i/>
        </w:rPr>
      </w:pPr>
      <w:r w:rsidRPr="008560D3">
        <w:rPr>
          <w:i/>
        </w:rPr>
        <w:t>Appreciate that where we have arrived is owing to the tremendous leadership of both countries and the immense efforts of the Conciliation Commission.</w:t>
      </w:r>
    </w:p>
    <w:p w14:paraId="66FDDD93" w14:textId="434EFBE3" w:rsidR="00247C22" w:rsidRPr="008560D3" w:rsidRDefault="00247C22" w:rsidP="00247C22">
      <w:pPr>
        <w:ind w:left="720"/>
        <w:rPr>
          <w:i/>
        </w:rPr>
      </w:pPr>
      <w:r w:rsidRPr="008560D3">
        <w:rPr>
          <w:i/>
        </w:rPr>
        <w:t>This is an important new beginning, I look forward to both our two countries working together to advance the prosperity of our peoples, nations and region.</w:t>
      </w:r>
    </w:p>
    <w:p w14:paraId="252A31F7" w14:textId="36E2D509" w:rsidR="00E12171" w:rsidRDefault="00E12171" w:rsidP="009838B0">
      <w:pPr>
        <w:rPr>
          <w:lang w:val="en-US"/>
        </w:rPr>
      </w:pPr>
      <w:r>
        <w:rPr>
          <w:lang w:val="en-US"/>
        </w:rPr>
        <w:t xml:space="preserve">Timor-Leste's Chief Negotiator Kay </w:t>
      </w:r>
      <w:proofErr w:type="spellStart"/>
      <w:r>
        <w:rPr>
          <w:lang w:val="en-US"/>
        </w:rPr>
        <w:t>Rala</w:t>
      </w:r>
      <w:proofErr w:type="spellEnd"/>
      <w:r>
        <w:rPr>
          <w:lang w:val="en-US"/>
        </w:rPr>
        <w:t xml:space="preserve"> </w:t>
      </w:r>
      <w:proofErr w:type="spellStart"/>
      <w:r>
        <w:rPr>
          <w:lang w:val="en-US"/>
        </w:rPr>
        <w:t>Xanana</w:t>
      </w:r>
      <w:proofErr w:type="spellEnd"/>
      <w:r>
        <w:rPr>
          <w:lang w:val="en-US"/>
        </w:rPr>
        <w:t xml:space="preserve"> </w:t>
      </w:r>
      <w:proofErr w:type="spellStart"/>
      <w:r w:rsidR="005E6BD6" w:rsidRPr="005E6BD6">
        <w:rPr>
          <w:lang w:val="en-US"/>
        </w:rPr>
        <w:t>Gusmão</w:t>
      </w:r>
      <w:proofErr w:type="spellEnd"/>
      <w:r w:rsidR="005E6BD6" w:rsidRPr="005E6BD6">
        <w:rPr>
          <w:lang w:val="en-US"/>
        </w:rPr>
        <w:t xml:space="preserve"> </w:t>
      </w:r>
      <w:r>
        <w:rPr>
          <w:lang w:val="en-US"/>
        </w:rPr>
        <w:t xml:space="preserve">said: </w:t>
      </w:r>
    </w:p>
    <w:p w14:paraId="20324D96" w14:textId="17D69732" w:rsidR="00E12171" w:rsidRPr="00E12171" w:rsidRDefault="00E12171" w:rsidP="00E12171">
      <w:pPr>
        <w:ind w:left="720"/>
        <w:rPr>
          <w:i/>
        </w:rPr>
      </w:pPr>
      <w:r w:rsidRPr="00E12171">
        <w:rPr>
          <w:i/>
          <w:lang w:val="en-US"/>
        </w:rPr>
        <w:t>History is made today as Timor-Leste signs a treaty on permanent maritime boundaries that establishes, for the first time, a fair border between our two countries, based on international law.  We thank the Commission for their patience, wisdom and trust, and the Australian representatives for their constructive engagement and spirit of cooperation. This moment also provides hope for the peaceful resolution of disputes around the world.</w:t>
      </w:r>
    </w:p>
    <w:p w14:paraId="3EC21B5E" w14:textId="2EE19C34" w:rsidR="003A71B5" w:rsidRDefault="003A71B5" w:rsidP="009838B0">
      <w:r>
        <w:t xml:space="preserve">The Secretary-General of the United Nations, </w:t>
      </w:r>
      <w:r w:rsidRPr="00434134">
        <w:t xml:space="preserve">His Excellency António Manuel de Oliveira Guterres, said </w:t>
      </w:r>
      <w:r w:rsidR="00434134" w:rsidRPr="00434134">
        <w:t>‘</w:t>
      </w:r>
      <w:r w:rsidR="00434134" w:rsidRPr="008560D3">
        <w:rPr>
          <w:i/>
        </w:rPr>
        <w:t>the martime boundary and the Greater Sunrise Special Regime puts Australia and Timor-Leste in a better position to exercise their rights under UNCLOS</w:t>
      </w:r>
      <w:r w:rsidR="00434134" w:rsidRPr="00434134">
        <w:t>’.</w:t>
      </w:r>
    </w:p>
    <w:p w14:paraId="3658FA1C" w14:textId="77777777" w:rsidR="00FC6A1C" w:rsidRDefault="00FC6A1C" w:rsidP="009838B0"/>
    <w:p w14:paraId="7F9A707C" w14:textId="77777777" w:rsidR="001D76D7" w:rsidRDefault="001D76D7" w:rsidP="00DF3127">
      <w:pPr>
        <w:pStyle w:val="Heading1"/>
      </w:pPr>
      <w:r>
        <w:lastRenderedPageBreak/>
        <w:t>What</w:t>
      </w:r>
      <w:r w:rsidR="00DF3127">
        <w:t xml:space="preserve"> is in the treaty</w:t>
      </w:r>
      <w:r>
        <w:t>?</w:t>
      </w:r>
    </w:p>
    <w:p w14:paraId="62DA544F" w14:textId="5093173F" w:rsidR="006939F5" w:rsidRDefault="002170A5" w:rsidP="006939F5">
      <w:r>
        <w:t>The T</w:t>
      </w:r>
      <w:r w:rsidR="004A1882">
        <w:t xml:space="preserve">reaty consists of </w:t>
      </w:r>
      <w:r w:rsidR="00F61B35">
        <w:t xml:space="preserve">a number of </w:t>
      </w:r>
      <w:r w:rsidR="004A1882">
        <w:t xml:space="preserve">inextricably </w:t>
      </w:r>
      <w:r w:rsidR="006939F5">
        <w:t>linked elements</w:t>
      </w:r>
      <w:r w:rsidR="009D2BFF">
        <w:t xml:space="preserve"> which are part of the overall agreement</w:t>
      </w:r>
      <w:r w:rsidR="001718BF">
        <w:t>, including</w:t>
      </w:r>
      <w:r w:rsidR="006939F5">
        <w:t>:</w:t>
      </w:r>
    </w:p>
    <w:p w14:paraId="185E5026" w14:textId="35EF9A30" w:rsidR="00F61B35" w:rsidRDefault="004A1882" w:rsidP="002761A6">
      <w:pPr>
        <w:pStyle w:val="ListParagraph"/>
        <w:numPr>
          <w:ilvl w:val="0"/>
          <w:numId w:val="39"/>
        </w:numPr>
      </w:pPr>
      <w:r>
        <w:t>The Treaty establish</w:t>
      </w:r>
      <w:r w:rsidR="008F6A2F">
        <w:t>es</w:t>
      </w:r>
      <w:r>
        <w:t xml:space="preserve"> permanent maritime boundaries between Australia and Timor-Leste in the Timor Sea</w:t>
      </w:r>
      <w:r w:rsidR="006939F5">
        <w:t>.</w:t>
      </w:r>
    </w:p>
    <w:p w14:paraId="22B270DC" w14:textId="28958F66" w:rsidR="00F61B35" w:rsidRDefault="006939F5" w:rsidP="002761A6">
      <w:pPr>
        <w:pStyle w:val="ListParagraph"/>
        <w:numPr>
          <w:ilvl w:val="0"/>
          <w:numId w:val="39"/>
        </w:numPr>
      </w:pPr>
      <w:r>
        <w:t xml:space="preserve">The Treaty </w:t>
      </w:r>
      <w:r w:rsidR="00670C88">
        <w:t xml:space="preserve">recognises both states’ sovereign rights and </w:t>
      </w:r>
      <w:r>
        <w:t>creat</w:t>
      </w:r>
      <w:r w:rsidR="00670C88">
        <w:t>es</w:t>
      </w:r>
      <w:r>
        <w:t xml:space="preserve"> </w:t>
      </w:r>
      <w:r w:rsidR="004A1882">
        <w:t>the Greater Sunrise Special Regime for the joint development, exploitation and management of the Greater Sunrise gas fields</w:t>
      </w:r>
      <w:r>
        <w:t>.</w:t>
      </w:r>
    </w:p>
    <w:p w14:paraId="32A06D62" w14:textId="0CAB01D1" w:rsidR="004A1882" w:rsidRDefault="006939F5" w:rsidP="002761A6">
      <w:pPr>
        <w:pStyle w:val="ListParagraph"/>
        <w:numPr>
          <w:ilvl w:val="0"/>
          <w:numId w:val="39"/>
        </w:numPr>
      </w:pPr>
      <w:r>
        <w:t xml:space="preserve">The Treaty </w:t>
      </w:r>
      <w:r w:rsidR="00571643">
        <w:t>includes</w:t>
      </w:r>
      <w:r w:rsidR="004A1882">
        <w:t xml:space="preserve"> transitional arrangement</w:t>
      </w:r>
      <w:r w:rsidR="000364A2">
        <w:t>s to provide regulatory</w:t>
      </w:r>
      <w:r w:rsidR="002170A5">
        <w:t xml:space="preserve"> certainty and</w:t>
      </w:r>
      <w:r w:rsidR="000364A2">
        <w:t xml:space="preserve"> continuity </w:t>
      </w:r>
      <w:r w:rsidR="004A1882">
        <w:t xml:space="preserve">for </w:t>
      </w:r>
      <w:r w:rsidR="002170A5">
        <w:t xml:space="preserve">affected </w:t>
      </w:r>
      <w:r w:rsidR="004A1882">
        <w:t>investors in the oil and gas sector in the Timor Sea.</w:t>
      </w:r>
      <w:r w:rsidR="0071292B">
        <w:t xml:space="preserve"> </w:t>
      </w:r>
    </w:p>
    <w:p w14:paraId="281CC867" w14:textId="766F6CAD" w:rsidR="001718BF" w:rsidRDefault="001718BF" w:rsidP="009838B0">
      <w:r>
        <w:t xml:space="preserve">As in any negotiation, both sides made compromises.  The Treaty makes clear that the </w:t>
      </w:r>
      <w:r w:rsidR="00670C88">
        <w:t xml:space="preserve">outcome </w:t>
      </w:r>
      <w:r>
        <w:t xml:space="preserve">represents a mutual accommodation which is without prejudice to </w:t>
      </w:r>
      <w:r w:rsidR="00670C88">
        <w:t xml:space="preserve">either </w:t>
      </w:r>
      <w:r w:rsidR="009D2BFF">
        <w:t>side’</w:t>
      </w:r>
      <w:r w:rsidR="00670C88">
        <w:t>s</w:t>
      </w:r>
      <w:r w:rsidR="009D2BFF">
        <w:t xml:space="preserve"> </w:t>
      </w:r>
      <w:r>
        <w:t xml:space="preserve">legal position. </w:t>
      </w:r>
      <w:r w:rsidR="00C56948">
        <w:t xml:space="preserve"> Both sides, and the Conciliation Commission, consider it is a fair and balanced outcome.</w:t>
      </w:r>
    </w:p>
    <w:p w14:paraId="4F53E541" w14:textId="77777777" w:rsidR="004A1882" w:rsidRDefault="004A1882" w:rsidP="004A1882">
      <w:pPr>
        <w:pStyle w:val="Heading2"/>
      </w:pPr>
      <w:r>
        <w:t>When does it start?</w:t>
      </w:r>
    </w:p>
    <w:p w14:paraId="753252BF" w14:textId="77777777" w:rsidR="00E12171" w:rsidRDefault="004A1882" w:rsidP="00E12171">
      <w:r>
        <w:t>While Australia and Timor-Leste signed the Treaty on 6 March,</w:t>
      </w:r>
      <w:r w:rsidR="002170A5">
        <w:t xml:space="preserve"> it will not enter into force </w:t>
      </w:r>
      <w:r w:rsidR="004D3664">
        <w:t xml:space="preserve">until </w:t>
      </w:r>
      <w:r w:rsidR="002170A5">
        <w:t>each party has notified the other that its internal requirements</w:t>
      </w:r>
      <w:r w:rsidR="004D3664">
        <w:t xml:space="preserve"> for bringing the Treaty into force have been completed</w:t>
      </w:r>
      <w:r>
        <w:t>.</w:t>
      </w:r>
      <w:r w:rsidR="004D3664">
        <w:t xml:space="preserve"> Australia requires that any necessary implementing legislation has been</w:t>
      </w:r>
      <w:r w:rsidR="00F0788E">
        <w:t xml:space="preserve"> put in place</w:t>
      </w:r>
      <w:r w:rsidR="004D3664">
        <w:t>.</w:t>
      </w:r>
      <w:r w:rsidR="00F0788E">
        <w:t xml:space="preserve"> </w:t>
      </w:r>
      <w:r>
        <w:t xml:space="preserve">Each country has its own </w:t>
      </w:r>
      <w:r w:rsidR="004D3664">
        <w:t>processes for bringing a treaty into force.</w:t>
      </w:r>
      <w:r>
        <w:t xml:space="preserve"> </w:t>
      </w:r>
      <w:r w:rsidR="00933BCB">
        <w:t xml:space="preserve">The Australian Government </w:t>
      </w:r>
      <w:r w:rsidR="004D3664">
        <w:t>is aiming</w:t>
      </w:r>
      <w:r w:rsidR="00933BCB">
        <w:t xml:space="preserve"> </w:t>
      </w:r>
      <w:r w:rsidR="004D3664">
        <w:t xml:space="preserve">to complete of all its requirements to bring the Treaty into force </w:t>
      </w:r>
      <w:r w:rsidR="00933BCB">
        <w:t>as soon as possible.</w:t>
      </w:r>
    </w:p>
    <w:p w14:paraId="0F30FA48" w14:textId="2D0A0A1A" w:rsidR="00933BCB" w:rsidRDefault="00933BCB" w:rsidP="00E12171">
      <w:pPr>
        <w:pStyle w:val="Heading2"/>
      </w:pPr>
      <w:r>
        <w:t>WHAT ARE THE MARITIME BOUNDARIES?</w:t>
      </w:r>
    </w:p>
    <w:p w14:paraId="64FE4451" w14:textId="2E3DBED3" w:rsidR="008F6A2F" w:rsidRDefault="0035539B" w:rsidP="008F6A2F">
      <w:pPr>
        <w:rPr>
          <w:noProof/>
          <w:lang w:val="en-AU" w:eastAsia="en-AU"/>
        </w:rPr>
      </w:pPr>
      <w:r>
        <w:rPr>
          <w:noProof/>
          <w:lang w:val="en-AU" w:eastAsia="en-AU"/>
        </w:rPr>
        <w:drawing>
          <wp:inline distT="0" distB="0" distL="0" distR="0" wp14:anchorId="11CE7594" wp14:editId="21476432">
            <wp:extent cx="6124657" cy="4295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oCat83121 - thinn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0523" cy="4299889"/>
                    </a:xfrm>
                    <a:prstGeom prst="rect">
                      <a:avLst/>
                    </a:prstGeom>
                  </pic:spPr>
                </pic:pic>
              </a:graphicData>
            </a:graphic>
          </wp:inline>
        </w:drawing>
      </w:r>
    </w:p>
    <w:p w14:paraId="70705B8B" w14:textId="77777777" w:rsidR="0035539B" w:rsidRDefault="0035539B" w:rsidP="00D71A2E"/>
    <w:p w14:paraId="098FBF0E" w14:textId="4B64ADE7" w:rsidR="00571643" w:rsidRDefault="008F6DBA" w:rsidP="00D71A2E">
      <w:r>
        <w:t>The maritime boundary includes a southern horizontal boundary and eastern and western lateral boundaries.</w:t>
      </w:r>
      <w:r w:rsidR="00571643">
        <w:t xml:space="preserve"> The Southern boundary is a seabed and water column boundary</w:t>
      </w:r>
      <w:r w:rsidR="00F61B35">
        <w:t xml:space="preserve"> (from points TA-5 to TA-10)</w:t>
      </w:r>
      <w:r w:rsidR="00571643">
        <w:t xml:space="preserve">. </w:t>
      </w:r>
      <w:r w:rsidR="00294C1C">
        <w:t xml:space="preserve">The </w:t>
      </w:r>
      <w:r w:rsidR="00F61B35">
        <w:t xml:space="preserve">western segment of the southern boundary line </w:t>
      </w:r>
      <w:r w:rsidR="009D2BFF">
        <w:t xml:space="preserve">(TA5 to TA-6) </w:t>
      </w:r>
      <w:r w:rsidR="00F61B35">
        <w:t xml:space="preserve">runs slightly above the median line, while the </w:t>
      </w:r>
      <w:r w:rsidR="00294C1C">
        <w:t xml:space="preserve">eastern segment of the southern boundary </w:t>
      </w:r>
      <w:r w:rsidR="009D2BFF">
        <w:t xml:space="preserve">(TA-6 to TA-10) </w:t>
      </w:r>
      <w:r w:rsidR="008F6A2F">
        <w:t>run</w:t>
      </w:r>
      <w:r w:rsidR="00571643">
        <w:t>s</w:t>
      </w:r>
      <w:r w:rsidR="00294C1C">
        <w:t xml:space="preserve"> along the median line.</w:t>
      </w:r>
      <w:r>
        <w:t xml:space="preserve"> </w:t>
      </w:r>
    </w:p>
    <w:p w14:paraId="6AA13794" w14:textId="3DAE17C3" w:rsidR="00571643" w:rsidRDefault="00571643" w:rsidP="004B5179">
      <w:r>
        <w:t>The eastern and western lateral boundaries are seabed boundaries only</w:t>
      </w:r>
      <w:r w:rsidR="00F61B35">
        <w:t xml:space="preserve"> (from points TA-1 to TA-5, and TA-10 to TA-13)</w:t>
      </w:r>
      <w:r>
        <w:t xml:space="preserve">. </w:t>
      </w:r>
      <w:r w:rsidR="00F61B35">
        <w:t xml:space="preserve">  These boundaries contains scope for adjustment should Indonesia and Timor-Leste delimit their boundaries in the future to a point other than TA-1 and TA-13</w:t>
      </w:r>
      <w:r w:rsidR="00670C88">
        <w:t xml:space="preserve"> (</w:t>
      </w:r>
      <w:r w:rsidR="009D2BFF">
        <w:t>which correspond to points A17 and A16 on the 1972 Australia-Indonesia seabed agreement</w:t>
      </w:r>
      <w:r w:rsidR="00670C88">
        <w:t>)</w:t>
      </w:r>
      <w:r w:rsidR="00F61B35">
        <w:t xml:space="preserve">.  Any adjustment could only take place </w:t>
      </w:r>
      <w:r w:rsidR="004D3664">
        <w:t xml:space="preserve">after the commercial depletion of </w:t>
      </w:r>
      <w:r w:rsidR="00F61B35">
        <w:t xml:space="preserve">relevant </w:t>
      </w:r>
      <w:r w:rsidR="004D3664">
        <w:t xml:space="preserve">resources near the lateral boundaries (Greater Sunrise in the east and </w:t>
      </w:r>
      <w:proofErr w:type="spellStart"/>
      <w:r w:rsidR="004D3664">
        <w:t>Laminaria</w:t>
      </w:r>
      <w:proofErr w:type="spellEnd"/>
      <w:r w:rsidR="004D3664">
        <w:t xml:space="preserve"> and </w:t>
      </w:r>
      <w:proofErr w:type="spellStart"/>
      <w:r w:rsidR="004D3664">
        <w:t>Corallina</w:t>
      </w:r>
      <w:proofErr w:type="spellEnd"/>
      <w:r w:rsidR="004D3664">
        <w:t xml:space="preserve"> in the west)</w:t>
      </w:r>
      <w:r w:rsidR="009D2BFF">
        <w:t xml:space="preserve"> to ensure certainty for investors</w:t>
      </w:r>
      <w:r w:rsidR="004D3664">
        <w:t xml:space="preserve">. </w:t>
      </w:r>
    </w:p>
    <w:p w14:paraId="5AD26BA8" w14:textId="77777777" w:rsidR="007F6D0D" w:rsidRDefault="007F6D0D" w:rsidP="004B5179"/>
    <w:p w14:paraId="45DE0B25" w14:textId="77777777" w:rsidR="00B83F4D" w:rsidRDefault="00B83F4D" w:rsidP="00616AE7">
      <w:pPr>
        <w:pStyle w:val="Heading1"/>
      </w:pPr>
      <w:r>
        <w:t>Existing oil and gas projects</w:t>
      </w:r>
    </w:p>
    <w:p w14:paraId="09E7846F" w14:textId="7F8927C2" w:rsidR="009D2BFF" w:rsidRDefault="006A1CCD" w:rsidP="009859E0">
      <w:pPr>
        <w:spacing w:before="0" w:after="0"/>
        <w:rPr>
          <w:rFonts w:ascii="Calibri Light" w:hAnsi="Calibri Light"/>
        </w:rPr>
      </w:pPr>
      <w:r>
        <w:t>O</w:t>
      </w:r>
      <w:r w:rsidR="008F6A2F">
        <w:t xml:space="preserve">il and gas fields </w:t>
      </w:r>
      <w:r>
        <w:t xml:space="preserve">currently </w:t>
      </w:r>
      <w:r w:rsidR="00B83F4D">
        <w:t xml:space="preserve">shared </w:t>
      </w:r>
      <w:r w:rsidR="009859E0">
        <w:t xml:space="preserve">between </w:t>
      </w:r>
      <w:r w:rsidR="00B83F4D">
        <w:t xml:space="preserve">Australia and Timor-Leste </w:t>
      </w:r>
      <w:r w:rsidR="009D2BFF">
        <w:t xml:space="preserve">in the Joint Petroleum Development Area </w:t>
      </w:r>
      <w:r>
        <w:t xml:space="preserve">will transition </w:t>
      </w:r>
      <w:r w:rsidR="00616AE7">
        <w:t>to Timor-Leste’s exclusive jurisdiction</w:t>
      </w:r>
      <w:r>
        <w:t xml:space="preserve">. </w:t>
      </w:r>
      <w:r w:rsidR="009D2BFF">
        <w:t xml:space="preserve">  </w:t>
      </w:r>
      <w:r w:rsidR="009D2BFF">
        <w:rPr>
          <w:rFonts w:ascii="Calibri Light" w:hAnsi="Calibri Light"/>
        </w:rPr>
        <w:t xml:space="preserve">The Treaty provides that the security of title and any other rights held by the titleholders previously under the Timor Sea Treaty and the International Unitisation Agreement will be preserved through ensuring conditions </w:t>
      </w:r>
      <w:r w:rsidR="00670C88">
        <w:rPr>
          <w:rFonts w:ascii="Calibri Light" w:hAnsi="Calibri Light"/>
        </w:rPr>
        <w:t xml:space="preserve">and </w:t>
      </w:r>
      <w:r w:rsidR="009D2BFF">
        <w:rPr>
          <w:rFonts w:ascii="Calibri Light" w:hAnsi="Calibri Light"/>
        </w:rPr>
        <w:t xml:space="preserve">terms equivalent.  </w:t>
      </w:r>
    </w:p>
    <w:p w14:paraId="008EF96C" w14:textId="77777777" w:rsidR="009D2BFF" w:rsidRDefault="009D2BFF" w:rsidP="009859E0">
      <w:pPr>
        <w:spacing w:before="0" w:after="0"/>
        <w:rPr>
          <w:rFonts w:ascii="Calibri Light" w:hAnsi="Calibri Light"/>
        </w:rPr>
      </w:pPr>
    </w:p>
    <w:p w14:paraId="662C123F" w14:textId="1AEBD405" w:rsidR="009D2BFF" w:rsidRDefault="009D2BFF" w:rsidP="009859E0">
      <w:pPr>
        <w:spacing w:before="0" w:after="0"/>
      </w:pPr>
      <w:r>
        <w:rPr>
          <w:rFonts w:ascii="Calibri Light" w:hAnsi="Calibri Light"/>
        </w:rPr>
        <w:t xml:space="preserve">In the case of </w:t>
      </w:r>
      <w:proofErr w:type="spellStart"/>
      <w:r>
        <w:rPr>
          <w:rFonts w:ascii="Calibri Light" w:hAnsi="Calibri Light"/>
        </w:rPr>
        <w:t>Bayu-Undan</w:t>
      </w:r>
      <w:proofErr w:type="spellEnd"/>
      <w:r>
        <w:rPr>
          <w:rFonts w:ascii="Calibri Light" w:hAnsi="Calibri Light"/>
        </w:rPr>
        <w:t xml:space="preserve"> and </w:t>
      </w:r>
      <w:proofErr w:type="spellStart"/>
      <w:r>
        <w:rPr>
          <w:rFonts w:ascii="Calibri Light" w:hAnsi="Calibri Light"/>
        </w:rPr>
        <w:t>Kitan</w:t>
      </w:r>
      <w:proofErr w:type="spellEnd"/>
      <w:r>
        <w:rPr>
          <w:rFonts w:ascii="Calibri Light" w:hAnsi="Calibri Light"/>
        </w:rPr>
        <w:t xml:space="preserve"> fields, Australia and Timor-Leste have agreed </w:t>
      </w:r>
      <w:r w:rsidR="0080235A">
        <w:rPr>
          <w:rFonts w:ascii="Calibri Light" w:hAnsi="Calibri Light"/>
        </w:rPr>
        <w:t>that the</w:t>
      </w:r>
      <w:r w:rsidR="00535328">
        <w:rPr>
          <w:rFonts w:ascii="Calibri Light" w:hAnsi="Calibri Light"/>
        </w:rPr>
        <w:t xml:space="preserve"> </w:t>
      </w:r>
      <w:r w:rsidR="0080235A">
        <w:rPr>
          <w:rFonts w:ascii="Calibri Light" w:hAnsi="Calibri Light"/>
        </w:rPr>
        <w:t xml:space="preserve">companies which hold the </w:t>
      </w:r>
      <w:r w:rsidR="00B17E21">
        <w:rPr>
          <w:rFonts w:ascii="Calibri Light" w:hAnsi="Calibri Light"/>
        </w:rPr>
        <w:t>production sharing contracts</w:t>
      </w:r>
      <w:r w:rsidR="0080235A">
        <w:rPr>
          <w:rFonts w:ascii="Calibri Light" w:hAnsi="Calibri Light"/>
        </w:rPr>
        <w:t xml:space="preserve"> </w:t>
      </w:r>
      <w:r w:rsidR="00535328">
        <w:rPr>
          <w:rFonts w:ascii="Calibri Light" w:hAnsi="Calibri Light"/>
        </w:rPr>
        <w:t xml:space="preserve">will be subject to the same </w:t>
      </w:r>
      <w:r>
        <w:rPr>
          <w:rFonts w:ascii="Calibri Light" w:hAnsi="Calibri Light"/>
        </w:rPr>
        <w:t xml:space="preserve">fiscal and </w:t>
      </w:r>
      <w:r w:rsidR="00960777">
        <w:rPr>
          <w:rFonts w:ascii="Calibri Light" w:hAnsi="Calibri Light"/>
        </w:rPr>
        <w:t xml:space="preserve">regulatory </w:t>
      </w:r>
      <w:r>
        <w:rPr>
          <w:rFonts w:ascii="Calibri Light" w:hAnsi="Calibri Light"/>
        </w:rPr>
        <w:t>regime</w:t>
      </w:r>
      <w:r w:rsidR="00960777">
        <w:rPr>
          <w:rFonts w:ascii="Calibri Light" w:hAnsi="Calibri Light"/>
        </w:rPr>
        <w:t>s</w:t>
      </w:r>
      <w:r w:rsidR="00535328">
        <w:rPr>
          <w:rFonts w:ascii="Calibri Light" w:hAnsi="Calibri Light"/>
        </w:rPr>
        <w:t xml:space="preserve"> although under Timor-Leste’s</w:t>
      </w:r>
      <w:r w:rsidR="004544B9">
        <w:rPr>
          <w:rFonts w:ascii="Calibri Light" w:hAnsi="Calibri Light"/>
        </w:rPr>
        <w:t xml:space="preserve"> jurisdiction</w:t>
      </w:r>
      <w:r w:rsidR="00535328">
        <w:rPr>
          <w:rFonts w:ascii="Calibri Light" w:hAnsi="Calibri Light"/>
        </w:rPr>
        <w:t xml:space="preserve"> not </w:t>
      </w:r>
      <w:r w:rsidR="00B17E21">
        <w:rPr>
          <w:rFonts w:ascii="Calibri Light" w:hAnsi="Calibri Light"/>
        </w:rPr>
        <w:t xml:space="preserve">joint Australian and Timorese </w:t>
      </w:r>
      <w:r w:rsidR="00535328">
        <w:rPr>
          <w:rFonts w:ascii="Calibri Light" w:hAnsi="Calibri Light"/>
        </w:rPr>
        <w:t>jurisdiction</w:t>
      </w:r>
      <w:r w:rsidR="00B17E21">
        <w:rPr>
          <w:rFonts w:ascii="Calibri Light" w:hAnsi="Calibri Light"/>
        </w:rPr>
        <w:t xml:space="preserve"> as is the case under existing</w:t>
      </w:r>
      <w:r w:rsidR="00E816D7">
        <w:rPr>
          <w:rFonts w:ascii="Calibri Light" w:hAnsi="Calibri Light"/>
        </w:rPr>
        <w:t xml:space="preserve"> treaty arrangements</w:t>
      </w:r>
      <w:r>
        <w:rPr>
          <w:rFonts w:ascii="Calibri Light" w:hAnsi="Calibri Light"/>
        </w:rPr>
        <w:t xml:space="preserve">. </w:t>
      </w:r>
      <w:bookmarkStart w:id="0" w:name="_GoBack"/>
      <w:bookmarkEnd w:id="0"/>
      <w:r>
        <w:rPr>
          <w:rFonts w:ascii="Calibri Light" w:hAnsi="Calibri Light"/>
        </w:rPr>
        <w:t>This is outlined in an Exchange of Correspondence.</w:t>
      </w:r>
      <w:r w:rsidR="00C01C50">
        <w:rPr>
          <w:rFonts w:ascii="Calibri Light" w:hAnsi="Calibri Light"/>
        </w:rPr>
        <w:t xml:space="preserve"> </w:t>
      </w:r>
      <w:r>
        <w:t xml:space="preserve">Timor-Leste will derive 100 percent of </w:t>
      </w:r>
      <w:r w:rsidR="00C56948">
        <w:t xml:space="preserve">future </w:t>
      </w:r>
      <w:r>
        <w:t>upstream revenue from these fields.</w:t>
      </w:r>
    </w:p>
    <w:p w14:paraId="73AB5803" w14:textId="77777777" w:rsidR="009D2BFF" w:rsidRDefault="009D2BFF" w:rsidP="009859E0">
      <w:pPr>
        <w:spacing w:before="0" w:after="0"/>
        <w:rPr>
          <w:rFonts w:ascii="Calibri Light" w:hAnsi="Calibri Light"/>
        </w:rPr>
      </w:pPr>
    </w:p>
    <w:p w14:paraId="725E773C" w14:textId="0445D72D" w:rsidR="007F1CD8" w:rsidRDefault="007F1CD8" w:rsidP="009859E0">
      <w:pPr>
        <w:spacing w:before="0" w:after="0"/>
        <w:rPr>
          <w:rFonts w:ascii="Calibri Light" w:hAnsi="Calibri Light"/>
        </w:rPr>
      </w:pPr>
      <w:r>
        <w:rPr>
          <w:rFonts w:ascii="Calibri Light" w:hAnsi="Calibri Light"/>
        </w:rPr>
        <w:t>The Treaty</w:t>
      </w:r>
      <w:r w:rsidR="006A1CCD">
        <w:rPr>
          <w:rFonts w:ascii="Calibri Light" w:hAnsi="Calibri Light"/>
        </w:rPr>
        <w:t xml:space="preserve"> also</w:t>
      </w:r>
      <w:r>
        <w:rPr>
          <w:rFonts w:ascii="Calibri Light" w:hAnsi="Calibri Light"/>
        </w:rPr>
        <w:t xml:space="preserve"> provides that the Buffalo field w</w:t>
      </w:r>
      <w:r w:rsidR="008F6A2F">
        <w:rPr>
          <w:rFonts w:ascii="Calibri Light" w:hAnsi="Calibri Light"/>
        </w:rPr>
        <w:t>ill</w:t>
      </w:r>
      <w:r>
        <w:rPr>
          <w:rFonts w:ascii="Calibri Light" w:hAnsi="Calibri Light"/>
        </w:rPr>
        <w:t xml:space="preserve"> transfer from Australian exclusive jurisdiction to Timor-Leste’s exclusive jurisdiction</w:t>
      </w:r>
      <w:r w:rsidR="009D2BFF">
        <w:rPr>
          <w:rFonts w:ascii="Calibri Light" w:hAnsi="Calibri Light"/>
        </w:rPr>
        <w:t xml:space="preserve"> under conditions equivalent</w:t>
      </w:r>
      <w:r>
        <w:rPr>
          <w:rFonts w:ascii="Calibri Light" w:hAnsi="Calibri Light"/>
        </w:rPr>
        <w:t>.</w:t>
      </w:r>
      <w:r w:rsidR="009D2BFF">
        <w:rPr>
          <w:rFonts w:ascii="Calibri Light" w:hAnsi="Calibri Light"/>
        </w:rPr>
        <w:t xml:space="preserve">   </w:t>
      </w:r>
    </w:p>
    <w:p w14:paraId="1A23942E" w14:textId="77777777" w:rsidR="006939F5" w:rsidRDefault="006939F5" w:rsidP="002761A6">
      <w:pPr>
        <w:suppressAutoHyphens w:val="0"/>
        <w:spacing w:before="0" w:after="0" w:line="240" w:lineRule="auto"/>
      </w:pPr>
    </w:p>
    <w:p w14:paraId="61F867B9" w14:textId="77777777" w:rsidR="00F70218" w:rsidRDefault="00890062" w:rsidP="00D50FEB">
      <w:pPr>
        <w:pStyle w:val="Heading1"/>
      </w:pPr>
      <w:r>
        <w:t>Greater Sunrise Fields</w:t>
      </w:r>
    </w:p>
    <w:p w14:paraId="11B01B32" w14:textId="3BA94B41" w:rsidR="00890062" w:rsidRDefault="00670C88" w:rsidP="00DC328A">
      <w:r w:rsidRPr="009859E0">
        <w:t xml:space="preserve">The Treaty </w:t>
      </w:r>
      <w:r>
        <w:t xml:space="preserve">recognises </w:t>
      </w:r>
      <w:r w:rsidRPr="009859E0">
        <w:t>Aus</w:t>
      </w:r>
      <w:r>
        <w:t>tralia</w:t>
      </w:r>
      <w:r w:rsidRPr="009859E0">
        <w:t xml:space="preserve"> and T</w:t>
      </w:r>
      <w:r>
        <w:t>imor-Leste</w:t>
      </w:r>
      <w:r w:rsidRPr="009859E0">
        <w:t>’s shared sovereig</w:t>
      </w:r>
      <w:r>
        <w:t>n rights</w:t>
      </w:r>
      <w:r w:rsidRPr="009859E0">
        <w:t xml:space="preserve"> over the G</w:t>
      </w:r>
      <w:r>
        <w:t xml:space="preserve">reater </w:t>
      </w:r>
      <w:r w:rsidRPr="009859E0">
        <w:t>S</w:t>
      </w:r>
      <w:r>
        <w:t>unrise</w:t>
      </w:r>
      <w:r w:rsidRPr="009859E0">
        <w:t xml:space="preserve"> resource</w:t>
      </w:r>
      <w:r>
        <w:t>.</w:t>
      </w:r>
      <w:r w:rsidRPr="009859E0">
        <w:t xml:space="preserve"> </w:t>
      </w:r>
      <w:r w:rsidR="008479DF">
        <w:t xml:space="preserve">The Treaty </w:t>
      </w:r>
      <w:r w:rsidR="00D50FEB">
        <w:t>establish</w:t>
      </w:r>
      <w:r w:rsidR="008479DF">
        <w:t>es</w:t>
      </w:r>
      <w:r w:rsidR="00D50FEB">
        <w:t xml:space="preserve"> the Greater Sunrise Special Regime to jointly</w:t>
      </w:r>
      <w:r w:rsidR="00960777">
        <w:t xml:space="preserve"> manage and</w:t>
      </w:r>
      <w:r w:rsidR="00D50FEB">
        <w:t xml:space="preserve"> develop </w:t>
      </w:r>
      <w:r>
        <w:t xml:space="preserve">this </w:t>
      </w:r>
      <w:r w:rsidR="009859E0">
        <w:t xml:space="preserve">resource </w:t>
      </w:r>
      <w:r w:rsidR="00D50FEB">
        <w:t xml:space="preserve">and to share revenue. </w:t>
      </w:r>
    </w:p>
    <w:p w14:paraId="2C1011BA" w14:textId="516DCE35" w:rsidR="004C0371" w:rsidRDefault="00FE3B89" w:rsidP="004C0371">
      <w:r>
        <w:t xml:space="preserve">Australia and Timor-Leste </w:t>
      </w:r>
      <w:r w:rsidR="00670C88">
        <w:t xml:space="preserve">have agreed </w:t>
      </w:r>
      <w:r>
        <w:t xml:space="preserve">to share </w:t>
      </w:r>
      <w:r w:rsidR="00670C88">
        <w:t xml:space="preserve">upstream </w:t>
      </w:r>
      <w:r w:rsidRPr="008322C6">
        <w:t>revenue</w:t>
      </w:r>
      <w:r w:rsidR="004C0371">
        <w:t>:</w:t>
      </w:r>
    </w:p>
    <w:p w14:paraId="7F84C7C3" w14:textId="53F30797" w:rsidR="004C0371" w:rsidRPr="006A1CCD" w:rsidRDefault="004C0371" w:rsidP="004C0371">
      <w:pPr>
        <w:pStyle w:val="ListParagraph"/>
        <w:numPr>
          <w:ilvl w:val="0"/>
          <w:numId w:val="34"/>
        </w:numPr>
      </w:pPr>
      <w:r w:rsidRPr="006A1CCD">
        <w:t xml:space="preserve">In the ratio of 30 per cent to Australia and 70 per cent to Timor-Leste in the event that the Greater Sunrise fields are developed by means of a pipeline to </w:t>
      </w:r>
      <w:r w:rsidR="00F54D87">
        <w:t xml:space="preserve">an LNG processing plant in </w:t>
      </w:r>
      <w:r w:rsidRPr="006A1CCD">
        <w:t>Timor-Leste.</w:t>
      </w:r>
    </w:p>
    <w:p w14:paraId="23F070B6" w14:textId="4C613578" w:rsidR="004C0371" w:rsidRPr="006A1CCD" w:rsidRDefault="004C0371" w:rsidP="004C0371">
      <w:pPr>
        <w:pStyle w:val="ListParagraph"/>
        <w:numPr>
          <w:ilvl w:val="0"/>
          <w:numId w:val="34"/>
        </w:numPr>
      </w:pPr>
      <w:r w:rsidRPr="006A1CCD">
        <w:t xml:space="preserve">In the ratio of 20 per cent to Australia and 80 per cent to Timor-Leste in the event that the Greater Sunrise fields are developed by means of a pipeline to </w:t>
      </w:r>
      <w:r w:rsidR="00F54D87">
        <w:t xml:space="preserve">an LNG processing plant in </w:t>
      </w:r>
      <w:r w:rsidRPr="006A1CCD">
        <w:t>Australia.</w:t>
      </w:r>
    </w:p>
    <w:p w14:paraId="5A20CD1C" w14:textId="3F92E7A8" w:rsidR="008479DF" w:rsidRPr="006752FE" w:rsidRDefault="004C0371" w:rsidP="006752FE">
      <w:r>
        <w:t>Australia and Timor-Leste</w:t>
      </w:r>
      <w:r w:rsidR="00645759">
        <w:t xml:space="preserve"> </w:t>
      </w:r>
      <w:r w:rsidR="008479DF">
        <w:t xml:space="preserve">will establish </w:t>
      </w:r>
      <w:r w:rsidR="00645759">
        <w:t>a Designated Authority and a Governance Board</w:t>
      </w:r>
      <w:r w:rsidR="006A1CCD">
        <w:t xml:space="preserve"> to oversee Greater Sunrise</w:t>
      </w:r>
      <w:r w:rsidR="00645759">
        <w:t xml:space="preserve">. </w:t>
      </w:r>
      <w:r w:rsidR="006752FE">
        <w:t xml:space="preserve">Australia and Timor-Leste have </w:t>
      </w:r>
      <w:r w:rsidR="00F54D87">
        <w:t xml:space="preserve">agreed that the Designated Authority will be </w:t>
      </w:r>
      <w:r w:rsidR="006752FE">
        <w:t xml:space="preserve">Timor-Leste’s </w:t>
      </w:r>
      <w:proofErr w:type="spellStart"/>
      <w:r w:rsidR="006752FE" w:rsidRPr="006752FE">
        <w:t>Autoridade</w:t>
      </w:r>
      <w:proofErr w:type="spellEnd"/>
      <w:r w:rsidR="006752FE" w:rsidRPr="006752FE">
        <w:t xml:space="preserve"> Nacional do </w:t>
      </w:r>
      <w:proofErr w:type="spellStart"/>
      <w:r w:rsidR="006752FE" w:rsidRPr="006752FE">
        <w:t>Petróleo</w:t>
      </w:r>
      <w:proofErr w:type="spellEnd"/>
      <w:r w:rsidR="006752FE" w:rsidRPr="006752FE">
        <w:t xml:space="preserve"> e </w:t>
      </w:r>
      <w:proofErr w:type="spellStart"/>
      <w:r w:rsidR="006752FE" w:rsidRPr="006752FE">
        <w:t>Minerais</w:t>
      </w:r>
      <w:proofErr w:type="spellEnd"/>
      <w:r w:rsidR="006752FE" w:rsidRPr="006752FE">
        <w:t xml:space="preserve"> (ANPM)</w:t>
      </w:r>
      <w:r w:rsidR="006752FE">
        <w:t>.</w:t>
      </w:r>
    </w:p>
    <w:p w14:paraId="37698097" w14:textId="11FF716D" w:rsidR="006A1CCD" w:rsidRPr="008322C6" w:rsidRDefault="00E37507" w:rsidP="006A1CCD">
      <w:r w:rsidRPr="008322C6">
        <w:t>Australia wants Greater Sunrise to be developed in a commercially sound way that maximises the return for the parties, and therefore contributes to Timor-Leste's economic development priorities. Provided these conditions are met, Australia is genuinely neutral as to whether Greater Sunrise gas is processed in Timor-Leste or Australia.</w:t>
      </w:r>
    </w:p>
    <w:p w14:paraId="656FB29B" w14:textId="0F2AA055" w:rsidR="00F63797" w:rsidRDefault="008322C6" w:rsidP="00F63797">
      <w:r w:rsidRPr="008322C6">
        <w:t xml:space="preserve">The </w:t>
      </w:r>
      <w:r w:rsidR="00F63797" w:rsidRPr="008322C6">
        <w:t xml:space="preserve">Conciliation Commission has worked extensively with the parties to broker a way forward on Greater Sunrise.  </w:t>
      </w:r>
      <w:r w:rsidRPr="008322C6">
        <w:t>W</w:t>
      </w:r>
      <w:r w:rsidR="00F63797" w:rsidRPr="008322C6">
        <w:t xml:space="preserve">e have made good progress in the conciliation towards this goal. Australia looks forward to </w:t>
      </w:r>
      <w:r w:rsidR="00F63797" w:rsidRPr="008322C6">
        <w:lastRenderedPageBreak/>
        <w:t>building on the Commission’s efforts and analysis and will continue to discuss the development concept for Greater Sunrise with Timor-Leste</w:t>
      </w:r>
      <w:r w:rsidR="00F54D87">
        <w:t xml:space="preserve"> and the Sunrise Joint Venture</w:t>
      </w:r>
      <w:r w:rsidR="00F63797" w:rsidRPr="008322C6">
        <w:t>.</w:t>
      </w:r>
    </w:p>
    <w:p w14:paraId="04679503" w14:textId="77777777" w:rsidR="008322C6" w:rsidRDefault="008322C6" w:rsidP="00F63797"/>
    <w:p w14:paraId="6576FD64" w14:textId="77777777" w:rsidR="00053EF6" w:rsidRDefault="00356793" w:rsidP="00454ECB">
      <w:pPr>
        <w:pStyle w:val="Heading1"/>
      </w:pPr>
      <w:r>
        <w:t>The Conciliation</w:t>
      </w:r>
    </w:p>
    <w:p w14:paraId="20E3CBAF" w14:textId="3BAAD4C5" w:rsidR="00356793" w:rsidRDefault="00356793" w:rsidP="004C0371">
      <w:r>
        <w:t xml:space="preserve">In 2016, Timor-Leste commenced conciliation proceedings under Article 298 and Annex V of UNCLOS to </w:t>
      </w:r>
      <w:r w:rsidR="008479DF">
        <w:t xml:space="preserve">resolve </w:t>
      </w:r>
      <w:r>
        <w:t xml:space="preserve">differences with Australia on </w:t>
      </w:r>
      <w:r w:rsidR="00670C88">
        <w:t>m</w:t>
      </w:r>
      <w:r>
        <w:t xml:space="preserve">aritime </w:t>
      </w:r>
      <w:r w:rsidR="00670C88">
        <w:t>b</w:t>
      </w:r>
      <w:r>
        <w:t xml:space="preserve">oundaries in the Timor Sea. Australia engaged in the conciliation in good faith, in accordance with our international obligations. </w:t>
      </w:r>
    </w:p>
    <w:p w14:paraId="5E09B0B2" w14:textId="77777777" w:rsidR="00356793" w:rsidRDefault="00356793" w:rsidP="004C0371">
      <w:r>
        <w:t xml:space="preserve">Conciliation is one of the methods available </w:t>
      </w:r>
      <w:r w:rsidR="009B3135">
        <w:t>under UNCLOS to resolve disputes</w:t>
      </w:r>
      <w:r>
        <w:t>. The function of the conciliation was to assist parties to reach an amicable settlement.</w:t>
      </w:r>
    </w:p>
    <w:p w14:paraId="2332E14E" w14:textId="2EB52A65" w:rsidR="006A1CCD" w:rsidRDefault="00454ECB" w:rsidP="006752FE">
      <w:r>
        <w:t>The conciliation was conducted by a five-person Conciliation commission, an ad hoc body formed solely for the purpose of the conciliation. The conciliation spanned 15 months and involved regular meetings.</w:t>
      </w:r>
    </w:p>
    <w:p w14:paraId="19837F81" w14:textId="77777777" w:rsidR="006752FE" w:rsidRPr="006752FE" w:rsidRDefault="006752FE" w:rsidP="006752FE"/>
    <w:p w14:paraId="71FA2C6C" w14:textId="77777777" w:rsidR="00FE3B89" w:rsidRDefault="00FE3B89" w:rsidP="009C5235">
      <w:pPr>
        <w:pStyle w:val="Heading1"/>
      </w:pPr>
      <w:r>
        <w:t>What happens to Australia and Timor-Leste’s previous maritime treaties?</w:t>
      </w:r>
    </w:p>
    <w:p w14:paraId="25872931" w14:textId="4848FB28" w:rsidR="00DF4710" w:rsidRDefault="00DE28E0" w:rsidP="00D71A2E">
      <w:r>
        <w:t>When t</w:t>
      </w:r>
      <w:r w:rsidR="00C60ED0">
        <w:t xml:space="preserve">he </w:t>
      </w:r>
      <w:r>
        <w:t xml:space="preserve">new </w:t>
      </w:r>
      <w:r w:rsidR="00634AAD">
        <w:t>Treaty</w:t>
      </w:r>
      <w:r>
        <w:t xml:space="preserve"> enters into force, it will replace earlier </w:t>
      </w:r>
      <w:r w:rsidR="00634AAD">
        <w:t>treaties</w:t>
      </w:r>
      <w:r w:rsidR="008479DF">
        <w:t>:</w:t>
      </w:r>
      <w:r w:rsidR="00634AAD">
        <w:t xml:space="preserve"> the </w:t>
      </w:r>
      <w:r w:rsidR="00634AAD" w:rsidRPr="002761A6">
        <w:rPr>
          <w:i/>
        </w:rPr>
        <w:t>2002 Timor Sea Treaty</w:t>
      </w:r>
      <w:r w:rsidR="00634AAD">
        <w:t xml:space="preserve"> and the </w:t>
      </w:r>
      <w:r w:rsidR="00634AAD" w:rsidRPr="002761A6">
        <w:rPr>
          <w:i/>
        </w:rPr>
        <w:t>2003 International Unitisation Agreement for Greater Sunrise</w:t>
      </w:r>
      <w:r w:rsidR="00634AAD" w:rsidRPr="00634AAD">
        <w:t>.</w:t>
      </w:r>
      <w:r w:rsidR="00634AAD">
        <w:t xml:space="preserve"> </w:t>
      </w:r>
      <w:r w:rsidR="002170A5">
        <w:t xml:space="preserve">These treaties will </w:t>
      </w:r>
      <w:r w:rsidR="0050016C">
        <w:t>terminate</w:t>
      </w:r>
      <w:r w:rsidR="002170A5">
        <w:t xml:space="preserve"> upon entry into force of the Treaty. </w:t>
      </w:r>
      <w:r w:rsidR="009C5235">
        <w:t xml:space="preserve">On 10 April 2017, Timor-Leste terminated the </w:t>
      </w:r>
      <w:r w:rsidR="00C60ED0">
        <w:rPr>
          <w:lang w:val="en-US"/>
        </w:rPr>
        <w:t>the 2006 Treaty on Certain Maritime Arrangements in the Timor Sea</w:t>
      </w:r>
      <w:r w:rsidR="00670C88">
        <w:rPr>
          <w:lang w:val="en-US"/>
        </w:rPr>
        <w:t xml:space="preserve"> as part of the conciliation process</w:t>
      </w:r>
      <w:r w:rsidR="00C60ED0">
        <w:rPr>
          <w:lang w:val="en-US"/>
        </w:rPr>
        <w:t>.</w:t>
      </w:r>
    </w:p>
    <w:sectPr w:rsidR="00DF4710" w:rsidSect="00E12171">
      <w:headerReference w:type="default" r:id="rId13"/>
      <w:footerReference w:type="default" r:id="rId14"/>
      <w:headerReference w:type="first" r:id="rId15"/>
      <w:footerReference w:type="first" r:id="rId16"/>
      <w:pgSz w:w="11906" w:h="16838" w:code="9"/>
      <w:pgMar w:top="1547" w:right="1134" w:bottom="1418" w:left="1134" w:header="425" w:footer="567" w:gutter="0"/>
      <w:cols w:space="39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20FD" w14:textId="77777777" w:rsidR="0036671F" w:rsidRDefault="0036671F" w:rsidP="00D37B04">
      <w:r>
        <w:separator/>
      </w:r>
    </w:p>
  </w:endnote>
  <w:endnote w:type="continuationSeparator" w:id="0">
    <w:p w14:paraId="640DA0EE" w14:textId="77777777" w:rsidR="0036671F" w:rsidRDefault="0036671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4F31" w14:textId="77777777" w:rsidR="00C35791" w:rsidRDefault="00C35791">
    <w:pPr>
      <w:pStyle w:val="Footer"/>
    </w:pPr>
    <w:r w:rsidRPr="00FC322F">
      <w:rPr>
        <w:b/>
        <w:noProof/>
        <w:lang w:val="en-AU" w:eastAsia="en-AU"/>
      </w:rPr>
      <w:drawing>
        <wp:inline distT="0" distB="0" distL="0" distR="0" wp14:anchorId="0E2010D0" wp14:editId="7F31B94D">
          <wp:extent cx="108000" cy="87480"/>
          <wp:effectExtent l="0" t="0" r="6350" b="8255"/>
          <wp:docPr id="2" name="Picture 2"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02DA" w14:textId="77777777" w:rsidR="00C35791" w:rsidRPr="00FC322F" w:rsidRDefault="00C35791" w:rsidP="00C35791">
    <w:pPr>
      <w:pStyle w:val="Footer"/>
      <w:rPr>
        <w:b/>
      </w:rPr>
    </w:pPr>
    <w:r w:rsidRPr="00FC322F">
      <w:rPr>
        <w:b/>
        <w:noProof/>
        <w:lang w:val="en-AU" w:eastAsia="en-AU"/>
      </w:rPr>
      <w:drawing>
        <wp:inline distT="0" distB="0" distL="0" distR="0" wp14:anchorId="5FB877A5" wp14:editId="42D2ECC0">
          <wp:extent cx="108000" cy="87480"/>
          <wp:effectExtent l="0" t="0" r="6350" b="8255"/>
          <wp:docPr id="7" name="Picture 7"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73AD3" w14:textId="77777777" w:rsidR="0036671F" w:rsidRPr="008C5A0E" w:rsidRDefault="0036671F" w:rsidP="00D37B04">
      <w:pPr>
        <w:pStyle w:val="Footer"/>
      </w:pPr>
    </w:p>
  </w:footnote>
  <w:footnote w:type="continuationSeparator" w:id="0">
    <w:p w14:paraId="4A93D7A1" w14:textId="77777777" w:rsidR="0036671F" w:rsidRDefault="0036671F"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4CFD"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3A250AD4" wp14:editId="3A1D38FD">
          <wp:simplePos x="0" y="0"/>
          <wp:positionH relativeFrom="page">
            <wp:posOffset>12700</wp:posOffset>
          </wp:positionH>
          <wp:positionV relativeFrom="page">
            <wp:posOffset>0</wp:posOffset>
          </wp:positionV>
          <wp:extent cx="7559675" cy="10692765"/>
          <wp:effectExtent l="0" t="0" r="3175" b="0"/>
          <wp:wrapNone/>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479E" w14:textId="77777777" w:rsidR="002D5B25" w:rsidRDefault="002D5B25" w:rsidP="002D5B25">
    <w:pPr>
      <w:pStyle w:val="Header"/>
    </w:pPr>
  </w:p>
  <w:p w14:paraId="27887BE6" w14:textId="645D0B39"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510A09">
      <w:rPr>
        <w:noProof/>
      </w:rPr>
      <w:t>March 2018</w:t>
    </w:r>
    <w:r w:rsidRPr="00943730">
      <w:fldChar w:fldCharType="end"/>
    </w:r>
    <w:r w:rsidRPr="00943730">
      <w:rPr>
        <w:noProof/>
        <w:lang w:val="en-AU" w:eastAsia="en-AU"/>
      </w:rPr>
      <w:drawing>
        <wp:anchor distT="0" distB="0" distL="114300" distR="114300" simplePos="0" relativeHeight="251657216" behindDoc="1" locked="1" layoutInCell="1" allowOverlap="1" wp14:anchorId="319EB297" wp14:editId="303608D3">
          <wp:simplePos x="0" y="0"/>
          <wp:positionH relativeFrom="page">
            <wp:posOffset>720090</wp:posOffset>
          </wp:positionH>
          <wp:positionV relativeFrom="page">
            <wp:posOffset>1043940</wp:posOffset>
          </wp:positionV>
          <wp:extent cx="3166920" cy="554400"/>
          <wp:effectExtent l="0" t="0" r="0" b="0"/>
          <wp:wrapNone/>
          <wp:docPr id="5" name="Picture 5"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23FD4272" wp14:editId="45EAE74E">
          <wp:simplePos x="0" y="0"/>
          <wp:positionH relativeFrom="page">
            <wp:posOffset>12700</wp:posOffset>
          </wp:positionH>
          <wp:positionV relativeFrom="page">
            <wp:posOffset>0</wp:posOffset>
          </wp:positionV>
          <wp:extent cx="7559040" cy="10692765"/>
          <wp:effectExtent l="0" t="0" r="3810" b="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4610F"/>
    <w:multiLevelType w:val="hybridMultilevel"/>
    <w:tmpl w:val="94806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C453D2F"/>
    <w:multiLevelType w:val="multilevel"/>
    <w:tmpl w:val="51963F56"/>
    <w:numStyleLink w:val="BulletsList"/>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BC42175"/>
    <w:multiLevelType w:val="hybridMultilevel"/>
    <w:tmpl w:val="F62C9FAC"/>
    <w:lvl w:ilvl="0" w:tplc="46D0EE70">
      <w:start w:val="1"/>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C9A3971"/>
    <w:multiLevelType w:val="hybridMultilevel"/>
    <w:tmpl w:val="B1E29E04"/>
    <w:lvl w:ilvl="0" w:tplc="46D0EE70">
      <w:start w:val="1"/>
      <w:numFmt w:val="bullet"/>
      <w:lvlText w:val="-"/>
      <w:lvlJc w:val="left"/>
      <w:pPr>
        <w:ind w:left="720" w:hanging="360"/>
      </w:pPr>
      <w:rPr>
        <w:rFonts w:ascii="Calibri Light" w:eastAsiaTheme="minorHAnsi" w:hAnsi="Calibri Light" w:cstheme="min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D3C1EA7"/>
    <w:multiLevelType w:val="multilevel"/>
    <w:tmpl w:val="51963F56"/>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E85CD2"/>
    <w:multiLevelType w:val="hybridMultilevel"/>
    <w:tmpl w:val="521A4340"/>
    <w:lvl w:ilvl="0" w:tplc="AB5803FC">
      <w:numFmt w:val="bullet"/>
      <w:lvlText w:val="-"/>
      <w:lvlJc w:val="left"/>
      <w:pPr>
        <w:ind w:left="360" w:hanging="360"/>
      </w:pPr>
      <w:rPr>
        <w:rFonts w:ascii="Calibri Light" w:eastAsiaTheme="minorHAnsi"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C4657BB"/>
    <w:multiLevelType w:val="hybridMultilevel"/>
    <w:tmpl w:val="A48C40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15"/>
  </w:num>
  <w:num w:numId="24">
    <w:abstractNumId w:val="19"/>
  </w:num>
  <w:num w:numId="25">
    <w:abstractNumId w:val="19"/>
  </w:num>
  <w:num w:numId="26">
    <w:abstractNumId w:val="19"/>
  </w:num>
  <w:num w:numId="27">
    <w:abstractNumId w:val="17"/>
  </w:num>
  <w:num w:numId="28">
    <w:abstractNumId w:val="11"/>
  </w:num>
  <w:num w:numId="29">
    <w:abstractNumId w:val="11"/>
  </w:num>
  <w:num w:numId="30">
    <w:abstractNumId w:val="11"/>
  </w:num>
  <w:num w:numId="31">
    <w:abstractNumId w:val="13"/>
  </w:num>
  <w:num w:numId="32">
    <w:abstractNumId w:val="23"/>
  </w:num>
  <w:num w:numId="33">
    <w:abstractNumId w:val="14"/>
  </w:num>
  <w:num w:numId="34">
    <w:abstractNumId w:val="16"/>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8"/>
  </w:num>
  <w:num w:numId="38">
    <w:abstractNumId w:val="2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trackRevisions/>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2080A"/>
    <w:rsid w:val="0002782F"/>
    <w:rsid w:val="00031486"/>
    <w:rsid w:val="00035BBF"/>
    <w:rsid w:val="000364A2"/>
    <w:rsid w:val="00050806"/>
    <w:rsid w:val="00053EF6"/>
    <w:rsid w:val="000546D9"/>
    <w:rsid w:val="00054E4D"/>
    <w:rsid w:val="00060073"/>
    <w:rsid w:val="000616C6"/>
    <w:rsid w:val="00062261"/>
    <w:rsid w:val="000854FD"/>
    <w:rsid w:val="00097F99"/>
    <w:rsid w:val="000A407E"/>
    <w:rsid w:val="000B37F5"/>
    <w:rsid w:val="000C4CC4"/>
    <w:rsid w:val="000D66D6"/>
    <w:rsid w:val="000E377C"/>
    <w:rsid w:val="000E6399"/>
    <w:rsid w:val="000F3699"/>
    <w:rsid w:val="00103CF5"/>
    <w:rsid w:val="00113288"/>
    <w:rsid w:val="001214BE"/>
    <w:rsid w:val="001259B2"/>
    <w:rsid w:val="00130475"/>
    <w:rsid w:val="0013101C"/>
    <w:rsid w:val="001461D6"/>
    <w:rsid w:val="001541EA"/>
    <w:rsid w:val="00164641"/>
    <w:rsid w:val="001718BF"/>
    <w:rsid w:val="001B6E7B"/>
    <w:rsid w:val="001D663E"/>
    <w:rsid w:val="001D76D7"/>
    <w:rsid w:val="001E1DC0"/>
    <w:rsid w:val="001E6D20"/>
    <w:rsid w:val="001F569A"/>
    <w:rsid w:val="002170A5"/>
    <w:rsid w:val="0023031D"/>
    <w:rsid w:val="00244229"/>
    <w:rsid w:val="00247C22"/>
    <w:rsid w:val="002761A6"/>
    <w:rsid w:val="0028602A"/>
    <w:rsid w:val="00294C1C"/>
    <w:rsid w:val="002B5E10"/>
    <w:rsid w:val="002B7E31"/>
    <w:rsid w:val="002C793D"/>
    <w:rsid w:val="002D5B25"/>
    <w:rsid w:val="002F4F2B"/>
    <w:rsid w:val="003002C0"/>
    <w:rsid w:val="00301144"/>
    <w:rsid w:val="003031C6"/>
    <w:rsid w:val="00304984"/>
    <w:rsid w:val="00312BF8"/>
    <w:rsid w:val="003148B7"/>
    <w:rsid w:val="003158C3"/>
    <w:rsid w:val="00321DEF"/>
    <w:rsid w:val="003274CD"/>
    <w:rsid w:val="00333501"/>
    <w:rsid w:val="003457C4"/>
    <w:rsid w:val="0035119D"/>
    <w:rsid w:val="003525CD"/>
    <w:rsid w:val="0035539B"/>
    <w:rsid w:val="00356793"/>
    <w:rsid w:val="0036671F"/>
    <w:rsid w:val="00372C5A"/>
    <w:rsid w:val="0039344A"/>
    <w:rsid w:val="003A71B5"/>
    <w:rsid w:val="003B4F12"/>
    <w:rsid w:val="003C6C4F"/>
    <w:rsid w:val="003D1A80"/>
    <w:rsid w:val="003F2041"/>
    <w:rsid w:val="00402ACC"/>
    <w:rsid w:val="00402F59"/>
    <w:rsid w:val="004120EC"/>
    <w:rsid w:val="00423F31"/>
    <w:rsid w:val="00431899"/>
    <w:rsid w:val="00434134"/>
    <w:rsid w:val="004544B9"/>
    <w:rsid w:val="00454ECB"/>
    <w:rsid w:val="0046537F"/>
    <w:rsid w:val="00482AE8"/>
    <w:rsid w:val="00486804"/>
    <w:rsid w:val="004942F6"/>
    <w:rsid w:val="004A1882"/>
    <w:rsid w:val="004B3775"/>
    <w:rsid w:val="004B5179"/>
    <w:rsid w:val="004B5CA4"/>
    <w:rsid w:val="004C0371"/>
    <w:rsid w:val="004D0BA0"/>
    <w:rsid w:val="004D3664"/>
    <w:rsid w:val="004E058F"/>
    <w:rsid w:val="004E3B87"/>
    <w:rsid w:val="0050016C"/>
    <w:rsid w:val="0050708E"/>
    <w:rsid w:val="00510921"/>
    <w:rsid w:val="00510A09"/>
    <w:rsid w:val="00510AD3"/>
    <w:rsid w:val="00513348"/>
    <w:rsid w:val="00513AD8"/>
    <w:rsid w:val="005204D2"/>
    <w:rsid w:val="00522396"/>
    <w:rsid w:val="00533B5D"/>
    <w:rsid w:val="00535328"/>
    <w:rsid w:val="00571643"/>
    <w:rsid w:val="00587953"/>
    <w:rsid w:val="00593261"/>
    <w:rsid w:val="005A20F6"/>
    <w:rsid w:val="005D2646"/>
    <w:rsid w:val="005D3655"/>
    <w:rsid w:val="005E4830"/>
    <w:rsid w:val="005E6BD6"/>
    <w:rsid w:val="0060069B"/>
    <w:rsid w:val="00616AE7"/>
    <w:rsid w:val="00622B86"/>
    <w:rsid w:val="00623BA1"/>
    <w:rsid w:val="006346BC"/>
    <w:rsid w:val="00634AAD"/>
    <w:rsid w:val="00645759"/>
    <w:rsid w:val="0066652A"/>
    <w:rsid w:val="00670C88"/>
    <w:rsid w:val="006719C3"/>
    <w:rsid w:val="006752FE"/>
    <w:rsid w:val="00680522"/>
    <w:rsid w:val="00682167"/>
    <w:rsid w:val="0068518F"/>
    <w:rsid w:val="006939F5"/>
    <w:rsid w:val="006A1CCD"/>
    <w:rsid w:val="006A51EA"/>
    <w:rsid w:val="006C2628"/>
    <w:rsid w:val="006C42AF"/>
    <w:rsid w:val="006F5BB5"/>
    <w:rsid w:val="00711D8E"/>
    <w:rsid w:val="00712672"/>
    <w:rsid w:val="0071292B"/>
    <w:rsid w:val="00734E3F"/>
    <w:rsid w:val="00736985"/>
    <w:rsid w:val="00745DF5"/>
    <w:rsid w:val="0074692E"/>
    <w:rsid w:val="0076250F"/>
    <w:rsid w:val="00780FA5"/>
    <w:rsid w:val="007A75B7"/>
    <w:rsid w:val="007B6200"/>
    <w:rsid w:val="007E4C01"/>
    <w:rsid w:val="007E556D"/>
    <w:rsid w:val="007F1CD8"/>
    <w:rsid w:val="007F3395"/>
    <w:rsid w:val="007F6D0D"/>
    <w:rsid w:val="00801B9F"/>
    <w:rsid w:val="0080204D"/>
    <w:rsid w:val="0080235A"/>
    <w:rsid w:val="00805E09"/>
    <w:rsid w:val="008322C6"/>
    <w:rsid w:val="0084191E"/>
    <w:rsid w:val="008475F0"/>
    <w:rsid w:val="008479DF"/>
    <w:rsid w:val="00851413"/>
    <w:rsid w:val="0085160B"/>
    <w:rsid w:val="008557A7"/>
    <w:rsid w:val="008560D3"/>
    <w:rsid w:val="00870928"/>
    <w:rsid w:val="00872AA6"/>
    <w:rsid w:val="00890062"/>
    <w:rsid w:val="0089405C"/>
    <w:rsid w:val="00897FA2"/>
    <w:rsid w:val="008A5AFE"/>
    <w:rsid w:val="008C5A0E"/>
    <w:rsid w:val="008F16DF"/>
    <w:rsid w:val="008F6A2F"/>
    <w:rsid w:val="008F6DBA"/>
    <w:rsid w:val="00911C77"/>
    <w:rsid w:val="00920DDD"/>
    <w:rsid w:val="00933BCB"/>
    <w:rsid w:val="00943730"/>
    <w:rsid w:val="00960777"/>
    <w:rsid w:val="00965398"/>
    <w:rsid w:val="00975CA5"/>
    <w:rsid w:val="009838B0"/>
    <w:rsid w:val="009859E0"/>
    <w:rsid w:val="00986590"/>
    <w:rsid w:val="00992C76"/>
    <w:rsid w:val="009969D6"/>
    <w:rsid w:val="009B3135"/>
    <w:rsid w:val="009B4D3B"/>
    <w:rsid w:val="009C0B47"/>
    <w:rsid w:val="009C5235"/>
    <w:rsid w:val="009D2BFF"/>
    <w:rsid w:val="009D7407"/>
    <w:rsid w:val="009E0866"/>
    <w:rsid w:val="009E273C"/>
    <w:rsid w:val="009F1350"/>
    <w:rsid w:val="009F6423"/>
    <w:rsid w:val="009F686F"/>
    <w:rsid w:val="00A24A62"/>
    <w:rsid w:val="00A31C9F"/>
    <w:rsid w:val="00A4144F"/>
    <w:rsid w:val="00A618CD"/>
    <w:rsid w:val="00A61B4D"/>
    <w:rsid w:val="00A80F95"/>
    <w:rsid w:val="00A82C60"/>
    <w:rsid w:val="00A91568"/>
    <w:rsid w:val="00A97BF1"/>
    <w:rsid w:val="00AA298A"/>
    <w:rsid w:val="00AA42E1"/>
    <w:rsid w:val="00AC164A"/>
    <w:rsid w:val="00AD17C6"/>
    <w:rsid w:val="00AE448A"/>
    <w:rsid w:val="00AF2050"/>
    <w:rsid w:val="00B02B2A"/>
    <w:rsid w:val="00B03CA8"/>
    <w:rsid w:val="00B15DA5"/>
    <w:rsid w:val="00B17E21"/>
    <w:rsid w:val="00B33C0A"/>
    <w:rsid w:val="00B42CBB"/>
    <w:rsid w:val="00B47EBB"/>
    <w:rsid w:val="00B55E19"/>
    <w:rsid w:val="00B71B0E"/>
    <w:rsid w:val="00B83F4D"/>
    <w:rsid w:val="00B857E1"/>
    <w:rsid w:val="00B94758"/>
    <w:rsid w:val="00BA4B6D"/>
    <w:rsid w:val="00BB26C5"/>
    <w:rsid w:val="00BC517B"/>
    <w:rsid w:val="00BF4DE6"/>
    <w:rsid w:val="00C01C50"/>
    <w:rsid w:val="00C05B4A"/>
    <w:rsid w:val="00C06B13"/>
    <w:rsid w:val="00C27D25"/>
    <w:rsid w:val="00C35791"/>
    <w:rsid w:val="00C42541"/>
    <w:rsid w:val="00C42CDE"/>
    <w:rsid w:val="00C42EB7"/>
    <w:rsid w:val="00C4336B"/>
    <w:rsid w:val="00C5182A"/>
    <w:rsid w:val="00C56948"/>
    <w:rsid w:val="00C60ED0"/>
    <w:rsid w:val="00C63EE9"/>
    <w:rsid w:val="00C754F3"/>
    <w:rsid w:val="00CA16F3"/>
    <w:rsid w:val="00CA37B1"/>
    <w:rsid w:val="00CB1959"/>
    <w:rsid w:val="00CC206E"/>
    <w:rsid w:val="00CC741B"/>
    <w:rsid w:val="00CD0E4B"/>
    <w:rsid w:val="00CE131B"/>
    <w:rsid w:val="00CE4C89"/>
    <w:rsid w:val="00CF07BA"/>
    <w:rsid w:val="00D0296C"/>
    <w:rsid w:val="00D32D6F"/>
    <w:rsid w:val="00D37B04"/>
    <w:rsid w:val="00D50FEB"/>
    <w:rsid w:val="00D540C6"/>
    <w:rsid w:val="00D64BD1"/>
    <w:rsid w:val="00D71A2E"/>
    <w:rsid w:val="00D92254"/>
    <w:rsid w:val="00DC328A"/>
    <w:rsid w:val="00DE084C"/>
    <w:rsid w:val="00DE28E0"/>
    <w:rsid w:val="00DF3127"/>
    <w:rsid w:val="00DF4710"/>
    <w:rsid w:val="00E12171"/>
    <w:rsid w:val="00E14F51"/>
    <w:rsid w:val="00E357B7"/>
    <w:rsid w:val="00E37507"/>
    <w:rsid w:val="00E53800"/>
    <w:rsid w:val="00E6081F"/>
    <w:rsid w:val="00E66DEA"/>
    <w:rsid w:val="00E75CA9"/>
    <w:rsid w:val="00E816D7"/>
    <w:rsid w:val="00E8296D"/>
    <w:rsid w:val="00E8457B"/>
    <w:rsid w:val="00EA04B2"/>
    <w:rsid w:val="00EA20F3"/>
    <w:rsid w:val="00ED2831"/>
    <w:rsid w:val="00ED43D1"/>
    <w:rsid w:val="00EE4EE1"/>
    <w:rsid w:val="00EF4574"/>
    <w:rsid w:val="00F00D18"/>
    <w:rsid w:val="00F0788E"/>
    <w:rsid w:val="00F25A93"/>
    <w:rsid w:val="00F2684E"/>
    <w:rsid w:val="00F33EFD"/>
    <w:rsid w:val="00F5404C"/>
    <w:rsid w:val="00F54D87"/>
    <w:rsid w:val="00F61B35"/>
    <w:rsid w:val="00F63797"/>
    <w:rsid w:val="00F6784A"/>
    <w:rsid w:val="00F67C6A"/>
    <w:rsid w:val="00F70218"/>
    <w:rsid w:val="00F729EF"/>
    <w:rsid w:val="00F77CAE"/>
    <w:rsid w:val="00F815CA"/>
    <w:rsid w:val="00F82271"/>
    <w:rsid w:val="00F82287"/>
    <w:rsid w:val="00F83428"/>
    <w:rsid w:val="00F96BB9"/>
    <w:rsid w:val="00FC6A1C"/>
    <w:rsid w:val="00FE3B8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40042B"/>
  <w15:docId w15:val="{CB626512-D580-4166-924B-2A309652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507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751">
      <w:bodyDiv w:val="1"/>
      <w:marLeft w:val="0"/>
      <w:marRight w:val="0"/>
      <w:marTop w:val="0"/>
      <w:marBottom w:val="0"/>
      <w:divBdr>
        <w:top w:val="none" w:sz="0" w:space="0" w:color="auto"/>
        <w:left w:val="none" w:sz="0" w:space="0" w:color="auto"/>
        <w:bottom w:val="none" w:sz="0" w:space="0" w:color="auto"/>
        <w:right w:val="none" w:sz="0" w:space="0" w:color="auto"/>
      </w:divBdr>
    </w:div>
    <w:div w:id="172384019">
      <w:bodyDiv w:val="1"/>
      <w:marLeft w:val="0"/>
      <w:marRight w:val="0"/>
      <w:marTop w:val="0"/>
      <w:marBottom w:val="0"/>
      <w:divBdr>
        <w:top w:val="none" w:sz="0" w:space="0" w:color="auto"/>
        <w:left w:val="none" w:sz="0" w:space="0" w:color="auto"/>
        <w:bottom w:val="none" w:sz="0" w:space="0" w:color="auto"/>
        <w:right w:val="none" w:sz="0" w:space="0" w:color="auto"/>
      </w:divBdr>
    </w:div>
    <w:div w:id="591397975">
      <w:bodyDiv w:val="1"/>
      <w:marLeft w:val="0"/>
      <w:marRight w:val="0"/>
      <w:marTop w:val="0"/>
      <w:marBottom w:val="0"/>
      <w:divBdr>
        <w:top w:val="none" w:sz="0" w:space="0" w:color="auto"/>
        <w:left w:val="none" w:sz="0" w:space="0" w:color="auto"/>
        <w:bottom w:val="none" w:sz="0" w:space="0" w:color="auto"/>
        <w:right w:val="none" w:sz="0" w:space="0" w:color="auto"/>
      </w:divBdr>
    </w:div>
    <w:div w:id="16335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1E196F240AF4F96E99D81A4FA8B0E" ma:contentTypeVersion="1" ma:contentTypeDescription="Create a new document." ma:contentTypeScope="" ma:versionID="0e39f1d64f41c2c011c13d2933f246f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DD85-19B7-4954-9910-F78601E6B8AB}">
  <ds:schemaRefs>
    <ds:schemaRef ds:uri="http://schemas.microsoft.com/sharepoint/v3/contenttype/forms"/>
  </ds:schemaRefs>
</ds:datastoreItem>
</file>

<file path=customXml/itemProps2.xml><?xml version="1.0" encoding="utf-8"?>
<ds:datastoreItem xmlns:ds="http://schemas.openxmlformats.org/officeDocument/2006/customXml" ds:itemID="{17C31FE8-87A9-445B-AD1A-E0F323F6E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C0B1D-C01F-4FDC-9BCB-865BD5435C2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A2EAA4E-A784-4240-A082-A0D41C8E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Fact sheet - aqua - single column</vt:lpstr>
    </vt:vector>
  </TitlesOfParts>
  <Company>Department of Foreign Affairs and Trade</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aqua - single column</dc:title>
  <dc:creator>Ben</dc:creator>
  <cp:lastModifiedBy>Orr, David</cp:lastModifiedBy>
  <cp:revision>3</cp:revision>
  <cp:lastPrinted>2018-03-08T02:07:00Z</cp:lastPrinted>
  <dcterms:created xsi:type="dcterms:W3CDTF">2018-03-21T04:02:00Z</dcterms:created>
  <dcterms:modified xsi:type="dcterms:W3CDTF">2018-03-21T22:39:00Z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6115c443-6f55-4ede-8352-eff5d1faf29a</vt:lpwstr>
  </property>
  <property fmtid="{D5CDD505-2E9C-101B-9397-08002B2CF9AE}" pid="3" name="ContentTypeId">
    <vt:lpwstr>0x01010041E1E196F240AF4F96E99D81A4FA8B0E</vt:lpwstr>
  </property>
  <property fmtid="{D5CDD505-2E9C-101B-9397-08002B2CF9AE}" pid="4" name="TemplateUrl">
    <vt:lpwstr/>
  </property>
  <property fmtid="{D5CDD505-2E9C-101B-9397-08002B2CF9AE}" pid="5" name="Order">
    <vt:r8>1500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SEC">
    <vt:lpwstr>UNCLASSIFIED</vt:lpwstr>
  </property>
  <property fmtid="{D5CDD505-2E9C-101B-9397-08002B2CF9AE}" pid="11" name="DLM">
    <vt:lpwstr>No DLM</vt:lpwstr>
  </property>
</Properties>
</file>