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9C" w:rsidRDefault="00F17731" w:rsidP="00816283">
      <w:pPr>
        <w:jc w:val="center"/>
        <w:rPr>
          <w:lang w:val="en-AU"/>
        </w:rPr>
      </w:pPr>
      <w:r>
        <w:rPr>
          <w:noProof/>
          <w:sz w:val="20"/>
          <w:lang w:val="en-AU" w:eastAsia="en-AU"/>
        </w:rPr>
        <w:drawing>
          <wp:inline distT="0" distB="0" distL="0" distR="0">
            <wp:extent cx="2705100" cy="1257300"/>
            <wp:effectExtent l="0" t="0" r="0" b="0"/>
            <wp:docPr id="1" name="Picture 1" descr="DFATcres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crest-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1257300"/>
                    </a:xfrm>
                    <a:prstGeom prst="rect">
                      <a:avLst/>
                    </a:prstGeom>
                    <a:noFill/>
                    <a:ln>
                      <a:noFill/>
                    </a:ln>
                  </pic:spPr>
                </pic:pic>
              </a:graphicData>
            </a:graphic>
          </wp:inline>
        </w:drawing>
      </w:r>
    </w:p>
    <w:p w:rsidR="00890AFB" w:rsidRDefault="00890AFB" w:rsidP="00F268E3">
      <w:pPr>
        <w:rPr>
          <w:bCs/>
          <w:lang w:val="en-AU"/>
        </w:rPr>
      </w:pPr>
      <w:bookmarkStart w:id="0" w:name="LetterDate"/>
      <w:bookmarkEnd w:id="0"/>
    </w:p>
    <w:p w:rsidR="00890AFB" w:rsidRDefault="00890AFB" w:rsidP="00F268E3">
      <w:pPr>
        <w:rPr>
          <w:bCs/>
          <w:lang w:val="en-AU"/>
        </w:rPr>
      </w:pPr>
    </w:p>
    <w:p w:rsidR="00F268E3" w:rsidRDefault="002F1AD7" w:rsidP="00F268E3">
      <w:pPr>
        <w:rPr>
          <w:lang w:val="en-AU"/>
        </w:rPr>
      </w:pPr>
      <w:r>
        <w:rPr>
          <w:lang w:val="en-AU"/>
        </w:rPr>
        <w:t>0</w:t>
      </w:r>
      <w:r w:rsidR="00CD41DD">
        <w:rPr>
          <w:lang w:val="en-AU"/>
        </w:rPr>
        <w:t>8</w:t>
      </w:r>
      <w:r>
        <w:rPr>
          <w:lang w:val="en-AU"/>
        </w:rPr>
        <w:t xml:space="preserve"> September</w:t>
      </w:r>
      <w:r w:rsidR="00890AFB">
        <w:rPr>
          <w:lang w:val="en-AU"/>
        </w:rPr>
        <w:t xml:space="preserve"> 2015</w:t>
      </w:r>
    </w:p>
    <w:p w:rsidR="007C3B0C" w:rsidRDefault="007C3B0C" w:rsidP="00F268E3">
      <w:pPr>
        <w:rPr>
          <w:lang w:val="en-AU"/>
        </w:rPr>
      </w:pPr>
    </w:p>
    <w:p w:rsidR="005D3E9C" w:rsidRDefault="002F1AD7">
      <w:pPr>
        <w:rPr>
          <w:b/>
          <w:lang w:val="en-AU"/>
        </w:rPr>
      </w:pPr>
      <w:r>
        <w:rPr>
          <w:b/>
          <w:lang w:val="en-AU"/>
        </w:rPr>
        <w:t>Australia notifies it has completed its internal requirements to enter t</w:t>
      </w:r>
      <w:r w:rsidR="00890AFB">
        <w:rPr>
          <w:b/>
          <w:lang w:val="en-AU"/>
        </w:rPr>
        <w:t>he First Protocol to Amend the AANZFTA</w:t>
      </w:r>
      <w:r>
        <w:rPr>
          <w:b/>
          <w:lang w:val="en-AU"/>
        </w:rPr>
        <w:t xml:space="preserve"> into force</w:t>
      </w:r>
    </w:p>
    <w:p w:rsidR="00890AFB" w:rsidRDefault="00890AFB">
      <w:pPr>
        <w:rPr>
          <w:b/>
          <w:lang w:val="en-AU"/>
        </w:rPr>
      </w:pPr>
    </w:p>
    <w:p w:rsidR="00890AFB" w:rsidRDefault="002F1AD7">
      <w:pPr>
        <w:rPr>
          <w:lang w:val="en-AU"/>
        </w:rPr>
      </w:pPr>
      <w:r>
        <w:rPr>
          <w:lang w:val="en-AU"/>
        </w:rPr>
        <w:t>On 1 September 2015, Australia notified the Parties to the Agreement Establishing the ASEAN-Australia-New Zealand Free Trade Area (AANZFTA) that it had completed its internal requirements to enter the First Protocol to Amend the AANZFTA (First Protocol) into force</w:t>
      </w:r>
      <w:r w:rsidR="00F950A3">
        <w:rPr>
          <w:lang w:val="en-AU"/>
        </w:rPr>
        <w:t>.</w:t>
      </w:r>
    </w:p>
    <w:p w:rsidR="002F1AD7" w:rsidRDefault="002F1AD7">
      <w:pPr>
        <w:rPr>
          <w:lang w:val="en-AU"/>
        </w:rPr>
      </w:pPr>
    </w:p>
    <w:p w:rsidR="002F1AD7" w:rsidRDefault="002F1AD7">
      <w:pPr>
        <w:rPr>
          <w:lang w:val="en-AU"/>
        </w:rPr>
      </w:pPr>
      <w:r>
        <w:rPr>
          <w:lang w:val="en-AU"/>
        </w:rPr>
        <w:t xml:space="preserve">The notification has triggered Article 5.2 of the First Protocol, which </w:t>
      </w:r>
      <w:r w:rsidR="00F04748">
        <w:rPr>
          <w:lang w:val="en-AU"/>
        </w:rPr>
        <w:t>states</w:t>
      </w:r>
      <w:r w:rsidR="00DE34F7">
        <w:rPr>
          <w:lang w:val="en-AU"/>
        </w:rPr>
        <w:t>, in part:</w:t>
      </w:r>
    </w:p>
    <w:p w:rsidR="00F04748" w:rsidRDefault="00F04748">
      <w:pPr>
        <w:rPr>
          <w:lang w:val="en-AU"/>
        </w:rPr>
      </w:pPr>
    </w:p>
    <w:p w:rsidR="00F04748" w:rsidRDefault="00F04748" w:rsidP="00F04748">
      <w:pPr>
        <w:ind w:left="567" w:right="524"/>
        <w:rPr>
          <w:lang w:val="en-AU"/>
        </w:rPr>
      </w:pPr>
      <w:r>
        <w:rPr>
          <w:lang w:val="en-AU"/>
        </w:rPr>
        <w:t>This Protocol shall enter into force 30 days after the date on which Australia, New Zealand and at least (4) ASEAN Member States have made such notifications.</w:t>
      </w:r>
    </w:p>
    <w:p w:rsidR="00F950A3" w:rsidRDefault="00F950A3">
      <w:pPr>
        <w:rPr>
          <w:lang w:val="en-AU"/>
        </w:rPr>
      </w:pPr>
    </w:p>
    <w:p w:rsidR="00F04748" w:rsidRDefault="00F04748">
      <w:pPr>
        <w:rPr>
          <w:lang w:val="en-AU"/>
        </w:rPr>
      </w:pPr>
      <w:r>
        <w:rPr>
          <w:lang w:val="en-AU"/>
        </w:rPr>
        <w:t xml:space="preserve">Australia is the last of this group to notify. As a result, the </w:t>
      </w:r>
      <w:r w:rsidR="00DE34F7">
        <w:rPr>
          <w:lang w:val="en-AU"/>
        </w:rPr>
        <w:t>F</w:t>
      </w:r>
      <w:r>
        <w:rPr>
          <w:lang w:val="en-AU"/>
        </w:rPr>
        <w:t xml:space="preserve">irst </w:t>
      </w:r>
      <w:r w:rsidR="00DE34F7">
        <w:rPr>
          <w:lang w:val="en-AU"/>
        </w:rPr>
        <w:t>P</w:t>
      </w:r>
      <w:r>
        <w:rPr>
          <w:lang w:val="en-AU"/>
        </w:rPr>
        <w:t xml:space="preserve">rotocol will </w:t>
      </w:r>
      <w:r w:rsidRPr="00DE34F7">
        <w:rPr>
          <w:b/>
          <w:lang w:val="en-AU"/>
        </w:rPr>
        <w:t>enter into force on 1 October 2015</w:t>
      </w:r>
      <w:r>
        <w:rPr>
          <w:lang w:val="en-AU"/>
        </w:rPr>
        <w:t>.</w:t>
      </w:r>
    </w:p>
    <w:p w:rsidR="00F04748" w:rsidRDefault="00F04748">
      <w:pPr>
        <w:rPr>
          <w:lang w:val="en-AU"/>
        </w:rPr>
      </w:pPr>
    </w:p>
    <w:p w:rsidR="00F04748" w:rsidRDefault="00F04748" w:rsidP="00F04748">
      <w:pPr>
        <w:rPr>
          <w:lang w:val="en-AU"/>
        </w:rPr>
      </w:pPr>
      <w:r>
        <w:rPr>
          <w:lang w:val="en-AU"/>
        </w:rPr>
        <w:t>It is expected</w:t>
      </w:r>
      <w:r w:rsidR="007856CC">
        <w:rPr>
          <w:lang w:val="en-AU"/>
        </w:rPr>
        <w:t xml:space="preserve"> that the First Protocol will </w:t>
      </w:r>
      <w:r>
        <w:rPr>
          <w:lang w:val="en-AU"/>
        </w:rPr>
        <w:t>enter into force for 10 countries on 1 October 2015: Australia, New Zealand, Brunei, Burma [Myanmar], Laos, Malaysia, the Philippines, Singapore, Thailand and Vietnam.  It is expected that the First Protocol will enter into force for Cambodia and Indonesia on 1 January 2016. Information on entry into force will be confirmed on the DFAT website.</w:t>
      </w:r>
    </w:p>
    <w:p w:rsidR="00F04748" w:rsidRDefault="00F04748" w:rsidP="00F04748">
      <w:pPr>
        <w:rPr>
          <w:lang w:val="en-AU"/>
        </w:rPr>
      </w:pPr>
    </w:p>
    <w:p w:rsidR="00F04748" w:rsidRDefault="00F950A3">
      <w:pPr>
        <w:rPr>
          <w:lang w:val="en-AU"/>
        </w:rPr>
      </w:pPr>
      <w:r>
        <w:rPr>
          <w:lang w:val="en-AU"/>
        </w:rPr>
        <w:t xml:space="preserve">The First Protocol builds on the existing </w:t>
      </w:r>
      <w:r w:rsidR="00BC0F1E">
        <w:rPr>
          <w:lang w:val="en-AU"/>
        </w:rPr>
        <w:t xml:space="preserve">AANZFTA </w:t>
      </w:r>
      <w:r>
        <w:rPr>
          <w:lang w:val="en-AU"/>
        </w:rPr>
        <w:t xml:space="preserve">Agreement and aims to further enhance opportunities for business to utilise the agreement. </w:t>
      </w:r>
      <w:r w:rsidR="00CD41DD">
        <w:rPr>
          <w:lang w:val="en-AU"/>
        </w:rPr>
        <w:t>More details can be found in the attached</w:t>
      </w:r>
      <w:r w:rsidR="00875088">
        <w:rPr>
          <w:lang w:val="en-AU"/>
        </w:rPr>
        <w:t xml:space="preserve"> </w:t>
      </w:r>
      <w:r w:rsidR="00C44041">
        <w:rPr>
          <w:lang w:val="en-AU"/>
        </w:rPr>
        <w:t xml:space="preserve">– </w:t>
      </w:r>
      <w:hyperlink r:id="rId10" w:history="1">
        <w:r w:rsidR="00643A8A">
          <w:rPr>
            <w:rStyle w:val="Hyperlink"/>
            <w:lang w:val="en-AU"/>
          </w:rPr>
          <w:t>AANZFTA First Protocol [PDF 60 KB]</w:t>
        </w:r>
      </w:hyperlink>
      <w:r>
        <w:rPr>
          <w:lang w:val="en-AU"/>
        </w:rPr>
        <w:t xml:space="preserve">. </w:t>
      </w:r>
    </w:p>
    <w:p w:rsidR="00F04748" w:rsidRDefault="00F04748">
      <w:pPr>
        <w:rPr>
          <w:lang w:val="en-AU"/>
        </w:rPr>
      </w:pPr>
    </w:p>
    <w:p w:rsidR="00F950A3" w:rsidRDefault="00F950A3">
      <w:pPr>
        <w:rPr>
          <w:lang w:val="en-AU"/>
        </w:rPr>
      </w:pPr>
      <w:r>
        <w:rPr>
          <w:lang w:val="en-AU"/>
        </w:rPr>
        <w:t xml:space="preserve">The key </w:t>
      </w:r>
      <w:r w:rsidR="00F17731">
        <w:rPr>
          <w:lang w:val="en-AU"/>
        </w:rPr>
        <w:t xml:space="preserve">changes </w:t>
      </w:r>
      <w:r>
        <w:rPr>
          <w:lang w:val="en-AU"/>
        </w:rPr>
        <w:t xml:space="preserve">affect the </w:t>
      </w:r>
      <w:r w:rsidR="00F17731">
        <w:rPr>
          <w:lang w:val="en-AU"/>
        </w:rPr>
        <w:t>implemen</w:t>
      </w:r>
      <w:r>
        <w:rPr>
          <w:lang w:val="en-AU"/>
        </w:rPr>
        <w:t xml:space="preserve">tation of the </w:t>
      </w:r>
      <w:r w:rsidR="00F17731">
        <w:rPr>
          <w:lang w:val="en-AU"/>
        </w:rPr>
        <w:t>r</w:t>
      </w:r>
      <w:r>
        <w:rPr>
          <w:lang w:val="en-AU"/>
        </w:rPr>
        <w:t>ules of origin and the AANZFTA Certificate of Origin</w:t>
      </w:r>
      <w:r w:rsidR="00F17731">
        <w:rPr>
          <w:lang w:val="en-AU"/>
        </w:rPr>
        <w:t xml:space="preserve"> (CoO) </w:t>
      </w:r>
      <w:r>
        <w:rPr>
          <w:lang w:val="en-AU"/>
        </w:rPr>
        <w:t xml:space="preserve">used to </w:t>
      </w:r>
      <w:r w:rsidR="007026D4">
        <w:rPr>
          <w:lang w:val="en-AU"/>
        </w:rPr>
        <w:t>claim</w:t>
      </w:r>
      <w:r>
        <w:rPr>
          <w:lang w:val="en-AU"/>
        </w:rPr>
        <w:t xml:space="preserve"> AAN</w:t>
      </w:r>
      <w:r w:rsidR="00DE34F7">
        <w:rPr>
          <w:lang w:val="en-AU"/>
        </w:rPr>
        <w:t>ZF</w:t>
      </w:r>
      <w:bookmarkStart w:id="1" w:name="_GoBack"/>
      <w:bookmarkEnd w:id="1"/>
      <w:r w:rsidR="00DE34F7">
        <w:rPr>
          <w:lang w:val="en-AU"/>
        </w:rPr>
        <w:t>TA preferential tariff rates.</w:t>
      </w:r>
    </w:p>
    <w:p w:rsidR="00D5132E" w:rsidRDefault="00BC0F1E" w:rsidP="00F04748">
      <w:pPr>
        <w:pStyle w:val="ListParagraph"/>
        <w:numPr>
          <w:ilvl w:val="0"/>
          <w:numId w:val="1"/>
        </w:numPr>
        <w:rPr>
          <w:lang w:val="en-AU"/>
        </w:rPr>
      </w:pPr>
      <w:r>
        <w:rPr>
          <w:lang w:val="en-AU"/>
        </w:rPr>
        <w:t>The original</w:t>
      </w:r>
      <w:r w:rsidR="00B25924">
        <w:rPr>
          <w:lang w:val="en-AU"/>
        </w:rPr>
        <w:t xml:space="preserve"> General Rule </w:t>
      </w:r>
      <w:r>
        <w:rPr>
          <w:lang w:val="en-AU"/>
        </w:rPr>
        <w:t>and</w:t>
      </w:r>
      <w:r w:rsidR="00B25924">
        <w:rPr>
          <w:lang w:val="en-AU"/>
        </w:rPr>
        <w:t xml:space="preserve"> partial product specific rules (PSR) schedule </w:t>
      </w:r>
      <w:r>
        <w:rPr>
          <w:lang w:val="en-AU"/>
        </w:rPr>
        <w:t>has been replaced by</w:t>
      </w:r>
      <w:r w:rsidR="00B25924">
        <w:rPr>
          <w:lang w:val="en-AU"/>
        </w:rPr>
        <w:t xml:space="preserve"> a full PSR schedule</w:t>
      </w:r>
      <w:r w:rsidR="00DE34F7">
        <w:rPr>
          <w:lang w:val="en-AU"/>
        </w:rPr>
        <w:t xml:space="preserve"> – i.e. a specific rule for each and every product</w:t>
      </w:r>
    </w:p>
    <w:p w:rsidR="00B25924" w:rsidRDefault="00D5132E" w:rsidP="00D5132E">
      <w:pPr>
        <w:pStyle w:val="ListParagraph"/>
        <w:numPr>
          <w:ilvl w:val="1"/>
          <w:numId w:val="1"/>
        </w:numPr>
        <w:rPr>
          <w:lang w:val="en-AU"/>
        </w:rPr>
      </w:pPr>
      <w:proofErr w:type="gramStart"/>
      <w:r>
        <w:rPr>
          <w:lang w:val="en-AU"/>
        </w:rPr>
        <w:t>this</w:t>
      </w:r>
      <w:proofErr w:type="gramEnd"/>
      <w:r>
        <w:rPr>
          <w:lang w:val="en-AU"/>
        </w:rPr>
        <w:t xml:space="preserve"> is a presentational change intended to make it easier for business to find the rule relevant to products of interest to them</w:t>
      </w:r>
      <w:r w:rsidR="00B25924">
        <w:rPr>
          <w:lang w:val="en-AU"/>
        </w:rPr>
        <w:t>.</w:t>
      </w:r>
    </w:p>
    <w:p w:rsidR="00B25924" w:rsidRDefault="00B25924" w:rsidP="00F04748">
      <w:pPr>
        <w:pStyle w:val="ListParagraph"/>
        <w:numPr>
          <w:ilvl w:val="0"/>
          <w:numId w:val="1"/>
        </w:numPr>
        <w:rPr>
          <w:lang w:val="en-AU"/>
        </w:rPr>
      </w:pPr>
      <w:r>
        <w:rPr>
          <w:lang w:val="en-AU"/>
        </w:rPr>
        <w:t xml:space="preserve">The nomenclature in which the PSR is </w:t>
      </w:r>
      <w:r w:rsidR="00D5132E">
        <w:rPr>
          <w:lang w:val="en-AU"/>
        </w:rPr>
        <w:t>written</w:t>
      </w:r>
      <w:r>
        <w:rPr>
          <w:lang w:val="en-AU"/>
        </w:rPr>
        <w:t xml:space="preserve"> has </w:t>
      </w:r>
      <w:r w:rsidR="00D5132E">
        <w:rPr>
          <w:lang w:val="en-AU"/>
        </w:rPr>
        <w:t>been updated</w:t>
      </w:r>
      <w:r>
        <w:rPr>
          <w:lang w:val="en-AU"/>
        </w:rPr>
        <w:t xml:space="preserve"> from the Haromonized Commodity </w:t>
      </w:r>
      <w:r w:rsidR="00AA037B">
        <w:rPr>
          <w:lang w:val="en-AU"/>
        </w:rPr>
        <w:t xml:space="preserve">Description and </w:t>
      </w:r>
      <w:r>
        <w:rPr>
          <w:lang w:val="en-AU"/>
        </w:rPr>
        <w:t>Coding System (HS) 2007 to HS 2012</w:t>
      </w:r>
    </w:p>
    <w:p w:rsidR="00B25924" w:rsidRDefault="00B25924" w:rsidP="00B25924">
      <w:pPr>
        <w:pStyle w:val="ListParagraph"/>
        <w:numPr>
          <w:ilvl w:val="1"/>
          <w:numId w:val="1"/>
        </w:numPr>
        <w:rPr>
          <w:lang w:val="en-AU"/>
        </w:rPr>
      </w:pPr>
      <w:proofErr w:type="gramStart"/>
      <w:r>
        <w:rPr>
          <w:lang w:val="en-AU"/>
        </w:rPr>
        <w:t>and</w:t>
      </w:r>
      <w:proofErr w:type="gramEnd"/>
      <w:r>
        <w:rPr>
          <w:lang w:val="en-AU"/>
        </w:rPr>
        <w:t xml:space="preserve"> introduces practices which will make it easier to move to new nomenclature in the future.</w:t>
      </w:r>
    </w:p>
    <w:p w:rsidR="00F04748" w:rsidRDefault="00F04748" w:rsidP="00D5132E">
      <w:pPr>
        <w:pStyle w:val="ListParagraph"/>
        <w:keepNext/>
        <w:numPr>
          <w:ilvl w:val="0"/>
          <w:numId w:val="1"/>
        </w:numPr>
        <w:rPr>
          <w:lang w:val="en-AU"/>
        </w:rPr>
      </w:pPr>
      <w:r>
        <w:rPr>
          <w:lang w:val="en-AU"/>
        </w:rPr>
        <w:lastRenderedPageBreak/>
        <w:t>There is a new CoO form with the main changes being to Boxes 7 and 9</w:t>
      </w:r>
    </w:p>
    <w:p w:rsidR="00F04748" w:rsidRDefault="00F04748" w:rsidP="00F04748">
      <w:pPr>
        <w:pStyle w:val="ListParagraph"/>
        <w:numPr>
          <w:ilvl w:val="1"/>
          <w:numId w:val="1"/>
        </w:numPr>
        <w:rPr>
          <w:lang w:val="en-AU"/>
        </w:rPr>
      </w:pPr>
      <w:r>
        <w:rPr>
          <w:lang w:val="en-AU"/>
        </w:rPr>
        <w:t xml:space="preserve">Box 7 makes more explicit the requirement to add the name of the company issuing a </w:t>
      </w:r>
      <w:r w:rsidRPr="00F04748">
        <w:rPr>
          <w:b/>
          <w:lang w:val="en-AU"/>
        </w:rPr>
        <w:t>Third Party Invoice</w:t>
      </w:r>
    </w:p>
    <w:p w:rsidR="00F04748" w:rsidRDefault="00F04748" w:rsidP="00F04748">
      <w:pPr>
        <w:pStyle w:val="ListParagraph"/>
        <w:numPr>
          <w:ilvl w:val="1"/>
          <w:numId w:val="1"/>
        </w:numPr>
        <w:rPr>
          <w:lang w:val="en-AU"/>
        </w:rPr>
      </w:pPr>
      <w:r>
        <w:rPr>
          <w:lang w:val="en-AU"/>
        </w:rPr>
        <w:t xml:space="preserve">Box 9 only requires the inclusion of </w:t>
      </w:r>
      <w:r w:rsidRPr="00F04748">
        <w:rPr>
          <w:b/>
          <w:lang w:val="en-AU"/>
        </w:rPr>
        <w:t>FOB</w:t>
      </w:r>
      <w:r>
        <w:rPr>
          <w:lang w:val="en-AU"/>
        </w:rPr>
        <w:t xml:space="preserve"> when regional value content is used to claim an AANZFTA concession</w:t>
      </w:r>
    </w:p>
    <w:p w:rsidR="00F04748" w:rsidRDefault="00F04748" w:rsidP="00F04748">
      <w:pPr>
        <w:pStyle w:val="ListParagraph"/>
        <w:numPr>
          <w:ilvl w:val="2"/>
          <w:numId w:val="1"/>
        </w:numPr>
        <w:rPr>
          <w:lang w:val="en-AU"/>
        </w:rPr>
      </w:pPr>
      <w:r>
        <w:rPr>
          <w:lang w:val="en-AU"/>
        </w:rPr>
        <w:t xml:space="preserve">Australian and New Zealand companies can continue the </w:t>
      </w:r>
      <w:r w:rsidR="00B25924">
        <w:rPr>
          <w:lang w:val="en-AU"/>
        </w:rPr>
        <w:t>current practice of including an “</w:t>
      </w:r>
      <w:r w:rsidR="00B25924" w:rsidRPr="00B25924">
        <w:rPr>
          <w:b/>
          <w:lang w:val="en-AU"/>
        </w:rPr>
        <w:t>Exporter Declaration</w:t>
      </w:r>
      <w:r w:rsidR="00B25924">
        <w:rPr>
          <w:lang w:val="en-AU"/>
        </w:rPr>
        <w:t>” stating the FOB value</w:t>
      </w:r>
    </w:p>
    <w:p w:rsidR="00B25924" w:rsidRDefault="00B25924" w:rsidP="00F04748">
      <w:pPr>
        <w:pStyle w:val="ListParagraph"/>
        <w:numPr>
          <w:ilvl w:val="2"/>
          <w:numId w:val="1"/>
        </w:numPr>
        <w:rPr>
          <w:lang w:val="en-AU"/>
        </w:rPr>
      </w:pPr>
      <w:proofErr w:type="gramStart"/>
      <w:r>
        <w:rPr>
          <w:lang w:val="en-AU"/>
        </w:rPr>
        <w:t>for</w:t>
      </w:r>
      <w:proofErr w:type="gramEnd"/>
      <w:r>
        <w:rPr>
          <w:lang w:val="en-AU"/>
        </w:rPr>
        <w:t xml:space="preserve"> exports to </w:t>
      </w:r>
      <w:r w:rsidRPr="00B25924">
        <w:rPr>
          <w:b/>
          <w:lang w:val="en-AU"/>
        </w:rPr>
        <w:t>Cambodia and Burma</w:t>
      </w:r>
      <w:r>
        <w:rPr>
          <w:lang w:val="en-AU"/>
        </w:rPr>
        <w:t xml:space="preserve"> (Myanmar), the FOB value is required for all CoOs for two (2) years from date of entry into force of the First Protocol.</w:t>
      </w:r>
    </w:p>
    <w:p w:rsidR="00B25924" w:rsidRDefault="00B25924" w:rsidP="00B25924">
      <w:pPr>
        <w:pStyle w:val="ListParagraph"/>
        <w:numPr>
          <w:ilvl w:val="1"/>
          <w:numId w:val="1"/>
        </w:numPr>
        <w:rPr>
          <w:lang w:val="en-AU"/>
        </w:rPr>
      </w:pPr>
      <w:r>
        <w:rPr>
          <w:lang w:val="en-AU"/>
        </w:rPr>
        <w:t xml:space="preserve">the </w:t>
      </w:r>
      <w:r>
        <w:rPr>
          <w:b/>
          <w:lang w:val="en-AU"/>
        </w:rPr>
        <w:t>O</w:t>
      </w:r>
      <w:r w:rsidRPr="00B25924">
        <w:rPr>
          <w:b/>
          <w:lang w:val="en-AU"/>
        </w:rPr>
        <w:t xml:space="preserve">verleaf </w:t>
      </w:r>
      <w:r>
        <w:rPr>
          <w:b/>
          <w:lang w:val="en-AU"/>
        </w:rPr>
        <w:t>N</w:t>
      </w:r>
      <w:r w:rsidRPr="00B25924">
        <w:rPr>
          <w:b/>
          <w:lang w:val="en-AU"/>
        </w:rPr>
        <w:t>otes</w:t>
      </w:r>
      <w:r w:rsidR="00A96359">
        <w:rPr>
          <w:lang w:val="en-AU"/>
        </w:rPr>
        <w:t xml:space="preserve"> have changes to</w:t>
      </w:r>
    </w:p>
    <w:p w:rsidR="00B25924" w:rsidRDefault="00A96359" w:rsidP="00B25924">
      <w:pPr>
        <w:pStyle w:val="ListParagraph"/>
        <w:numPr>
          <w:ilvl w:val="2"/>
          <w:numId w:val="1"/>
        </w:numPr>
        <w:rPr>
          <w:lang w:val="en-AU"/>
        </w:rPr>
      </w:pPr>
      <w:r>
        <w:rPr>
          <w:lang w:val="en-AU"/>
        </w:rPr>
        <w:t xml:space="preserve">paragraph 4 – </w:t>
      </w:r>
      <w:r w:rsidR="00B25924" w:rsidRPr="00DE34F7">
        <w:rPr>
          <w:b/>
          <w:lang w:val="en-AU"/>
        </w:rPr>
        <w:t>Origin Criteria</w:t>
      </w:r>
      <w:r w:rsidR="00B25924">
        <w:rPr>
          <w:lang w:val="en-AU"/>
        </w:rPr>
        <w:t xml:space="preserve"> –</w:t>
      </w:r>
      <w:r>
        <w:rPr>
          <w:lang w:val="en-AU"/>
        </w:rPr>
        <w:t xml:space="preserve"> </w:t>
      </w:r>
      <w:r w:rsidR="00B25924">
        <w:rPr>
          <w:lang w:val="en-AU"/>
        </w:rPr>
        <w:t>and the box immediately underneath, reflecting the move from a general rule and partial product specific rules (PSR) schedule to a full PSR schedule and no general rule</w:t>
      </w:r>
    </w:p>
    <w:p w:rsidR="00B25924" w:rsidRDefault="00B25924" w:rsidP="00B25924">
      <w:pPr>
        <w:pStyle w:val="ListParagraph"/>
        <w:numPr>
          <w:ilvl w:val="2"/>
          <w:numId w:val="1"/>
        </w:numPr>
        <w:rPr>
          <w:lang w:val="en-AU"/>
        </w:rPr>
      </w:pPr>
      <w:r>
        <w:rPr>
          <w:lang w:val="en-AU"/>
        </w:rPr>
        <w:t xml:space="preserve">paragraph 7, which details the changes to the </w:t>
      </w:r>
      <w:r w:rsidRPr="00DE34F7">
        <w:rPr>
          <w:b/>
          <w:lang w:val="en-AU"/>
        </w:rPr>
        <w:t>FOB requirement</w:t>
      </w:r>
      <w:r>
        <w:rPr>
          <w:lang w:val="en-AU"/>
        </w:rPr>
        <w:t>; and</w:t>
      </w:r>
    </w:p>
    <w:p w:rsidR="00B25924" w:rsidRDefault="00B25924" w:rsidP="00B25924">
      <w:pPr>
        <w:pStyle w:val="ListParagraph"/>
        <w:numPr>
          <w:ilvl w:val="2"/>
          <w:numId w:val="1"/>
        </w:numPr>
        <w:rPr>
          <w:lang w:val="en-AU"/>
        </w:rPr>
      </w:pPr>
      <w:proofErr w:type="gramStart"/>
      <w:r>
        <w:rPr>
          <w:lang w:val="en-AU"/>
        </w:rPr>
        <w:t>paragraph</w:t>
      </w:r>
      <w:proofErr w:type="gramEnd"/>
      <w:r>
        <w:rPr>
          <w:lang w:val="en-AU"/>
        </w:rPr>
        <w:t xml:space="preserve"> 9, which makes clearer the requirement to include the name of the company issuing the </w:t>
      </w:r>
      <w:r w:rsidRPr="00DE34F7">
        <w:rPr>
          <w:b/>
          <w:lang w:val="en-AU"/>
        </w:rPr>
        <w:t>Third Party Invoice</w:t>
      </w:r>
      <w:r>
        <w:rPr>
          <w:lang w:val="en-AU"/>
        </w:rPr>
        <w:t xml:space="preserve"> on the CoO.</w:t>
      </w:r>
    </w:p>
    <w:p w:rsidR="00B25924" w:rsidRDefault="00B25924" w:rsidP="00B25924">
      <w:pPr>
        <w:pStyle w:val="ListParagraph"/>
        <w:numPr>
          <w:ilvl w:val="0"/>
          <w:numId w:val="1"/>
        </w:numPr>
        <w:rPr>
          <w:lang w:val="en-AU"/>
        </w:rPr>
      </w:pPr>
      <w:r>
        <w:rPr>
          <w:lang w:val="en-AU"/>
        </w:rPr>
        <w:t>The continuation sheet reflects the changes to Box 9.</w:t>
      </w:r>
    </w:p>
    <w:p w:rsidR="00B25924" w:rsidRPr="00B25924" w:rsidRDefault="00B25924" w:rsidP="00B25924">
      <w:pPr>
        <w:rPr>
          <w:lang w:val="en-AU"/>
        </w:rPr>
      </w:pPr>
    </w:p>
    <w:p w:rsidR="00F04748" w:rsidRDefault="00DE34F7">
      <w:pPr>
        <w:rPr>
          <w:lang w:val="en-AU"/>
        </w:rPr>
      </w:pPr>
      <w:r>
        <w:rPr>
          <w:lang w:val="en-AU"/>
        </w:rPr>
        <w:t xml:space="preserve">The Issuing Bodies (Australian Chamber of Commerce and Industry and Australian Industry Group) are working to update their systems to be ready for the First Protocol’s entry into force. </w:t>
      </w:r>
      <w:r w:rsidR="00DB2A11">
        <w:rPr>
          <w:lang w:val="en-AU"/>
        </w:rPr>
        <w:t>They, along with the Department of Foreign Affairs and Trade,</w:t>
      </w:r>
      <w:r>
        <w:rPr>
          <w:lang w:val="en-AU"/>
        </w:rPr>
        <w:t xml:space="preserve"> are </w:t>
      </w:r>
      <w:r w:rsidRPr="00DE34F7">
        <w:rPr>
          <w:b/>
          <w:lang w:val="en-AU"/>
        </w:rPr>
        <w:t>targeting a 5</w:t>
      </w:r>
      <w:r w:rsidR="00DB2A11">
        <w:rPr>
          <w:b/>
          <w:lang w:val="en-AU"/>
        </w:rPr>
        <w:t> </w:t>
      </w:r>
      <w:r w:rsidRPr="00DE34F7">
        <w:rPr>
          <w:b/>
          <w:lang w:val="en-AU"/>
        </w:rPr>
        <w:t>October</w:t>
      </w:r>
      <w:r w:rsidR="00DB2A11">
        <w:rPr>
          <w:b/>
          <w:lang w:val="en-AU"/>
        </w:rPr>
        <w:t xml:space="preserve"> 2015</w:t>
      </w:r>
      <w:r w:rsidRPr="00DE34F7">
        <w:rPr>
          <w:b/>
          <w:lang w:val="en-AU"/>
        </w:rPr>
        <w:t xml:space="preserve"> start date</w:t>
      </w:r>
      <w:r>
        <w:rPr>
          <w:lang w:val="en-AU"/>
        </w:rPr>
        <w:t xml:space="preserve"> for the new requirements.</w:t>
      </w:r>
    </w:p>
    <w:p w:rsidR="00F04748" w:rsidRDefault="00F04748">
      <w:pPr>
        <w:rPr>
          <w:lang w:val="en-AU"/>
        </w:rPr>
      </w:pPr>
    </w:p>
    <w:p w:rsidR="00F17731" w:rsidRDefault="00F950A3">
      <w:pPr>
        <w:rPr>
          <w:lang w:val="en-AU"/>
        </w:rPr>
      </w:pPr>
      <w:r>
        <w:rPr>
          <w:lang w:val="en-AU"/>
        </w:rPr>
        <w:t xml:space="preserve">There will be a six month transition period </w:t>
      </w:r>
      <w:r w:rsidR="00BC0F1E">
        <w:rPr>
          <w:lang w:val="en-AU"/>
        </w:rPr>
        <w:t>where import authorities</w:t>
      </w:r>
      <w:r>
        <w:rPr>
          <w:lang w:val="en-AU"/>
        </w:rPr>
        <w:t xml:space="preserve"> will allow for greater flexibility to provide business time to familiarise </w:t>
      </w:r>
      <w:r w:rsidR="00F17731">
        <w:rPr>
          <w:lang w:val="en-AU"/>
        </w:rPr>
        <w:t>themselves</w:t>
      </w:r>
      <w:r>
        <w:rPr>
          <w:lang w:val="en-AU"/>
        </w:rPr>
        <w:t xml:space="preserve"> with the changes. </w:t>
      </w:r>
      <w:r w:rsidR="00F17731">
        <w:rPr>
          <w:lang w:val="en-AU"/>
        </w:rPr>
        <w:t>DFAT is working closely with the Department of Immigration and Border Protection and with Australia’s two CoO Issuing Bodies, Australian Industry Group and the Australian Chamber of Commerce and Industry, on preparations for the 1 October</w:t>
      </w:r>
      <w:r w:rsidR="00BC0F1E">
        <w:rPr>
          <w:lang w:val="en-AU"/>
        </w:rPr>
        <w:t xml:space="preserve"> 2015</w:t>
      </w:r>
      <w:r w:rsidR="00F17731">
        <w:rPr>
          <w:lang w:val="en-AU"/>
        </w:rPr>
        <w:t xml:space="preserve"> implementation date. </w:t>
      </w:r>
    </w:p>
    <w:p w:rsidR="00F17731" w:rsidRDefault="00F17731">
      <w:pPr>
        <w:rPr>
          <w:lang w:val="en-AU"/>
        </w:rPr>
      </w:pPr>
    </w:p>
    <w:p w:rsidR="00A96359" w:rsidRDefault="00F17731">
      <w:pPr>
        <w:rPr>
          <w:lang w:val="en-AU"/>
        </w:rPr>
      </w:pPr>
      <w:r>
        <w:rPr>
          <w:lang w:val="en-AU"/>
        </w:rPr>
        <w:t>Detailed information will be placed on the DFAT website in coming weeks</w:t>
      </w:r>
      <w:r w:rsidR="00A96359">
        <w:rPr>
          <w:lang w:val="en-AU"/>
        </w:rPr>
        <w:t>, including a guide for businesses using the First Protocol.</w:t>
      </w:r>
    </w:p>
    <w:p w:rsidR="00A96359" w:rsidRDefault="00A96359">
      <w:pPr>
        <w:rPr>
          <w:lang w:val="en-AU"/>
        </w:rPr>
      </w:pPr>
    </w:p>
    <w:p w:rsidR="00F17731" w:rsidRPr="00890AFB" w:rsidRDefault="00F17731">
      <w:pPr>
        <w:rPr>
          <w:lang w:val="en-AU"/>
        </w:rPr>
      </w:pPr>
      <w:r>
        <w:rPr>
          <w:lang w:val="en-AU"/>
        </w:rPr>
        <w:t xml:space="preserve">Enquiries can be directed to the DFAT AANZFTA enquiry </w:t>
      </w:r>
      <w:r w:rsidR="00F9411B">
        <w:rPr>
          <w:lang w:val="en-AU"/>
        </w:rPr>
        <w:t>point</w:t>
      </w:r>
      <w:r>
        <w:rPr>
          <w:lang w:val="en-AU"/>
        </w:rPr>
        <w:t xml:space="preserve"> [</w:t>
      </w:r>
      <w:hyperlink r:id="rId11" w:history="1">
        <w:r w:rsidRPr="00127D21">
          <w:rPr>
            <w:rStyle w:val="Hyperlink"/>
            <w:lang w:val="en-AU"/>
          </w:rPr>
          <w:t>asean.fta@dfat.gov.au</w:t>
        </w:r>
      </w:hyperlink>
      <w:r>
        <w:rPr>
          <w:lang w:val="en-AU"/>
        </w:rPr>
        <w:t xml:space="preserve">]. The Issuing Bodies will also be providing information on their arrangements for implementing the First Protocol. </w:t>
      </w:r>
    </w:p>
    <w:sectPr w:rsidR="00F17731" w:rsidRPr="00890AFB" w:rsidSect="00004C7C">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16" w:rsidRDefault="00263116">
      <w:r>
        <w:separator/>
      </w:r>
    </w:p>
  </w:endnote>
  <w:endnote w:type="continuationSeparator" w:id="0">
    <w:p w:rsidR="00263116" w:rsidRDefault="0026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F9" w:rsidRDefault="00191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F9" w:rsidRDefault="00191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F9" w:rsidRDefault="00191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16" w:rsidRDefault="00263116">
      <w:r>
        <w:separator/>
      </w:r>
    </w:p>
  </w:footnote>
  <w:footnote w:type="continuationSeparator" w:id="0">
    <w:p w:rsidR="00263116" w:rsidRDefault="00263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F9" w:rsidRDefault="00191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F9" w:rsidRDefault="001916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F9" w:rsidRDefault="00191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62D08"/>
    <w:multiLevelType w:val="multilevel"/>
    <w:tmpl w:val="0962720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FB"/>
    <w:rsid w:val="00004C7C"/>
    <w:rsid w:val="00064340"/>
    <w:rsid w:val="00072D4D"/>
    <w:rsid w:val="00091464"/>
    <w:rsid w:val="000C26A2"/>
    <w:rsid w:val="000E28F5"/>
    <w:rsid w:val="000E7093"/>
    <w:rsid w:val="001916F9"/>
    <w:rsid w:val="00227BCD"/>
    <w:rsid w:val="0026246A"/>
    <w:rsid w:val="00263116"/>
    <w:rsid w:val="002B4A15"/>
    <w:rsid w:val="002F1AD7"/>
    <w:rsid w:val="004E2AA8"/>
    <w:rsid w:val="005061B0"/>
    <w:rsid w:val="005559AF"/>
    <w:rsid w:val="0058109A"/>
    <w:rsid w:val="00597C34"/>
    <w:rsid w:val="005B38FC"/>
    <w:rsid w:val="005D3E9C"/>
    <w:rsid w:val="005E1105"/>
    <w:rsid w:val="006330AA"/>
    <w:rsid w:val="00643A8A"/>
    <w:rsid w:val="006E1E86"/>
    <w:rsid w:val="007026D4"/>
    <w:rsid w:val="00761373"/>
    <w:rsid w:val="007856CC"/>
    <w:rsid w:val="00786F56"/>
    <w:rsid w:val="007C3B0C"/>
    <w:rsid w:val="007C5B20"/>
    <w:rsid w:val="00804588"/>
    <w:rsid w:val="00816283"/>
    <w:rsid w:val="00824FE2"/>
    <w:rsid w:val="00875088"/>
    <w:rsid w:val="00890AFB"/>
    <w:rsid w:val="00892EC5"/>
    <w:rsid w:val="008B3220"/>
    <w:rsid w:val="0093758C"/>
    <w:rsid w:val="00951880"/>
    <w:rsid w:val="009C3732"/>
    <w:rsid w:val="00A06BC6"/>
    <w:rsid w:val="00A11409"/>
    <w:rsid w:val="00A21AFC"/>
    <w:rsid w:val="00A54431"/>
    <w:rsid w:val="00A96359"/>
    <w:rsid w:val="00AA037B"/>
    <w:rsid w:val="00B25924"/>
    <w:rsid w:val="00B35AA9"/>
    <w:rsid w:val="00BB5C6C"/>
    <w:rsid w:val="00BC0F1E"/>
    <w:rsid w:val="00BD1774"/>
    <w:rsid w:val="00C33493"/>
    <w:rsid w:val="00C44041"/>
    <w:rsid w:val="00C50C8F"/>
    <w:rsid w:val="00CD41DD"/>
    <w:rsid w:val="00D41BFC"/>
    <w:rsid w:val="00D5132E"/>
    <w:rsid w:val="00DB2A11"/>
    <w:rsid w:val="00DB58BC"/>
    <w:rsid w:val="00DE34F7"/>
    <w:rsid w:val="00DF6441"/>
    <w:rsid w:val="00E540C0"/>
    <w:rsid w:val="00E90E34"/>
    <w:rsid w:val="00EA7188"/>
    <w:rsid w:val="00F04748"/>
    <w:rsid w:val="00F17731"/>
    <w:rsid w:val="00F268E3"/>
    <w:rsid w:val="00F77AC4"/>
    <w:rsid w:val="00F9411B"/>
    <w:rsid w:val="00F95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0E7093"/>
  </w:style>
  <w:style w:type="character" w:styleId="Hyperlink">
    <w:name w:val="Hyperlink"/>
    <w:basedOn w:val="DefaultParagraphFont"/>
    <w:rsid w:val="00F950A3"/>
    <w:rPr>
      <w:color w:val="0000FF" w:themeColor="hyperlink"/>
      <w:u w:val="single"/>
    </w:rPr>
  </w:style>
  <w:style w:type="paragraph" w:styleId="BalloonText">
    <w:name w:val="Balloon Text"/>
    <w:basedOn w:val="Normal"/>
    <w:link w:val="BalloonTextChar"/>
    <w:rsid w:val="00786F56"/>
    <w:rPr>
      <w:rFonts w:ascii="Tahoma" w:hAnsi="Tahoma" w:cs="Tahoma"/>
      <w:sz w:val="16"/>
      <w:szCs w:val="16"/>
    </w:rPr>
  </w:style>
  <w:style w:type="character" w:customStyle="1" w:styleId="BalloonTextChar">
    <w:name w:val="Balloon Text Char"/>
    <w:basedOn w:val="DefaultParagraphFont"/>
    <w:link w:val="BalloonText"/>
    <w:rsid w:val="00786F56"/>
    <w:rPr>
      <w:rFonts w:ascii="Tahoma" w:hAnsi="Tahoma" w:cs="Tahoma"/>
      <w:sz w:val="16"/>
      <w:szCs w:val="16"/>
      <w:lang w:val="en-GB" w:eastAsia="en-US"/>
    </w:rPr>
  </w:style>
  <w:style w:type="character" w:customStyle="1" w:styleId="HeaderChar">
    <w:name w:val="Header Char"/>
    <w:basedOn w:val="DefaultParagraphFont"/>
    <w:link w:val="Header"/>
    <w:uiPriority w:val="99"/>
    <w:rsid w:val="00786F56"/>
    <w:rPr>
      <w:rFonts w:ascii="Times New Roman" w:hAnsi="Times New Roman"/>
      <w:sz w:val="24"/>
      <w:lang w:val="en-GB" w:eastAsia="en-US"/>
    </w:rPr>
  </w:style>
  <w:style w:type="paragraph" w:styleId="ListParagraph">
    <w:name w:val="List Paragraph"/>
    <w:basedOn w:val="Normal"/>
    <w:uiPriority w:val="34"/>
    <w:qFormat/>
    <w:rsid w:val="00F04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0E7093"/>
  </w:style>
  <w:style w:type="character" w:styleId="Hyperlink">
    <w:name w:val="Hyperlink"/>
    <w:basedOn w:val="DefaultParagraphFont"/>
    <w:rsid w:val="00F950A3"/>
    <w:rPr>
      <w:color w:val="0000FF" w:themeColor="hyperlink"/>
      <w:u w:val="single"/>
    </w:rPr>
  </w:style>
  <w:style w:type="paragraph" w:styleId="BalloonText">
    <w:name w:val="Balloon Text"/>
    <w:basedOn w:val="Normal"/>
    <w:link w:val="BalloonTextChar"/>
    <w:rsid w:val="00786F56"/>
    <w:rPr>
      <w:rFonts w:ascii="Tahoma" w:hAnsi="Tahoma" w:cs="Tahoma"/>
      <w:sz w:val="16"/>
      <w:szCs w:val="16"/>
    </w:rPr>
  </w:style>
  <w:style w:type="character" w:customStyle="1" w:styleId="BalloonTextChar">
    <w:name w:val="Balloon Text Char"/>
    <w:basedOn w:val="DefaultParagraphFont"/>
    <w:link w:val="BalloonText"/>
    <w:rsid w:val="00786F56"/>
    <w:rPr>
      <w:rFonts w:ascii="Tahoma" w:hAnsi="Tahoma" w:cs="Tahoma"/>
      <w:sz w:val="16"/>
      <w:szCs w:val="16"/>
      <w:lang w:val="en-GB" w:eastAsia="en-US"/>
    </w:rPr>
  </w:style>
  <w:style w:type="character" w:customStyle="1" w:styleId="HeaderChar">
    <w:name w:val="Header Char"/>
    <w:basedOn w:val="DefaultParagraphFont"/>
    <w:link w:val="Header"/>
    <w:uiPriority w:val="99"/>
    <w:rsid w:val="00786F56"/>
    <w:rPr>
      <w:rFonts w:ascii="Times New Roman" w:hAnsi="Times New Roman"/>
      <w:sz w:val="24"/>
      <w:lang w:val="en-GB" w:eastAsia="en-US"/>
    </w:rPr>
  </w:style>
  <w:style w:type="paragraph" w:styleId="ListParagraph">
    <w:name w:val="List Paragraph"/>
    <w:basedOn w:val="Normal"/>
    <w:uiPriority w:val="34"/>
    <w:qFormat/>
    <w:rsid w:val="00F04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2131">
      <w:bodyDiv w:val="1"/>
      <w:marLeft w:val="0"/>
      <w:marRight w:val="0"/>
      <w:marTop w:val="0"/>
      <w:marBottom w:val="0"/>
      <w:divBdr>
        <w:top w:val="none" w:sz="0" w:space="0" w:color="auto"/>
        <w:left w:val="none" w:sz="0" w:space="0" w:color="auto"/>
        <w:bottom w:val="none" w:sz="0" w:space="0" w:color="auto"/>
        <w:right w:val="none" w:sz="0" w:space="0" w:color="auto"/>
      </w:divBdr>
    </w:div>
    <w:div w:id="1356158093">
      <w:bodyDiv w:val="1"/>
      <w:marLeft w:val="0"/>
      <w:marRight w:val="0"/>
      <w:marTop w:val="0"/>
      <w:marBottom w:val="0"/>
      <w:divBdr>
        <w:top w:val="none" w:sz="0" w:space="0" w:color="auto"/>
        <w:left w:val="none" w:sz="0" w:space="0" w:color="auto"/>
        <w:bottom w:val="none" w:sz="0" w:space="0" w:color="auto"/>
        <w:right w:val="none" w:sz="0" w:space="0" w:color="auto"/>
      </w:divBdr>
    </w:div>
    <w:div w:id="1362589642">
      <w:bodyDiv w:val="1"/>
      <w:marLeft w:val="0"/>
      <w:marRight w:val="0"/>
      <w:marTop w:val="0"/>
      <w:marBottom w:val="0"/>
      <w:divBdr>
        <w:top w:val="none" w:sz="0" w:space="0" w:color="auto"/>
        <w:left w:val="none" w:sz="0" w:space="0" w:color="auto"/>
        <w:bottom w:val="none" w:sz="0" w:space="0" w:color="auto"/>
        <w:right w:val="none" w:sz="0" w:space="0" w:color="auto"/>
      </w:divBdr>
    </w:div>
    <w:div w:id="20867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ean.fta@dfa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fat.gov.au/trade/agreements/aanzfta/Documents/aanzfta-first-protocol-additional-information.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2594BD6693745A8381ADE9E4BEBD5" ma:contentTypeVersion="1" ma:contentTypeDescription="Create a new document." ma:contentTypeScope="" ma:versionID="0548e4fc2402218ecfc99fdc47ffcf7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7B2654-395D-4D9B-9E8F-36DA4EAA403C}"/>
</file>

<file path=customXml/itemProps2.xml><?xml version="1.0" encoding="utf-8"?>
<ds:datastoreItem xmlns:ds="http://schemas.openxmlformats.org/officeDocument/2006/customXml" ds:itemID="{8169E3BF-4671-48AA-878F-80BC58945ED7}"/>
</file>

<file path=customXml/itemProps3.xml><?xml version="1.0" encoding="utf-8"?>
<ds:datastoreItem xmlns:ds="http://schemas.openxmlformats.org/officeDocument/2006/customXml" ds:itemID="{C49C9AF4-D0E6-422A-B03E-13F94065CBED}"/>
</file>

<file path=customXml/itemProps4.xml><?xml version="1.0" encoding="utf-8"?>
<ds:datastoreItem xmlns:ds="http://schemas.openxmlformats.org/officeDocument/2006/customXml" ds:itemID="{019BACBC-FEB4-499B-8206-747A5BEFA8B3}"/>
</file>

<file path=docProps/app.xml><?xml version="1.0" encoding="utf-8"?>
<Properties xmlns="http://schemas.openxmlformats.org/officeDocument/2006/extended-properties" xmlns:vt="http://schemas.openxmlformats.org/officeDocument/2006/docPropsVTypes">
  <Template>5179BFE9</Template>
  <TotalTime>0</TotalTime>
  <Pages>2</Pages>
  <Words>699</Words>
  <Characters>3700</Characters>
  <Application>Microsoft Office Word</Application>
  <DocSecurity>0</DocSecurity>
  <Lines>30</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2015-09-08T05:46:00Z</dcterms:created>
  <dcterms:modified xsi:type="dcterms:W3CDTF">2015-09-08T05:51:00Z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0x0101008152594BD6693745A8381ADE9E4BEBD5</vt:lpwstr>
  </property>
  <property fmtid="{D5CDD505-2E9C-101B-9397-08002B2CF9AE}" pid="3" name="Order">
    <vt:r8>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