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16" w:rsidRPr="002D2B42" w:rsidRDefault="00F57616" w:rsidP="002E20EC">
      <w:pPr>
        <w:pStyle w:val="Title1"/>
        <w:spacing w:before="4080"/>
      </w:pPr>
      <w:proofErr w:type="spellStart"/>
      <w:r w:rsidRPr="002D2B42">
        <w:t>Reitaki</w:t>
      </w:r>
      <w:proofErr w:type="spellEnd"/>
    </w:p>
    <w:p w:rsidR="00C10A5C" w:rsidRPr="002D2B42" w:rsidRDefault="00C10A5C" w:rsidP="002E20EC">
      <w:pPr>
        <w:pStyle w:val="Title1"/>
        <w:spacing w:before="720"/>
      </w:pPr>
      <w:r w:rsidRPr="002D2B42">
        <w:t xml:space="preserve">Joint Report on the </w:t>
      </w:r>
    </w:p>
    <w:p w:rsidR="00F57616" w:rsidRPr="002D2B42" w:rsidRDefault="00F57616" w:rsidP="002D2B42">
      <w:pPr>
        <w:pStyle w:val="Title1"/>
      </w:pPr>
      <w:r w:rsidRPr="002D2B42">
        <w:t>Kiribati-Australia Partnership for Development</w:t>
      </w:r>
    </w:p>
    <w:p w:rsidR="00F57616" w:rsidRPr="002D2B42" w:rsidRDefault="00460856" w:rsidP="002D2B42">
      <w:pPr>
        <w:pStyle w:val="Title1"/>
      </w:pPr>
      <w:r w:rsidRPr="002D2B42">
        <w:t>Annual Talks</w:t>
      </w:r>
      <w:r w:rsidR="00F57616" w:rsidRPr="002D2B42">
        <w:t xml:space="preserve"> 2011</w:t>
      </w:r>
    </w:p>
    <w:p w:rsidR="00F57616" w:rsidRPr="00D17BDC" w:rsidRDefault="00F57616" w:rsidP="006A5382">
      <w:pPr>
        <w:spacing w:before="240" w:after="0" w:line="240" w:lineRule="auto"/>
        <w:rPr>
          <w:sz w:val="24"/>
          <w:szCs w:val="24"/>
        </w:rPr>
      </w:pPr>
    </w:p>
    <w:p w:rsidR="004B071C" w:rsidRPr="00D17BDC" w:rsidRDefault="004B071C" w:rsidP="006A5382">
      <w:pPr>
        <w:spacing w:before="240" w:after="0" w:line="240" w:lineRule="auto"/>
        <w:rPr>
          <w:sz w:val="24"/>
          <w:szCs w:val="24"/>
        </w:rPr>
        <w:sectPr w:rsidR="004B071C" w:rsidRPr="00D17BDC" w:rsidSect="004B071C">
          <w:headerReference w:type="even" r:id="rId12"/>
          <w:footerReference w:type="even" r:id="rId13"/>
          <w:footerReference w:type="default" r:id="rId14"/>
          <w:headerReference w:type="first" r:id="rId15"/>
          <w:footerReference w:type="first" r:id="rId16"/>
          <w:pgSz w:w="11906" w:h="16838" w:code="9"/>
          <w:pgMar w:top="1134" w:right="1134" w:bottom="1134" w:left="1134" w:header="567" w:footer="567" w:gutter="0"/>
          <w:pgBorders w:display="firstPage" w:offsetFrom="page">
            <w:top w:val="single" w:sz="12" w:space="24" w:color="000080"/>
            <w:left w:val="single" w:sz="12" w:space="24" w:color="000080"/>
            <w:bottom w:val="single" w:sz="12" w:space="24" w:color="000080"/>
            <w:right w:val="single" w:sz="12" w:space="24" w:color="000080"/>
          </w:pgBorders>
          <w:cols w:space="708"/>
          <w:docGrid w:linePitch="360"/>
        </w:sectPr>
      </w:pPr>
    </w:p>
    <w:p w:rsidR="00937714" w:rsidRPr="00D17BDC" w:rsidRDefault="00937714" w:rsidP="006A5382">
      <w:pPr>
        <w:pStyle w:val="Heading2"/>
        <w:spacing w:before="240" w:after="0"/>
        <w:jc w:val="center"/>
        <w:rPr>
          <w:rFonts w:ascii="Times New Roman" w:hAnsi="Times New Roman" w:cs="Times New Roman"/>
          <w:b w:val="0"/>
          <w:bCs w:val="0"/>
          <w:iCs w:val="0"/>
          <w:smallCaps w:val="0"/>
          <w:color w:val="5A9A98"/>
          <w:kern w:val="28"/>
          <w:sz w:val="24"/>
          <w:szCs w:val="24"/>
        </w:rPr>
      </w:pPr>
    </w:p>
    <w:p w:rsidR="002D2B42" w:rsidRPr="00D17BDC" w:rsidRDefault="004B071C" w:rsidP="00472C93">
      <w:pPr>
        <w:pStyle w:val="H1"/>
      </w:pPr>
      <w:r w:rsidRPr="00472C93">
        <w:t xml:space="preserve">Contents </w:t>
      </w:r>
    </w:p>
    <w:p w:rsidR="00DB4E4A" w:rsidRPr="00D17BDC" w:rsidRDefault="006A5382">
      <w:pPr>
        <w:pStyle w:val="TOC1"/>
        <w:tabs>
          <w:tab w:val="right" w:leader="dot" w:pos="9628"/>
        </w:tabs>
        <w:rPr>
          <w:rFonts w:ascii="Calibri" w:hAnsi="Calibri"/>
          <w:noProof/>
          <w:color w:val="auto"/>
        </w:rPr>
      </w:pPr>
      <w:r w:rsidRPr="00D17BDC">
        <w:rPr>
          <w:rFonts w:ascii="Times New Roman" w:hAnsi="Times New Roman"/>
          <w:b/>
          <w:bCs/>
          <w:smallCaps/>
          <w:color w:val="AD495D"/>
          <w:kern w:val="28"/>
          <w:sz w:val="24"/>
          <w:szCs w:val="24"/>
        </w:rPr>
        <w:fldChar w:fldCharType="begin"/>
      </w:r>
      <w:r w:rsidRPr="00D17BDC">
        <w:rPr>
          <w:rFonts w:ascii="Times New Roman" w:hAnsi="Times New Roman"/>
          <w:b/>
          <w:bCs/>
          <w:smallCaps/>
          <w:color w:val="AD495D"/>
          <w:kern w:val="28"/>
          <w:sz w:val="24"/>
          <w:szCs w:val="24"/>
        </w:rPr>
        <w:instrText xml:space="preserve"> TOC \o "1-3" \h \z \u </w:instrText>
      </w:r>
      <w:r w:rsidRPr="00D17BDC">
        <w:rPr>
          <w:rFonts w:ascii="Times New Roman" w:hAnsi="Times New Roman"/>
          <w:b/>
          <w:bCs/>
          <w:smallCaps/>
          <w:color w:val="AD495D"/>
          <w:kern w:val="28"/>
          <w:sz w:val="24"/>
          <w:szCs w:val="24"/>
        </w:rPr>
        <w:fldChar w:fldCharType="separate"/>
      </w:r>
      <w:hyperlink w:anchor="_Toc307062911" w:history="1">
        <w:r w:rsidR="00DB4E4A" w:rsidRPr="00D17BDC">
          <w:rPr>
            <w:rStyle w:val="Hyperlink"/>
            <w:noProof/>
            <w:kern w:val="28"/>
          </w:rPr>
          <w:t>1. Introduction</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_Toc307062911 \h </w:instrText>
        </w:r>
        <w:r w:rsidR="00DB4E4A" w:rsidRPr="00D17BDC">
          <w:rPr>
            <w:noProof/>
            <w:webHidden/>
          </w:rPr>
        </w:r>
        <w:r w:rsidR="00DB4E4A" w:rsidRPr="00D17BDC">
          <w:rPr>
            <w:noProof/>
            <w:webHidden/>
          </w:rPr>
          <w:fldChar w:fldCharType="separate"/>
        </w:r>
        <w:r w:rsidR="00015E51">
          <w:rPr>
            <w:noProof/>
            <w:webHidden/>
          </w:rPr>
          <w:t>3</w:t>
        </w:r>
        <w:r w:rsidR="00DB4E4A" w:rsidRPr="00D17BDC">
          <w:rPr>
            <w:noProof/>
            <w:webHidden/>
          </w:rPr>
          <w:fldChar w:fldCharType="end"/>
        </w:r>
      </w:hyperlink>
    </w:p>
    <w:p w:rsidR="00DB4E4A" w:rsidRPr="00D17BDC" w:rsidRDefault="00D00AA3">
      <w:pPr>
        <w:pStyle w:val="TOC1"/>
        <w:tabs>
          <w:tab w:val="right" w:leader="dot" w:pos="9628"/>
        </w:tabs>
        <w:rPr>
          <w:rFonts w:ascii="Calibri" w:hAnsi="Calibri"/>
          <w:noProof/>
          <w:color w:val="auto"/>
        </w:rPr>
      </w:pPr>
      <w:hyperlink w:anchor="_Toc307062912" w:history="1">
        <w:r w:rsidR="00DB4E4A" w:rsidRPr="00D17BDC">
          <w:rPr>
            <w:rStyle w:val="Hyperlink"/>
            <w:noProof/>
            <w:kern w:val="28"/>
          </w:rPr>
          <w:t>2. Review of progress</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_Toc307062912 \h </w:instrText>
        </w:r>
        <w:r w:rsidR="00DB4E4A" w:rsidRPr="00D17BDC">
          <w:rPr>
            <w:noProof/>
            <w:webHidden/>
          </w:rPr>
        </w:r>
        <w:r w:rsidR="00DB4E4A" w:rsidRPr="00D17BDC">
          <w:rPr>
            <w:noProof/>
            <w:webHidden/>
          </w:rPr>
          <w:fldChar w:fldCharType="separate"/>
        </w:r>
        <w:r w:rsidR="00015E51">
          <w:rPr>
            <w:noProof/>
            <w:webHidden/>
          </w:rPr>
          <w:t>3</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3" w:history="1">
        <w:r w:rsidR="00DB4E4A" w:rsidRPr="00D17BDC">
          <w:rPr>
            <w:rStyle w:val="Hyperlink"/>
            <w:noProof/>
            <w:kern w:val="28"/>
          </w:rPr>
          <w:t>Priority outcome 1: Improved standards in basic education</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_Toc307062913 \h </w:instrText>
        </w:r>
        <w:r w:rsidR="00DB4E4A" w:rsidRPr="00D17BDC">
          <w:rPr>
            <w:noProof/>
            <w:webHidden/>
          </w:rPr>
        </w:r>
        <w:r w:rsidR="00DB4E4A" w:rsidRPr="00D17BDC">
          <w:rPr>
            <w:noProof/>
            <w:webHidden/>
          </w:rPr>
          <w:fldChar w:fldCharType="separate"/>
        </w:r>
        <w:r w:rsidR="00015E51">
          <w:rPr>
            <w:noProof/>
            <w:webHidden/>
          </w:rPr>
          <w:t>4</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4" w:history="1">
        <w:r w:rsidR="00DB4E4A" w:rsidRPr="00D17BDC">
          <w:rPr>
            <w:rStyle w:val="Hyperlink"/>
            <w:noProof/>
            <w:kern w:val="28"/>
          </w:rPr>
          <w:t>Priority outcome 2: Workforce skills development</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_Toc307062914 \h </w:instrText>
        </w:r>
        <w:r w:rsidR="00DB4E4A" w:rsidRPr="00D17BDC">
          <w:rPr>
            <w:noProof/>
            <w:webHidden/>
          </w:rPr>
        </w:r>
        <w:r w:rsidR="00DB4E4A" w:rsidRPr="00D17BDC">
          <w:rPr>
            <w:noProof/>
            <w:webHidden/>
          </w:rPr>
          <w:fldChar w:fldCharType="separate"/>
        </w:r>
        <w:r w:rsidR="00015E51">
          <w:rPr>
            <w:noProof/>
            <w:webHidden/>
          </w:rPr>
          <w:t>5</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5" w:history="1">
        <w:r w:rsidR="00DB4E4A" w:rsidRPr="00D17BDC">
          <w:rPr>
            <w:rStyle w:val="Hyperlink"/>
            <w:noProof/>
            <w:kern w:val="28"/>
          </w:rPr>
          <w:t>Priority outcome 3: Improved growth and economic management</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_Toc307062915 \h </w:instrText>
        </w:r>
        <w:r w:rsidR="00DB4E4A" w:rsidRPr="00D17BDC">
          <w:rPr>
            <w:noProof/>
            <w:webHidden/>
          </w:rPr>
        </w:r>
        <w:r w:rsidR="00DB4E4A" w:rsidRPr="00D17BDC">
          <w:rPr>
            <w:noProof/>
            <w:webHidden/>
          </w:rPr>
          <w:fldChar w:fldCharType="separate"/>
        </w:r>
        <w:r w:rsidR="00015E51">
          <w:rPr>
            <w:noProof/>
            <w:webHidden/>
          </w:rPr>
          <w:t>8</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6" w:history="1">
        <w:r w:rsidR="00DB4E4A" w:rsidRPr="00D17BDC">
          <w:rPr>
            <w:rStyle w:val="Hyperlink"/>
            <w:noProof/>
            <w:kern w:val="28"/>
          </w:rPr>
          <w:t>Support for other sectors</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_Toc307062916 \h </w:instrText>
        </w:r>
        <w:r w:rsidR="00DB4E4A" w:rsidRPr="00D17BDC">
          <w:rPr>
            <w:noProof/>
            <w:webHidden/>
          </w:rPr>
        </w:r>
        <w:r w:rsidR="00DB4E4A" w:rsidRPr="00D17BDC">
          <w:rPr>
            <w:noProof/>
            <w:webHidden/>
          </w:rPr>
          <w:fldChar w:fldCharType="separate"/>
        </w:r>
        <w:r w:rsidR="00015E51">
          <w:rPr>
            <w:noProof/>
            <w:webHidden/>
          </w:rPr>
          <w:t>11</w:t>
        </w:r>
        <w:r w:rsidR="00DB4E4A" w:rsidRPr="00D17BDC">
          <w:rPr>
            <w:noProof/>
            <w:webHidden/>
          </w:rPr>
          <w:fldChar w:fldCharType="end"/>
        </w:r>
      </w:hyperlink>
    </w:p>
    <w:p w:rsidR="00DB4E4A" w:rsidRPr="00D17BDC" w:rsidRDefault="00D00AA3">
      <w:pPr>
        <w:pStyle w:val="TOC1"/>
        <w:tabs>
          <w:tab w:val="right" w:leader="dot" w:pos="9628"/>
        </w:tabs>
        <w:rPr>
          <w:rFonts w:ascii="Calibri" w:hAnsi="Calibri"/>
          <w:noProof/>
          <w:color w:val="auto"/>
        </w:rPr>
      </w:pPr>
      <w:hyperlink w:anchor="_Toc307062917" w:history="1">
        <w:r w:rsidR="00DB4E4A" w:rsidRPr="00D17BDC">
          <w:rPr>
            <w:rStyle w:val="Hyperlink"/>
            <w:noProof/>
            <w:kern w:val="28"/>
          </w:rPr>
          <w:t>3. Crosscutting themes</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_Toc307062917 \h </w:instrText>
        </w:r>
        <w:r w:rsidR="00DB4E4A" w:rsidRPr="00D17BDC">
          <w:rPr>
            <w:noProof/>
            <w:webHidden/>
          </w:rPr>
        </w:r>
        <w:r w:rsidR="00DB4E4A" w:rsidRPr="00D17BDC">
          <w:rPr>
            <w:noProof/>
            <w:webHidden/>
          </w:rPr>
          <w:fldChar w:fldCharType="separate"/>
        </w:r>
        <w:r w:rsidR="00015E51">
          <w:rPr>
            <w:noProof/>
            <w:webHidden/>
          </w:rPr>
          <w:t>13</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8" w:history="1">
        <w:r w:rsidR="00DB4E4A" w:rsidRPr="00D17BDC">
          <w:rPr>
            <w:rStyle w:val="Hyperlink"/>
            <w:noProof/>
            <w:kern w:val="28"/>
          </w:rPr>
          <w:t>Keeping the Partnership for Development tightly focused</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_Toc307062918 \h </w:instrText>
        </w:r>
        <w:r w:rsidR="00DB4E4A" w:rsidRPr="00D17BDC">
          <w:rPr>
            <w:noProof/>
            <w:webHidden/>
          </w:rPr>
        </w:r>
        <w:r w:rsidR="00DB4E4A" w:rsidRPr="00D17BDC">
          <w:rPr>
            <w:noProof/>
            <w:webHidden/>
          </w:rPr>
          <w:fldChar w:fldCharType="separate"/>
        </w:r>
        <w:r w:rsidR="00015E51">
          <w:rPr>
            <w:noProof/>
            <w:webHidden/>
          </w:rPr>
          <w:t>13</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19" w:history="1">
        <w:r w:rsidR="00DB4E4A" w:rsidRPr="00D17BDC">
          <w:rPr>
            <w:rStyle w:val="Hyperlink"/>
            <w:noProof/>
            <w:kern w:val="28"/>
          </w:rPr>
          <w:t>Improving development effectiveness by supporting GoK strategic planning and implementation capacity</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_Toc307062919 \h </w:instrText>
        </w:r>
        <w:r w:rsidR="00DB4E4A" w:rsidRPr="00D17BDC">
          <w:rPr>
            <w:noProof/>
            <w:webHidden/>
          </w:rPr>
        </w:r>
        <w:r w:rsidR="00DB4E4A" w:rsidRPr="00D17BDC">
          <w:rPr>
            <w:noProof/>
            <w:webHidden/>
          </w:rPr>
          <w:fldChar w:fldCharType="separate"/>
        </w:r>
        <w:r w:rsidR="00015E51">
          <w:rPr>
            <w:noProof/>
            <w:webHidden/>
          </w:rPr>
          <w:t>13</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20" w:history="1">
        <w:r w:rsidR="00DB4E4A" w:rsidRPr="00D17BDC">
          <w:rPr>
            <w:rStyle w:val="Hyperlink"/>
            <w:noProof/>
          </w:rPr>
          <w:t xml:space="preserve">Developing new performance-linked aid </w:t>
        </w:r>
        <w:r w:rsidR="00070BE9">
          <w:rPr>
            <w:rStyle w:val="Hyperlink"/>
            <w:noProof/>
          </w:rPr>
          <w:t>initiatives</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_Toc307062920 \h </w:instrText>
        </w:r>
        <w:r w:rsidR="00DB4E4A" w:rsidRPr="00D17BDC">
          <w:rPr>
            <w:noProof/>
            <w:webHidden/>
          </w:rPr>
        </w:r>
        <w:r w:rsidR="00DB4E4A" w:rsidRPr="00D17BDC">
          <w:rPr>
            <w:noProof/>
            <w:webHidden/>
          </w:rPr>
          <w:fldChar w:fldCharType="separate"/>
        </w:r>
        <w:r w:rsidR="00015E51">
          <w:rPr>
            <w:noProof/>
            <w:webHidden/>
          </w:rPr>
          <w:t>14</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21" w:history="1">
        <w:r w:rsidR="00DB4E4A" w:rsidRPr="00D17BDC">
          <w:rPr>
            <w:rStyle w:val="Hyperlink"/>
            <w:noProof/>
            <w:kern w:val="28"/>
          </w:rPr>
          <w:t>The bilateral’s role where multilateral organisations take the lead</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_Toc307062921 \h </w:instrText>
        </w:r>
        <w:r w:rsidR="00DB4E4A" w:rsidRPr="00D17BDC">
          <w:rPr>
            <w:noProof/>
            <w:webHidden/>
          </w:rPr>
        </w:r>
        <w:r w:rsidR="00DB4E4A" w:rsidRPr="00D17BDC">
          <w:rPr>
            <w:noProof/>
            <w:webHidden/>
          </w:rPr>
          <w:fldChar w:fldCharType="separate"/>
        </w:r>
        <w:r w:rsidR="00015E51">
          <w:rPr>
            <w:noProof/>
            <w:webHidden/>
          </w:rPr>
          <w:t>15</w:t>
        </w:r>
        <w:r w:rsidR="00DB4E4A" w:rsidRPr="00D17BDC">
          <w:rPr>
            <w:noProof/>
            <w:webHidden/>
          </w:rPr>
          <w:fldChar w:fldCharType="end"/>
        </w:r>
      </w:hyperlink>
    </w:p>
    <w:p w:rsidR="00DB4E4A" w:rsidRPr="00D17BDC" w:rsidRDefault="00D00AA3">
      <w:pPr>
        <w:pStyle w:val="TOC2"/>
        <w:tabs>
          <w:tab w:val="right" w:leader="dot" w:pos="9628"/>
        </w:tabs>
        <w:rPr>
          <w:rFonts w:ascii="Calibri" w:hAnsi="Calibri"/>
          <w:noProof/>
          <w:color w:val="auto"/>
        </w:rPr>
      </w:pPr>
      <w:hyperlink w:anchor="_Toc307062922" w:history="1">
        <w:r w:rsidR="00DB4E4A" w:rsidRPr="00D17BDC">
          <w:rPr>
            <w:rStyle w:val="Hyperlink"/>
            <w:noProof/>
            <w:kern w:val="28"/>
          </w:rPr>
          <w:t>Revisiting the Partnership Targets to align behind KDP 2012–15</w:t>
        </w:r>
        <w:r w:rsidR="00DB4E4A" w:rsidRPr="00D17BDC">
          <w:rPr>
            <w:noProof/>
            <w:webHidden/>
          </w:rPr>
          <w:tab/>
        </w:r>
        <w:r w:rsidR="00DB4E4A" w:rsidRPr="00D17BDC">
          <w:rPr>
            <w:noProof/>
            <w:webHidden/>
          </w:rPr>
          <w:fldChar w:fldCharType="begin"/>
        </w:r>
        <w:r w:rsidR="00DB4E4A" w:rsidRPr="00D17BDC">
          <w:rPr>
            <w:noProof/>
            <w:webHidden/>
          </w:rPr>
          <w:instrText xml:space="preserve"> PAGEREF _Toc307062922 \h </w:instrText>
        </w:r>
        <w:r w:rsidR="00DB4E4A" w:rsidRPr="00D17BDC">
          <w:rPr>
            <w:noProof/>
            <w:webHidden/>
          </w:rPr>
        </w:r>
        <w:r w:rsidR="00DB4E4A" w:rsidRPr="00D17BDC">
          <w:rPr>
            <w:noProof/>
            <w:webHidden/>
          </w:rPr>
          <w:fldChar w:fldCharType="separate"/>
        </w:r>
        <w:r w:rsidR="00015E51">
          <w:rPr>
            <w:noProof/>
            <w:webHidden/>
          </w:rPr>
          <w:t>15</w:t>
        </w:r>
        <w:r w:rsidR="00DB4E4A" w:rsidRPr="00D17BDC">
          <w:rPr>
            <w:noProof/>
            <w:webHidden/>
          </w:rPr>
          <w:fldChar w:fldCharType="end"/>
        </w:r>
      </w:hyperlink>
    </w:p>
    <w:p w:rsidR="006A5382" w:rsidRPr="00D17BDC" w:rsidRDefault="006A5382" w:rsidP="006A5382">
      <w:pPr>
        <w:pStyle w:val="Heading2"/>
        <w:spacing w:before="240" w:after="0"/>
        <w:rPr>
          <w:rFonts w:ascii="Times New Roman" w:hAnsi="Times New Roman" w:cs="Times New Roman"/>
          <w:b w:val="0"/>
          <w:bCs w:val="0"/>
          <w:smallCaps w:val="0"/>
          <w:color w:val="AD495D"/>
          <w:kern w:val="28"/>
          <w:sz w:val="24"/>
          <w:szCs w:val="24"/>
        </w:rPr>
      </w:pPr>
      <w:r w:rsidRPr="00D17BDC">
        <w:rPr>
          <w:rFonts w:ascii="Times New Roman" w:hAnsi="Times New Roman" w:cs="Times New Roman"/>
          <w:b w:val="0"/>
          <w:bCs w:val="0"/>
          <w:smallCaps w:val="0"/>
          <w:color w:val="AD495D"/>
          <w:kern w:val="28"/>
          <w:sz w:val="24"/>
          <w:szCs w:val="24"/>
        </w:rPr>
        <w:fldChar w:fldCharType="end"/>
      </w:r>
    </w:p>
    <w:p w:rsidR="00937714" w:rsidRPr="00D17BDC" w:rsidRDefault="006A5382" w:rsidP="006A5382">
      <w:pPr>
        <w:pStyle w:val="Heading1"/>
        <w:rPr>
          <w:iCs/>
          <w:color w:val="5A9A98"/>
          <w:kern w:val="28"/>
        </w:rPr>
      </w:pPr>
      <w:r w:rsidRPr="00D17BDC">
        <w:rPr>
          <w:kern w:val="28"/>
        </w:rPr>
        <w:br w:type="page"/>
      </w:r>
      <w:bookmarkStart w:id="0" w:name="_Toc307062911"/>
      <w:r w:rsidRPr="00D17BDC">
        <w:rPr>
          <w:kern w:val="28"/>
        </w:rPr>
        <w:lastRenderedPageBreak/>
        <w:t xml:space="preserve">1. </w:t>
      </w:r>
      <w:r w:rsidR="009E05D4" w:rsidRPr="00D17BDC">
        <w:rPr>
          <w:kern w:val="28"/>
        </w:rPr>
        <w:t>Introduction</w:t>
      </w:r>
      <w:bookmarkEnd w:id="0"/>
    </w:p>
    <w:p w:rsidR="004B071C" w:rsidRPr="00D17BDC" w:rsidRDefault="004B071C" w:rsidP="004B071C">
      <w:pPr>
        <w:spacing w:before="240" w:after="0" w:line="240" w:lineRule="auto"/>
        <w:rPr>
          <w:rFonts w:ascii="Times New Roman" w:hAnsi="Times New Roman"/>
          <w:sz w:val="24"/>
          <w:szCs w:val="24"/>
        </w:rPr>
      </w:pPr>
      <w:r w:rsidRPr="00D17BDC">
        <w:rPr>
          <w:rFonts w:ascii="Times New Roman" w:hAnsi="Times New Roman"/>
          <w:sz w:val="24"/>
          <w:szCs w:val="24"/>
        </w:rPr>
        <w:t xml:space="preserve">The </w:t>
      </w:r>
      <w:r w:rsidRPr="00D17BDC">
        <w:rPr>
          <w:rFonts w:ascii="Times New Roman" w:hAnsi="Times New Roman"/>
          <w:i/>
          <w:sz w:val="24"/>
          <w:szCs w:val="24"/>
        </w:rPr>
        <w:t>Kiribati-Australia Partnership for Development</w:t>
      </w:r>
      <w:r w:rsidRPr="00D17BDC">
        <w:rPr>
          <w:rFonts w:ascii="Times New Roman" w:hAnsi="Times New Roman"/>
          <w:sz w:val="24"/>
          <w:szCs w:val="24"/>
        </w:rPr>
        <w:t xml:space="preserve"> (the Partnership) was signed</w:t>
      </w:r>
      <w:r w:rsidR="00B51529" w:rsidRPr="00D17BDC">
        <w:rPr>
          <w:rFonts w:ascii="Times New Roman" w:hAnsi="Times New Roman"/>
          <w:sz w:val="24"/>
          <w:szCs w:val="24"/>
        </w:rPr>
        <w:t xml:space="preserve"> in January 2009</w:t>
      </w:r>
      <w:r w:rsidR="009E05D4" w:rsidRPr="00D17BDC">
        <w:rPr>
          <w:rFonts w:ascii="Times New Roman" w:hAnsi="Times New Roman"/>
          <w:sz w:val="24"/>
          <w:szCs w:val="24"/>
        </w:rPr>
        <w:t xml:space="preserve">. </w:t>
      </w:r>
      <w:r w:rsidR="00B51529" w:rsidRPr="00D17BDC">
        <w:rPr>
          <w:rFonts w:ascii="Times New Roman" w:hAnsi="Times New Roman"/>
          <w:sz w:val="24"/>
          <w:szCs w:val="24"/>
        </w:rPr>
        <w:t xml:space="preserve">Both </w:t>
      </w:r>
      <w:r w:rsidR="003C43DB" w:rsidRPr="00D17BDC">
        <w:rPr>
          <w:rFonts w:ascii="Times New Roman" w:hAnsi="Times New Roman"/>
          <w:sz w:val="24"/>
          <w:szCs w:val="24"/>
        </w:rPr>
        <w:t>g</w:t>
      </w:r>
      <w:r w:rsidRPr="00D17BDC">
        <w:rPr>
          <w:rFonts w:ascii="Times New Roman" w:hAnsi="Times New Roman"/>
          <w:sz w:val="24"/>
          <w:szCs w:val="24"/>
        </w:rPr>
        <w:t xml:space="preserve">overnments agreed the priority areas for Australian aid are human resources development and improving </w:t>
      </w:r>
      <w:r w:rsidR="00B51529" w:rsidRPr="00D17BDC">
        <w:rPr>
          <w:rFonts w:ascii="Times New Roman" w:hAnsi="Times New Roman"/>
          <w:sz w:val="24"/>
          <w:szCs w:val="24"/>
        </w:rPr>
        <w:t xml:space="preserve">economic </w:t>
      </w:r>
      <w:r w:rsidR="00FE4F3D" w:rsidRPr="00D17BDC">
        <w:rPr>
          <w:rFonts w:ascii="Times New Roman" w:hAnsi="Times New Roman"/>
          <w:sz w:val="24"/>
          <w:szCs w:val="24"/>
        </w:rPr>
        <w:t xml:space="preserve">and public financial </w:t>
      </w:r>
      <w:r w:rsidR="00B51529" w:rsidRPr="00D17BDC">
        <w:rPr>
          <w:rFonts w:ascii="Times New Roman" w:hAnsi="Times New Roman"/>
          <w:sz w:val="24"/>
          <w:szCs w:val="24"/>
        </w:rPr>
        <w:t>governance</w:t>
      </w:r>
      <w:r w:rsidRPr="00D17BDC">
        <w:rPr>
          <w:rFonts w:ascii="Times New Roman" w:hAnsi="Times New Roman"/>
          <w:sz w:val="24"/>
          <w:szCs w:val="24"/>
        </w:rPr>
        <w:t xml:space="preserve"> and </w:t>
      </w:r>
      <w:r w:rsidR="00B51529" w:rsidRPr="00D17BDC">
        <w:rPr>
          <w:rFonts w:ascii="Times New Roman" w:hAnsi="Times New Roman"/>
          <w:sz w:val="24"/>
          <w:szCs w:val="24"/>
        </w:rPr>
        <w:t xml:space="preserve">economic </w:t>
      </w:r>
      <w:r w:rsidRPr="00D17BDC">
        <w:rPr>
          <w:rFonts w:ascii="Times New Roman" w:hAnsi="Times New Roman"/>
          <w:sz w:val="24"/>
          <w:szCs w:val="24"/>
        </w:rPr>
        <w:t>growth</w:t>
      </w:r>
      <w:r w:rsidR="00B51529" w:rsidRPr="00D17BDC">
        <w:rPr>
          <w:rFonts w:ascii="Times New Roman" w:hAnsi="Times New Roman"/>
          <w:sz w:val="24"/>
          <w:szCs w:val="24"/>
        </w:rPr>
        <w:t xml:space="preserve"> prospects</w:t>
      </w:r>
      <w:r w:rsidRPr="00D17BDC">
        <w:rPr>
          <w:rFonts w:ascii="Times New Roman" w:hAnsi="Times New Roman"/>
          <w:sz w:val="24"/>
          <w:szCs w:val="24"/>
        </w:rPr>
        <w:t>.</w:t>
      </w:r>
      <w:r w:rsidR="00B51529" w:rsidRPr="00D17BDC">
        <w:rPr>
          <w:rFonts w:ascii="Times New Roman" w:hAnsi="Times New Roman"/>
          <w:sz w:val="24"/>
          <w:szCs w:val="24"/>
        </w:rPr>
        <w:t xml:space="preserve"> In addition, the Partnership supports other sectors such as climate change adaption, infrastructure development, health and ending violence against women</w:t>
      </w:r>
      <w:r w:rsidR="009E05D4" w:rsidRPr="00D17BDC">
        <w:rPr>
          <w:rFonts w:ascii="Times New Roman" w:hAnsi="Times New Roman"/>
          <w:sz w:val="24"/>
          <w:szCs w:val="24"/>
        </w:rPr>
        <w:t xml:space="preserve">. </w:t>
      </w:r>
    </w:p>
    <w:p w:rsidR="00C10A5C" w:rsidRPr="00D17BDC" w:rsidRDefault="00B51529" w:rsidP="004B071C">
      <w:pPr>
        <w:spacing w:before="240" w:after="0" w:line="240" w:lineRule="auto"/>
        <w:rPr>
          <w:rFonts w:ascii="Times New Roman" w:hAnsi="Times New Roman"/>
          <w:color w:val="auto"/>
          <w:sz w:val="24"/>
          <w:szCs w:val="24"/>
        </w:rPr>
      </w:pPr>
      <w:r w:rsidRPr="00D17BDC">
        <w:rPr>
          <w:rFonts w:ascii="Times New Roman" w:hAnsi="Times New Roman"/>
          <w:sz w:val="24"/>
          <w:szCs w:val="24"/>
        </w:rPr>
        <w:t xml:space="preserve">A guiding principle of the Partnership is that both </w:t>
      </w:r>
      <w:r w:rsidR="003C43DB" w:rsidRPr="00D17BDC">
        <w:rPr>
          <w:rFonts w:ascii="Times New Roman" w:hAnsi="Times New Roman"/>
          <w:sz w:val="24"/>
          <w:szCs w:val="24"/>
        </w:rPr>
        <w:t>g</w:t>
      </w:r>
      <w:r w:rsidRPr="00D17BDC">
        <w:rPr>
          <w:rFonts w:ascii="Times New Roman" w:hAnsi="Times New Roman"/>
          <w:sz w:val="24"/>
          <w:szCs w:val="24"/>
        </w:rPr>
        <w:t xml:space="preserve">overnments have </w:t>
      </w:r>
      <w:r w:rsidR="004B071C" w:rsidRPr="00D17BDC">
        <w:rPr>
          <w:rFonts w:ascii="Times New Roman" w:hAnsi="Times New Roman"/>
          <w:color w:val="auto"/>
          <w:sz w:val="24"/>
          <w:szCs w:val="24"/>
        </w:rPr>
        <w:t xml:space="preserve">mutual </w:t>
      </w:r>
      <w:r w:rsidRPr="00D17BDC">
        <w:rPr>
          <w:rFonts w:ascii="Times New Roman" w:hAnsi="Times New Roman"/>
          <w:color w:val="auto"/>
          <w:sz w:val="24"/>
          <w:szCs w:val="24"/>
        </w:rPr>
        <w:t xml:space="preserve">responsibilities towards achieving the agreed development goals set out in the Partnership. </w:t>
      </w:r>
      <w:r w:rsidR="004B071C" w:rsidRPr="00D17BDC">
        <w:rPr>
          <w:rFonts w:ascii="Times New Roman" w:hAnsi="Times New Roman"/>
          <w:color w:val="auto"/>
          <w:sz w:val="24"/>
          <w:szCs w:val="24"/>
        </w:rPr>
        <w:t xml:space="preserve">An important element of </w:t>
      </w:r>
      <w:r w:rsidRPr="00D17BDC">
        <w:rPr>
          <w:rFonts w:ascii="Times New Roman" w:hAnsi="Times New Roman"/>
          <w:color w:val="auto"/>
          <w:sz w:val="24"/>
          <w:szCs w:val="24"/>
        </w:rPr>
        <w:t xml:space="preserve">the Partnership </w:t>
      </w:r>
      <w:r w:rsidR="004B071C" w:rsidRPr="00D17BDC">
        <w:rPr>
          <w:rFonts w:ascii="Times New Roman" w:hAnsi="Times New Roman"/>
          <w:color w:val="auto"/>
          <w:sz w:val="24"/>
          <w:szCs w:val="24"/>
        </w:rPr>
        <w:t>is the annual joint review of progress</w:t>
      </w:r>
      <w:r w:rsidRPr="00D17BDC">
        <w:rPr>
          <w:rFonts w:ascii="Times New Roman" w:hAnsi="Times New Roman"/>
          <w:color w:val="auto"/>
          <w:sz w:val="24"/>
          <w:szCs w:val="24"/>
        </w:rPr>
        <w:t>,</w:t>
      </w:r>
      <w:r w:rsidR="00C10A5C" w:rsidRPr="00D17BDC">
        <w:rPr>
          <w:rFonts w:ascii="Times New Roman" w:hAnsi="Times New Roman"/>
          <w:color w:val="auto"/>
          <w:sz w:val="24"/>
          <w:szCs w:val="24"/>
        </w:rPr>
        <w:t xml:space="preserve"> whereby </w:t>
      </w:r>
      <w:r w:rsidR="003C43DB" w:rsidRPr="00D17BDC">
        <w:rPr>
          <w:rFonts w:ascii="Times New Roman" w:hAnsi="Times New Roman"/>
          <w:color w:val="auto"/>
          <w:sz w:val="24"/>
          <w:szCs w:val="24"/>
        </w:rPr>
        <w:t>both g</w:t>
      </w:r>
      <w:r w:rsidR="00C10A5C" w:rsidRPr="00D17BDC">
        <w:rPr>
          <w:rFonts w:ascii="Times New Roman" w:hAnsi="Times New Roman"/>
          <w:color w:val="auto"/>
          <w:sz w:val="24"/>
          <w:szCs w:val="24"/>
        </w:rPr>
        <w:t xml:space="preserve">overnments review progress made over the </w:t>
      </w:r>
      <w:r w:rsidR="00D17BDC" w:rsidRPr="00D17BDC">
        <w:rPr>
          <w:rFonts w:ascii="Times New Roman" w:hAnsi="Times New Roman"/>
          <w:color w:val="auto"/>
          <w:sz w:val="24"/>
          <w:szCs w:val="24"/>
        </w:rPr>
        <w:t>preceding</w:t>
      </w:r>
      <w:r w:rsidR="003C43DB" w:rsidRPr="00D17BDC">
        <w:rPr>
          <w:rFonts w:ascii="Times New Roman" w:hAnsi="Times New Roman"/>
          <w:color w:val="auto"/>
          <w:sz w:val="24"/>
          <w:szCs w:val="24"/>
        </w:rPr>
        <w:t xml:space="preserve"> </w:t>
      </w:r>
      <w:r w:rsidR="00C10A5C" w:rsidRPr="00D17BDC">
        <w:rPr>
          <w:rFonts w:ascii="Times New Roman" w:hAnsi="Times New Roman"/>
          <w:color w:val="auto"/>
          <w:sz w:val="24"/>
          <w:szCs w:val="24"/>
        </w:rPr>
        <w:t xml:space="preserve">year, examine challenges faced and confirm priorities to focus on over the next year and beyond. The joint review </w:t>
      </w:r>
      <w:r w:rsidRPr="00D17BDC">
        <w:rPr>
          <w:rFonts w:ascii="Times New Roman" w:hAnsi="Times New Roman"/>
          <w:color w:val="auto"/>
          <w:sz w:val="24"/>
          <w:szCs w:val="24"/>
        </w:rPr>
        <w:t>culminates in the annual Partnership for Development Talks</w:t>
      </w:r>
      <w:r w:rsidR="00C10A5C" w:rsidRPr="00D17BDC">
        <w:rPr>
          <w:rFonts w:ascii="Times New Roman" w:hAnsi="Times New Roman"/>
          <w:color w:val="auto"/>
          <w:sz w:val="24"/>
          <w:szCs w:val="24"/>
        </w:rPr>
        <w:t xml:space="preserve"> (the </w:t>
      </w:r>
      <w:r w:rsidR="00F624E6" w:rsidRPr="00D17BDC">
        <w:rPr>
          <w:rFonts w:ascii="Times New Roman" w:hAnsi="Times New Roman"/>
          <w:color w:val="auto"/>
          <w:sz w:val="24"/>
          <w:szCs w:val="24"/>
        </w:rPr>
        <w:t xml:space="preserve">Partnership </w:t>
      </w:r>
      <w:r w:rsidR="00C10A5C" w:rsidRPr="00D17BDC">
        <w:rPr>
          <w:rFonts w:ascii="Times New Roman" w:hAnsi="Times New Roman"/>
          <w:color w:val="auto"/>
          <w:sz w:val="24"/>
          <w:szCs w:val="24"/>
        </w:rPr>
        <w:t>Talks)</w:t>
      </w:r>
      <w:r w:rsidR="004B071C" w:rsidRPr="00D17BDC">
        <w:rPr>
          <w:rFonts w:ascii="Times New Roman" w:hAnsi="Times New Roman"/>
          <w:color w:val="auto"/>
          <w:sz w:val="24"/>
          <w:szCs w:val="24"/>
        </w:rPr>
        <w:t xml:space="preserve"> involving senior officials from both governments. </w:t>
      </w:r>
    </w:p>
    <w:p w:rsidR="003C43DB" w:rsidRPr="00D17BDC" w:rsidRDefault="004B071C" w:rsidP="004B071C">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The second annual Partnership </w:t>
      </w:r>
      <w:r w:rsidR="00B51529" w:rsidRPr="00D17BDC">
        <w:rPr>
          <w:rFonts w:ascii="Times New Roman" w:hAnsi="Times New Roman"/>
          <w:color w:val="auto"/>
          <w:sz w:val="24"/>
          <w:szCs w:val="24"/>
        </w:rPr>
        <w:t xml:space="preserve">for Development </w:t>
      </w:r>
      <w:r w:rsidRPr="00D17BDC">
        <w:rPr>
          <w:rFonts w:ascii="Times New Roman" w:hAnsi="Times New Roman"/>
          <w:color w:val="auto"/>
          <w:sz w:val="24"/>
          <w:szCs w:val="24"/>
        </w:rPr>
        <w:t>Talks was held in Tarawa on 28 June 2011</w:t>
      </w:r>
      <w:r w:rsidR="00FE4F3D" w:rsidRPr="00D17BDC">
        <w:rPr>
          <w:rFonts w:ascii="Times New Roman" w:hAnsi="Times New Roman"/>
          <w:color w:val="auto"/>
          <w:sz w:val="24"/>
          <w:szCs w:val="24"/>
        </w:rPr>
        <w:t xml:space="preserve"> between the Government of Kiribati (GoK)</w:t>
      </w:r>
      <w:r w:rsidR="00B97F29" w:rsidRPr="00D17BDC">
        <w:rPr>
          <w:rFonts w:ascii="Times New Roman" w:hAnsi="Times New Roman"/>
          <w:color w:val="auto"/>
          <w:sz w:val="24"/>
          <w:szCs w:val="24"/>
        </w:rPr>
        <w:t xml:space="preserve"> (all central and line ministries)</w:t>
      </w:r>
      <w:r w:rsidR="00FE4F3D" w:rsidRPr="00D17BDC">
        <w:rPr>
          <w:rFonts w:ascii="Times New Roman" w:hAnsi="Times New Roman"/>
          <w:color w:val="auto"/>
          <w:sz w:val="24"/>
          <w:szCs w:val="24"/>
        </w:rPr>
        <w:t xml:space="preserve"> and Government of Australia (</w:t>
      </w:r>
      <w:r w:rsidR="002A256D" w:rsidRPr="00D17BDC">
        <w:rPr>
          <w:rFonts w:ascii="Times New Roman" w:hAnsi="Times New Roman"/>
          <w:color w:val="auto"/>
          <w:sz w:val="24"/>
          <w:szCs w:val="24"/>
        </w:rPr>
        <w:t>Australian Agency for International Development [</w:t>
      </w:r>
      <w:r w:rsidR="00FE4F3D" w:rsidRPr="00D17BDC">
        <w:rPr>
          <w:rFonts w:ascii="Times New Roman" w:hAnsi="Times New Roman"/>
          <w:color w:val="auto"/>
          <w:sz w:val="24"/>
          <w:szCs w:val="24"/>
        </w:rPr>
        <w:t>AusAID</w:t>
      </w:r>
      <w:r w:rsidR="002A256D" w:rsidRPr="00D17BDC">
        <w:rPr>
          <w:rFonts w:ascii="Times New Roman" w:hAnsi="Times New Roman"/>
          <w:color w:val="auto"/>
          <w:sz w:val="24"/>
          <w:szCs w:val="24"/>
        </w:rPr>
        <w:t>]</w:t>
      </w:r>
      <w:r w:rsidR="00FE4F3D" w:rsidRPr="00D17BDC">
        <w:rPr>
          <w:rFonts w:ascii="Times New Roman" w:hAnsi="Times New Roman"/>
          <w:color w:val="auto"/>
          <w:sz w:val="24"/>
          <w:szCs w:val="24"/>
        </w:rPr>
        <w:t xml:space="preserve"> and Department of Foreign Affairs and Trade)</w:t>
      </w:r>
      <w:r w:rsidRPr="00D17BDC">
        <w:rPr>
          <w:rFonts w:ascii="Times New Roman" w:hAnsi="Times New Roman"/>
          <w:color w:val="auto"/>
          <w:sz w:val="24"/>
          <w:szCs w:val="24"/>
        </w:rPr>
        <w:t xml:space="preserve">. </w:t>
      </w:r>
    </w:p>
    <w:p w:rsidR="004B071C" w:rsidRPr="00D17BDC" w:rsidRDefault="00B51529" w:rsidP="004B071C">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This </w:t>
      </w:r>
      <w:r w:rsidR="00C10A5C" w:rsidRPr="00D17BDC">
        <w:rPr>
          <w:rFonts w:ascii="Times New Roman" w:hAnsi="Times New Roman"/>
          <w:color w:val="auto"/>
          <w:sz w:val="24"/>
          <w:szCs w:val="24"/>
        </w:rPr>
        <w:t xml:space="preserve">report </w:t>
      </w:r>
      <w:r w:rsidR="003C43DB" w:rsidRPr="00D17BDC">
        <w:rPr>
          <w:rFonts w:ascii="Times New Roman" w:hAnsi="Times New Roman"/>
          <w:color w:val="auto"/>
          <w:sz w:val="24"/>
          <w:szCs w:val="24"/>
        </w:rPr>
        <w:t>summarises</w:t>
      </w:r>
      <w:r w:rsidR="00C10A5C" w:rsidRPr="00D17BDC">
        <w:rPr>
          <w:rFonts w:ascii="Times New Roman" w:hAnsi="Times New Roman"/>
          <w:color w:val="auto"/>
          <w:sz w:val="24"/>
          <w:szCs w:val="24"/>
        </w:rPr>
        <w:t xml:space="preserve"> the </w:t>
      </w:r>
      <w:r w:rsidR="002B2588" w:rsidRPr="00D17BDC">
        <w:rPr>
          <w:rFonts w:ascii="Times New Roman" w:hAnsi="Times New Roman"/>
          <w:color w:val="auto"/>
          <w:sz w:val="24"/>
          <w:szCs w:val="24"/>
        </w:rPr>
        <w:t>Partnership Talks</w:t>
      </w:r>
      <w:r w:rsidR="003C43DB" w:rsidRPr="00D17BDC">
        <w:rPr>
          <w:rFonts w:ascii="Times New Roman" w:hAnsi="Times New Roman"/>
          <w:color w:val="auto"/>
          <w:sz w:val="24"/>
          <w:szCs w:val="24"/>
        </w:rPr>
        <w:t xml:space="preserve"> held in 2011</w:t>
      </w:r>
      <w:r w:rsidR="006B5547" w:rsidRPr="00D17BDC">
        <w:rPr>
          <w:rFonts w:ascii="Times New Roman" w:hAnsi="Times New Roman"/>
          <w:color w:val="auto"/>
          <w:sz w:val="24"/>
          <w:szCs w:val="24"/>
        </w:rPr>
        <w:t>, including pre-Talk discussions and analysis</w:t>
      </w:r>
      <w:r w:rsidR="00E9717F" w:rsidRPr="00D17BDC">
        <w:rPr>
          <w:rFonts w:ascii="Times New Roman" w:hAnsi="Times New Roman"/>
          <w:color w:val="auto"/>
          <w:sz w:val="24"/>
          <w:szCs w:val="24"/>
        </w:rPr>
        <w:t xml:space="preserve"> contained in the Context, Progress and Issues Paper</w:t>
      </w:r>
      <w:r w:rsidR="00AE669F" w:rsidRPr="00D17BDC">
        <w:rPr>
          <w:rFonts w:ascii="Times New Roman" w:hAnsi="Times New Roman"/>
          <w:color w:val="auto"/>
          <w:sz w:val="24"/>
          <w:szCs w:val="24"/>
        </w:rPr>
        <w:t>. The report</w:t>
      </w:r>
      <w:r w:rsidR="002B2588" w:rsidRPr="00D17BDC">
        <w:rPr>
          <w:rFonts w:ascii="Times New Roman" w:hAnsi="Times New Roman"/>
          <w:color w:val="auto"/>
          <w:sz w:val="24"/>
          <w:szCs w:val="24"/>
        </w:rPr>
        <w:t xml:space="preserve"> has been jointly prepared by the two </w:t>
      </w:r>
      <w:r w:rsidR="00AE669F" w:rsidRPr="00D17BDC">
        <w:rPr>
          <w:rFonts w:ascii="Times New Roman" w:hAnsi="Times New Roman"/>
          <w:color w:val="auto"/>
          <w:sz w:val="24"/>
          <w:szCs w:val="24"/>
        </w:rPr>
        <w:t>g</w:t>
      </w:r>
      <w:r w:rsidR="00F936D0" w:rsidRPr="00D17BDC">
        <w:rPr>
          <w:rFonts w:ascii="Times New Roman" w:hAnsi="Times New Roman"/>
          <w:color w:val="auto"/>
          <w:sz w:val="24"/>
          <w:szCs w:val="24"/>
        </w:rPr>
        <w:t>overnments, with the suppor</w:t>
      </w:r>
      <w:r w:rsidR="006B5547" w:rsidRPr="00D17BDC">
        <w:rPr>
          <w:rFonts w:ascii="Times New Roman" w:hAnsi="Times New Roman"/>
          <w:color w:val="auto"/>
          <w:sz w:val="24"/>
          <w:szCs w:val="24"/>
        </w:rPr>
        <w:t xml:space="preserve">t of an </w:t>
      </w:r>
      <w:r w:rsidR="000773A5" w:rsidRPr="00D17BDC">
        <w:rPr>
          <w:rFonts w:ascii="Times New Roman" w:hAnsi="Times New Roman"/>
          <w:color w:val="auto"/>
          <w:sz w:val="24"/>
          <w:szCs w:val="24"/>
        </w:rPr>
        <w:t>i</w:t>
      </w:r>
      <w:r w:rsidR="006B5547" w:rsidRPr="00D17BDC">
        <w:rPr>
          <w:rFonts w:ascii="Times New Roman" w:hAnsi="Times New Roman"/>
          <w:color w:val="auto"/>
          <w:sz w:val="24"/>
          <w:szCs w:val="24"/>
        </w:rPr>
        <w:t xml:space="preserve">ndependent </w:t>
      </w:r>
      <w:r w:rsidR="000773A5" w:rsidRPr="00D17BDC">
        <w:rPr>
          <w:rFonts w:ascii="Times New Roman" w:hAnsi="Times New Roman"/>
          <w:color w:val="auto"/>
          <w:sz w:val="24"/>
          <w:szCs w:val="24"/>
        </w:rPr>
        <w:t>f</w:t>
      </w:r>
      <w:r w:rsidR="006B5547" w:rsidRPr="00D17BDC">
        <w:rPr>
          <w:rFonts w:ascii="Times New Roman" w:hAnsi="Times New Roman"/>
          <w:color w:val="auto"/>
          <w:sz w:val="24"/>
          <w:szCs w:val="24"/>
        </w:rPr>
        <w:t>acilitator.</w:t>
      </w:r>
      <w:r w:rsidR="00E9717F" w:rsidRPr="00D17BDC">
        <w:rPr>
          <w:rFonts w:ascii="Times New Roman" w:hAnsi="Times New Roman"/>
          <w:color w:val="auto"/>
          <w:sz w:val="24"/>
          <w:szCs w:val="24"/>
        </w:rPr>
        <w:t xml:space="preserve"> </w:t>
      </w:r>
    </w:p>
    <w:p w:rsidR="00B51529" w:rsidRPr="00D17BDC" w:rsidRDefault="00B51529" w:rsidP="004B071C">
      <w:pPr>
        <w:spacing w:before="240" w:after="0" w:line="240" w:lineRule="auto"/>
        <w:rPr>
          <w:rFonts w:ascii="Times New Roman" w:hAnsi="Times New Roman"/>
          <w:color w:val="auto"/>
          <w:sz w:val="24"/>
          <w:szCs w:val="24"/>
        </w:rPr>
      </w:pPr>
    </w:p>
    <w:p w:rsidR="00937714" w:rsidRPr="00D17BDC" w:rsidRDefault="00C10A5C" w:rsidP="006A5382">
      <w:pPr>
        <w:pStyle w:val="Heading1"/>
        <w:rPr>
          <w:kern w:val="28"/>
        </w:rPr>
      </w:pPr>
      <w:bookmarkStart w:id="1" w:name="_Toc307062912"/>
      <w:r w:rsidRPr="00D17BDC">
        <w:rPr>
          <w:kern w:val="28"/>
        </w:rPr>
        <w:t>2</w:t>
      </w:r>
      <w:r w:rsidR="006A5382" w:rsidRPr="00D17BDC">
        <w:rPr>
          <w:kern w:val="28"/>
        </w:rPr>
        <w:t xml:space="preserve">. </w:t>
      </w:r>
      <w:bookmarkStart w:id="2" w:name="Progress"/>
      <w:bookmarkEnd w:id="2"/>
      <w:r w:rsidR="00846FB1" w:rsidRPr="00D17BDC">
        <w:rPr>
          <w:kern w:val="28"/>
        </w:rPr>
        <w:t xml:space="preserve">Review of </w:t>
      </w:r>
      <w:r w:rsidR="00672C46" w:rsidRPr="00D17BDC">
        <w:rPr>
          <w:kern w:val="28"/>
        </w:rPr>
        <w:t>p</w:t>
      </w:r>
      <w:r w:rsidR="00937714" w:rsidRPr="00D17BDC">
        <w:rPr>
          <w:kern w:val="28"/>
        </w:rPr>
        <w:t>rogress</w:t>
      </w:r>
      <w:bookmarkEnd w:id="1"/>
      <w:r w:rsidRPr="00D17BDC">
        <w:rPr>
          <w:kern w:val="28"/>
        </w:rPr>
        <w:t xml:space="preserve"> </w:t>
      </w:r>
    </w:p>
    <w:p w:rsidR="003402F6" w:rsidRPr="00D17BDC" w:rsidRDefault="00EB1530" w:rsidP="006A5382">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This section examines progress made towards the</w:t>
      </w:r>
      <w:r w:rsidR="00AE669F" w:rsidRPr="00D17BDC">
        <w:rPr>
          <w:rFonts w:ascii="Times New Roman" w:hAnsi="Times New Roman"/>
          <w:color w:val="auto"/>
          <w:sz w:val="24"/>
          <w:szCs w:val="24"/>
        </w:rPr>
        <w:t xml:space="preserve"> Partnership’s</w:t>
      </w:r>
      <w:r w:rsidRPr="00D17BDC">
        <w:rPr>
          <w:rFonts w:ascii="Times New Roman" w:hAnsi="Times New Roman"/>
          <w:color w:val="auto"/>
          <w:sz w:val="24"/>
          <w:szCs w:val="24"/>
        </w:rPr>
        <w:t xml:space="preserve"> three </w:t>
      </w:r>
      <w:r w:rsidR="00AE669F" w:rsidRPr="00D17BDC">
        <w:rPr>
          <w:rFonts w:ascii="Times New Roman" w:hAnsi="Times New Roman"/>
          <w:color w:val="auto"/>
          <w:sz w:val="24"/>
          <w:szCs w:val="24"/>
        </w:rPr>
        <w:t>p</w:t>
      </w:r>
      <w:r w:rsidRPr="00D17BDC">
        <w:rPr>
          <w:rFonts w:ascii="Times New Roman" w:hAnsi="Times New Roman"/>
          <w:color w:val="auto"/>
          <w:sz w:val="24"/>
          <w:szCs w:val="24"/>
        </w:rPr>
        <w:t xml:space="preserve">riority </w:t>
      </w:r>
      <w:r w:rsidR="00AE669F" w:rsidRPr="00D17BDC">
        <w:rPr>
          <w:rFonts w:ascii="Times New Roman" w:hAnsi="Times New Roman"/>
          <w:color w:val="auto"/>
          <w:sz w:val="24"/>
          <w:szCs w:val="24"/>
        </w:rPr>
        <w:t>o</w:t>
      </w:r>
      <w:r w:rsidRPr="00D17BDC">
        <w:rPr>
          <w:rFonts w:ascii="Times New Roman" w:hAnsi="Times New Roman"/>
          <w:color w:val="auto"/>
          <w:sz w:val="24"/>
          <w:szCs w:val="24"/>
        </w:rPr>
        <w:t>u</w:t>
      </w:r>
      <w:r w:rsidR="003402F6" w:rsidRPr="00D17BDC">
        <w:rPr>
          <w:rFonts w:ascii="Times New Roman" w:hAnsi="Times New Roman"/>
          <w:color w:val="auto"/>
          <w:sz w:val="24"/>
          <w:szCs w:val="24"/>
        </w:rPr>
        <w:t xml:space="preserve">tcome areas and </w:t>
      </w:r>
      <w:r w:rsidR="00E86BF5" w:rsidRPr="00D17BDC">
        <w:rPr>
          <w:rFonts w:ascii="Times New Roman" w:hAnsi="Times New Roman"/>
          <w:color w:val="auto"/>
          <w:sz w:val="24"/>
          <w:szCs w:val="24"/>
        </w:rPr>
        <w:t>other areas</w:t>
      </w:r>
      <w:r w:rsidR="00AE669F" w:rsidRPr="00D17BDC">
        <w:rPr>
          <w:rFonts w:ascii="Times New Roman" w:hAnsi="Times New Roman"/>
          <w:color w:val="auto"/>
          <w:sz w:val="24"/>
          <w:szCs w:val="24"/>
        </w:rPr>
        <w:t xml:space="preserve"> of importance. It also details</w:t>
      </w:r>
      <w:r w:rsidR="00E86BF5" w:rsidRPr="00D17BDC">
        <w:rPr>
          <w:rFonts w:ascii="Times New Roman" w:hAnsi="Times New Roman"/>
          <w:color w:val="auto"/>
          <w:sz w:val="24"/>
          <w:szCs w:val="24"/>
        </w:rPr>
        <w:t xml:space="preserve"> the discussions</w:t>
      </w:r>
      <w:r w:rsidR="00AE669F" w:rsidRPr="00D17BDC">
        <w:rPr>
          <w:rFonts w:ascii="Times New Roman" w:hAnsi="Times New Roman"/>
          <w:color w:val="auto"/>
          <w:sz w:val="24"/>
          <w:szCs w:val="24"/>
        </w:rPr>
        <w:t xml:space="preserve"> held at,</w:t>
      </w:r>
      <w:r w:rsidR="00E86BF5" w:rsidRPr="00D17BDC">
        <w:rPr>
          <w:rFonts w:ascii="Times New Roman" w:hAnsi="Times New Roman"/>
          <w:color w:val="auto"/>
          <w:sz w:val="24"/>
          <w:szCs w:val="24"/>
        </w:rPr>
        <w:t xml:space="preserve"> and outcomes</w:t>
      </w:r>
      <w:r w:rsidR="00AE669F" w:rsidRPr="00D17BDC">
        <w:rPr>
          <w:rFonts w:ascii="Times New Roman" w:hAnsi="Times New Roman"/>
          <w:color w:val="auto"/>
          <w:sz w:val="24"/>
          <w:szCs w:val="24"/>
        </w:rPr>
        <w:t xml:space="preserve"> emerging</w:t>
      </w:r>
      <w:r w:rsidR="00E86BF5" w:rsidRPr="00D17BDC">
        <w:rPr>
          <w:rFonts w:ascii="Times New Roman" w:hAnsi="Times New Roman"/>
          <w:color w:val="auto"/>
          <w:sz w:val="24"/>
          <w:szCs w:val="24"/>
        </w:rPr>
        <w:t xml:space="preserve"> from</w:t>
      </w:r>
      <w:r w:rsidR="00AE669F" w:rsidRPr="00D17BDC">
        <w:rPr>
          <w:rFonts w:ascii="Times New Roman" w:hAnsi="Times New Roman"/>
          <w:color w:val="auto"/>
          <w:sz w:val="24"/>
          <w:szCs w:val="24"/>
        </w:rPr>
        <w:t>,</w:t>
      </w:r>
      <w:r w:rsidR="00E86BF5" w:rsidRPr="00D17BDC">
        <w:rPr>
          <w:rFonts w:ascii="Times New Roman" w:hAnsi="Times New Roman"/>
          <w:color w:val="auto"/>
          <w:sz w:val="24"/>
          <w:szCs w:val="24"/>
        </w:rPr>
        <w:t xml:space="preserve"> the Partnership Talks. </w:t>
      </w:r>
    </w:p>
    <w:p w:rsidR="006E436C" w:rsidRPr="00D17BDC" w:rsidRDefault="006E436C" w:rsidP="006A5382">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In 2010</w:t>
      </w:r>
      <w:r w:rsidR="00063730" w:rsidRPr="00D17BDC">
        <w:rPr>
          <w:rFonts w:ascii="Times New Roman" w:hAnsi="Times New Roman"/>
          <w:color w:val="auto"/>
          <w:sz w:val="24"/>
          <w:szCs w:val="24"/>
        </w:rPr>
        <w:t>–</w:t>
      </w:r>
      <w:r w:rsidRPr="00D17BDC">
        <w:rPr>
          <w:rFonts w:ascii="Times New Roman" w:hAnsi="Times New Roman"/>
          <w:color w:val="auto"/>
          <w:sz w:val="24"/>
          <w:szCs w:val="24"/>
        </w:rPr>
        <w:t xml:space="preserve">11, Australian </w:t>
      </w:r>
      <w:r w:rsidR="00AE669F" w:rsidRPr="00D17BDC">
        <w:rPr>
          <w:rFonts w:ascii="Times New Roman" w:hAnsi="Times New Roman"/>
          <w:color w:val="auto"/>
          <w:sz w:val="24"/>
          <w:szCs w:val="24"/>
        </w:rPr>
        <w:t>o</w:t>
      </w:r>
      <w:r w:rsidR="009622D2" w:rsidRPr="00D17BDC">
        <w:rPr>
          <w:rFonts w:ascii="Times New Roman" w:hAnsi="Times New Roman"/>
          <w:color w:val="auto"/>
          <w:sz w:val="24"/>
          <w:szCs w:val="24"/>
        </w:rPr>
        <w:t xml:space="preserve">fficial </w:t>
      </w:r>
      <w:r w:rsidR="00AE669F" w:rsidRPr="00D17BDC">
        <w:rPr>
          <w:rFonts w:ascii="Times New Roman" w:hAnsi="Times New Roman"/>
          <w:color w:val="auto"/>
          <w:sz w:val="24"/>
          <w:szCs w:val="24"/>
        </w:rPr>
        <w:t>d</w:t>
      </w:r>
      <w:r w:rsidR="009622D2" w:rsidRPr="00D17BDC">
        <w:rPr>
          <w:rFonts w:ascii="Times New Roman" w:hAnsi="Times New Roman"/>
          <w:color w:val="auto"/>
          <w:sz w:val="24"/>
          <w:szCs w:val="24"/>
        </w:rPr>
        <w:t xml:space="preserve">evelopment </w:t>
      </w:r>
      <w:r w:rsidR="00AE669F" w:rsidRPr="00D17BDC">
        <w:rPr>
          <w:rFonts w:ascii="Times New Roman" w:hAnsi="Times New Roman"/>
          <w:color w:val="auto"/>
          <w:sz w:val="24"/>
          <w:szCs w:val="24"/>
        </w:rPr>
        <w:t>a</w:t>
      </w:r>
      <w:r w:rsidR="009622D2" w:rsidRPr="00D17BDC">
        <w:rPr>
          <w:rFonts w:ascii="Times New Roman" w:hAnsi="Times New Roman"/>
          <w:color w:val="auto"/>
          <w:sz w:val="24"/>
          <w:szCs w:val="24"/>
        </w:rPr>
        <w:t xml:space="preserve">ssistance </w:t>
      </w:r>
      <w:r w:rsidRPr="00D17BDC">
        <w:rPr>
          <w:rFonts w:ascii="Times New Roman" w:hAnsi="Times New Roman"/>
          <w:color w:val="auto"/>
          <w:sz w:val="24"/>
          <w:szCs w:val="24"/>
        </w:rPr>
        <w:t>to Kiribati was $28.3</w:t>
      </w:r>
      <w:r w:rsidR="00063730" w:rsidRPr="00D17BDC">
        <w:rPr>
          <w:rFonts w:ascii="Times New Roman" w:hAnsi="Times New Roman"/>
          <w:color w:val="auto"/>
          <w:sz w:val="24"/>
          <w:szCs w:val="24"/>
        </w:rPr>
        <w:t xml:space="preserve"> </w:t>
      </w:r>
      <w:r w:rsidRPr="00D17BDC">
        <w:rPr>
          <w:rFonts w:ascii="Times New Roman" w:hAnsi="Times New Roman"/>
          <w:color w:val="auto"/>
          <w:sz w:val="24"/>
          <w:szCs w:val="24"/>
        </w:rPr>
        <w:t>m</w:t>
      </w:r>
      <w:r w:rsidR="00063730" w:rsidRPr="00D17BDC">
        <w:rPr>
          <w:rFonts w:ascii="Times New Roman" w:hAnsi="Times New Roman"/>
          <w:color w:val="auto"/>
          <w:sz w:val="24"/>
          <w:szCs w:val="24"/>
        </w:rPr>
        <w:t>illion</w:t>
      </w:r>
      <w:r w:rsidRPr="00D17BDC">
        <w:rPr>
          <w:rFonts w:ascii="Times New Roman" w:hAnsi="Times New Roman"/>
          <w:color w:val="auto"/>
          <w:sz w:val="24"/>
          <w:szCs w:val="24"/>
        </w:rPr>
        <w:t>, compared to $</w:t>
      </w:r>
      <w:r w:rsidR="00CC6284" w:rsidRPr="00D17BDC">
        <w:rPr>
          <w:rFonts w:ascii="Times New Roman" w:hAnsi="Times New Roman"/>
          <w:color w:val="auto"/>
          <w:sz w:val="24"/>
          <w:szCs w:val="24"/>
        </w:rPr>
        <w:t>22</w:t>
      </w:r>
      <w:r w:rsidRPr="00D17BDC">
        <w:rPr>
          <w:rFonts w:ascii="Times New Roman" w:hAnsi="Times New Roman"/>
          <w:color w:val="auto"/>
          <w:sz w:val="24"/>
          <w:szCs w:val="24"/>
        </w:rPr>
        <w:t xml:space="preserve"> m</w:t>
      </w:r>
      <w:r w:rsidR="00063730" w:rsidRPr="00D17BDC">
        <w:rPr>
          <w:rFonts w:ascii="Times New Roman" w:hAnsi="Times New Roman"/>
          <w:color w:val="auto"/>
          <w:sz w:val="24"/>
          <w:szCs w:val="24"/>
        </w:rPr>
        <w:t>illion</w:t>
      </w:r>
      <w:r w:rsidRPr="00D17BDC">
        <w:rPr>
          <w:rFonts w:ascii="Times New Roman" w:hAnsi="Times New Roman"/>
          <w:color w:val="auto"/>
          <w:sz w:val="24"/>
          <w:szCs w:val="24"/>
        </w:rPr>
        <w:t xml:space="preserve"> the previous </w:t>
      </w:r>
      <w:r w:rsidR="00AE669F" w:rsidRPr="00D17BDC">
        <w:rPr>
          <w:rFonts w:ascii="Times New Roman" w:hAnsi="Times New Roman"/>
          <w:color w:val="auto"/>
          <w:sz w:val="24"/>
          <w:szCs w:val="24"/>
        </w:rPr>
        <w:t xml:space="preserve">financial </w:t>
      </w:r>
      <w:r w:rsidRPr="00D17BDC">
        <w:rPr>
          <w:rFonts w:ascii="Times New Roman" w:hAnsi="Times New Roman"/>
          <w:color w:val="auto"/>
          <w:sz w:val="24"/>
          <w:szCs w:val="24"/>
        </w:rPr>
        <w:t xml:space="preserve">year. This increase is mainly due to front-loading Australia’s total contribution to the Kiribati </w:t>
      </w:r>
      <w:r w:rsidR="002A256D" w:rsidRPr="00D17BDC">
        <w:rPr>
          <w:rFonts w:ascii="Times New Roman" w:hAnsi="Times New Roman"/>
          <w:color w:val="auto"/>
          <w:sz w:val="24"/>
          <w:szCs w:val="24"/>
        </w:rPr>
        <w:t>(</w:t>
      </w:r>
      <w:r w:rsidR="009622D2" w:rsidRPr="00D17BDC">
        <w:rPr>
          <w:rFonts w:ascii="Times New Roman" w:hAnsi="Times New Roman"/>
          <w:color w:val="auto"/>
          <w:sz w:val="24"/>
          <w:szCs w:val="24"/>
        </w:rPr>
        <w:t>climate change</w:t>
      </w:r>
      <w:r w:rsidR="002A256D" w:rsidRPr="00D17BDC">
        <w:rPr>
          <w:rFonts w:ascii="Times New Roman" w:hAnsi="Times New Roman"/>
          <w:color w:val="auto"/>
          <w:sz w:val="24"/>
          <w:szCs w:val="24"/>
        </w:rPr>
        <w:t>)</w:t>
      </w:r>
      <w:r w:rsidR="009622D2" w:rsidRPr="00D17BDC">
        <w:rPr>
          <w:rFonts w:ascii="Times New Roman" w:hAnsi="Times New Roman"/>
          <w:color w:val="auto"/>
          <w:sz w:val="24"/>
          <w:szCs w:val="24"/>
        </w:rPr>
        <w:t xml:space="preserve"> </w:t>
      </w:r>
      <w:r w:rsidRPr="00D17BDC">
        <w:rPr>
          <w:rFonts w:ascii="Times New Roman" w:hAnsi="Times New Roman"/>
          <w:color w:val="auto"/>
          <w:sz w:val="24"/>
          <w:szCs w:val="24"/>
        </w:rPr>
        <w:t>Adaptation Program Phase III ($5.1</w:t>
      </w:r>
      <w:r w:rsidR="00AE669F" w:rsidRPr="00D17BDC">
        <w:rPr>
          <w:rFonts w:ascii="Times New Roman" w:hAnsi="Times New Roman"/>
          <w:color w:val="auto"/>
          <w:sz w:val="24"/>
          <w:szCs w:val="24"/>
        </w:rPr>
        <w:t> </w:t>
      </w:r>
      <w:r w:rsidRPr="00D17BDC">
        <w:rPr>
          <w:rFonts w:ascii="Times New Roman" w:hAnsi="Times New Roman"/>
          <w:color w:val="auto"/>
          <w:sz w:val="24"/>
          <w:szCs w:val="24"/>
        </w:rPr>
        <w:t>m</w:t>
      </w:r>
      <w:r w:rsidR="00063730" w:rsidRPr="00D17BDC">
        <w:rPr>
          <w:rFonts w:ascii="Times New Roman" w:hAnsi="Times New Roman"/>
          <w:color w:val="auto"/>
          <w:sz w:val="24"/>
          <w:szCs w:val="24"/>
        </w:rPr>
        <w:t>illion</w:t>
      </w:r>
      <w:r w:rsidRPr="00D17BDC">
        <w:rPr>
          <w:rFonts w:ascii="Times New Roman" w:hAnsi="Times New Roman"/>
          <w:color w:val="auto"/>
          <w:sz w:val="24"/>
          <w:szCs w:val="24"/>
        </w:rPr>
        <w:t>)</w:t>
      </w:r>
      <w:r w:rsidR="00AE669F" w:rsidRPr="00D17BDC">
        <w:rPr>
          <w:rFonts w:ascii="Times New Roman" w:hAnsi="Times New Roman"/>
          <w:color w:val="auto"/>
          <w:sz w:val="24"/>
          <w:szCs w:val="24"/>
        </w:rPr>
        <w:t xml:space="preserve"> and</w:t>
      </w:r>
      <w:r w:rsidRPr="00D17BDC">
        <w:rPr>
          <w:rFonts w:ascii="Times New Roman" w:hAnsi="Times New Roman"/>
          <w:color w:val="auto"/>
          <w:sz w:val="24"/>
          <w:szCs w:val="24"/>
        </w:rPr>
        <w:t xml:space="preserve"> increas</w:t>
      </w:r>
      <w:r w:rsidR="00AE669F" w:rsidRPr="00D17BDC">
        <w:rPr>
          <w:rFonts w:ascii="Times New Roman" w:hAnsi="Times New Roman"/>
          <w:color w:val="auto"/>
          <w:sz w:val="24"/>
          <w:szCs w:val="24"/>
        </w:rPr>
        <w:t>ing</w:t>
      </w:r>
      <w:r w:rsidRPr="00D17BDC">
        <w:rPr>
          <w:rFonts w:ascii="Times New Roman" w:hAnsi="Times New Roman"/>
          <w:color w:val="auto"/>
          <w:sz w:val="24"/>
          <w:szCs w:val="24"/>
        </w:rPr>
        <w:t xml:space="preserve"> </w:t>
      </w:r>
      <w:r w:rsidR="003402F6" w:rsidRPr="00D17BDC">
        <w:rPr>
          <w:rFonts w:ascii="Times New Roman" w:hAnsi="Times New Roman"/>
          <w:color w:val="auto"/>
          <w:sz w:val="24"/>
          <w:szCs w:val="24"/>
        </w:rPr>
        <w:t>funding to infrastructure projects which will continue over the coming years</w:t>
      </w:r>
      <w:r w:rsidR="009E05D4" w:rsidRPr="00D17BDC">
        <w:rPr>
          <w:rFonts w:ascii="Times New Roman" w:hAnsi="Times New Roman"/>
          <w:color w:val="auto"/>
          <w:sz w:val="24"/>
          <w:szCs w:val="24"/>
        </w:rPr>
        <w:t xml:space="preserve">. </w:t>
      </w:r>
    </w:p>
    <w:p w:rsidR="00C53313" w:rsidRPr="00D17BDC" w:rsidRDefault="00C53313" w:rsidP="00C53313">
      <w:pPr>
        <w:pStyle w:val="Caption"/>
        <w:rPr>
          <w:rFonts w:ascii="Times New Roman" w:hAnsi="Times New Roman"/>
          <w:color w:val="auto"/>
          <w:sz w:val="24"/>
          <w:szCs w:val="24"/>
        </w:rPr>
      </w:pPr>
      <w:bookmarkStart w:id="3" w:name="_Ref301687015"/>
      <w:r w:rsidRPr="00D17BDC">
        <w:t xml:space="preserve">Table </w:t>
      </w:r>
      <w:r w:rsidRPr="00D17BDC">
        <w:fldChar w:fldCharType="begin"/>
      </w:r>
      <w:r w:rsidRPr="00D17BDC">
        <w:instrText xml:space="preserve"> SEQ Table \* ARABIC </w:instrText>
      </w:r>
      <w:r w:rsidRPr="00D17BDC">
        <w:fldChar w:fldCharType="separate"/>
      </w:r>
      <w:r w:rsidR="00015E51">
        <w:rPr>
          <w:noProof/>
        </w:rPr>
        <w:t>1</w:t>
      </w:r>
      <w:r w:rsidRPr="00D17BDC">
        <w:fldChar w:fldCharType="end"/>
      </w:r>
      <w:bookmarkEnd w:id="3"/>
      <w:r w:rsidRPr="00D17BDC">
        <w:t xml:space="preserve">: </w:t>
      </w:r>
      <w:r w:rsidR="0077234F" w:rsidRPr="00D17BDC">
        <w:t xml:space="preserve">Overview of Australian </w:t>
      </w:r>
      <w:r w:rsidR="00AE669F" w:rsidRPr="00D17BDC">
        <w:t>a</w:t>
      </w:r>
      <w:r w:rsidR="0077234F" w:rsidRPr="00D17BDC">
        <w:t xml:space="preserve">id </w:t>
      </w:r>
      <w:r w:rsidR="00AE669F" w:rsidRPr="00D17BDC">
        <w:t>b</w:t>
      </w:r>
      <w:r w:rsidR="0077234F" w:rsidRPr="00D17BDC">
        <w:t>udget to Kiribati</w:t>
      </w:r>
      <w:r w:rsidR="006E436C" w:rsidRPr="00D17BDC">
        <w:t>, 2010</w:t>
      </w:r>
      <w:r w:rsidR="00AE669F" w:rsidRPr="00D17BDC">
        <w:t>–</w:t>
      </w:r>
      <w:r w:rsidR="006E436C" w:rsidRPr="00D17BDC">
        <w:t>11</w:t>
      </w:r>
      <w:r w:rsidR="0077234F" w:rsidRPr="00D17BDC">
        <w:t xml:space="preserve"> </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817"/>
        <w:gridCol w:w="6073"/>
      </w:tblGrid>
      <w:tr w:rsidR="003402F6" w:rsidRPr="00D17BDC" w:rsidTr="002E20EC">
        <w:trPr>
          <w:cantSplit/>
          <w:tblHeader/>
        </w:trPr>
        <w:tc>
          <w:tcPr>
            <w:tcW w:w="1481" w:type="pct"/>
            <w:tcBorders>
              <w:bottom w:val="single" w:sz="4" w:space="0" w:color="auto"/>
            </w:tcBorders>
            <w:shd w:val="clear" w:color="auto" w:fill="C0C0C0"/>
          </w:tcPr>
          <w:p w:rsidR="00E45C1A" w:rsidRPr="00D17BDC" w:rsidRDefault="009E05D4" w:rsidP="00AB404A">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Partnership for d</w:t>
            </w:r>
            <w:r w:rsidR="00C53313" w:rsidRPr="00D17BDC">
              <w:rPr>
                <w:rFonts w:ascii="Times New Roman" w:hAnsi="Times New Roman"/>
                <w:b/>
                <w:color w:val="auto"/>
                <w:sz w:val="20"/>
                <w:szCs w:val="20"/>
              </w:rPr>
              <w:t xml:space="preserve">evelopment </w:t>
            </w:r>
          </w:p>
        </w:tc>
        <w:tc>
          <w:tcPr>
            <w:tcW w:w="370" w:type="pct"/>
            <w:tcBorders>
              <w:bottom w:val="single" w:sz="4" w:space="0" w:color="auto"/>
            </w:tcBorders>
            <w:shd w:val="clear" w:color="auto" w:fill="C0C0C0"/>
          </w:tcPr>
          <w:p w:rsidR="00E45C1A" w:rsidRPr="00D17BDC" w:rsidRDefault="00063730" w:rsidP="00063730">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w:t>
            </w:r>
            <w:r w:rsidR="00FE4F3D" w:rsidRPr="00D17BDC">
              <w:rPr>
                <w:rFonts w:ascii="Times New Roman" w:hAnsi="Times New Roman"/>
                <w:b/>
                <w:color w:val="auto"/>
                <w:sz w:val="20"/>
                <w:szCs w:val="20"/>
              </w:rPr>
              <w:t xml:space="preserve"> </w:t>
            </w:r>
            <w:r w:rsidR="00AE669F" w:rsidRPr="00D17BDC">
              <w:rPr>
                <w:rFonts w:ascii="Times New Roman" w:hAnsi="Times New Roman"/>
                <w:b/>
                <w:color w:val="auto"/>
                <w:sz w:val="20"/>
                <w:szCs w:val="20"/>
              </w:rPr>
              <w:t>million</w:t>
            </w:r>
          </w:p>
        </w:tc>
        <w:tc>
          <w:tcPr>
            <w:tcW w:w="3148" w:type="pct"/>
            <w:tcBorders>
              <w:bottom w:val="single" w:sz="4" w:space="0" w:color="auto"/>
            </w:tcBorders>
            <w:shd w:val="clear" w:color="auto" w:fill="C0C0C0"/>
          </w:tcPr>
          <w:p w:rsidR="00E45C1A" w:rsidRPr="00D17BDC" w:rsidRDefault="00E45C1A" w:rsidP="00AB404A">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 xml:space="preserve">Key programs </w:t>
            </w:r>
          </w:p>
        </w:tc>
      </w:tr>
      <w:tr w:rsidR="00C53313" w:rsidRPr="00D17BDC" w:rsidTr="002E20EC">
        <w:trPr>
          <w:cantSplit/>
        </w:trPr>
        <w:tc>
          <w:tcPr>
            <w:tcW w:w="5000" w:type="pct"/>
            <w:gridSpan w:val="3"/>
            <w:shd w:val="clear" w:color="auto" w:fill="CCFFCC"/>
          </w:tcPr>
          <w:p w:rsidR="00C53313" w:rsidRPr="00D17BDC" w:rsidRDefault="009E05D4" w:rsidP="009E05D4">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Priority o</w:t>
            </w:r>
            <w:r w:rsidR="00C53313" w:rsidRPr="00D17BDC">
              <w:rPr>
                <w:rFonts w:ascii="Times New Roman" w:hAnsi="Times New Roman"/>
                <w:b/>
                <w:color w:val="auto"/>
                <w:sz w:val="20"/>
                <w:szCs w:val="20"/>
              </w:rPr>
              <w:t xml:space="preserve">utcome </w:t>
            </w:r>
            <w:r w:rsidRPr="00D17BDC">
              <w:rPr>
                <w:rFonts w:ascii="Times New Roman" w:hAnsi="Times New Roman"/>
                <w:b/>
                <w:color w:val="auto"/>
                <w:sz w:val="20"/>
                <w:szCs w:val="20"/>
              </w:rPr>
              <w:t>a</w:t>
            </w:r>
            <w:r w:rsidR="00C53313" w:rsidRPr="00D17BDC">
              <w:rPr>
                <w:rFonts w:ascii="Times New Roman" w:hAnsi="Times New Roman"/>
                <w:b/>
                <w:color w:val="auto"/>
                <w:sz w:val="20"/>
                <w:szCs w:val="20"/>
              </w:rPr>
              <w:t xml:space="preserve">reas </w:t>
            </w:r>
          </w:p>
        </w:tc>
      </w:tr>
      <w:tr w:rsidR="003402F6" w:rsidRPr="00D17BDC" w:rsidTr="002E20EC">
        <w:trPr>
          <w:cantSplit/>
        </w:trPr>
        <w:tc>
          <w:tcPr>
            <w:tcW w:w="1481" w:type="pct"/>
            <w:shd w:val="clear" w:color="auto" w:fill="auto"/>
          </w:tcPr>
          <w:p w:rsidR="00E45C1A" w:rsidRPr="00D17BDC" w:rsidRDefault="0077234F" w:rsidP="009D6962">
            <w:p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Outcome 1: </w:t>
            </w:r>
            <w:r w:rsidR="009D6962" w:rsidRPr="00D17BDC">
              <w:rPr>
                <w:rFonts w:ascii="Times New Roman" w:hAnsi="Times New Roman"/>
                <w:color w:val="auto"/>
                <w:sz w:val="20"/>
                <w:szCs w:val="20"/>
              </w:rPr>
              <w:t>Improved standards in b</w:t>
            </w:r>
            <w:r w:rsidR="00E45C1A" w:rsidRPr="00D17BDC">
              <w:rPr>
                <w:rFonts w:ascii="Times New Roman" w:hAnsi="Times New Roman"/>
                <w:color w:val="auto"/>
                <w:sz w:val="20"/>
                <w:szCs w:val="20"/>
              </w:rPr>
              <w:t xml:space="preserve">asic </w:t>
            </w:r>
            <w:r w:rsidR="00AE669F" w:rsidRPr="00D17BDC">
              <w:rPr>
                <w:rFonts w:ascii="Times New Roman" w:hAnsi="Times New Roman"/>
                <w:color w:val="auto"/>
                <w:sz w:val="20"/>
                <w:szCs w:val="20"/>
              </w:rPr>
              <w:t>e</w:t>
            </w:r>
            <w:r w:rsidR="00E45C1A" w:rsidRPr="00D17BDC">
              <w:rPr>
                <w:rFonts w:ascii="Times New Roman" w:hAnsi="Times New Roman"/>
                <w:color w:val="auto"/>
                <w:sz w:val="20"/>
                <w:szCs w:val="20"/>
              </w:rPr>
              <w:t xml:space="preserve">ducation </w:t>
            </w:r>
          </w:p>
        </w:tc>
        <w:tc>
          <w:tcPr>
            <w:tcW w:w="370" w:type="pct"/>
            <w:shd w:val="clear" w:color="auto" w:fill="auto"/>
          </w:tcPr>
          <w:p w:rsidR="00E45C1A"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3.8</w:t>
            </w:r>
          </w:p>
        </w:tc>
        <w:tc>
          <w:tcPr>
            <w:tcW w:w="3148" w:type="pct"/>
            <w:shd w:val="clear" w:color="auto" w:fill="auto"/>
          </w:tcPr>
          <w:p w:rsidR="00E45C1A" w:rsidRPr="00D17BDC" w:rsidRDefault="00E45C1A" w:rsidP="00AB404A">
            <w:pPr>
              <w:numPr>
                <w:ilvl w:val="0"/>
                <w:numId w:val="31"/>
              </w:numPr>
              <w:spacing w:after="0" w:line="240" w:lineRule="auto"/>
              <w:rPr>
                <w:rFonts w:ascii="Times New Roman" w:hAnsi="Times New Roman"/>
                <w:color w:val="auto"/>
                <w:sz w:val="20"/>
                <w:szCs w:val="20"/>
              </w:rPr>
            </w:pPr>
            <w:r w:rsidRPr="00D17BDC">
              <w:rPr>
                <w:rFonts w:ascii="Times New Roman" w:hAnsi="Times New Roman"/>
                <w:color w:val="auto"/>
                <w:sz w:val="20"/>
                <w:szCs w:val="20"/>
              </w:rPr>
              <w:t>Kiribati Education Imp</w:t>
            </w:r>
            <w:r w:rsidR="00C53313" w:rsidRPr="00D17BDC">
              <w:rPr>
                <w:rFonts w:ascii="Times New Roman" w:hAnsi="Times New Roman"/>
                <w:color w:val="auto"/>
                <w:sz w:val="20"/>
                <w:szCs w:val="20"/>
              </w:rPr>
              <w:t>rovement Program</w:t>
            </w:r>
            <w:r w:rsidR="004338A2" w:rsidRPr="00D17BDC">
              <w:rPr>
                <w:rFonts w:ascii="Times New Roman" w:hAnsi="Times New Roman"/>
                <w:color w:val="auto"/>
                <w:sz w:val="20"/>
                <w:szCs w:val="20"/>
              </w:rPr>
              <w:t xml:space="preserve"> (KEIP)</w:t>
            </w:r>
          </w:p>
          <w:p w:rsidR="006E436C" w:rsidRPr="00D17BDC" w:rsidRDefault="006E436C" w:rsidP="00AB404A">
            <w:pPr>
              <w:numPr>
                <w:ilvl w:val="0"/>
                <w:numId w:val="31"/>
              </w:numPr>
              <w:spacing w:after="0" w:line="240" w:lineRule="auto"/>
              <w:rPr>
                <w:rFonts w:ascii="Times New Roman" w:hAnsi="Times New Roman"/>
                <w:color w:val="auto"/>
                <w:sz w:val="20"/>
                <w:szCs w:val="20"/>
              </w:rPr>
            </w:pPr>
            <w:r w:rsidRPr="00D17BDC">
              <w:rPr>
                <w:rFonts w:ascii="Times New Roman" w:hAnsi="Times New Roman"/>
                <w:color w:val="auto"/>
                <w:sz w:val="20"/>
                <w:szCs w:val="20"/>
              </w:rPr>
              <w:t>School and Centre for Disabled Children, South Tarawa</w:t>
            </w:r>
          </w:p>
        </w:tc>
      </w:tr>
      <w:tr w:rsidR="003402F6" w:rsidRPr="00D17BDC" w:rsidTr="002E20EC">
        <w:trPr>
          <w:cantSplit/>
        </w:trPr>
        <w:tc>
          <w:tcPr>
            <w:tcW w:w="1481" w:type="pct"/>
            <w:shd w:val="clear" w:color="auto" w:fill="auto"/>
          </w:tcPr>
          <w:p w:rsidR="00E45C1A" w:rsidRPr="00D17BDC" w:rsidRDefault="0077234F" w:rsidP="00AE669F">
            <w:p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Outcome 2: </w:t>
            </w:r>
            <w:r w:rsidR="00E45C1A" w:rsidRPr="00D17BDC">
              <w:rPr>
                <w:rFonts w:ascii="Times New Roman" w:hAnsi="Times New Roman"/>
                <w:color w:val="auto"/>
                <w:sz w:val="20"/>
                <w:szCs w:val="20"/>
              </w:rPr>
              <w:t xml:space="preserve">Workforce </w:t>
            </w:r>
            <w:r w:rsidR="00AE669F" w:rsidRPr="00D17BDC">
              <w:rPr>
                <w:rFonts w:ascii="Times New Roman" w:hAnsi="Times New Roman"/>
                <w:color w:val="auto"/>
                <w:sz w:val="20"/>
                <w:szCs w:val="20"/>
              </w:rPr>
              <w:t>s</w:t>
            </w:r>
            <w:r w:rsidR="00E45C1A" w:rsidRPr="00D17BDC">
              <w:rPr>
                <w:rFonts w:ascii="Times New Roman" w:hAnsi="Times New Roman"/>
                <w:color w:val="auto"/>
                <w:sz w:val="20"/>
                <w:szCs w:val="20"/>
              </w:rPr>
              <w:t xml:space="preserve">kills </w:t>
            </w:r>
            <w:r w:rsidR="00AE669F" w:rsidRPr="00D17BDC">
              <w:rPr>
                <w:rFonts w:ascii="Times New Roman" w:hAnsi="Times New Roman"/>
                <w:color w:val="auto"/>
                <w:sz w:val="20"/>
                <w:szCs w:val="20"/>
              </w:rPr>
              <w:t>d</w:t>
            </w:r>
            <w:r w:rsidR="00E45C1A" w:rsidRPr="00D17BDC">
              <w:rPr>
                <w:rFonts w:ascii="Times New Roman" w:hAnsi="Times New Roman"/>
                <w:color w:val="auto"/>
                <w:sz w:val="20"/>
                <w:szCs w:val="20"/>
              </w:rPr>
              <w:t>evelopment</w:t>
            </w:r>
          </w:p>
        </w:tc>
        <w:tc>
          <w:tcPr>
            <w:tcW w:w="370" w:type="pct"/>
            <w:shd w:val="clear" w:color="auto" w:fill="auto"/>
          </w:tcPr>
          <w:p w:rsidR="00E45C1A"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7.6</w:t>
            </w:r>
          </w:p>
        </w:tc>
        <w:tc>
          <w:tcPr>
            <w:tcW w:w="3148" w:type="pct"/>
            <w:shd w:val="clear" w:color="auto" w:fill="auto"/>
          </w:tcPr>
          <w:p w:rsidR="00E45C1A" w:rsidRPr="00D17BDC" w:rsidRDefault="00F624E6" w:rsidP="00AB404A">
            <w:pPr>
              <w:numPr>
                <w:ilvl w:val="0"/>
                <w:numId w:val="31"/>
              </w:numPr>
              <w:spacing w:after="0" w:line="240" w:lineRule="auto"/>
              <w:rPr>
                <w:rFonts w:ascii="Times New Roman" w:hAnsi="Times New Roman"/>
                <w:color w:val="auto"/>
                <w:sz w:val="20"/>
                <w:szCs w:val="20"/>
              </w:rPr>
            </w:pPr>
            <w:r w:rsidRPr="00D17BDC">
              <w:rPr>
                <w:rFonts w:ascii="Times New Roman" w:hAnsi="Times New Roman"/>
                <w:color w:val="auto"/>
                <w:sz w:val="20"/>
                <w:szCs w:val="20"/>
              </w:rPr>
              <w:t>T</w:t>
            </w:r>
            <w:r w:rsidR="002A256D" w:rsidRPr="00D17BDC">
              <w:rPr>
                <w:rFonts w:ascii="Times New Roman" w:hAnsi="Times New Roman"/>
                <w:color w:val="auto"/>
                <w:sz w:val="20"/>
                <w:szCs w:val="20"/>
              </w:rPr>
              <w:t xml:space="preserve">echnical and </w:t>
            </w:r>
            <w:r w:rsidRPr="00D17BDC">
              <w:rPr>
                <w:rFonts w:ascii="Times New Roman" w:hAnsi="Times New Roman"/>
                <w:color w:val="auto"/>
                <w:sz w:val="20"/>
                <w:szCs w:val="20"/>
              </w:rPr>
              <w:t>V</w:t>
            </w:r>
            <w:r w:rsidR="002A256D" w:rsidRPr="00D17BDC">
              <w:rPr>
                <w:rFonts w:ascii="Times New Roman" w:hAnsi="Times New Roman"/>
                <w:color w:val="auto"/>
                <w:sz w:val="20"/>
                <w:szCs w:val="20"/>
              </w:rPr>
              <w:t xml:space="preserve">ocational </w:t>
            </w:r>
            <w:r w:rsidRPr="00D17BDC">
              <w:rPr>
                <w:rFonts w:ascii="Times New Roman" w:hAnsi="Times New Roman"/>
                <w:color w:val="auto"/>
                <w:sz w:val="20"/>
                <w:szCs w:val="20"/>
              </w:rPr>
              <w:t>E</w:t>
            </w:r>
            <w:r w:rsidR="002A256D" w:rsidRPr="00D17BDC">
              <w:rPr>
                <w:rFonts w:ascii="Times New Roman" w:hAnsi="Times New Roman"/>
                <w:color w:val="auto"/>
                <w:sz w:val="20"/>
                <w:szCs w:val="20"/>
              </w:rPr>
              <w:t xml:space="preserve">ducation and </w:t>
            </w:r>
            <w:r w:rsidRPr="00D17BDC">
              <w:rPr>
                <w:rFonts w:ascii="Times New Roman" w:hAnsi="Times New Roman"/>
                <w:color w:val="auto"/>
                <w:sz w:val="20"/>
                <w:szCs w:val="20"/>
              </w:rPr>
              <w:t>T</w:t>
            </w:r>
            <w:r w:rsidR="002A256D" w:rsidRPr="00D17BDC">
              <w:rPr>
                <w:rFonts w:ascii="Times New Roman" w:hAnsi="Times New Roman"/>
                <w:color w:val="auto"/>
                <w:sz w:val="20"/>
                <w:szCs w:val="20"/>
              </w:rPr>
              <w:t>raining (</w:t>
            </w:r>
            <w:r w:rsidR="00C53313" w:rsidRPr="00D17BDC">
              <w:rPr>
                <w:rFonts w:ascii="Times New Roman" w:hAnsi="Times New Roman"/>
                <w:color w:val="auto"/>
                <w:sz w:val="20"/>
                <w:szCs w:val="20"/>
              </w:rPr>
              <w:t>TVET</w:t>
            </w:r>
            <w:r w:rsidR="002A256D" w:rsidRPr="00D17BDC">
              <w:rPr>
                <w:rFonts w:ascii="Times New Roman" w:hAnsi="Times New Roman"/>
                <w:color w:val="auto"/>
                <w:sz w:val="20"/>
                <w:szCs w:val="20"/>
              </w:rPr>
              <w:t>)</w:t>
            </w:r>
            <w:r w:rsidR="00C53313" w:rsidRPr="00D17BDC">
              <w:rPr>
                <w:rFonts w:ascii="Times New Roman" w:hAnsi="Times New Roman"/>
                <w:color w:val="auto"/>
                <w:sz w:val="20"/>
                <w:szCs w:val="20"/>
              </w:rPr>
              <w:t xml:space="preserve"> Sector Strengthening Program </w:t>
            </w:r>
            <w:r w:rsidR="00797BD1" w:rsidRPr="00D17BDC">
              <w:rPr>
                <w:rFonts w:ascii="Times New Roman" w:hAnsi="Times New Roman"/>
                <w:color w:val="auto"/>
                <w:sz w:val="20"/>
                <w:szCs w:val="20"/>
              </w:rPr>
              <w:t>(</w:t>
            </w:r>
            <w:r w:rsidRPr="00D17BDC">
              <w:rPr>
                <w:rFonts w:ascii="Times New Roman" w:hAnsi="Times New Roman"/>
                <w:color w:val="auto"/>
                <w:sz w:val="20"/>
                <w:szCs w:val="20"/>
              </w:rPr>
              <w:t>TVET</w:t>
            </w:r>
            <w:r w:rsidR="00797BD1" w:rsidRPr="00D17BDC">
              <w:rPr>
                <w:rFonts w:ascii="Times New Roman" w:hAnsi="Times New Roman"/>
                <w:color w:val="auto"/>
                <w:sz w:val="20"/>
                <w:szCs w:val="20"/>
              </w:rPr>
              <w:t>SSP)</w:t>
            </w:r>
          </w:p>
          <w:p w:rsidR="00C53313" w:rsidRPr="00D17BDC" w:rsidRDefault="00C53313" w:rsidP="00AB404A">
            <w:pPr>
              <w:numPr>
                <w:ilvl w:val="0"/>
                <w:numId w:val="31"/>
              </w:num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Kiribati Australia Nursing Initiative </w:t>
            </w:r>
            <w:r w:rsidR="005D233A" w:rsidRPr="00D17BDC">
              <w:rPr>
                <w:rFonts w:ascii="Times New Roman" w:hAnsi="Times New Roman"/>
                <w:color w:val="auto"/>
                <w:sz w:val="20"/>
                <w:szCs w:val="20"/>
              </w:rPr>
              <w:t>(KANI)</w:t>
            </w:r>
          </w:p>
          <w:p w:rsidR="00C53313" w:rsidRPr="00D17BDC" w:rsidRDefault="00C53313" w:rsidP="00AB404A">
            <w:pPr>
              <w:numPr>
                <w:ilvl w:val="0"/>
                <w:numId w:val="31"/>
              </w:numPr>
              <w:spacing w:after="0" w:line="240" w:lineRule="auto"/>
              <w:rPr>
                <w:rFonts w:ascii="Times New Roman" w:hAnsi="Times New Roman"/>
                <w:color w:val="auto"/>
                <w:sz w:val="20"/>
                <w:szCs w:val="20"/>
              </w:rPr>
            </w:pPr>
            <w:r w:rsidRPr="00D17BDC">
              <w:rPr>
                <w:rFonts w:ascii="Times New Roman" w:hAnsi="Times New Roman"/>
                <w:color w:val="auto"/>
                <w:sz w:val="20"/>
                <w:szCs w:val="20"/>
              </w:rPr>
              <w:t>Australia Development Scholarships</w:t>
            </w:r>
          </w:p>
        </w:tc>
      </w:tr>
      <w:tr w:rsidR="003402F6" w:rsidRPr="00D17BDC" w:rsidTr="002E20EC">
        <w:trPr>
          <w:cantSplit/>
        </w:trPr>
        <w:tc>
          <w:tcPr>
            <w:tcW w:w="1481" w:type="pct"/>
            <w:tcBorders>
              <w:bottom w:val="single" w:sz="4" w:space="0" w:color="auto"/>
            </w:tcBorders>
            <w:shd w:val="clear" w:color="auto" w:fill="auto"/>
          </w:tcPr>
          <w:p w:rsidR="00E45C1A" w:rsidRPr="00D17BDC" w:rsidRDefault="0077234F" w:rsidP="009D6962">
            <w:p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Outcome 3: </w:t>
            </w:r>
            <w:r w:rsidR="009D6962" w:rsidRPr="00D17BDC">
              <w:rPr>
                <w:rFonts w:ascii="Times New Roman" w:hAnsi="Times New Roman"/>
                <w:color w:val="auto"/>
                <w:sz w:val="20"/>
                <w:szCs w:val="20"/>
              </w:rPr>
              <w:t>Improved growth and e</w:t>
            </w:r>
            <w:r w:rsidR="00C53313" w:rsidRPr="00D17BDC">
              <w:rPr>
                <w:rFonts w:ascii="Times New Roman" w:hAnsi="Times New Roman"/>
                <w:color w:val="auto"/>
                <w:sz w:val="20"/>
                <w:szCs w:val="20"/>
              </w:rPr>
              <w:t xml:space="preserve">conomic </w:t>
            </w:r>
            <w:r w:rsidR="00AE669F" w:rsidRPr="00D17BDC">
              <w:rPr>
                <w:rFonts w:ascii="Times New Roman" w:hAnsi="Times New Roman"/>
                <w:color w:val="auto"/>
                <w:sz w:val="20"/>
                <w:szCs w:val="20"/>
              </w:rPr>
              <w:t>m</w:t>
            </w:r>
            <w:r w:rsidR="00C53313" w:rsidRPr="00D17BDC">
              <w:rPr>
                <w:rFonts w:ascii="Times New Roman" w:hAnsi="Times New Roman"/>
                <w:color w:val="auto"/>
                <w:sz w:val="20"/>
                <w:szCs w:val="20"/>
              </w:rPr>
              <w:t xml:space="preserve">anagement </w:t>
            </w:r>
          </w:p>
        </w:tc>
        <w:tc>
          <w:tcPr>
            <w:tcW w:w="370" w:type="pct"/>
            <w:tcBorders>
              <w:bottom w:val="single" w:sz="4" w:space="0" w:color="auto"/>
            </w:tcBorders>
            <w:shd w:val="clear" w:color="auto" w:fill="auto"/>
          </w:tcPr>
          <w:p w:rsidR="00E45C1A"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2.1</w:t>
            </w:r>
          </w:p>
        </w:tc>
        <w:tc>
          <w:tcPr>
            <w:tcW w:w="3148" w:type="pct"/>
            <w:tcBorders>
              <w:bottom w:val="single" w:sz="4" w:space="0" w:color="auto"/>
            </w:tcBorders>
            <w:shd w:val="clear" w:color="auto" w:fill="auto"/>
          </w:tcPr>
          <w:p w:rsidR="00C53313" w:rsidRPr="00D17BDC" w:rsidRDefault="002A256D" w:rsidP="00AB404A">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Asian Development Bank (</w:t>
            </w:r>
            <w:r w:rsidR="006E436C" w:rsidRPr="00D17BDC">
              <w:rPr>
                <w:rFonts w:ascii="Times New Roman" w:hAnsi="Times New Roman"/>
                <w:color w:val="auto"/>
                <w:sz w:val="20"/>
                <w:szCs w:val="20"/>
              </w:rPr>
              <w:t>ADB</w:t>
            </w:r>
            <w:r w:rsidRPr="00D17BDC">
              <w:rPr>
                <w:rFonts w:ascii="Times New Roman" w:hAnsi="Times New Roman"/>
                <w:color w:val="auto"/>
                <w:sz w:val="20"/>
                <w:szCs w:val="20"/>
              </w:rPr>
              <w:t>)</w:t>
            </w:r>
            <w:r w:rsidR="006E436C" w:rsidRPr="00D17BDC">
              <w:rPr>
                <w:rFonts w:ascii="Times New Roman" w:hAnsi="Times New Roman"/>
                <w:color w:val="auto"/>
                <w:sz w:val="20"/>
                <w:szCs w:val="20"/>
              </w:rPr>
              <w:t xml:space="preserve"> Economic Management and Public Sector Reform</w:t>
            </w:r>
          </w:p>
          <w:p w:rsidR="006E436C" w:rsidRPr="00D17BDC" w:rsidRDefault="006E436C" w:rsidP="00063730">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Support to </w:t>
            </w:r>
            <w:r w:rsidR="006E288A" w:rsidRPr="00D17BDC">
              <w:rPr>
                <w:rFonts w:ascii="Times New Roman" w:hAnsi="Times New Roman"/>
                <w:color w:val="auto"/>
                <w:sz w:val="20"/>
                <w:szCs w:val="20"/>
              </w:rPr>
              <w:t>the Ministry of Finance and Economic Development (</w:t>
            </w:r>
            <w:r w:rsidRPr="00D17BDC">
              <w:rPr>
                <w:rFonts w:ascii="Times New Roman" w:hAnsi="Times New Roman"/>
                <w:color w:val="auto"/>
                <w:sz w:val="20"/>
                <w:szCs w:val="20"/>
              </w:rPr>
              <w:t>MFED</w:t>
            </w:r>
            <w:r w:rsidR="006E288A" w:rsidRPr="00D17BDC">
              <w:rPr>
                <w:rFonts w:ascii="Times New Roman" w:hAnsi="Times New Roman"/>
                <w:color w:val="auto"/>
                <w:sz w:val="20"/>
                <w:szCs w:val="20"/>
              </w:rPr>
              <w:t>)</w:t>
            </w:r>
            <w:r w:rsidRPr="00D17BDC">
              <w:rPr>
                <w:rFonts w:ascii="Times New Roman" w:hAnsi="Times New Roman"/>
                <w:color w:val="auto"/>
                <w:sz w:val="20"/>
                <w:szCs w:val="20"/>
              </w:rPr>
              <w:t xml:space="preserve"> with Population Census, Kiribati Development Plan </w:t>
            </w:r>
            <w:r w:rsidR="00797BD1" w:rsidRPr="00D17BDC">
              <w:rPr>
                <w:rFonts w:ascii="Times New Roman" w:hAnsi="Times New Roman"/>
                <w:color w:val="auto"/>
                <w:sz w:val="20"/>
                <w:szCs w:val="20"/>
              </w:rPr>
              <w:t xml:space="preserve">(KDP) </w:t>
            </w:r>
            <w:r w:rsidRPr="00D17BDC">
              <w:rPr>
                <w:rFonts w:ascii="Times New Roman" w:hAnsi="Times New Roman"/>
                <w:color w:val="auto"/>
                <w:sz w:val="20"/>
                <w:szCs w:val="20"/>
              </w:rPr>
              <w:t>2012</w:t>
            </w:r>
            <w:r w:rsidR="00063730" w:rsidRPr="00D17BDC">
              <w:rPr>
                <w:rFonts w:ascii="Times New Roman" w:hAnsi="Times New Roman"/>
                <w:color w:val="auto"/>
                <w:sz w:val="20"/>
                <w:szCs w:val="20"/>
              </w:rPr>
              <w:t>–</w:t>
            </w:r>
            <w:r w:rsidRPr="00D17BDC">
              <w:rPr>
                <w:rFonts w:ascii="Times New Roman" w:hAnsi="Times New Roman"/>
                <w:color w:val="auto"/>
                <w:sz w:val="20"/>
                <w:szCs w:val="20"/>
              </w:rPr>
              <w:t xml:space="preserve">15 Formulation </w:t>
            </w:r>
          </w:p>
        </w:tc>
      </w:tr>
      <w:tr w:rsidR="00C53313" w:rsidRPr="00D17BDC" w:rsidTr="002E20EC">
        <w:trPr>
          <w:cantSplit/>
        </w:trPr>
        <w:tc>
          <w:tcPr>
            <w:tcW w:w="5000" w:type="pct"/>
            <w:gridSpan w:val="3"/>
            <w:shd w:val="clear" w:color="auto" w:fill="CCFFCC"/>
          </w:tcPr>
          <w:p w:rsidR="00C53313" w:rsidRPr="00D17BDC" w:rsidRDefault="00C53313" w:rsidP="00AB404A">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 xml:space="preserve">Other </w:t>
            </w:r>
            <w:r w:rsidR="00672C46" w:rsidRPr="00D17BDC">
              <w:rPr>
                <w:rFonts w:ascii="Times New Roman" w:hAnsi="Times New Roman"/>
                <w:b/>
                <w:color w:val="auto"/>
                <w:sz w:val="20"/>
                <w:szCs w:val="20"/>
              </w:rPr>
              <w:t>a</w:t>
            </w:r>
            <w:r w:rsidR="0077234F" w:rsidRPr="00D17BDC">
              <w:rPr>
                <w:rFonts w:ascii="Times New Roman" w:hAnsi="Times New Roman"/>
                <w:b/>
                <w:color w:val="auto"/>
                <w:sz w:val="20"/>
                <w:szCs w:val="20"/>
              </w:rPr>
              <w:t xml:space="preserve">reas </w:t>
            </w:r>
          </w:p>
        </w:tc>
      </w:tr>
      <w:tr w:rsidR="003402F6" w:rsidRPr="00D17BDC" w:rsidTr="002E20EC">
        <w:trPr>
          <w:cantSplit/>
        </w:trPr>
        <w:tc>
          <w:tcPr>
            <w:tcW w:w="1481" w:type="pct"/>
            <w:shd w:val="clear" w:color="auto" w:fill="auto"/>
          </w:tcPr>
          <w:p w:rsidR="00C53313" w:rsidRPr="00D17BDC" w:rsidRDefault="00C53313" w:rsidP="00AE669F">
            <w:p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Climate </w:t>
            </w:r>
            <w:r w:rsidR="00AE669F" w:rsidRPr="00D17BDC">
              <w:rPr>
                <w:rFonts w:ascii="Times New Roman" w:hAnsi="Times New Roman"/>
                <w:color w:val="auto"/>
                <w:sz w:val="20"/>
                <w:szCs w:val="20"/>
              </w:rPr>
              <w:t xml:space="preserve">change </w:t>
            </w:r>
          </w:p>
        </w:tc>
        <w:tc>
          <w:tcPr>
            <w:tcW w:w="370" w:type="pct"/>
            <w:shd w:val="clear" w:color="auto" w:fill="auto"/>
          </w:tcPr>
          <w:p w:rsidR="00C53313"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5.7</w:t>
            </w:r>
          </w:p>
        </w:tc>
        <w:tc>
          <w:tcPr>
            <w:tcW w:w="3148" w:type="pct"/>
            <w:shd w:val="clear" w:color="auto" w:fill="auto"/>
          </w:tcPr>
          <w:p w:rsidR="00C53313" w:rsidRPr="00D17BDC" w:rsidRDefault="003402F6" w:rsidP="00AB404A">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W</w:t>
            </w:r>
            <w:r w:rsidR="004338A2" w:rsidRPr="00D17BDC">
              <w:rPr>
                <w:rFonts w:ascii="Times New Roman" w:hAnsi="Times New Roman"/>
                <w:color w:val="auto"/>
                <w:sz w:val="20"/>
                <w:szCs w:val="20"/>
              </w:rPr>
              <w:t xml:space="preserve">orld </w:t>
            </w:r>
            <w:r w:rsidRPr="00D17BDC">
              <w:rPr>
                <w:rFonts w:ascii="Times New Roman" w:hAnsi="Times New Roman"/>
                <w:color w:val="auto"/>
                <w:sz w:val="20"/>
                <w:szCs w:val="20"/>
              </w:rPr>
              <w:t>B</w:t>
            </w:r>
            <w:r w:rsidR="004338A2" w:rsidRPr="00D17BDC">
              <w:rPr>
                <w:rFonts w:ascii="Times New Roman" w:hAnsi="Times New Roman"/>
                <w:color w:val="auto"/>
                <w:sz w:val="20"/>
                <w:szCs w:val="20"/>
              </w:rPr>
              <w:t xml:space="preserve">ank </w:t>
            </w:r>
            <w:r w:rsidR="00AA3EFD" w:rsidRPr="00D17BDC">
              <w:rPr>
                <w:rFonts w:ascii="Times New Roman" w:hAnsi="Times New Roman"/>
                <w:color w:val="auto"/>
                <w:sz w:val="20"/>
                <w:szCs w:val="20"/>
              </w:rPr>
              <w:t xml:space="preserve">Kiribati Adaptation Program </w:t>
            </w:r>
            <w:r w:rsidR="00D155FD" w:rsidRPr="00D17BDC">
              <w:rPr>
                <w:rFonts w:ascii="Times New Roman" w:hAnsi="Times New Roman"/>
                <w:color w:val="auto"/>
                <w:sz w:val="20"/>
                <w:szCs w:val="20"/>
              </w:rPr>
              <w:t xml:space="preserve">(KAP) </w:t>
            </w:r>
            <w:r w:rsidR="006E436C" w:rsidRPr="00D17BDC">
              <w:rPr>
                <w:rFonts w:ascii="Times New Roman" w:hAnsi="Times New Roman"/>
                <w:color w:val="auto"/>
                <w:sz w:val="20"/>
                <w:szCs w:val="20"/>
              </w:rPr>
              <w:t>Phase 3</w:t>
            </w:r>
          </w:p>
          <w:p w:rsidR="00AA3EFD" w:rsidRPr="00D17BDC" w:rsidRDefault="0076374D" w:rsidP="00AB404A">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Support to the National Summit on Climate Change </w:t>
            </w:r>
          </w:p>
        </w:tc>
      </w:tr>
      <w:tr w:rsidR="003402F6" w:rsidRPr="00D17BDC" w:rsidTr="002E20EC">
        <w:trPr>
          <w:cantSplit/>
        </w:trPr>
        <w:tc>
          <w:tcPr>
            <w:tcW w:w="1481" w:type="pct"/>
            <w:shd w:val="clear" w:color="auto" w:fill="auto"/>
          </w:tcPr>
          <w:p w:rsidR="00C53313" w:rsidRPr="00D17BDC" w:rsidRDefault="00C53313"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lastRenderedPageBreak/>
              <w:t xml:space="preserve">Infrastructure </w:t>
            </w:r>
          </w:p>
        </w:tc>
        <w:tc>
          <w:tcPr>
            <w:tcW w:w="370" w:type="pct"/>
            <w:shd w:val="clear" w:color="auto" w:fill="auto"/>
          </w:tcPr>
          <w:p w:rsidR="00C53313"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8.6</w:t>
            </w:r>
          </w:p>
        </w:tc>
        <w:tc>
          <w:tcPr>
            <w:tcW w:w="3148" w:type="pct"/>
            <w:shd w:val="clear" w:color="auto" w:fill="auto"/>
          </w:tcPr>
          <w:p w:rsidR="00C53313" w:rsidRPr="00D17BDC" w:rsidRDefault="00270151" w:rsidP="00AB404A">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ADB</w:t>
            </w:r>
            <w:r w:rsidR="00AE669F" w:rsidRPr="00D17BDC">
              <w:rPr>
                <w:rFonts w:ascii="Times New Roman" w:hAnsi="Times New Roman"/>
                <w:color w:val="auto"/>
                <w:sz w:val="20"/>
                <w:szCs w:val="20"/>
              </w:rPr>
              <w:t xml:space="preserve"> – </w:t>
            </w:r>
            <w:r w:rsidRPr="00D17BDC">
              <w:rPr>
                <w:rFonts w:ascii="Times New Roman" w:hAnsi="Times New Roman"/>
                <w:color w:val="auto"/>
                <w:sz w:val="20"/>
                <w:szCs w:val="20"/>
              </w:rPr>
              <w:t>W</w:t>
            </w:r>
            <w:r w:rsidR="00AE669F" w:rsidRPr="00D17BDC">
              <w:rPr>
                <w:rFonts w:ascii="Times New Roman" w:hAnsi="Times New Roman"/>
                <w:color w:val="auto"/>
                <w:sz w:val="20"/>
                <w:szCs w:val="20"/>
              </w:rPr>
              <w:t xml:space="preserve">orld </w:t>
            </w:r>
            <w:r w:rsidRPr="00D17BDC">
              <w:rPr>
                <w:rFonts w:ascii="Times New Roman" w:hAnsi="Times New Roman"/>
                <w:color w:val="auto"/>
                <w:sz w:val="20"/>
                <w:szCs w:val="20"/>
              </w:rPr>
              <w:t>B</w:t>
            </w:r>
            <w:r w:rsidR="00AE669F" w:rsidRPr="00D17BDC">
              <w:rPr>
                <w:rFonts w:ascii="Times New Roman" w:hAnsi="Times New Roman"/>
                <w:color w:val="auto"/>
                <w:sz w:val="20"/>
                <w:szCs w:val="20"/>
              </w:rPr>
              <w:t>ank</w:t>
            </w:r>
            <w:r w:rsidRPr="00D17BDC">
              <w:rPr>
                <w:rFonts w:ascii="Times New Roman" w:hAnsi="Times New Roman"/>
                <w:color w:val="auto"/>
                <w:sz w:val="20"/>
                <w:szCs w:val="20"/>
              </w:rPr>
              <w:t xml:space="preserve"> Road </w:t>
            </w:r>
            <w:r w:rsidR="00F624E6" w:rsidRPr="00D17BDC">
              <w:rPr>
                <w:rFonts w:ascii="Times New Roman" w:hAnsi="Times New Roman"/>
                <w:color w:val="auto"/>
                <w:sz w:val="20"/>
                <w:szCs w:val="20"/>
              </w:rPr>
              <w:t>Rehabilitation</w:t>
            </w:r>
            <w:r w:rsidR="00D17BDC">
              <w:rPr>
                <w:rFonts w:ascii="Times New Roman" w:hAnsi="Times New Roman"/>
                <w:color w:val="auto"/>
                <w:sz w:val="20"/>
                <w:szCs w:val="20"/>
              </w:rPr>
              <w:t xml:space="preserve"> </w:t>
            </w:r>
            <w:r w:rsidRPr="00D17BDC">
              <w:rPr>
                <w:rFonts w:ascii="Times New Roman" w:hAnsi="Times New Roman"/>
                <w:color w:val="auto"/>
                <w:sz w:val="20"/>
                <w:szCs w:val="20"/>
              </w:rPr>
              <w:t>Project in South Tarawa</w:t>
            </w:r>
          </w:p>
          <w:p w:rsidR="00270151" w:rsidRPr="00D17BDC" w:rsidRDefault="00270151" w:rsidP="00AE669F">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W</w:t>
            </w:r>
            <w:r w:rsidR="00AE669F" w:rsidRPr="00D17BDC">
              <w:rPr>
                <w:rFonts w:ascii="Times New Roman" w:hAnsi="Times New Roman"/>
                <w:color w:val="auto"/>
                <w:sz w:val="20"/>
                <w:szCs w:val="20"/>
              </w:rPr>
              <w:t xml:space="preserve">orld </w:t>
            </w:r>
            <w:r w:rsidRPr="00D17BDC">
              <w:rPr>
                <w:rFonts w:ascii="Times New Roman" w:hAnsi="Times New Roman"/>
                <w:color w:val="auto"/>
                <w:sz w:val="20"/>
                <w:szCs w:val="20"/>
              </w:rPr>
              <w:t>B</w:t>
            </w:r>
            <w:r w:rsidR="00AE669F" w:rsidRPr="00D17BDC">
              <w:rPr>
                <w:rFonts w:ascii="Times New Roman" w:hAnsi="Times New Roman"/>
                <w:color w:val="auto"/>
                <w:sz w:val="20"/>
                <w:szCs w:val="20"/>
              </w:rPr>
              <w:t>ank</w:t>
            </w:r>
            <w:r w:rsidRPr="00D17BDC">
              <w:rPr>
                <w:rFonts w:ascii="Times New Roman" w:hAnsi="Times New Roman"/>
                <w:color w:val="auto"/>
                <w:sz w:val="20"/>
                <w:szCs w:val="20"/>
              </w:rPr>
              <w:t xml:space="preserve"> </w:t>
            </w:r>
            <w:r w:rsidR="004338A2" w:rsidRPr="00D17BDC">
              <w:rPr>
                <w:rFonts w:ascii="Times New Roman" w:hAnsi="Times New Roman"/>
                <w:color w:val="auto"/>
                <w:sz w:val="20"/>
                <w:szCs w:val="20"/>
              </w:rPr>
              <w:t>information and communication technology</w:t>
            </w:r>
            <w:r w:rsidRPr="00D17BDC">
              <w:rPr>
                <w:rFonts w:ascii="Times New Roman" w:hAnsi="Times New Roman"/>
                <w:color w:val="auto"/>
                <w:sz w:val="20"/>
                <w:szCs w:val="20"/>
              </w:rPr>
              <w:t xml:space="preserve"> </w:t>
            </w:r>
            <w:r w:rsidR="00AE669F" w:rsidRPr="00D17BDC">
              <w:rPr>
                <w:rFonts w:ascii="Times New Roman" w:hAnsi="Times New Roman"/>
                <w:color w:val="auto"/>
                <w:sz w:val="20"/>
                <w:szCs w:val="20"/>
              </w:rPr>
              <w:t>p</w:t>
            </w:r>
            <w:r w:rsidRPr="00D17BDC">
              <w:rPr>
                <w:rFonts w:ascii="Times New Roman" w:hAnsi="Times New Roman"/>
                <w:color w:val="auto"/>
                <w:sz w:val="20"/>
                <w:szCs w:val="20"/>
              </w:rPr>
              <w:t xml:space="preserve">roject </w:t>
            </w:r>
          </w:p>
        </w:tc>
      </w:tr>
      <w:tr w:rsidR="003402F6" w:rsidRPr="00D17BDC" w:rsidTr="002E20EC">
        <w:trPr>
          <w:cantSplit/>
        </w:trPr>
        <w:tc>
          <w:tcPr>
            <w:tcW w:w="1481" w:type="pct"/>
            <w:shd w:val="clear" w:color="auto" w:fill="auto"/>
          </w:tcPr>
          <w:p w:rsidR="0077234F" w:rsidRPr="00D17BDC" w:rsidRDefault="0077234F" w:rsidP="00AE669F">
            <w:p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Health and Ending </w:t>
            </w:r>
            <w:r w:rsidR="00AE669F" w:rsidRPr="00D17BDC">
              <w:rPr>
                <w:rFonts w:ascii="Times New Roman" w:hAnsi="Times New Roman"/>
                <w:color w:val="auto"/>
                <w:sz w:val="20"/>
                <w:szCs w:val="20"/>
              </w:rPr>
              <w:t>v</w:t>
            </w:r>
            <w:r w:rsidRPr="00D17BDC">
              <w:rPr>
                <w:rFonts w:ascii="Times New Roman" w:hAnsi="Times New Roman"/>
                <w:color w:val="auto"/>
                <w:sz w:val="20"/>
                <w:szCs w:val="20"/>
              </w:rPr>
              <w:t xml:space="preserve">iolence </w:t>
            </w:r>
            <w:r w:rsidR="00AE669F" w:rsidRPr="00D17BDC">
              <w:rPr>
                <w:rFonts w:ascii="Times New Roman" w:hAnsi="Times New Roman"/>
                <w:color w:val="auto"/>
                <w:sz w:val="20"/>
                <w:szCs w:val="20"/>
              </w:rPr>
              <w:t>a</w:t>
            </w:r>
            <w:r w:rsidRPr="00D17BDC">
              <w:rPr>
                <w:rFonts w:ascii="Times New Roman" w:hAnsi="Times New Roman"/>
                <w:color w:val="auto"/>
                <w:sz w:val="20"/>
                <w:szCs w:val="20"/>
              </w:rPr>
              <w:t xml:space="preserve">gainst </w:t>
            </w:r>
            <w:r w:rsidR="00AE669F" w:rsidRPr="00D17BDC">
              <w:rPr>
                <w:rFonts w:ascii="Times New Roman" w:hAnsi="Times New Roman"/>
                <w:color w:val="auto"/>
                <w:sz w:val="20"/>
                <w:szCs w:val="20"/>
              </w:rPr>
              <w:t>w</w:t>
            </w:r>
            <w:r w:rsidRPr="00D17BDC">
              <w:rPr>
                <w:rFonts w:ascii="Times New Roman" w:hAnsi="Times New Roman"/>
                <w:color w:val="auto"/>
                <w:sz w:val="20"/>
                <w:szCs w:val="20"/>
              </w:rPr>
              <w:t>omen</w:t>
            </w:r>
          </w:p>
        </w:tc>
        <w:tc>
          <w:tcPr>
            <w:tcW w:w="370" w:type="pct"/>
            <w:shd w:val="clear" w:color="auto" w:fill="auto"/>
          </w:tcPr>
          <w:p w:rsidR="0077234F" w:rsidRPr="00D17BDC" w:rsidRDefault="0077234F" w:rsidP="00AB404A">
            <w:pPr>
              <w:spacing w:after="0" w:line="240" w:lineRule="auto"/>
              <w:rPr>
                <w:rFonts w:ascii="Times New Roman" w:hAnsi="Times New Roman"/>
                <w:color w:val="auto"/>
                <w:sz w:val="20"/>
                <w:szCs w:val="20"/>
              </w:rPr>
            </w:pPr>
            <w:r w:rsidRPr="00D17BDC">
              <w:rPr>
                <w:rFonts w:ascii="Times New Roman" w:hAnsi="Times New Roman"/>
                <w:color w:val="auto"/>
                <w:sz w:val="20"/>
                <w:szCs w:val="20"/>
              </w:rPr>
              <w:t>0.5</w:t>
            </w:r>
          </w:p>
        </w:tc>
        <w:tc>
          <w:tcPr>
            <w:tcW w:w="3148" w:type="pct"/>
            <w:shd w:val="clear" w:color="auto" w:fill="auto"/>
          </w:tcPr>
          <w:p w:rsidR="0077234F" w:rsidRPr="00D17BDC" w:rsidRDefault="00C60EDB" w:rsidP="00AB404A">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Support to </w:t>
            </w:r>
            <w:r w:rsidR="00AE669F" w:rsidRPr="00D17BDC">
              <w:rPr>
                <w:rFonts w:ascii="Times New Roman" w:hAnsi="Times New Roman"/>
                <w:color w:val="auto"/>
                <w:sz w:val="20"/>
                <w:szCs w:val="20"/>
              </w:rPr>
              <w:t xml:space="preserve">the </w:t>
            </w:r>
            <w:r w:rsidR="004338A2" w:rsidRPr="00D17BDC">
              <w:rPr>
                <w:rFonts w:ascii="Times New Roman" w:hAnsi="Times New Roman"/>
                <w:color w:val="auto"/>
                <w:sz w:val="20"/>
                <w:szCs w:val="20"/>
              </w:rPr>
              <w:t>Secretariat of the Pacific Community (</w:t>
            </w:r>
            <w:r w:rsidRPr="00D17BDC">
              <w:rPr>
                <w:rFonts w:ascii="Times New Roman" w:hAnsi="Times New Roman"/>
                <w:color w:val="auto"/>
                <w:sz w:val="20"/>
                <w:szCs w:val="20"/>
              </w:rPr>
              <w:t>SPC</w:t>
            </w:r>
            <w:r w:rsidR="004338A2" w:rsidRPr="00D17BDC">
              <w:rPr>
                <w:rFonts w:ascii="Times New Roman" w:hAnsi="Times New Roman"/>
                <w:color w:val="auto"/>
                <w:sz w:val="20"/>
                <w:szCs w:val="20"/>
              </w:rPr>
              <w:t>)</w:t>
            </w:r>
            <w:r w:rsidRPr="00D17BDC">
              <w:rPr>
                <w:rFonts w:ascii="Times New Roman" w:hAnsi="Times New Roman"/>
                <w:color w:val="auto"/>
                <w:sz w:val="20"/>
                <w:szCs w:val="20"/>
              </w:rPr>
              <w:t xml:space="preserve"> and </w:t>
            </w:r>
            <w:r w:rsidR="004338A2" w:rsidRPr="00D17BDC">
              <w:rPr>
                <w:rFonts w:ascii="Times New Roman" w:hAnsi="Times New Roman"/>
                <w:color w:val="auto"/>
                <w:sz w:val="20"/>
                <w:szCs w:val="20"/>
              </w:rPr>
              <w:t>Ministry of Internal and Social Affairs (</w:t>
            </w:r>
            <w:r w:rsidRPr="00D17BDC">
              <w:rPr>
                <w:rFonts w:ascii="Times New Roman" w:hAnsi="Times New Roman"/>
                <w:color w:val="auto"/>
                <w:sz w:val="20"/>
                <w:szCs w:val="20"/>
              </w:rPr>
              <w:t>MISA</w:t>
            </w:r>
            <w:r w:rsidR="004338A2" w:rsidRPr="00D17BDC">
              <w:rPr>
                <w:rFonts w:ascii="Times New Roman" w:hAnsi="Times New Roman"/>
                <w:color w:val="auto"/>
                <w:sz w:val="20"/>
                <w:szCs w:val="20"/>
              </w:rPr>
              <w:t>)</w:t>
            </w:r>
            <w:r w:rsidRPr="00D17BDC">
              <w:rPr>
                <w:rFonts w:ascii="Times New Roman" w:hAnsi="Times New Roman"/>
                <w:color w:val="auto"/>
                <w:sz w:val="20"/>
                <w:szCs w:val="20"/>
              </w:rPr>
              <w:t xml:space="preserve"> in preparing</w:t>
            </w:r>
            <w:r w:rsidR="00B97F29" w:rsidRPr="00D17BDC">
              <w:rPr>
                <w:rFonts w:ascii="Times New Roman" w:hAnsi="Times New Roman"/>
                <w:color w:val="auto"/>
                <w:sz w:val="20"/>
                <w:szCs w:val="20"/>
              </w:rPr>
              <w:t xml:space="preserve"> National Action Plan for Ending Violence against Women</w:t>
            </w:r>
            <w:r w:rsidRPr="00D17BDC">
              <w:rPr>
                <w:rFonts w:ascii="Times New Roman" w:hAnsi="Times New Roman"/>
                <w:color w:val="auto"/>
                <w:sz w:val="20"/>
                <w:szCs w:val="20"/>
              </w:rPr>
              <w:t xml:space="preserve"> </w:t>
            </w:r>
          </w:p>
          <w:p w:rsidR="00C60EDB" w:rsidRPr="00D17BDC" w:rsidRDefault="00C60EDB" w:rsidP="00197628">
            <w:pPr>
              <w:numPr>
                <w:ilvl w:val="0"/>
                <w:numId w:val="33"/>
              </w:numPr>
              <w:spacing w:after="0" w:line="240" w:lineRule="auto"/>
              <w:rPr>
                <w:rFonts w:ascii="Times New Roman" w:hAnsi="Times New Roman"/>
                <w:color w:val="auto"/>
                <w:sz w:val="20"/>
                <w:szCs w:val="20"/>
              </w:rPr>
            </w:pPr>
            <w:r w:rsidRPr="00D17BDC">
              <w:rPr>
                <w:rFonts w:ascii="Times New Roman" w:hAnsi="Times New Roman"/>
                <w:color w:val="auto"/>
                <w:sz w:val="20"/>
                <w:szCs w:val="20"/>
              </w:rPr>
              <w:t xml:space="preserve">Support to </w:t>
            </w:r>
            <w:r w:rsidR="004338A2" w:rsidRPr="00D17BDC">
              <w:rPr>
                <w:rFonts w:ascii="Times New Roman" w:hAnsi="Times New Roman"/>
                <w:color w:val="auto"/>
                <w:sz w:val="20"/>
                <w:szCs w:val="20"/>
              </w:rPr>
              <w:t>the Ministry of Health and Medical Services (</w:t>
            </w:r>
            <w:r w:rsidRPr="00D17BDC">
              <w:rPr>
                <w:rFonts w:ascii="Times New Roman" w:hAnsi="Times New Roman"/>
                <w:color w:val="auto"/>
                <w:sz w:val="20"/>
                <w:szCs w:val="20"/>
              </w:rPr>
              <w:t>MHMS</w:t>
            </w:r>
            <w:r w:rsidR="004338A2" w:rsidRPr="00D17BDC">
              <w:rPr>
                <w:rFonts w:ascii="Times New Roman" w:hAnsi="Times New Roman"/>
                <w:color w:val="auto"/>
                <w:sz w:val="20"/>
                <w:szCs w:val="20"/>
              </w:rPr>
              <w:t>)</w:t>
            </w:r>
            <w:r w:rsidRPr="00D17BDC">
              <w:rPr>
                <w:rFonts w:ascii="Times New Roman" w:hAnsi="Times New Roman"/>
                <w:color w:val="auto"/>
                <w:sz w:val="20"/>
                <w:szCs w:val="20"/>
              </w:rPr>
              <w:t xml:space="preserve"> for </w:t>
            </w:r>
            <w:r w:rsidR="00AE669F" w:rsidRPr="00D17BDC">
              <w:rPr>
                <w:rFonts w:ascii="Times New Roman" w:hAnsi="Times New Roman"/>
                <w:color w:val="auto"/>
                <w:sz w:val="20"/>
                <w:szCs w:val="20"/>
              </w:rPr>
              <w:t>h</w:t>
            </w:r>
            <w:r w:rsidRPr="00D17BDC">
              <w:rPr>
                <w:rFonts w:ascii="Times New Roman" w:hAnsi="Times New Roman"/>
                <w:color w:val="auto"/>
                <w:sz w:val="20"/>
                <w:szCs w:val="20"/>
              </w:rPr>
              <w:t xml:space="preserve">ealth </w:t>
            </w:r>
            <w:r w:rsidR="00AE669F" w:rsidRPr="00D17BDC">
              <w:rPr>
                <w:rFonts w:ascii="Times New Roman" w:hAnsi="Times New Roman"/>
                <w:color w:val="auto"/>
                <w:sz w:val="20"/>
                <w:szCs w:val="20"/>
              </w:rPr>
              <w:t>s</w:t>
            </w:r>
            <w:r w:rsidRPr="00D17BDC">
              <w:rPr>
                <w:rFonts w:ascii="Times New Roman" w:hAnsi="Times New Roman"/>
                <w:color w:val="auto"/>
                <w:sz w:val="20"/>
                <w:szCs w:val="20"/>
              </w:rPr>
              <w:t xml:space="preserve">trategic </w:t>
            </w:r>
            <w:r w:rsidR="00AE669F" w:rsidRPr="00D17BDC">
              <w:rPr>
                <w:rFonts w:ascii="Times New Roman" w:hAnsi="Times New Roman"/>
                <w:color w:val="auto"/>
                <w:sz w:val="20"/>
                <w:szCs w:val="20"/>
              </w:rPr>
              <w:t>p</w:t>
            </w:r>
            <w:r w:rsidRPr="00D17BDC">
              <w:rPr>
                <w:rFonts w:ascii="Times New Roman" w:hAnsi="Times New Roman"/>
                <w:color w:val="auto"/>
                <w:sz w:val="20"/>
                <w:szCs w:val="20"/>
              </w:rPr>
              <w:t xml:space="preserve">lanning, </w:t>
            </w:r>
            <w:r w:rsidR="00B97F29" w:rsidRPr="00D17BDC">
              <w:rPr>
                <w:rFonts w:ascii="Times New Roman" w:hAnsi="Times New Roman"/>
                <w:color w:val="auto"/>
                <w:sz w:val="20"/>
                <w:szCs w:val="20"/>
              </w:rPr>
              <w:t xml:space="preserve">procuring a </w:t>
            </w:r>
            <w:r w:rsidR="00AE669F" w:rsidRPr="00D17BDC">
              <w:rPr>
                <w:rFonts w:ascii="Times New Roman" w:hAnsi="Times New Roman"/>
                <w:color w:val="auto"/>
                <w:sz w:val="20"/>
                <w:szCs w:val="20"/>
              </w:rPr>
              <w:t>s</w:t>
            </w:r>
            <w:r w:rsidRPr="00D17BDC">
              <w:rPr>
                <w:rFonts w:ascii="Times New Roman" w:hAnsi="Times New Roman"/>
                <w:color w:val="auto"/>
                <w:sz w:val="20"/>
                <w:szCs w:val="20"/>
              </w:rPr>
              <w:t>atellite and design works for upgrades at K</w:t>
            </w:r>
            <w:r w:rsidR="00197628" w:rsidRPr="00D17BDC">
              <w:rPr>
                <w:rFonts w:ascii="Times New Roman" w:hAnsi="Times New Roman"/>
                <w:color w:val="auto"/>
                <w:sz w:val="20"/>
                <w:szCs w:val="20"/>
              </w:rPr>
              <w:t xml:space="preserve">iribati </w:t>
            </w:r>
            <w:r w:rsidRPr="00D17BDC">
              <w:rPr>
                <w:rFonts w:ascii="Times New Roman" w:hAnsi="Times New Roman"/>
                <w:color w:val="auto"/>
                <w:sz w:val="20"/>
                <w:szCs w:val="20"/>
              </w:rPr>
              <w:t>S</w:t>
            </w:r>
            <w:r w:rsidR="00197628" w:rsidRPr="00D17BDC">
              <w:rPr>
                <w:rFonts w:ascii="Times New Roman" w:hAnsi="Times New Roman"/>
                <w:color w:val="auto"/>
                <w:sz w:val="20"/>
                <w:szCs w:val="20"/>
              </w:rPr>
              <w:t xml:space="preserve">chool of </w:t>
            </w:r>
            <w:r w:rsidRPr="00D17BDC">
              <w:rPr>
                <w:rFonts w:ascii="Times New Roman" w:hAnsi="Times New Roman"/>
                <w:color w:val="auto"/>
                <w:sz w:val="20"/>
                <w:szCs w:val="20"/>
              </w:rPr>
              <w:t>N</w:t>
            </w:r>
            <w:r w:rsidR="00197628" w:rsidRPr="00D17BDC">
              <w:rPr>
                <w:rFonts w:ascii="Times New Roman" w:hAnsi="Times New Roman"/>
                <w:color w:val="auto"/>
                <w:sz w:val="20"/>
                <w:szCs w:val="20"/>
              </w:rPr>
              <w:t>ursing</w:t>
            </w:r>
            <w:r w:rsidRPr="00D17BDC">
              <w:rPr>
                <w:rFonts w:ascii="Times New Roman" w:hAnsi="Times New Roman"/>
                <w:color w:val="auto"/>
                <w:sz w:val="20"/>
                <w:szCs w:val="20"/>
              </w:rPr>
              <w:t xml:space="preserve"> and Betio Maternity Ward</w:t>
            </w:r>
          </w:p>
        </w:tc>
      </w:tr>
      <w:tr w:rsidR="0077234F" w:rsidRPr="00D17BDC" w:rsidTr="002E20EC">
        <w:trPr>
          <w:cantSplit/>
        </w:trPr>
        <w:tc>
          <w:tcPr>
            <w:tcW w:w="1481" w:type="pct"/>
            <w:shd w:val="clear" w:color="auto" w:fill="auto"/>
          </w:tcPr>
          <w:p w:rsidR="0077234F" w:rsidRPr="00D17BDC" w:rsidRDefault="0077234F" w:rsidP="00AB404A">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 xml:space="preserve">Total </w:t>
            </w:r>
          </w:p>
        </w:tc>
        <w:tc>
          <w:tcPr>
            <w:tcW w:w="370" w:type="pct"/>
            <w:shd w:val="clear" w:color="auto" w:fill="auto"/>
          </w:tcPr>
          <w:p w:rsidR="0077234F" w:rsidRPr="00D17BDC" w:rsidRDefault="0077234F" w:rsidP="00AB404A">
            <w:pPr>
              <w:spacing w:after="0" w:line="240" w:lineRule="auto"/>
              <w:rPr>
                <w:rFonts w:ascii="Times New Roman" w:hAnsi="Times New Roman"/>
                <w:b/>
                <w:color w:val="auto"/>
                <w:sz w:val="20"/>
                <w:szCs w:val="20"/>
              </w:rPr>
            </w:pPr>
            <w:r w:rsidRPr="00D17BDC">
              <w:rPr>
                <w:rFonts w:ascii="Times New Roman" w:hAnsi="Times New Roman"/>
                <w:b/>
                <w:color w:val="auto"/>
                <w:sz w:val="20"/>
                <w:szCs w:val="20"/>
              </w:rPr>
              <w:t>28.3</w:t>
            </w:r>
          </w:p>
        </w:tc>
        <w:tc>
          <w:tcPr>
            <w:tcW w:w="3148" w:type="pct"/>
            <w:shd w:val="clear" w:color="auto" w:fill="auto"/>
          </w:tcPr>
          <w:p w:rsidR="0077234F" w:rsidRPr="00D17BDC" w:rsidRDefault="0077234F" w:rsidP="00AB404A">
            <w:pPr>
              <w:spacing w:after="0" w:line="240" w:lineRule="auto"/>
              <w:rPr>
                <w:rFonts w:ascii="Times New Roman" w:hAnsi="Times New Roman"/>
                <w:b/>
                <w:color w:val="auto"/>
                <w:sz w:val="20"/>
                <w:szCs w:val="20"/>
              </w:rPr>
            </w:pPr>
          </w:p>
        </w:tc>
      </w:tr>
    </w:tbl>
    <w:p w:rsidR="00906E8E" w:rsidRPr="00D17BDC" w:rsidRDefault="00906E8E" w:rsidP="006A5382">
      <w:pPr>
        <w:pStyle w:val="Heading2"/>
        <w:rPr>
          <w:kern w:val="28"/>
        </w:rPr>
      </w:pPr>
      <w:bookmarkStart w:id="4" w:name="_Toc307062913"/>
      <w:r w:rsidRPr="00D17BDC">
        <w:rPr>
          <w:kern w:val="28"/>
        </w:rPr>
        <w:t xml:space="preserve">Priority Outcome </w:t>
      </w:r>
      <w:bookmarkStart w:id="5" w:name="One"/>
      <w:bookmarkEnd w:id="5"/>
      <w:r w:rsidRPr="00D17BDC">
        <w:rPr>
          <w:kern w:val="28"/>
        </w:rPr>
        <w:t>1:</w:t>
      </w:r>
      <w:r w:rsidR="00C84DBD" w:rsidRPr="00D17BDC">
        <w:rPr>
          <w:kern w:val="28"/>
        </w:rPr>
        <w:t xml:space="preserve"> </w:t>
      </w:r>
      <w:r w:rsidR="00672C46" w:rsidRPr="00D17BDC">
        <w:rPr>
          <w:kern w:val="28"/>
        </w:rPr>
        <w:t>Improved standards in b</w:t>
      </w:r>
      <w:r w:rsidRPr="00D17BDC">
        <w:rPr>
          <w:kern w:val="28"/>
        </w:rPr>
        <w:t xml:space="preserve">asic </w:t>
      </w:r>
      <w:r w:rsidR="00672C46" w:rsidRPr="00D17BDC">
        <w:rPr>
          <w:kern w:val="28"/>
        </w:rPr>
        <w:t>e</w:t>
      </w:r>
      <w:r w:rsidRPr="00D17BDC">
        <w:rPr>
          <w:kern w:val="28"/>
        </w:rPr>
        <w:t>ducation</w:t>
      </w:r>
      <w:bookmarkEnd w:id="4"/>
      <w:r w:rsidRPr="00D17BDC">
        <w:rPr>
          <w:kern w:val="28"/>
        </w:rPr>
        <w:t xml:space="preserve"> </w:t>
      </w:r>
    </w:p>
    <w:p w:rsidR="00924BC1" w:rsidRPr="00D17BDC" w:rsidRDefault="00924BC1" w:rsidP="00924BC1">
      <w:pPr>
        <w:spacing w:before="240" w:after="0" w:line="240" w:lineRule="auto"/>
        <w:ind w:left="2160" w:hanging="2160"/>
        <w:rPr>
          <w:rFonts w:ascii="Times New Roman" w:hAnsi="Times New Roman"/>
          <w:color w:val="auto"/>
          <w:sz w:val="24"/>
          <w:szCs w:val="24"/>
        </w:rPr>
      </w:pPr>
      <w:r w:rsidRPr="00D17BDC">
        <w:rPr>
          <w:rFonts w:ascii="Times New Roman" w:hAnsi="Times New Roman"/>
          <w:b/>
          <w:color w:val="auto"/>
          <w:sz w:val="24"/>
          <w:szCs w:val="24"/>
        </w:rPr>
        <w:t>Joint commitment:</w:t>
      </w:r>
      <w:r w:rsidRPr="00D17BDC">
        <w:rPr>
          <w:rFonts w:ascii="Times New Roman" w:hAnsi="Times New Roman"/>
          <w:color w:val="auto"/>
          <w:sz w:val="24"/>
          <w:szCs w:val="24"/>
        </w:rPr>
        <w:t xml:space="preserve"> </w:t>
      </w:r>
      <w:r w:rsidRPr="00D17BDC">
        <w:rPr>
          <w:rFonts w:ascii="Times New Roman" w:hAnsi="Times New Roman"/>
          <w:color w:val="auto"/>
          <w:sz w:val="24"/>
          <w:szCs w:val="24"/>
        </w:rPr>
        <w:tab/>
        <w:t>Support efforts to achieve improved standards in basic education (both access and quality)</w:t>
      </w:r>
    </w:p>
    <w:p w:rsidR="00AA3EFD" w:rsidRPr="00D17BDC" w:rsidRDefault="00924BC1" w:rsidP="00AA3EFD">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The first </w:t>
      </w:r>
      <w:r w:rsidR="002F2DD6" w:rsidRPr="00D17BDC">
        <w:rPr>
          <w:rFonts w:ascii="Times New Roman" w:hAnsi="Times New Roman"/>
          <w:color w:val="auto"/>
          <w:sz w:val="24"/>
          <w:szCs w:val="24"/>
        </w:rPr>
        <w:t>p</w:t>
      </w:r>
      <w:r w:rsidRPr="00D17BDC">
        <w:rPr>
          <w:rFonts w:ascii="Times New Roman" w:hAnsi="Times New Roman"/>
          <w:color w:val="auto"/>
          <w:sz w:val="24"/>
          <w:szCs w:val="24"/>
        </w:rPr>
        <w:t xml:space="preserve">riority </w:t>
      </w:r>
      <w:r w:rsidR="002F2DD6" w:rsidRPr="00D17BDC">
        <w:rPr>
          <w:rFonts w:ascii="Times New Roman" w:hAnsi="Times New Roman"/>
          <w:color w:val="auto"/>
          <w:sz w:val="24"/>
          <w:szCs w:val="24"/>
        </w:rPr>
        <w:t>o</w:t>
      </w:r>
      <w:r w:rsidRPr="00D17BDC">
        <w:rPr>
          <w:rFonts w:ascii="Times New Roman" w:hAnsi="Times New Roman"/>
          <w:color w:val="auto"/>
          <w:sz w:val="24"/>
          <w:szCs w:val="24"/>
        </w:rPr>
        <w:t xml:space="preserve">utcome </w:t>
      </w:r>
      <w:r w:rsidR="002F2DD6" w:rsidRPr="00D17BDC">
        <w:rPr>
          <w:rFonts w:ascii="Times New Roman" w:hAnsi="Times New Roman"/>
          <w:color w:val="auto"/>
          <w:sz w:val="24"/>
          <w:szCs w:val="24"/>
        </w:rPr>
        <w:t>a</w:t>
      </w:r>
      <w:r w:rsidRPr="00D17BDC">
        <w:rPr>
          <w:rFonts w:ascii="Times New Roman" w:hAnsi="Times New Roman"/>
          <w:color w:val="auto"/>
          <w:sz w:val="24"/>
          <w:szCs w:val="24"/>
        </w:rPr>
        <w:t>rea of the Partnership focuses on improving the standard of</w:t>
      </w:r>
      <w:r w:rsidR="0044287A" w:rsidRPr="00D17BDC">
        <w:rPr>
          <w:rFonts w:ascii="Times New Roman" w:hAnsi="Times New Roman"/>
          <w:color w:val="auto"/>
          <w:sz w:val="24"/>
          <w:szCs w:val="24"/>
        </w:rPr>
        <w:t xml:space="preserve"> basic</w:t>
      </w:r>
      <w:r w:rsidRPr="00D17BDC">
        <w:rPr>
          <w:rFonts w:ascii="Times New Roman" w:hAnsi="Times New Roman"/>
          <w:color w:val="auto"/>
          <w:sz w:val="24"/>
          <w:szCs w:val="24"/>
        </w:rPr>
        <w:t xml:space="preserve"> education across 115 primary and junior secondary schools in Kiribati, which should le</w:t>
      </w:r>
      <w:r w:rsidR="00AC4037" w:rsidRPr="00D17BDC">
        <w:rPr>
          <w:rFonts w:ascii="Times New Roman" w:hAnsi="Times New Roman"/>
          <w:color w:val="auto"/>
          <w:sz w:val="24"/>
          <w:szCs w:val="24"/>
        </w:rPr>
        <w:t>a</w:t>
      </w:r>
      <w:r w:rsidRPr="00D17BDC">
        <w:rPr>
          <w:rFonts w:ascii="Times New Roman" w:hAnsi="Times New Roman"/>
          <w:color w:val="auto"/>
          <w:sz w:val="24"/>
          <w:szCs w:val="24"/>
        </w:rPr>
        <w:t>d to higher</w:t>
      </w:r>
      <w:r w:rsidR="00E45C1A" w:rsidRPr="00D17BDC">
        <w:rPr>
          <w:rFonts w:ascii="Times New Roman" w:hAnsi="Times New Roman"/>
          <w:color w:val="auto"/>
          <w:sz w:val="24"/>
          <w:szCs w:val="24"/>
        </w:rPr>
        <w:t xml:space="preserve"> enrol</w:t>
      </w:r>
      <w:r w:rsidRPr="00D17BDC">
        <w:rPr>
          <w:rFonts w:ascii="Times New Roman" w:hAnsi="Times New Roman"/>
          <w:color w:val="auto"/>
          <w:sz w:val="24"/>
          <w:szCs w:val="24"/>
        </w:rPr>
        <w:t>ment rates and improved learning outcomes, an</w:t>
      </w:r>
      <w:r w:rsidR="00E45C1A" w:rsidRPr="00D17BDC">
        <w:rPr>
          <w:rFonts w:ascii="Times New Roman" w:hAnsi="Times New Roman"/>
          <w:color w:val="auto"/>
          <w:sz w:val="24"/>
          <w:szCs w:val="24"/>
        </w:rPr>
        <w:t xml:space="preserve">d support GoK’s vision of enhancing economic opportunities for its people. </w:t>
      </w:r>
      <w:r w:rsidR="00AA3EFD" w:rsidRPr="00D17BDC">
        <w:rPr>
          <w:rFonts w:ascii="Times New Roman" w:hAnsi="Times New Roman"/>
          <w:color w:val="auto"/>
          <w:sz w:val="24"/>
          <w:szCs w:val="24"/>
        </w:rPr>
        <w:t>The Partnership also directly address</w:t>
      </w:r>
      <w:r w:rsidR="002F2DD6" w:rsidRPr="00D17BDC">
        <w:rPr>
          <w:rFonts w:ascii="Times New Roman" w:hAnsi="Times New Roman"/>
          <w:color w:val="auto"/>
          <w:sz w:val="24"/>
          <w:szCs w:val="24"/>
        </w:rPr>
        <w:t>es</w:t>
      </w:r>
      <w:r w:rsidR="00AA3EFD" w:rsidRPr="00D17BDC">
        <w:rPr>
          <w:rFonts w:ascii="Times New Roman" w:hAnsi="Times New Roman"/>
          <w:color w:val="auto"/>
          <w:sz w:val="24"/>
          <w:szCs w:val="24"/>
        </w:rPr>
        <w:t xml:space="preserve"> the issue of donor coordination and support to GoK leadership. Perhaps more than in any other sector, it is th</w:t>
      </w:r>
      <w:r w:rsidR="002F2DD6" w:rsidRPr="00D17BDC">
        <w:rPr>
          <w:rFonts w:ascii="Times New Roman" w:hAnsi="Times New Roman"/>
          <w:color w:val="auto"/>
          <w:sz w:val="24"/>
          <w:szCs w:val="24"/>
        </w:rPr>
        <w:t>is</w:t>
      </w:r>
      <w:r w:rsidR="00AA3EFD" w:rsidRPr="00D17BDC">
        <w:rPr>
          <w:rFonts w:ascii="Times New Roman" w:hAnsi="Times New Roman"/>
          <w:color w:val="auto"/>
          <w:sz w:val="24"/>
          <w:szCs w:val="24"/>
        </w:rPr>
        <w:t xml:space="preserve"> issue</w:t>
      </w:r>
      <w:r w:rsidR="002F2DD6" w:rsidRPr="00D17BDC">
        <w:rPr>
          <w:rFonts w:ascii="Times New Roman" w:hAnsi="Times New Roman"/>
          <w:color w:val="auto"/>
          <w:sz w:val="24"/>
          <w:szCs w:val="24"/>
        </w:rPr>
        <w:t xml:space="preserve">, </w:t>
      </w:r>
      <w:r w:rsidR="00AA3EFD" w:rsidRPr="00D17BDC">
        <w:rPr>
          <w:rFonts w:ascii="Times New Roman" w:hAnsi="Times New Roman"/>
          <w:color w:val="auto"/>
          <w:sz w:val="24"/>
          <w:szCs w:val="24"/>
        </w:rPr>
        <w:t>rather than funding or technical know-how</w:t>
      </w:r>
      <w:r w:rsidR="002F2DD6" w:rsidRPr="00D17BDC">
        <w:rPr>
          <w:rFonts w:ascii="Times New Roman" w:hAnsi="Times New Roman"/>
          <w:color w:val="auto"/>
          <w:sz w:val="24"/>
          <w:szCs w:val="24"/>
        </w:rPr>
        <w:t>,</w:t>
      </w:r>
      <w:r w:rsidR="00AA3EFD" w:rsidRPr="00D17BDC">
        <w:rPr>
          <w:rFonts w:ascii="Times New Roman" w:hAnsi="Times New Roman"/>
          <w:color w:val="auto"/>
          <w:sz w:val="24"/>
          <w:szCs w:val="24"/>
        </w:rPr>
        <w:t xml:space="preserve"> that will lead to real improvement in development outcomes. </w:t>
      </w:r>
    </w:p>
    <w:p w:rsidR="00AA3EFD" w:rsidRPr="00D17BDC" w:rsidRDefault="00AA3EFD" w:rsidP="00EB1530">
      <w:pPr>
        <w:spacing w:before="240" w:after="0" w:line="240" w:lineRule="auto"/>
        <w:rPr>
          <w:rFonts w:ascii="Times New Roman" w:hAnsi="Times New Roman"/>
          <w:color w:val="auto"/>
          <w:sz w:val="24"/>
          <w:szCs w:val="24"/>
        </w:rPr>
      </w:pPr>
      <w:r w:rsidRPr="00D17BDC">
        <w:rPr>
          <w:rFonts w:ascii="Times New Roman" w:hAnsi="Times New Roman"/>
          <w:sz w:val="24"/>
          <w:szCs w:val="24"/>
        </w:rPr>
        <w:t xml:space="preserve">Progress towards the </w:t>
      </w:r>
      <w:r w:rsidR="00924BC1" w:rsidRPr="00D17BDC">
        <w:rPr>
          <w:rFonts w:ascii="Times New Roman" w:hAnsi="Times New Roman"/>
          <w:sz w:val="24"/>
          <w:szCs w:val="24"/>
        </w:rPr>
        <w:t xml:space="preserve">three agreed </w:t>
      </w:r>
      <w:r w:rsidR="00197628" w:rsidRPr="00D17BDC">
        <w:rPr>
          <w:rFonts w:ascii="Times New Roman" w:hAnsi="Times New Roman"/>
          <w:sz w:val="24"/>
          <w:szCs w:val="24"/>
        </w:rPr>
        <w:t>p</w:t>
      </w:r>
      <w:r w:rsidR="00924BC1" w:rsidRPr="00D17BDC">
        <w:rPr>
          <w:rFonts w:ascii="Times New Roman" w:hAnsi="Times New Roman"/>
          <w:sz w:val="24"/>
          <w:szCs w:val="24"/>
        </w:rPr>
        <w:t xml:space="preserve">artnership </w:t>
      </w:r>
      <w:r w:rsidR="00197628" w:rsidRPr="00D17BDC">
        <w:rPr>
          <w:rFonts w:ascii="Times New Roman" w:hAnsi="Times New Roman"/>
          <w:sz w:val="24"/>
          <w:szCs w:val="24"/>
        </w:rPr>
        <w:t>t</w:t>
      </w:r>
      <w:r w:rsidR="00924BC1" w:rsidRPr="00D17BDC">
        <w:rPr>
          <w:rFonts w:ascii="Times New Roman" w:hAnsi="Times New Roman"/>
          <w:sz w:val="24"/>
          <w:szCs w:val="24"/>
        </w:rPr>
        <w:t>argets</w:t>
      </w:r>
      <w:r w:rsidR="002F2DD6" w:rsidRPr="00D17BDC">
        <w:rPr>
          <w:rFonts w:ascii="Times New Roman" w:hAnsi="Times New Roman"/>
          <w:sz w:val="24"/>
          <w:szCs w:val="24"/>
        </w:rPr>
        <w:t xml:space="preserve"> for this priority outcome</w:t>
      </w:r>
      <w:r w:rsidR="00924BC1" w:rsidRPr="00D17BDC">
        <w:rPr>
          <w:rFonts w:ascii="Times New Roman" w:hAnsi="Times New Roman"/>
          <w:sz w:val="24"/>
          <w:szCs w:val="24"/>
        </w:rPr>
        <w:t xml:space="preserve"> </w:t>
      </w:r>
      <w:r w:rsidRPr="00D17BDC">
        <w:rPr>
          <w:rFonts w:ascii="Times New Roman" w:hAnsi="Times New Roman"/>
          <w:sz w:val="24"/>
          <w:szCs w:val="24"/>
        </w:rPr>
        <w:t xml:space="preserve">is </w:t>
      </w:r>
      <w:r w:rsidR="00285964" w:rsidRPr="00D17BDC">
        <w:rPr>
          <w:rFonts w:ascii="Times New Roman" w:hAnsi="Times New Roman"/>
          <w:sz w:val="24"/>
          <w:szCs w:val="24"/>
        </w:rPr>
        <w:t xml:space="preserve">set out in </w:t>
      </w:r>
      <w:r w:rsidR="00285964" w:rsidRPr="00D17BDC">
        <w:rPr>
          <w:rFonts w:ascii="Times New Roman" w:hAnsi="Times New Roman"/>
          <w:sz w:val="24"/>
          <w:szCs w:val="24"/>
        </w:rPr>
        <w:fldChar w:fldCharType="begin"/>
      </w:r>
      <w:r w:rsidR="00285964" w:rsidRPr="00D17BDC">
        <w:rPr>
          <w:rFonts w:ascii="Times New Roman" w:hAnsi="Times New Roman"/>
          <w:sz w:val="24"/>
          <w:szCs w:val="24"/>
        </w:rPr>
        <w:instrText xml:space="preserve"> REF _Ref301690378 </w:instrText>
      </w:r>
      <w:r w:rsidR="00D17BDC">
        <w:rPr>
          <w:rFonts w:ascii="Times New Roman" w:hAnsi="Times New Roman"/>
          <w:sz w:val="24"/>
          <w:szCs w:val="24"/>
        </w:rPr>
        <w:instrText xml:space="preserve"> \* MERGEFORMAT </w:instrText>
      </w:r>
      <w:r w:rsidR="00285964" w:rsidRPr="00D17BDC">
        <w:rPr>
          <w:rFonts w:ascii="Times New Roman" w:hAnsi="Times New Roman"/>
          <w:sz w:val="24"/>
          <w:szCs w:val="24"/>
        </w:rPr>
        <w:fldChar w:fldCharType="separate"/>
      </w:r>
      <w:r w:rsidR="00015E51" w:rsidRPr="00D17BDC">
        <w:t xml:space="preserve">Table </w:t>
      </w:r>
      <w:r w:rsidR="00015E51">
        <w:rPr>
          <w:noProof/>
        </w:rPr>
        <w:t>2</w:t>
      </w:r>
      <w:r w:rsidR="00285964" w:rsidRPr="00D17BDC">
        <w:rPr>
          <w:rFonts w:ascii="Times New Roman" w:hAnsi="Times New Roman"/>
          <w:sz w:val="24"/>
          <w:szCs w:val="24"/>
        </w:rPr>
        <w:fldChar w:fldCharType="end"/>
      </w:r>
      <w:r w:rsidR="00924BC1" w:rsidRPr="00D17BDC">
        <w:rPr>
          <w:rFonts w:ascii="Times New Roman" w:hAnsi="Times New Roman"/>
          <w:sz w:val="24"/>
          <w:szCs w:val="24"/>
        </w:rPr>
        <w:t xml:space="preserve">. </w:t>
      </w:r>
      <w:r w:rsidR="00E45C1A" w:rsidRPr="00D17BDC">
        <w:rPr>
          <w:rFonts w:ascii="Times New Roman" w:hAnsi="Times New Roman"/>
          <w:bCs/>
          <w:sz w:val="24"/>
          <w:szCs w:val="24"/>
        </w:rPr>
        <w:t>Progress towards Target 1</w:t>
      </w:r>
      <w:r w:rsidR="00A9264C" w:rsidRPr="00D17BDC">
        <w:rPr>
          <w:rFonts w:ascii="Times New Roman" w:hAnsi="Times New Roman"/>
          <w:bCs/>
          <w:sz w:val="24"/>
          <w:szCs w:val="24"/>
        </w:rPr>
        <w:t>—increased enrolment rates for both boys and girls at all levels of the education system—</w:t>
      </w:r>
      <w:r w:rsidR="00E45C1A" w:rsidRPr="00D17BDC">
        <w:rPr>
          <w:rFonts w:ascii="Times New Roman" w:hAnsi="Times New Roman"/>
          <w:bCs/>
          <w:sz w:val="24"/>
          <w:szCs w:val="24"/>
        </w:rPr>
        <w:t xml:space="preserve">is not progressing in the direction </w:t>
      </w:r>
      <w:r w:rsidRPr="00D17BDC">
        <w:rPr>
          <w:rFonts w:ascii="Times New Roman" w:hAnsi="Times New Roman"/>
          <w:bCs/>
          <w:sz w:val="24"/>
          <w:szCs w:val="24"/>
        </w:rPr>
        <w:t xml:space="preserve">both </w:t>
      </w:r>
      <w:r w:rsidR="00A9264C" w:rsidRPr="00D17BDC">
        <w:rPr>
          <w:rFonts w:ascii="Times New Roman" w:hAnsi="Times New Roman"/>
          <w:bCs/>
          <w:sz w:val="24"/>
          <w:szCs w:val="24"/>
        </w:rPr>
        <w:t>g</w:t>
      </w:r>
      <w:r w:rsidRPr="00D17BDC">
        <w:rPr>
          <w:rFonts w:ascii="Times New Roman" w:hAnsi="Times New Roman"/>
          <w:bCs/>
          <w:sz w:val="24"/>
          <w:szCs w:val="24"/>
        </w:rPr>
        <w:t xml:space="preserve">overnments </w:t>
      </w:r>
      <w:r w:rsidR="00A9264C" w:rsidRPr="00D17BDC">
        <w:rPr>
          <w:rFonts w:ascii="Times New Roman" w:hAnsi="Times New Roman"/>
          <w:bCs/>
          <w:sz w:val="24"/>
          <w:szCs w:val="24"/>
        </w:rPr>
        <w:t>would like</w:t>
      </w:r>
      <w:r w:rsidR="00E45C1A" w:rsidRPr="00D17BDC">
        <w:rPr>
          <w:rFonts w:ascii="Times New Roman" w:hAnsi="Times New Roman"/>
          <w:bCs/>
          <w:sz w:val="24"/>
          <w:szCs w:val="24"/>
        </w:rPr>
        <w:t>.</w:t>
      </w:r>
      <w:r w:rsidRPr="00D17BDC">
        <w:rPr>
          <w:rFonts w:ascii="Times New Roman" w:hAnsi="Times New Roman"/>
          <w:bCs/>
          <w:sz w:val="24"/>
          <w:szCs w:val="24"/>
        </w:rPr>
        <w:t xml:space="preserve"> </w:t>
      </w:r>
      <w:r w:rsidRPr="00D17BDC">
        <w:rPr>
          <w:rFonts w:ascii="Times New Roman" w:hAnsi="Times New Roman"/>
          <w:color w:val="auto"/>
          <w:sz w:val="24"/>
          <w:szCs w:val="24"/>
        </w:rPr>
        <w:t>There are improvements in literacy and numeracy</w:t>
      </w:r>
      <w:r w:rsidR="00285964" w:rsidRPr="00D17BDC">
        <w:rPr>
          <w:rFonts w:ascii="Times New Roman" w:hAnsi="Times New Roman"/>
          <w:color w:val="auto"/>
          <w:sz w:val="24"/>
          <w:szCs w:val="24"/>
        </w:rPr>
        <w:t xml:space="preserve"> </w:t>
      </w:r>
      <w:r w:rsidR="00FE4F3D" w:rsidRPr="00D17BDC">
        <w:rPr>
          <w:rFonts w:ascii="Times New Roman" w:hAnsi="Times New Roman"/>
          <w:color w:val="auto"/>
          <w:sz w:val="24"/>
          <w:szCs w:val="24"/>
        </w:rPr>
        <w:t xml:space="preserve">for most </w:t>
      </w:r>
      <w:r w:rsidR="00A9264C" w:rsidRPr="00D17BDC">
        <w:rPr>
          <w:rFonts w:ascii="Times New Roman" w:hAnsi="Times New Roman"/>
          <w:color w:val="auto"/>
          <w:sz w:val="24"/>
          <w:szCs w:val="24"/>
        </w:rPr>
        <w:t>school-</w:t>
      </w:r>
      <w:r w:rsidR="00FE4F3D" w:rsidRPr="00D17BDC">
        <w:rPr>
          <w:rFonts w:ascii="Times New Roman" w:hAnsi="Times New Roman"/>
          <w:color w:val="auto"/>
          <w:sz w:val="24"/>
          <w:szCs w:val="24"/>
        </w:rPr>
        <w:t xml:space="preserve">age groups </w:t>
      </w:r>
      <w:r w:rsidR="00285964" w:rsidRPr="00D17BDC">
        <w:rPr>
          <w:rFonts w:ascii="Times New Roman" w:hAnsi="Times New Roman"/>
          <w:color w:val="auto"/>
          <w:sz w:val="24"/>
          <w:szCs w:val="24"/>
        </w:rPr>
        <w:t>(Target 2)</w:t>
      </w:r>
      <w:r w:rsidRPr="00D17BDC">
        <w:rPr>
          <w:rFonts w:ascii="Times New Roman" w:hAnsi="Times New Roman"/>
          <w:color w:val="auto"/>
          <w:sz w:val="24"/>
          <w:szCs w:val="24"/>
        </w:rPr>
        <w:t>, but levels are low. The Kiribati Education Management Information System</w:t>
      </w:r>
      <w:r w:rsidR="003402F6" w:rsidRPr="00D17BDC">
        <w:rPr>
          <w:rFonts w:ascii="Times New Roman" w:hAnsi="Times New Roman"/>
          <w:color w:val="auto"/>
          <w:sz w:val="24"/>
          <w:szCs w:val="24"/>
        </w:rPr>
        <w:t xml:space="preserve"> </w:t>
      </w:r>
      <w:r w:rsidR="00304E27" w:rsidRPr="00D17BDC">
        <w:rPr>
          <w:rFonts w:ascii="Times New Roman" w:hAnsi="Times New Roman"/>
          <w:color w:val="auto"/>
          <w:sz w:val="24"/>
          <w:szCs w:val="24"/>
        </w:rPr>
        <w:t>functions well</w:t>
      </w:r>
      <w:r w:rsidR="003402F6" w:rsidRPr="00D17BDC">
        <w:rPr>
          <w:rFonts w:ascii="Times New Roman" w:hAnsi="Times New Roman"/>
          <w:color w:val="auto"/>
          <w:sz w:val="24"/>
          <w:szCs w:val="24"/>
        </w:rPr>
        <w:t xml:space="preserve"> and </w:t>
      </w:r>
      <w:r w:rsidR="00A9264C" w:rsidRPr="00D17BDC">
        <w:rPr>
          <w:rFonts w:ascii="Times New Roman" w:hAnsi="Times New Roman"/>
          <w:color w:val="auto"/>
          <w:sz w:val="24"/>
          <w:szCs w:val="24"/>
        </w:rPr>
        <w:t>a</w:t>
      </w:r>
      <w:r w:rsidR="003402F6" w:rsidRPr="00D17BDC">
        <w:rPr>
          <w:rFonts w:ascii="Times New Roman" w:hAnsi="Times New Roman"/>
          <w:color w:val="auto"/>
          <w:sz w:val="24"/>
          <w:szCs w:val="24"/>
        </w:rPr>
        <w:t xml:space="preserve">nnual </w:t>
      </w:r>
      <w:r w:rsidR="00A9264C" w:rsidRPr="00D17BDC">
        <w:rPr>
          <w:rFonts w:ascii="Times New Roman" w:hAnsi="Times New Roman"/>
          <w:color w:val="auto"/>
          <w:sz w:val="24"/>
          <w:szCs w:val="24"/>
        </w:rPr>
        <w:t>d</w:t>
      </w:r>
      <w:r w:rsidR="003402F6" w:rsidRPr="00D17BDC">
        <w:rPr>
          <w:rFonts w:ascii="Times New Roman" w:hAnsi="Times New Roman"/>
          <w:color w:val="auto"/>
          <w:sz w:val="24"/>
          <w:szCs w:val="24"/>
        </w:rPr>
        <w:t>igests</w:t>
      </w:r>
      <w:r w:rsidR="00A9264C" w:rsidRPr="00D17BDC">
        <w:rPr>
          <w:rFonts w:ascii="Times New Roman" w:hAnsi="Times New Roman"/>
          <w:color w:val="auto"/>
          <w:sz w:val="24"/>
          <w:szCs w:val="24"/>
        </w:rPr>
        <w:t xml:space="preserve"> of data</w:t>
      </w:r>
      <w:r w:rsidR="003402F6" w:rsidRPr="00D17BDC">
        <w:rPr>
          <w:rFonts w:ascii="Times New Roman" w:hAnsi="Times New Roman"/>
          <w:color w:val="auto"/>
          <w:sz w:val="24"/>
          <w:szCs w:val="24"/>
        </w:rPr>
        <w:t xml:space="preserve"> are prepared, however </w:t>
      </w:r>
      <w:r w:rsidR="00285964" w:rsidRPr="00D17BDC">
        <w:rPr>
          <w:rFonts w:ascii="Times New Roman" w:hAnsi="Times New Roman"/>
          <w:color w:val="auto"/>
          <w:sz w:val="24"/>
          <w:szCs w:val="24"/>
        </w:rPr>
        <w:t xml:space="preserve">the </w:t>
      </w:r>
      <w:r w:rsidR="004338A2" w:rsidRPr="00D17BDC">
        <w:rPr>
          <w:rFonts w:ascii="Times New Roman" w:hAnsi="Times New Roman"/>
          <w:color w:val="auto"/>
          <w:sz w:val="24"/>
          <w:szCs w:val="24"/>
        </w:rPr>
        <w:t>Ministry of Education</w:t>
      </w:r>
      <w:r w:rsidR="00285964" w:rsidRPr="00D17BDC">
        <w:rPr>
          <w:rFonts w:ascii="Times New Roman" w:hAnsi="Times New Roman"/>
          <w:color w:val="auto"/>
          <w:sz w:val="24"/>
          <w:szCs w:val="24"/>
        </w:rPr>
        <w:t xml:space="preserve"> </w:t>
      </w:r>
      <w:r w:rsidR="003402F6" w:rsidRPr="00D17BDC">
        <w:rPr>
          <w:rFonts w:ascii="Times New Roman" w:hAnsi="Times New Roman"/>
          <w:color w:val="auto"/>
          <w:sz w:val="24"/>
          <w:szCs w:val="24"/>
        </w:rPr>
        <w:t>rema</w:t>
      </w:r>
      <w:r w:rsidR="00285964" w:rsidRPr="00D17BDC">
        <w:rPr>
          <w:rFonts w:ascii="Times New Roman" w:hAnsi="Times New Roman"/>
          <w:color w:val="auto"/>
          <w:sz w:val="24"/>
          <w:szCs w:val="24"/>
        </w:rPr>
        <w:t>ins concerned</w:t>
      </w:r>
      <w:r w:rsidR="003402F6" w:rsidRPr="00D17BDC">
        <w:rPr>
          <w:rFonts w:ascii="Times New Roman" w:hAnsi="Times New Roman"/>
          <w:color w:val="auto"/>
          <w:sz w:val="24"/>
          <w:szCs w:val="24"/>
        </w:rPr>
        <w:t xml:space="preserve"> over data accuracy</w:t>
      </w:r>
      <w:r w:rsidR="00285964" w:rsidRPr="00D17BDC">
        <w:rPr>
          <w:rFonts w:ascii="Times New Roman" w:hAnsi="Times New Roman"/>
          <w:color w:val="auto"/>
          <w:sz w:val="24"/>
          <w:szCs w:val="24"/>
        </w:rPr>
        <w:t xml:space="preserve"> (particularly from the Outer Islands</w:t>
      </w:r>
      <w:r w:rsidR="00002542" w:rsidRPr="00D17BDC">
        <w:rPr>
          <w:rFonts w:ascii="Times New Roman" w:hAnsi="Times New Roman"/>
          <w:color w:val="auto"/>
          <w:sz w:val="24"/>
          <w:szCs w:val="24"/>
        </w:rPr>
        <w:t xml:space="preserve">) (Target 3). </w:t>
      </w:r>
    </w:p>
    <w:p w:rsidR="002B2588" w:rsidRPr="00D17BDC" w:rsidRDefault="002B2588" w:rsidP="002B2588">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The main vehicle for implementing Australia’s aid and contributing towards the</w:t>
      </w:r>
      <w:r w:rsidR="00A9264C" w:rsidRPr="00D17BDC">
        <w:rPr>
          <w:rFonts w:ascii="Times New Roman" w:hAnsi="Times New Roman"/>
          <w:color w:val="auto"/>
          <w:sz w:val="24"/>
          <w:szCs w:val="24"/>
        </w:rPr>
        <w:t>se</w:t>
      </w:r>
      <w:r w:rsidRPr="00D17BDC">
        <w:rPr>
          <w:rFonts w:ascii="Times New Roman" w:hAnsi="Times New Roman"/>
          <w:color w:val="auto"/>
          <w:sz w:val="24"/>
          <w:szCs w:val="24"/>
        </w:rPr>
        <w:t xml:space="preserve"> Partnership targets is through </w:t>
      </w:r>
      <w:r w:rsidR="00797BD1" w:rsidRPr="00D17BDC">
        <w:rPr>
          <w:rFonts w:ascii="Times New Roman" w:hAnsi="Times New Roman"/>
          <w:color w:val="auto"/>
          <w:sz w:val="24"/>
          <w:szCs w:val="24"/>
        </w:rPr>
        <w:t>KEIP</w:t>
      </w:r>
      <w:r w:rsidR="00A9264C" w:rsidRPr="00D17BDC">
        <w:rPr>
          <w:rFonts w:ascii="Times New Roman" w:hAnsi="Times New Roman"/>
          <w:color w:val="auto"/>
          <w:sz w:val="24"/>
          <w:szCs w:val="24"/>
        </w:rPr>
        <w:t xml:space="preserve">, </w:t>
      </w:r>
      <w:r w:rsidRPr="00D17BDC">
        <w:rPr>
          <w:rFonts w:ascii="Times New Roman" w:hAnsi="Times New Roman"/>
          <w:color w:val="auto"/>
          <w:sz w:val="24"/>
          <w:szCs w:val="24"/>
        </w:rPr>
        <w:t xml:space="preserve">a </w:t>
      </w:r>
      <w:r w:rsidR="00063730" w:rsidRPr="00D17BDC">
        <w:rPr>
          <w:rFonts w:ascii="Times New Roman" w:hAnsi="Times New Roman"/>
          <w:color w:val="auto"/>
          <w:sz w:val="24"/>
          <w:szCs w:val="24"/>
        </w:rPr>
        <w:t>10</w:t>
      </w:r>
      <w:r w:rsidR="00A9264C" w:rsidRPr="00D17BDC">
        <w:rPr>
          <w:rFonts w:ascii="Times New Roman" w:hAnsi="Times New Roman"/>
          <w:color w:val="auto"/>
          <w:sz w:val="24"/>
          <w:szCs w:val="24"/>
        </w:rPr>
        <w:t>-</w:t>
      </w:r>
      <w:r w:rsidRPr="00D17BDC">
        <w:rPr>
          <w:rFonts w:ascii="Times New Roman" w:hAnsi="Times New Roman"/>
          <w:color w:val="auto"/>
          <w:sz w:val="24"/>
          <w:szCs w:val="24"/>
        </w:rPr>
        <w:t>year</w:t>
      </w:r>
      <w:r w:rsidR="00A9264C" w:rsidRPr="00D17BDC">
        <w:rPr>
          <w:rFonts w:ascii="Times New Roman" w:hAnsi="Times New Roman"/>
          <w:color w:val="auto"/>
          <w:sz w:val="24"/>
          <w:szCs w:val="24"/>
        </w:rPr>
        <w:t>,</w:t>
      </w:r>
      <w:r w:rsidRPr="00D17BDC">
        <w:rPr>
          <w:rFonts w:ascii="Times New Roman" w:hAnsi="Times New Roman"/>
          <w:color w:val="auto"/>
          <w:sz w:val="24"/>
          <w:szCs w:val="24"/>
        </w:rPr>
        <w:t xml:space="preserve"> multi-donor program that </w:t>
      </w:r>
      <w:r w:rsidR="00A9264C" w:rsidRPr="00D17BDC">
        <w:rPr>
          <w:rFonts w:ascii="Times New Roman" w:hAnsi="Times New Roman"/>
          <w:color w:val="auto"/>
          <w:sz w:val="24"/>
          <w:szCs w:val="24"/>
        </w:rPr>
        <w:t xml:space="preserve">started </w:t>
      </w:r>
      <w:r w:rsidRPr="00D17BDC">
        <w:rPr>
          <w:rFonts w:ascii="Times New Roman" w:hAnsi="Times New Roman"/>
          <w:color w:val="auto"/>
          <w:sz w:val="24"/>
          <w:szCs w:val="24"/>
        </w:rPr>
        <w:t xml:space="preserve">in </w:t>
      </w:r>
      <w:r w:rsidR="00FE4F3D" w:rsidRPr="00D17BDC">
        <w:rPr>
          <w:rFonts w:ascii="Times New Roman" w:hAnsi="Times New Roman"/>
          <w:color w:val="auto"/>
          <w:sz w:val="24"/>
          <w:szCs w:val="24"/>
        </w:rPr>
        <w:t>August 2010</w:t>
      </w:r>
      <w:r w:rsidRPr="00D17BDC">
        <w:rPr>
          <w:rFonts w:ascii="Times New Roman" w:hAnsi="Times New Roman"/>
          <w:color w:val="auto"/>
          <w:sz w:val="24"/>
          <w:szCs w:val="24"/>
        </w:rPr>
        <w:t xml:space="preserve">, after a lengthy design process. KEIP is currently in Phase 1, and Phase 2 will run from 2012 to 2015. </w:t>
      </w:r>
    </w:p>
    <w:p w:rsidR="00285964" w:rsidRPr="00D17BDC" w:rsidRDefault="00285964" w:rsidP="00285964">
      <w:pPr>
        <w:pStyle w:val="Caption"/>
        <w:rPr>
          <w:rFonts w:ascii="Times New Roman" w:hAnsi="Times New Roman"/>
          <w:color w:val="auto"/>
          <w:sz w:val="24"/>
          <w:szCs w:val="24"/>
        </w:rPr>
      </w:pPr>
      <w:bookmarkStart w:id="6" w:name="_Ref301690378"/>
      <w:r w:rsidRPr="00D17BDC">
        <w:t xml:space="preserve">Table </w:t>
      </w:r>
      <w:r w:rsidRPr="00D17BDC">
        <w:fldChar w:fldCharType="begin"/>
      </w:r>
      <w:r w:rsidRPr="00D17BDC">
        <w:instrText xml:space="preserve"> SEQ Table \* ARABIC </w:instrText>
      </w:r>
      <w:r w:rsidRPr="00D17BDC">
        <w:fldChar w:fldCharType="separate"/>
      </w:r>
      <w:r w:rsidR="00015E51">
        <w:rPr>
          <w:noProof/>
        </w:rPr>
        <w:t>2</w:t>
      </w:r>
      <w:r w:rsidRPr="00D17BDC">
        <w:fldChar w:fldCharType="end"/>
      </w:r>
      <w:bookmarkEnd w:id="6"/>
      <w:r w:rsidRPr="00D17BDC">
        <w:t xml:space="preserve">: Progress towards Partnership Targets in </w:t>
      </w:r>
      <w:r w:rsidR="002F2DD6" w:rsidRPr="00D17BDC">
        <w:t>b</w:t>
      </w:r>
      <w:r w:rsidRPr="00D17BDC">
        <w:t xml:space="preserve">asic </w:t>
      </w:r>
      <w:r w:rsidR="002F2DD6" w:rsidRPr="00D17BDC">
        <w:t>e</w:t>
      </w:r>
      <w:r w:rsidRPr="00D17BDC">
        <w:t>ducation</w:t>
      </w:r>
      <w:r w:rsidR="00A9264C" w:rsidRPr="00D17BDC">
        <w:t>, by percentage</w:t>
      </w:r>
    </w:p>
    <w:tbl>
      <w:tblPr>
        <w:tblW w:w="47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63"/>
        <w:gridCol w:w="1804"/>
        <w:gridCol w:w="1934"/>
        <w:gridCol w:w="1338"/>
      </w:tblGrid>
      <w:tr w:rsidR="00285964" w:rsidRPr="00D17BDC" w:rsidTr="00472C93">
        <w:trPr>
          <w:cantSplit/>
          <w:trHeight w:val="20"/>
          <w:tblHeader/>
        </w:trPr>
        <w:tc>
          <w:tcPr>
            <w:tcW w:w="1346" w:type="pct"/>
            <w:tcBorders>
              <w:bottom w:val="single" w:sz="4" w:space="0" w:color="auto"/>
            </w:tcBorders>
            <w:shd w:val="clear" w:color="auto" w:fill="C0C0C0"/>
          </w:tcPr>
          <w:p w:rsidR="00285964" w:rsidRPr="00D17BDC" w:rsidRDefault="00285964" w:rsidP="00610F29">
            <w:pPr>
              <w:spacing w:after="0" w:line="240" w:lineRule="auto"/>
              <w:rPr>
                <w:rFonts w:ascii="Times New Roman" w:hAnsi="Times New Roman"/>
                <w:b/>
                <w:sz w:val="20"/>
                <w:szCs w:val="20"/>
              </w:rPr>
            </w:pPr>
          </w:p>
        </w:tc>
        <w:tc>
          <w:tcPr>
            <w:tcW w:w="942" w:type="pct"/>
            <w:tcBorders>
              <w:bottom w:val="single" w:sz="4" w:space="0" w:color="auto"/>
            </w:tcBorders>
            <w:shd w:val="clear" w:color="auto" w:fill="C0C0C0"/>
          </w:tcPr>
          <w:p w:rsidR="00285964" w:rsidRPr="00D17BDC" w:rsidRDefault="00285964"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Baseline </w:t>
            </w:r>
            <w:r w:rsidR="00A9264C" w:rsidRPr="00D17BDC">
              <w:rPr>
                <w:rFonts w:ascii="Times New Roman" w:hAnsi="Times New Roman"/>
                <w:b/>
                <w:sz w:val="20"/>
                <w:szCs w:val="20"/>
              </w:rPr>
              <w:t>(%)</w:t>
            </w:r>
          </w:p>
        </w:tc>
        <w:tc>
          <w:tcPr>
            <w:tcW w:w="964" w:type="pct"/>
            <w:tcBorders>
              <w:bottom w:val="single" w:sz="4" w:space="0" w:color="auto"/>
            </w:tcBorders>
            <w:shd w:val="clear" w:color="auto" w:fill="C0C0C0"/>
          </w:tcPr>
          <w:p w:rsidR="00285964" w:rsidRPr="00D17BDC" w:rsidRDefault="00285964" w:rsidP="00070BE9">
            <w:pPr>
              <w:spacing w:after="0" w:line="240" w:lineRule="auto"/>
              <w:rPr>
                <w:rFonts w:ascii="Times New Roman" w:hAnsi="Times New Roman"/>
                <w:b/>
                <w:sz w:val="20"/>
                <w:szCs w:val="20"/>
              </w:rPr>
            </w:pPr>
            <w:r w:rsidRPr="00D17BDC">
              <w:rPr>
                <w:rFonts w:ascii="Times New Roman" w:hAnsi="Times New Roman"/>
                <w:b/>
                <w:sz w:val="20"/>
                <w:szCs w:val="20"/>
              </w:rPr>
              <w:t xml:space="preserve">Latest </w:t>
            </w:r>
            <w:r w:rsidR="00A9264C" w:rsidRPr="00D17BDC">
              <w:rPr>
                <w:rFonts w:ascii="Times New Roman" w:hAnsi="Times New Roman"/>
                <w:b/>
                <w:sz w:val="20"/>
                <w:szCs w:val="20"/>
              </w:rPr>
              <w:t>(%)</w:t>
            </w:r>
          </w:p>
        </w:tc>
        <w:tc>
          <w:tcPr>
            <w:tcW w:w="1033" w:type="pct"/>
            <w:tcBorders>
              <w:bottom w:val="single" w:sz="4" w:space="0" w:color="auto"/>
            </w:tcBorders>
            <w:shd w:val="clear" w:color="auto" w:fill="C0C0C0"/>
          </w:tcPr>
          <w:p w:rsidR="00285964" w:rsidRPr="00D17BDC" w:rsidRDefault="00285964" w:rsidP="00070BE9">
            <w:pPr>
              <w:spacing w:after="0" w:line="240" w:lineRule="auto"/>
              <w:rPr>
                <w:rFonts w:ascii="Times New Roman" w:hAnsi="Times New Roman"/>
                <w:b/>
                <w:sz w:val="20"/>
                <w:szCs w:val="20"/>
              </w:rPr>
            </w:pPr>
            <w:r w:rsidRPr="00D17BDC">
              <w:rPr>
                <w:rFonts w:ascii="Times New Roman" w:hAnsi="Times New Roman"/>
                <w:b/>
                <w:sz w:val="20"/>
                <w:szCs w:val="20"/>
              </w:rPr>
              <w:t xml:space="preserve">Target </w:t>
            </w:r>
            <w:r w:rsidR="00A9264C" w:rsidRPr="00D17BDC">
              <w:rPr>
                <w:rFonts w:ascii="Times New Roman" w:hAnsi="Times New Roman"/>
                <w:b/>
                <w:sz w:val="20"/>
                <w:szCs w:val="20"/>
              </w:rPr>
              <w:t>(%)</w:t>
            </w:r>
          </w:p>
        </w:tc>
        <w:tc>
          <w:tcPr>
            <w:tcW w:w="715" w:type="pct"/>
            <w:tcBorders>
              <w:bottom w:val="single" w:sz="4" w:space="0" w:color="auto"/>
            </w:tcBorders>
            <w:shd w:val="clear" w:color="auto" w:fill="C0C0C0"/>
          </w:tcPr>
          <w:p w:rsidR="00285964" w:rsidRPr="00D17BDC" w:rsidRDefault="00285964"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Assessment </w:t>
            </w:r>
          </w:p>
        </w:tc>
      </w:tr>
      <w:tr w:rsidR="00285964" w:rsidRPr="00D17BDC" w:rsidTr="00304E27">
        <w:trPr>
          <w:cantSplit/>
          <w:trHeight w:val="20"/>
        </w:trPr>
        <w:tc>
          <w:tcPr>
            <w:tcW w:w="5000" w:type="pct"/>
            <w:gridSpan w:val="5"/>
            <w:shd w:val="clear" w:color="auto" w:fill="CCFFFF"/>
          </w:tcPr>
          <w:p w:rsidR="00285964" w:rsidRPr="00D17BDC" w:rsidRDefault="00285964"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Target 1: Increased net enrolment rates for both boys and girls at all levels of the education system </w:t>
            </w:r>
          </w:p>
        </w:tc>
      </w:tr>
      <w:tr w:rsidR="00285964" w:rsidRPr="00D17BDC" w:rsidTr="00304E27">
        <w:trPr>
          <w:cantSplit/>
          <w:trHeight w:val="20"/>
        </w:trPr>
        <w:tc>
          <w:tcPr>
            <w:tcW w:w="1346"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Primary school</w:t>
            </w:r>
          </w:p>
        </w:tc>
        <w:tc>
          <w:tcPr>
            <w:tcW w:w="942"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93 (2008) </w:t>
            </w:r>
          </w:p>
        </w:tc>
        <w:tc>
          <w:tcPr>
            <w:tcW w:w="964"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 85 (2010) </w:t>
            </w:r>
          </w:p>
        </w:tc>
        <w:tc>
          <w:tcPr>
            <w:tcW w:w="1033"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96 by 2013</w:t>
            </w:r>
          </w:p>
        </w:tc>
        <w:tc>
          <w:tcPr>
            <w:tcW w:w="715" w:type="pct"/>
            <w:vMerge w:val="restart"/>
          </w:tcPr>
          <w:p w:rsidR="00285964" w:rsidRPr="00D17BDC" w:rsidRDefault="00285964" w:rsidP="00C56CEE">
            <w:pPr>
              <w:spacing w:after="0" w:line="240" w:lineRule="auto"/>
              <w:rPr>
                <w:rFonts w:ascii="Times New Roman" w:hAnsi="Times New Roman"/>
                <w:sz w:val="20"/>
                <w:szCs w:val="20"/>
              </w:rPr>
            </w:pPr>
            <w:r w:rsidRPr="00D17BDC">
              <w:rPr>
                <w:rFonts w:ascii="Times New Roman" w:hAnsi="Times New Roman"/>
                <w:sz w:val="20"/>
                <w:szCs w:val="20"/>
              </w:rPr>
              <w:t>Off</w:t>
            </w:r>
            <w:r w:rsidR="00C56CEE" w:rsidRPr="00D17BDC">
              <w:rPr>
                <w:rFonts w:ascii="Times New Roman" w:hAnsi="Times New Roman"/>
                <w:sz w:val="20"/>
                <w:szCs w:val="20"/>
              </w:rPr>
              <w:t xml:space="preserve"> </w:t>
            </w:r>
            <w:r w:rsidRPr="00D17BDC">
              <w:rPr>
                <w:rFonts w:ascii="Times New Roman" w:hAnsi="Times New Roman"/>
                <w:sz w:val="20"/>
                <w:szCs w:val="20"/>
              </w:rPr>
              <w:t xml:space="preserve">track </w:t>
            </w:r>
          </w:p>
        </w:tc>
      </w:tr>
      <w:tr w:rsidR="00285964" w:rsidRPr="00D17BDC" w:rsidTr="00304E27">
        <w:trPr>
          <w:cantSplit/>
          <w:trHeight w:val="20"/>
        </w:trPr>
        <w:tc>
          <w:tcPr>
            <w:tcW w:w="1346" w:type="pct"/>
            <w:tcBorders>
              <w:bottom w:val="single" w:sz="4" w:space="0" w:color="auto"/>
            </w:tcBorders>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Junior secondary school</w:t>
            </w:r>
          </w:p>
        </w:tc>
        <w:tc>
          <w:tcPr>
            <w:tcW w:w="942"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68</w:t>
            </w:r>
            <w:r w:rsidR="00A9264C" w:rsidRPr="00D17BDC">
              <w:rPr>
                <w:rFonts w:ascii="Times New Roman" w:hAnsi="Times New Roman"/>
                <w:sz w:val="20"/>
                <w:szCs w:val="20"/>
              </w:rPr>
              <w:t xml:space="preserve"> </w:t>
            </w:r>
            <w:r w:rsidRPr="00D17BDC">
              <w:rPr>
                <w:rFonts w:ascii="Times New Roman" w:hAnsi="Times New Roman"/>
                <w:sz w:val="20"/>
                <w:szCs w:val="20"/>
              </w:rPr>
              <w:t>(2008)</w:t>
            </w:r>
          </w:p>
        </w:tc>
        <w:tc>
          <w:tcPr>
            <w:tcW w:w="964"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 65 (2010)</w:t>
            </w:r>
          </w:p>
        </w:tc>
        <w:tc>
          <w:tcPr>
            <w:tcW w:w="1033"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90 by 2013</w:t>
            </w:r>
          </w:p>
        </w:tc>
        <w:tc>
          <w:tcPr>
            <w:tcW w:w="715" w:type="pct"/>
            <w:vMerge/>
            <w:tcBorders>
              <w:bottom w:val="single" w:sz="4" w:space="0" w:color="auto"/>
            </w:tcBorders>
          </w:tcPr>
          <w:p w:rsidR="00285964" w:rsidRPr="00D17BDC" w:rsidRDefault="00285964" w:rsidP="00610F29">
            <w:pPr>
              <w:spacing w:after="0" w:line="240" w:lineRule="auto"/>
              <w:rPr>
                <w:rFonts w:ascii="Times New Roman" w:hAnsi="Times New Roman"/>
                <w:sz w:val="20"/>
                <w:szCs w:val="20"/>
              </w:rPr>
            </w:pPr>
          </w:p>
        </w:tc>
      </w:tr>
      <w:tr w:rsidR="00285964" w:rsidRPr="00D17BDC" w:rsidTr="00304E27">
        <w:trPr>
          <w:cantSplit/>
          <w:trHeight w:val="20"/>
        </w:trPr>
        <w:tc>
          <w:tcPr>
            <w:tcW w:w="5000" w:type="pct"/>
            <w:gridSpan w:val="5"/>
            <w:shd w:val="clear" w:color="auto" w:fill="CCFFFF"/>
          </w:tcPr>
          <w:p w:rsidR="00285964" w:rsidRPr="00D17BDC" w:rsidRDefault="00D17BDC" w:rsidP="00610F29">
            <w:pPr>
              <w:spacing w:after="0" w:line="240" w:lineRule="auto"/>
              <w:rPr>
                <w:rFonts w:ascii="Times New Roman" w:hAnsi="Times New Roman"/>
                <w:b/>
                <w:sz w:val="20"/>
                <w:szCs w:val="20"/>
              </w:rPr>
            </w:pPr>
            <w:r>
              <w:rPr>
                <w:rFonts w:ascii="Times New Roman" w:hAnsi="Times New Roman"/>
                <w:b/>
                <w:sz w:val="20"/>
                <w:szCs w:val="20"/>
              </w:rPr>
              <w:t>Target 2: I</w:t>
            </w:r>
            <w:r w:rsidR="00285964" w:rsidRPr="00D17BDC">
              <w:rPr>
                <w:rFonts w:ascii="Times New Roman" w:hAnsi="Times New Roman"/>
                <w:b/>
                <w:sz w:val="20"/>
                <w:szCs w:val="20"/>
              </w:rPr>
              <w:t>mprovement in the literacy (English and Kiribati) and numeracy skills of school-age children</w:t>
            </w:r>
          </w:p>
        </w:tc>
      </w:tr>
      <w:tr w:rsidR="00285964" w:rsidRPr="00D17BDC" w:rsidTr="00FE4F3D">
        <w:trPr>
          <w:cantSplit/>
          <w:trHeight w:val="20"/>
        </w:trPr>
        <w:tc>
          <w:tcPr>
            <w:tcW w:w="1346"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Grade 4 English </w:t>
            </w:r>
            <w:r w:rsidR="00A9264C" w:rsidRPr="00D17BDC">
              <w:rPr>
                <w:rFonts w:ascii="Times New Roman" w:hAnsi="Times New Roman"/>
                <w:sz w:val="20"/>
                <w:szCs w:val="20"/>
              </w:rPr>
              <w:t>l</w:t>
            </w:r>
            <w:r w:rsidRPr="00D17BDC">
              <w:rPr>
                <w:rFonts w:ascii="Times New Roman" w:hAnsi="Times New Roman"/>
                <w:sz w:val="20"/>
                <w:szCs w:val="20"/>
              </w:rPr>
              <w:t>iteracy</w:t>
            </w:r>
          </w:p>
        </w:tc>
        <w:tc>
          <w:tcPr>
            <w:tcW w:w="942"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29 (2007)</w:t>
            </w:r>
          </w:p>
        </w:tc>
        <w:tc>
          <w:tcPr>
            <w:tcW w:w="964"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31 (2009)</w:t>
            </w:r>
          </w:p>
        </w:tc>
        <w:tc>
          <w:tcPr>
            <w:tcW w:w="1033" w:type="pct"/>
            <w:shd w:val="clear" w:color="auto" w:fill="auto"/>
          </w:tcPr>
          <w:p w:rsidR="00285964" w:rsidRPr="00D17BDC" w:rsidRDefault="00FE4F3D" w:rsidP="00A9264C">
            <w:pPr>
              <w:spacing w:after="0" w:line="240" w:lineRule="auto"/>
              <w:rPr>
                <w:rFonts w:ascii="Times New Roman" w:hAnsi="Times New Roman"/>
                <w:sz w:val="20"/>
                <w:szCs w:val="20"/>
              </w:rPr>
            </w:pPr>
            <w:r w:rsidRPr="00D17BDC">
              <w:rPr>
                <w:rFonts w:ascii="Times New Roman" w:hAnsi="Times New Roman"/>
                <w:sz w:val="20"/>
                <w:szCs w:val="20"/>
              </w:rPr>
              <w:t>48 by 2013</w:t>
            </w:r>
          </w:p>
        </w:tc>
        <w:tc>
          <w:tcPr>
            <w:tcW w:w="715" w:type="pct"/>
            <w:vMerge w:val="restart"/>
          </w:tcPr>
          <w:p w:rsidR="00285964" w:rsidRPr="00D17BDC" w:rsidRDefault="00285964" w:rsidP="00C56CEE">
            <w:pPr>
              <w:rPr>
                <w:rFonts w:ascii="Times New Roman" w:hAnsi="Times New Roman"/>
                <w:sz w:val="20"/>
                <w:szCs w:val="20"/>
              </w:rPr>
            </w:pPr>
            <w:r w:rsidRPr="00D17BDC">
              <w:rPr>
                <w:rFonts w:ascii="Times New Roman" w:hAnsi="Times New Roman"/>
                <w:sz w:val="20"/>
                <w:szCs w:val="20"/>
              </w:rPr>
              <w:t>On</w:t>
            </w:r>
            <w:r w:rsidR="00C56CEE" w:rsidRPr="00D17BDC">
              <w:rPr>
                <w:rFonts w:ascii="Times New Roman" w:hAnsi="Times New Roman"/>
                <w:sz w:val="20"/>
                <w:szCs w:val="20"/>
              </w:rPr>
              <w:t xml:space="preserve"> </w:t>
            </w:r>
            <w:r w:rsidRPr="00D17BDC">
              <w:rPr>
                <w:rFonts w:ascii="Times New Roman" w:hAnsi="Times New Roman"/>
                <w:sz w:val="20"/>
                <w:szCs w:val="20"/>
              </w:rPr>
              <w:t xml:space="preserve">track  </w:t>
            </w:r>
          </w:p>
        </w:tc>
      </w:tr>
      <w:tr w:rsidR="00285964" w:rsidRPr="00D17BDC" w:rsidTr="00FE4F3D">
        <w:trPr>
          <w:cantSplit/>
          <w:trHeight w:val="20"/>
        </w:trPr>
        <w:tc>
          <w:tcPr>
            <w:tcW w:w="1346"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Grade 4 Kiribati </w:t>
            </w:r>
            <w:r w:rsidR="00A9264C" w:rsidRPr="00D17BDC">
              <w:rPr>
                <w:rFonts w:ascii="Times New Roman" w:hAnsi="Times New Roman"/>
                <w:sz w:val="20"/>
                <w:szCs w:val="20"/>
              </w:rPr>
              <w:t>l</w:t>
            </w:r>
            <w:r w:rsidRPr="00D17BDC">
              <w:rPr>
                <w:rFonts w:ascii="Times New Roman" w:hAnsi="Times New Roman"/>
                <w:sz w:val="20"/>
                <w:szCs w:val="20"/>
              </w:rPr>
              <w:t>iteracy</w:t>
            </w:r>
          </w:p>
        </w:tc>
        <w:tc>
          <w:tcPr>
            <w:tcW w:w="942"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53 (2007)</w:t>
            </w:r>
          </w:p>
        </w:tc>
        <w:tc>
          <w:tcPr>
            <w:tcW w:w="964"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62 (2009)</w:t>
            </w:r>
          </w:p>
        </w:tc>
        <w:tc>
          <w:tcPr>
            <w:tcW w:w="1033" w:type="pct"/>
            <w:shd w:val="clear" w:color="auto" w:fill="auto"/>
          </w:tcPr>
          <w:p w:rsidR="00285964" w:rsidRPr="00D17BDC" w:rsidRDefault="00FE4F3D" w:rsidP="00A9264C">
            <w:pPr>
              <w:spacing w:after="0" w:line="240" w:lineRule="auto"/>
              <w:rPr>
                <w:rFonts w:ascii="Times New Roman" w:hAnsi="Times New Roman"/>
                <w:sz w:val="20"/>
                <w:szCs w:val="20"/>
              </w:rPr>
            </w:pPr>
            <w:r w:rsidRPr="00D17BDC">
              <w:rPr>
                <w:rFonts w:ascii="Times New Roman" w:hAnsi="Times New Roman"/>
                <w:sz w:val="20"/>
                <w:szCs w:val="20"/>
              </w:rPr>
              <w:t>70  by 2013</w:t>
            </w:r>
          </w:p>
        </w:tc>
        <w:tc>
          <w:tcPr>
            <w:tcW w:w="715" w:type="pct"/>
            <w:vMerge/>
          </w:tcPr>
          <w:p w:rsidR="00285964" w:rsidRPr="00D17BDC" w:rsidRDefault="00285964" w:rsidP="00610F29">
            <w:pPr>
              <w:rPr>
                <w:rFonts w:ascii="Times New Roman" w:hAnsi="Times New Roman"/>
                <w:sz w:val="20"/>
                <w:szCs w:val="20"/>
              </w:rPr>
            </w:pPr>
          </w:p>
        </w:tc>
      </w:tr>
      <w:tr w:rsidR="00285964" w:rsidRPr="00D17BDC" w:rsidTr="00FE4F3D">
        <w:trPr>
          <w:cantSplit/>
          <w:trHeight w:val="20"/>
        </w:trPr>
        <w:tc>
          <w:tcPr>
            <w:tcW w:w="1346"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Grade 4 Numeracy</w:t>
            </w:r>
          </w:p>
        </w:tc>
        <w:tc>
          <w:tcPr>
            <w:tcW w:w="942"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27</w:t>
            </w:r>
            <w:r w:rsidR="00A9264C" w:rsidRPr="00D17BDC">
              <w:rPr>
                <w:rFonts w:ascii="Times New Roman" w:hAnsi="Times New Roman"/>
                <w:color w:val="auto"/>
                <w:sz w:val="20"/>
                <w:szCs w:val="20"/>
              </w:rPr>
              <w:t xml:space="preserve"> </w:t>
            </w:r>
            <w:r w:rsidRPr="00D17BDC">
              <w:rPr>
                <w:rFonts w:ascii="Times New Roman" w:hAnsi="Times New Roman"/>
                <w:color w:val="auto"/>
                <w:sz w:val="20"/>
                <w:szCs w:val="20"/>
              </w:rPr>
              <w:t>(2007)</w:t>
            </w:r>
          </w:p>
        </w:tc>
        <w:tc>
          <w:tcPr>
            <w:tcW w:w="964"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35 (2009</w:t>
            </w:r>
          </w:p>
        </w:tc>
        <w:tc>
          <w:tcPr>
            <w:tcW w:w="1033" w:type="pct"/>
            <w:shd w:val="clear" w:color="auto" w:fill="auto"/>
          </w:tcPr>
          <w:p w:rsidR="00285964" w:rsidRPr="00D17BDC" w:rsidRDefault="00FE4F3D" w:rsidP="00A9264C">
            <w:pPr>
              <w:spacing w:after="0" w:line="240" w:lineRule="auto"/>
              <w:rPr>
                <w:rFonts w:ascii="Times New Roman" w:hAnsi="Times New Roman"/>
                <w:sz w:val="20"/>
                <w:szCs w:val="20"/>
              </w:rPr>
            </w:pPr>
            <w:r w:rsidRPr="00D17BDC">
              <w:rPr>
                <w:rFonts w:ascii="Times New Roman" w:hAnsi="Times New Roman"/>
                <w:sz w:val="20"/>
                <w:szCs w:val="20"/>
              </w:rPr>
              <w:t>38 by 2013</w:t>
            </w:r>
          </w:p>
        </w:tc>
        <w:tc>
          <w:tcPr>
            <w:tcW w:w="715" w:type="pct"/>
            <w:vMerge/>
          </w:tcPr>
          <w:p w:rsidR="00285964" w:rsidRPr="00D17BDC" w:rsidRDefault="00285964" w:rsidP="00610F29">
            <w:pPr>
              <w:rPr>
                <w:rFonts w:ascii="Times New Roman" w:hAnsi="Times New Roman"/>
                <w:sz w:val="20"/>
                <w:szCs w:val="20"/>
              </w:rPr>
            </w:pPr>
          </w:p>
        </w:tc>
      </w:tr>
      <w:tr w:rsidR="00285964" w:rsidRPr="00D17BDC" w:rsidTr="00304E27">
        <w:trPr>
          <w:cantSplit/>
          <w:trHeight w:val="20"/>
        </w:trPr>
        <w:tc>
          <w:tcPr>
            <w:tcW w:w="1346"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 xml:space="preserve">Grade 6 English </w:t>
            </w:r>
            <w:r w:rsidR="00A9264C" w:rsidRPr="00D17BDC">
              <w:rPr>
                <w:rFonts w:ascii="Times New Roman" w:hAnsi="Times New Roman"/>
                <w:sz w:val="20"/>
                <w:szCs w:val="20"/>
              </w:rPr>
              <w:t>l</w:t>
            </w:r>
            <w:r w:rsidRPr="00D17BDC">
              <w:rPr>
                <w:rFonts w:ascii="Times New Roman" w:hAnsi="Times New Roman"/>
                <w:sz w:val="20"/>
                <w:szCs w:val="20"/>
              </w:rPr>
              <w:t>iteracy</w:t>
            </w:r>
          </w:p>
        </w:tc>
        <w:tc>
          <w:tcPr>
            <w:tcW w:w="942"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14 (2007)</w:t>
            </w:r>
          </w:p>
        </w:tc>
        <w:tc>
          <w:tcPr>
            <w:tcW w:w="964"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33 (2009)</w:t>
            </w:r>
          </w:p>
        </w:tc>
        <w:tc>
          <w:tcPr>
            <w:tcW w:w="1033"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45 by 2013</w:t>
            </w:r>
          </w:p>
        </w:tc>
        <w:tc>
          <w:tcPr>
            <w:tcW w:w="715" w:type="pct"/>
            <w:vMerge/>
          </w:tcPr>
          <w:p w:rsidR="00285964" w:rsidRPr="00D17BDC" w:rsidRDefault="00285964" w:rsidP="00610F29">
            <w:pPr>
              <w:spacing w:after="0" w:line="240" w:lineRule="auto"/>
              <w:rPr>
                <w:rFonts w:ascii="Times New Roman" w:hAnsi="Times New Roman"/>
                <w:sz w:val="20"/>
                <w:szCs w:val="20"/>
              </w:rPr>
            </w:pPr>
          </w:p>
        </w:tc>
      </w:tr>
      <w:tr w:rsidR="00285964" w:rsidRPr="00D17BDC" w:rsidTr="00304E27">
        <w:trPr>
          <w:cantSplit/>
          <w:trHeight w:val="20"/>
        </w:trPr>
        <w:tc>
          <w:tcPr>
            <w:tcW w:w="1346"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Grade 6 Kiribati </w:t>
            </w:r>
            <w:r w:rsidR="00A9264C" w:rsidRPr="00D17BDC">
              <w:rPr>
                <w:rFonts w:ascii="Times New Roman" w:hAnsi="Times New Roman"/>
                <w:sz w:val="20"/>
                <w:szCs w:val="20"/>
              </w:rPr>
              <w:t>l</w:t>
            </w:r>
            <w:r w:rsidRPr="00D17BDC">
              <w:rPr>
                <w:rFonts w:ascii="Times New Roman" w:hAnsi="Times New Roman"/>
                <w:sz w:val="20"/>
                <w:szCs w:val="20"/>
              </w:rPr>
              <w:t>iteracy</w:t>
            </w:r>
          </w:p>
        </w:tc>
        <w:tc>
          <w:tcPr>
            <w:tcW w:w="942" w:type="pct"/>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50 (2007)</w:t>
            </w:r>
          </w:p>
        </w:tc>
        <w:tc>
          <w:tcPr>
            <w:tcW w:w="964"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56 (2009)</w:t>
            </w:r>
          </w:p>
        </w:tc>
        <w:tc>
          <w:tcPr>
            <w:tcW w:w="1033" w:type="pct"/>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60 by 2013</w:t>
            </w:r>
          </w:p>
        </w:tc>
        <w:tc>
          <w:tcPr>
            <w:tcW w:w="715" w:type="pct"/>
            <w:vMerge/>
          </w:tcPr>
          <w:p w:rsidR="00285964" w:rsidRPr="00D17BDC" w:rsidRDefault="00285964" w:rsidP="00610F29">
            <w:pPr>
              <w:spacing w:after="0" w:line="240" w:lineRule="auto"/>
              <w:rPr>
                <w:rFonts w:ascii="Times New Roman" w:hAnsi="Times New Roman"/>
                <w:sz w:val="20"/>
                <w:szCs w:val="20"/>
              </w:rPr>
            </w:pPr>
          </w:p>
        </w:tc>
      </w:tr>
      <w:tr w:rsidR="00285964" w:rsidRPr="00D17BDC" w:rsidTr="00304E27">
        <w:trPr>
          <w:cantSplit/>
          <w:trHeight w:val="20"/>
        </w:trPr>
        <w:tc>
          <w:tcPr>
            <w:tcW w:w="1346" w:type="pct"/>
            <w:tcBorders>
              <w:bottom w:val="single" w:sz="4" w:space="0" w:color="auto"/>
            </w:tcBorders>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Grade 6 Numeracy</w:t>
            </w:r>
          </w:p>
        </w:tc>
        <w:tc>
          <w:tcPr>
            <w:tcW w:w="942"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color w:val="auto"/>
                <w:sz w:val="20"/>
                <w:szCs w:val="20"/>
              </w:rPr>
            </w:pPr>
            <w:r w:rsidRPr="00D17BDC">
              <w:rPr>
                <w:rFonts w:ascii="Times New Roman" w:hAnsi="Times New Roman"/>
                <w:color w:val="auto"/>
                <w:sz w:val="20"/>
                <w:szCs w:val="20"/>
              </w:rPr>
              <w:t>18 (2007)</w:t>
            </w:r>
          </w:p>
        </w:tc>
        <w:tc>
          <w:tcPr>
            <w:tcW w:w="964"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 xml:space="preserve">16 (2009) </w:t>
            </w:r>
          </w:p>
        </w:tc>
        <w:tc>
          <w:tcPr>
            <w:tcW w:w="1033" w:type="pct"/>
            <w:tcBorders>
              <w:bottom w:val="single" w:sz="4" w:space="0" w:color="auto"/>
            </w:tcBorders>
            <w:shd w:val="clear" w:color="auto" w:fill="auto"/>
          </w:tcPr>
          <w:p w:rsidR="00285964" w:rsidRPr="00D17BDC" w:rsidRDefault="00285964" w:rsidP="00A9264C">
            <w:pPr>
              <w:spacing w:after="0" w:line="240" w:lineRule="auto"/>
              <w:rPr>
                <w:rFonts w:ascii="Times New Roman" w:hAnsi="Times New Roman"/>
                <w:sz w:val="20"/>
                <w:szCs w:val="20"/>
              </w:rPr>
            </w:pPr>
            <w:r w:rsidRPr="00D17BDC">
              <w:rPr>
                <w:rFonts w:ascii="Times New Roman" w:hAnsi="Times New Roman"/>
                <w:sz w:val="20"/>
                <w:szCs w:val="20"/>
              </w:rPr>
              <w:t>22 by 2013</w:t>
            </w:r>
          </w:p>
        </w:tc>
        <w:tc>
          <w:tcPr>
            <w:tcW w:w="715" w:type="pct"/>
            <w:vMerge/>
            <w:tcBorders>
              <w:bottom w:val="single" w:sz="4" w:space="0" w:color="auto"/>
            </w:tcBorders>
          </w:tcPr>
          <w:p w:rsidR="00285964" w:rsidRPr="00D17BDC" w:rsidRDefault="00285964" w:rsidP="00610F29">
            <w:pPr>
              <w:spacing w:after="0" w:line="240" w:lineRule="auto"/>
              <w:rPr>
                <w:rFonts w:ascii="Times New Roman" w:hAnsi="Times New Roman"/>
                <w:sz w:val="20"/>
                <w:szCs w:val="20"/>
              </w:rPr>
            </w:pPr>
          </w:p>
        </w:tc>
      </w:tr>
      <w:tr w:rsidR="00285964" w:rsidRPr="00D17BDC" w:rsidTr="00304E27">
        <w:trPr>
          <w:cantSplit/>
          <w:trHeight w:val="20"/>
        </w:trPr>
        <w:tc>
          <w:tcPr>
            <w:tcW w:w="5000" w:type="pct"/>
            <w:gridSpan w:val="5"/>
            <w:shd w:val="clear" w:color="auto" w:fill="CCFFFF"/>
          </w:tcPr>
          <w:p w:rsidR="00285964" w:rsidRPr="00D17BDC" w:rsidRDefault="00285964" w:rsidP="00D17BDC">
            <w:pPr>
              <w:spacing w:after="0" w:line="240" w:lineRule="auto"/>
              <w:rPr>
                <w:rFonts w:ascii="Times New Roman" w:hAnsi="Times New Roman"/>
                <w:b/>
                <w:sz w:val="20"/>
                <w:szCs w:val="20"/>
              </w:rPr>
            </w:pPr>
            <w:r w:rsidRPr="00D17BDC">
              <w:rPr>
                <w:rFonts w:ascii="Times New Roman" w:hAnsi="Times New Roman"/>
                <w:b/>
                <w:sz w:val="20"/>
                <w:szCs w:val="20"/>
              </w:rPr>
              <w:t>Target 3: Verification and analysis of Kiribati Education Management Information System data reported annually to key stakeholders (government, teachers, civil society, development partners)</w:t>
            </w:r>
          </w:p>
        </w:tc>
      </w:tr>
      <w:tr w:rsidR="00285964" w:rsidRPr="00D17BDC" w:rsidTr="00304E27">
        <w:trPr>
          <w:cantSplit/>
          <w:trHeight w:val="20"/>
        </w:trPr>
        <w:tc>
          <w:tcPr>
            <w:tcW w:w="1346" w:type="pct"/>
            <w:shd w:val="clear" w:color="auto" w:fill="auto"/>
          </w:tcPr>
          <w:p w:rsidR="00285964" w:rsidRPr="00D17BDC" w:rsidRDefault="00285964" w:rsidP="00610F29">
            <w:pPr>
              <w:spacing w:after="0" w:line="240" w:lineRule="auto"/>
              <w:rPr>
                <w:rFonts w:ascii="Times New Roman" w:hAnsi="Times New Roman"/>
                <w:sz w:val="20"/>
                <w:szCs w:val="20"/>
              </w:rPr>
            </w:pPr>
          </w:p>
        </w:tc>
        <w:tc>
          <w:tcPr>
            <w:tcW w:w="942"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 xml:space="preserve">2009 digest published </w:t>
            </w:r>
            <w:r w:rsidRPr="00D17BDC">
              <w:rPr>
                <w:rFonts w:ascii="Times New Roman" w:hAnsi="Times New Roman"/>
                <w:sz w:val="20"/>
                <w:szCs w:val="20"/>
              </w:rPr>
              <w:sym w:font="Wingdings" w:char="F0FC"/>
            </w:r>
          </w:p>
        </w:tc>
        <w:tc>
          <w:tcPr>
            <w:tcW w:w="964"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 xml:space="preserve">2010 digest published </w:t>
            </w:r>
            <w:r w:rsidRPr="00D17BDC">
              <w:rPr>
                <w:rFonts w:ascii="Times New Roman" w:hAnsi="Times New Roman"/>
                <w:sz w:val="20"/>
                <w:szCs w:val="20"/>
              </w:rPr>
              <w:sym w:font="Wingdings" w:char="F0FC"/>
            </w:r>
          </w:p>
        </w:tc>
        <w:tc>
          <w:tcPr>
            <w:tcW w:w="1033" w:type="pct"/>
            <w:shd w:val="clear" w:color="auto" w:fill="auto"/>
          </w:tcPr>
          <w:p w:rsidR="00285964" w:rsidRPr="00D17BDC" w:rsidRDefault="00285964" w:rsidP="00610F29">
            <w:pPr>
              <w:spacing w:after="0" w:line="240" w:lineRule="auto"/>
              <w:rPr>
                <w:rFonts w:ascii="Times New Roman" w:hAnsi="Times New Roman"/>
                <w:sz w:val="20"/>
                <w:szCs w:val="20"/>
              </w:rPr>
            </w:pPr>
            <w:r w:rsidRPr="00D17BDC">
              <w:rPr>
                <w:rFonts w:ascii="Times New Roman" w:hAnsi="Times New Roman"/>
                <w:sz w:val="20"/>
                <w:szCs w:val="20"/>
              </w:rPr>
              <w:t>2013 digest</w:t>
            </w:r>
            <w:r w:rsidR="00A9264C" w:rsidRPr="00D17BDC">
              <w:rPr>
                <w:rFonts w:ascii="Times New Roman" w:hAnsi="Times New Roman"/>
                <w:sz w:val="20"/>
                <w:szCs w:val="20"/>
              </w:rPr>
              <w:t xml:space="preserve"> to be</w:t>
            </w:r>
            <w:r w:rsidRPr="00D17BDC">
              <w:rPr>
                <w:rFonts w:ascii="Times New Roman" w:hAnsi="Times New Roman"/>
                <w:sz w:val="20"/>
                <w:szCs w:val="20"/>
              </w:rPr>
              <w:t xml:space="preserve"> published</w:t>
            </w:r>
          </w:p>
        </w:tc>
        <w:tc>
          <w:tcPr>
            <w:tcW w:w="715" w:type="pct"/>
          </w:tcPr>
          <w:p w:rsidR="00285964" w:rsidRPr="00D17BDC" w:rsidRDefault="00285964" w:rsidP="00C56CEE">
            <w:pPr>
              <w:spacing w:after="0" w:line="240" w:lineRule="auto"/>
              <w:rPr>
                <w:rFonts w:ascii="Times New Roman" w:hAnsi="Times New Roman"/>
                <w:sz w:val="20"/>
                <w:szCs w:val="20"/>
              </w:rPr>
            </w:pPr>
            <w:r w:rsidRPr="00D17BDC">
              <w:rPr>
                <w:rFonts w:ascii="Times New Roman" w:hAnsi="Times New Roman"/>
                <w:sz w:val="20"/>
                <w:szCs w:val="20"/>
              </w:rPr>
              <w:t xml:space="preserve">Partly </w:t>
            </w:r>
            <w:r w:rsidR="00A9264C" w:rsidRPr="00D17BDC">
              <w:rPr>
                <w:rFonts w:ascii="Times New Roman" w:hAnsi="Times New Roman"/>
                <w:sz w:val="20"/>
                <w:szCs w:val="20"/>
              </w:rPr>
              <w:t>o</w:t>
            </w:r>
            <w:r w:rsidRPr="00D17BDC">
              <w:rPr>
                <w:rFonts w:ascii="Times New Roman" w:hAnsi="Times New Roman"/>
                <w:sz w:val="20"/>
                <w:szCs w:val="20"/>
              </w:rPr>
              <w:t>n</w:t>
            </w:r>
            <w:r w:rsidR="00C56CEE" w:rsidRPr="00D17BDC">
              <w:rPr>
                <w:rFonts w:ascii="Times New Roman" w:hAnsi="Times New Roman"/>
                <w:sz w:val="20"/>
                <w:szCs w:val="20"/>
              </w:rPr>
              <w:t xml:space="preserve"> </w:t>
            </w:r>
            <w:r w:rsidRPr="00D17BDC">
              <w:rPr>
                <w:rFonts w:ascii="Times New Roman" w:hAnsi="Times New Roman"/>
                <w:sz w:val="20"/>
                <w:szCs w:val="20"/>
              </w:rPr>
              <w:t>track</w:t>
            </w:r>
          </w:p>
        </w:tc>
      </w:tr>
    </w:tbl>
    <w:p w:rsidR="00AC52B7" w:rsidRPr="00D17BDC" w:rsidRDefault="00A9264C" w:rsidP="00AC52B7">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At the Partnership Talks, b</w:t>
      </w:r>
      <w:r w:rsidR="002B2588" w:rsidRPr="00D17BDC">
        <w:rPr>
          <w:rFonts w:ascii="Times New Roman" w:hAnsi="Times New Roman"/>
          <w:color w:val="auto"/>
          <w:sz w:val="24"/>
          <w:szCs w:val="24"/>
        </w:rPr>
        <w:t xml:space="preserve">oth </w:t>
      </w:r>
      <w:r w:rsidRPr="00D17BDC">
        <w:rPr>
          <w:rFonts w:ascii="Times New Roman" w:hAnsi="Times New Roman"/>
          <w:color w:val="auto"/>
          <w:sz w:val="24"/>
          <w:szCs w:val="24"/>
        </w:rPr>
        <w:t>g</w:t>
      </w:r>
      <w:r w:rsidR="002B2588" w:rsidRPr="00D17BDC">
        <w:rPr>
          <w:rFonts w:ascii="Times New Roman" w:hAnsi="Times New Roman"/>
          <w:color w:val="auto"/>
          <w:sz w:val="24"/>
          <w:szCs w:val="24"/>
        </w:rPr>
        <w:t xml:space="preserve">overnments acknowledged that </w:t>
      </w:r>
      <w:r w:rsidR="00C043C1" w:rsidRPr="00D17BDC">
        <w:rPr>
          <w:rFonts w:ascii="Times New Roman" w:hAnsi="Times New Roman"/>
          <w:color w:val="auto"/>
          <w:sz w:val="24"/>
          <w:szCs w:val="24"/>
        </w:rPr>
        <w:t>KEIP ha</w:t>
      </w:r>
      <w:r w:rsidRPr="00D17BDC">
        <w:rPr>
          <w:rFonts w:ascii="Times New Roman" w:hAnsi="Times New Roman"/>
          <w:color w:val="auto"/>
          <w:sz w:val="24"/>
          <w:szCs w:val="24"/>
        </w:rPr>
        <w:t>d</w:t>
      </w:r>
      <w:r w:rsidR="00C043C1" w:rsidRPr="00D17BDC">
        <w:rPr>
          <w:rFonts w:ascii="Times New Roman" w:hAnsi="Times New Roman"/>
          <w:color w:val="auto"/>
          <w:sz w:val="24"/>
          <w:szCs w:val="24"/>
        </w:rPr>
        <w:t xml:space="preserve"> just </w:t>
      </w:r>
      <w:r w:rsidRPr="00D17BDC">
        <w:rPr>
          <w:rFonts w:ascii="Times New Roman" w:hAnsi="Times New Roman"/>
          <w:color w:val="auto"/>
          <w:sz w:val="24"/>
          <w:szCs w:val="24"/>
        </w:rPr>
        <w:t xml:space="preserve">started </w:t>
      </w:r>
      <w:r w:rsidR="00C043C1" w:rsidRPr="00D17BDC">
        <w:rPr>
          <w:rFonts w:ascii="Times New Roman" w:hAnsi="Times New Roman"/>
          <w:color w:val="auto"/>
          <w:sz w:val="24"/>
          <w:szCs w:val="24"/>
        </w:rPr>
        <w:t xml:space="preserve">and so </w:t>
      </w:r>
      <w:r w:rsidR="0044287A" w:rsidRPr="00D17BDC">
        <w:rPr>
          <w:rFonts w:ascii="Times New Roman" w:hAnsi="Times New Roman"/>
          <w:color w:val="auto"/>
          <w:sz w:val="24"/>
          <w:szCs w:val="24"/>
        </w:rPr>
        <w:t>it</w:t>
      </w:r>
      <w:r w:rsidR="002B2588" w:rsidRPr="00D17BDC">
        <w:rPr>
          <w:rFonts w:ascii="Times New Roman" w:hAnsi="Times New Roman"/>
          <w:color w:val="auto"/>
          <w:sz w:val="24"/>
          <w:szCs w:val="24"/>
        </w:rPr>
        <w:t xml:space="preserve">s influence on Partnership targets </w:t>
      </w:r>
      <w:r w:rsidR="00E81E56" w:rsidRPr="00D17BDC">
        <w:rPr>
          <w:rFonts w:ascii="Times New Roman" w:hAnsi="Times New Roman"/>
          <w:color w:val="auto"/>
          <w:sz w:val="24"/>
          <w:szCs w:val="24"/>
        </w:rPr>
        <w:t xml:space="preserve">was understandably </w:t>
      </w:r>
      <w:r w:rsidR="002B2588" w:rsidRPr="00D17BDC">
        <w:rPr>
          <w:rFonts w:ascii="Times New Roman" w:hAnsi="Times New Roman"/>
          <w:color w:val="auto"/>
          <w:sz w:val="24"/>
          <w:szCs w:val="24"/>
        </w:rPr>
        <w:t xml:space="preserve">limited. </w:t>
      </w:r>
      <w:r w:rsidR="00AC52B7" w:rsidRPr="00D17BDC">
        <w:rPr>
          <w:rFonts w:ascii="Times New Roman" w:hAnsi="Times New Roman"/>
          <w:color w:val="auto"/>
          <w:sz w:val="24"/>
          <w:szCs w:val="24"/>
        </w:rPr>
        <w:t xml:space="preserve">However, by 2013, both </w:t>
      </w:r>
      <w:r w:rsidR="00E81E56" w:rsidRPr="00D17BDC">
        <w:rPr>
          <w:rFonts w:ascii="Times New Roman" w:hAnsi="Times New Roman"/>
          <w:color w:val="auto"/>
          <w:sz w:val="24"/>
          <w:szCs w:val="24"/>
        </w:rPr>
        <w:t>g</w:t>
      </w:r>
      <w:r w:rsidR="00AC52B7" w:rsidRPr="00D17BDC">
        <w:rPr>
          <w:rFonts w:ascii="Times New Roman" w:hAnsi="Times New Roman"/>
          <w:color w:val="auto"/>
          <w:sz w:val="24"/>
          <w:szCs w:val="24"/>
        </w:rPr>
        <w:t xml:space="preserve">overnments </w:t>
      </w:r>
      <w:r w:rsidR="00AC52B7" w:rsidRPr="00D17BDC">
        <w:rPr>
          <w:rFonts w:ascii="Times New Roman" w:hAnsi="Times New Roman"/>
          <w:color w:val="auto"/>
          <w:sz w:val="24"/>
          <w:szCs w:val="24"/>
        </w:rPr>
        <w:lastRenderedPageBreak/>
        <w:t xml:space="preserve">expect to see an improvement in school enrolment, attendance and retention rates, as well improvements in learning outcomes. </w:t>
      </w:r>
    </w:p>
    <w:p w:rsidR="00AC52B7" w:rsidRPr="00D17BDC" w:rsidRDefault="00FE4F3D" w:rsidP="00E86BF5">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AusAID </w:t>
      </w:r>
      <w:r w:rsidR="00E42EE8" w:rsidRPr="00D17BDC">
        <w:rPr>
          <w:rFonts w:ascii="Times New Roman" w:hAnsi="Times New Roman"/>
          <w:color w:val="auto"/>
          <w:sz w:val="24"/>
          <w:szCs w:val="24"/>
        </w:rPr>
        <w:t xml:space="preserve">commended </w:t>
      </w:r>
      <w:r w:rsidR="00AC52B7" w:rsidRPr="00D17BDC">
        <w:rPr>
          <w:rFonts w:ascii="Times New Roman" w:hAnsi="Times New Roman"/>
          <w:color w:val="auto"/>
          <w:sz w:val="24"/>
          <w:szCs w:val="24"/>
        </w:rPr>
        <w:t>the</w:t>
      </w:r>
      <w:r w:rsidR="00E42EE8" w:rsidRPr="00D17BDC">
        <w:rPr>
          <w:rFonts w:ascii="Times New Roman" w:hAnsi="Times New Roman"/>
          <w:color w:val="auto"/>
          <w:sz w:val="24"/>
          <w:szCs w:val="24"/>
        </w:rPr>
        <w:t xml:space="preserve"> significant work undertaken over this past year by the M</w:t>
      </w:r>
      <w:r w:rsidR="009D4AAA" w:rsidRPr="00D17BDC">
        <w:rPr>
          <w:rFonts w:ascii="Times New Roman" w:hAnsi="Times New Roman"/>
          <w:color w:val="auto"/>
          <w:sz w:val="24"/>
          <w:szCs w:val="24"/>
        </w:rPr>
        <w:t>inistry of Education</w:t>
      </w:r>
      <w:r w:rsidR="00E42EE8" w:rsidRPr="00D17BDC">
        <w:rPr>
          <w:rFonts w:ascii="Times New Roman" w:hAnsi="Times New Roman"/>
          <w:color w:val="auto"/>
          <w:sz w:val="24"/>
          <w:szCs w:val="24"/>
        </w:rPr>
        <w:t xml:space="preserve"> in finalising the design of KEIP and </w:t>
      </w:r>
      <w:r w:rsidR="00E81E56" w:rsidRPr="00D17BDC">
        <w:rPr>
          <w:rFonts w:ascii="Times New Roman" w:hAnsi="Times New Roman"/>
          <w:color w:val="auto"/>
          <w:sz w:val="24"/>
          <w:szCs w:val="24"/>
        </w:rPr>
        <w:t xml:space="preserve">starting </w:t>
      </w:r>
      <w:r w:rsidR="00E42EE8" w:rsidRPr="00D17BDC">
        <w:rPr>
          <w:rFonts w:ascii="Times New Roman" w:hAnsi="Times New Roman"/>
          <w:color w:val="auto"/>
          <w:sz w:val="24"/>
          <w:szCs w:val="24"/>
        </w:rPr>
        <w:t xml:space="preserve">implementation. </w:t>
      </w:r>
    </w:p>
    <w:p w:rsidR="00A00B06" w:rsidRPr="00D17BDC" w:rsidRDefault="00E86BF5" w:rsidP="0044287A">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Both </w:t>
      </w:r>
      <w:r w:rsidR="00E81E56" w:rsidRPr="00D17BDC">
        <w:rPr>
          <w:rFonts w:ascii="Times New Roman" w:hAnsi="Times New Roman"/>
          <w:color w:val="auto"/>
          <w:sz w:val="24"/>
          <w:szCs w:val="24"/>
        </w:rPr>
        <w:t>g</w:t>
      </w:r>
      <w:r w:rsidRPr="00D17BDC">
        <w:rPr>
          <w:rFonts w:ascii="Times New Roman" w:hAnsi="Times New Roman"/>
          <w:color w:val="auto"/>
          <w:sz w:val="24"/>
          <w:szCs w:val="24"/>
        </w:rPr>
        <w:t xml:space="preserve">overnments </w:t>
      </w:r>
      <w:r w:rsidR="00E42EE8" w:rsidRPr="00D17BDC">
        <w:rPr>
          <w:rFonts w:ascii="Times New Roman" w:hAnsi="Times New Roman"/>
          <w:color w:val="auto"/>
          <w:sz w:val="24"/>
          <w:szCs w:val="24"/>
        </w:rPr>
        <w:t xml:space="preserve">expressed concern over the current situation in the basic education system, and </w:t>
      </w:r>
      <w:r w:rsidRPr="00D17BDC">
        <w:rPr>
          <w:rFonts w:ascii="Times New Roman" w:hAnsi="Times New Roman"/>
          <w:color w:val="auto"/>
          <w:sz w:val="24"/>
          <w:szCs w:val="24"/>
        </w:rPr>
        <w:t xml:space="preserve">agreed it is important to understand all the reasons </w:t>
      </w:r>
      <w:r w:rsidR="00E81E56" w:rsidRPr="00D17BDC">
        <w:rPr>
          <w:rFonts w:ascii="Times New Roman" w:hAnsi="Times New Roman"/>
          <w:color w:val="auto"/>
          <w:sz w:val="24"/>
          <w:szCs w:val="24"/>
        </w:rPr>
        <w:t xml:space="preserve">for </w:t>
      </w:r>
      <w:r w:rsidRPr="00D17BDC">
        <w:rPr>
          <w:rFonts w:ascii="Times New Roman" w:hAnsi="Times New Roman"/>
          <w:color w:val="auto"/>
          <w:sz w:val="24"/>
          <w:szCs w:val="24"/>
        </w:rPr>
        <w:t xml:space="preserve">children not enrolling in school, or having difficulty attending </w:t>
      </w:r>
      <w:r w:rsidR="00E81E56" w:rsidRPr="00D17BDC">
        <w:rPr>
          <w:rFonts w:ascii="Times New Roman" w:hAnsi="Times New Roman"/>
          <w:color w:val="auto"/>
          <w:sz w:val="24"/>
          <w:szCs w:val="24"/>
        </w:rPr>
        <w:t>regularly</w:t>
      </w:r>
      <w:r w:rsidR="009E05D4" w:rsidRPr="00D17BDC">
        <w:rPr>
          <w:rFonts w:ascii="Times New Roman" w:hAnsi="Times New Roman"/>
          <w:color w:val="auto"/>
          <w:sz w:val="24"/>
          <w:szCs w:val="24"/>
        </w:rPr>
        <w:t xml:space="preserve">. </w:t>
      </w:r>
      <w:r w:rsidR="00AC52B7" w:rsidRPr="00D17BDC">
        <w:rPr>
          <w:rFonts w:ascii="Times New Roman" w:hAnsi="Times New Roman"/>
          <w:color w:val="auto"/>
          <w:sz w:val="24"/>
          <w:szCs w:val="24"/>
        </w:rPr>
        <w:t xml:space="preserve">GoK </w:t>
      </w:r>
      <w:r w:rsidRPr="00D17BDC">
        <w:rPr>
          <w:rFonts w:ascii="Times New Roman" w:hAnsi="Times New Roman"/>
          <w:color w:val="auto"/>
          <w:sz w:val="24"/>
          <w:szCs w:val="24"/>
        </w:rPr>
        <w:t xml:space="preserve">noted </w:t>
      </w:r>
      <w:r w:rsidR="00E81E56" w:rsidRPr="00D17BDC">
        <w:rPr>
          <w:rFonts w:ascii="Times New Roman" w:hAnsi="Times New Roman"/>
          <w:color w:val="auto"/>
          <w:sz w:val="24"/>
          <w:szCs w:val="24"/>
        </w:rPr>
        <w:t xml:space="preserve">its </w:t>
      </w:r>
      <w:r w:rsidRPr="00D17BDC">
        <w:rPr>
          <w:rFonts w:ascii="Times New Roman" w:hAnsi="Times New Roman"/>
          <w:color w:val="auto"/>
          <w:sz w:val="24"/>
          <w:szCs w:val="24"/>
        </w:rPr>
        <w:t>concerns about gender equality, with boys far less likely to proceed to higher education than girls</w:t>
      </w:r>
      <w:r w:rsidR="00892832" w:rsidRPr="00D17BDC">
        <w:rPr>
          <w:rFonts w:ascii="Times New Roman" w:hAnsi="Times New Roman"/>
          <w:color w:val="auto"/>
          <w:sz w:val="24"/>
          <w:szCs w:val="24"/>
        </w:rPr>
        <w:t xml:space="preserve">; and </w:t>
      </w:r>
      <w:r w:rsidR="009C6008" w:rsidRPr="00D17BDC">
        <w:rPr>
          <w:rFonts w:ascii="Times New Roman" w:hAnsi="Times New Roman"/>
          <w:color w:val="auto"/>
          <w:sz w:val="24"/>
          <w:szCs w:val="24"/>
        </w:rPr>
        <w:t xml:space="preserve">indicated </w:t>
      </w:r>
      <w:r w:rsidR="00E81E56" w:rsidRPr="00D17BDC">
        <w:rPr>
          <w:rFonts w:ascii="Times New Roman" w:hAnsi="Times New Roman"/>
          <w:color w:val="auto"/>
          <w:sz w:val="24"/>
          <w:szCs w:val="24"/>
        </w:rPr>
        <w:t>that it is</w:t>
      </w:r>
      <w:r w:rsidR="009C6008" w:rsidRPr="00D17BDC">
        <w:rPr>
          <w:rFonts w:ascii="Times New Roman" w:hAnsi="Times New Roman"/>
          <w:color w:val="auto"/>
          <w:sz w:val="24"/>
          <w:szCs w:val="24"/>
        </w:rPr>
        <w:t xml:space="preserve"> </w:t>
      </w:r>
      <w:r w:rsidR="00892832" w:rsidRPr="00D17BDC">
        <w:rPr>
          <w:rFonts w:ascii="Times New Roman" w:hAnsi="Times New Roman"/>
          <w:color w:val="auto"/>
          <w:sz w:val="24"/>
          <w:szCs w:val="24"/>
        </w:rPr>
        <w:t>reviewing its consolidated schools policy</w:t>
      </w:r>
      <w:r w:rsidR="00CC6284" w:rsidRPr="00D17BDC">
        <w:rPr>
          <w:rFonts w:ascii="Times New Roman" w:hAnsi="Times New Roman"/>
          <w:color w:val="auto"/>
          <w:sz w:val="24"/>
          <w:szCs w:val="24"/>
        </w:rPr>
        <w:t xml:space="preserve">. </w:t>
      </w:r>
    </w:p>
    <w:p w:rsidR="00892832" w:rsidRPr="00D17BDC" w:rsidRDefault="00A00B06" w:rsidP="0044287A">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In light of this, both </w:t>
      </w:r>
      <w:r w:rsidR="00E81E56" w:rsidRPr="00D17BDC">
        <w:rPr>
          <w:rFonts w:ascii="Times New Roman" w:hAnsi="Times New Roman"/>
          <w:color w:val="auto"/>
          <w:sz w:val="24"/>
          <w:szCs w:val="24"/>
        </w:rPr>
        <w:t>g</w:t>
      </w:r>
      <w:r w:rsidRPr="00D17BDC">
        <w:rPr>
          <w:rFonts w:ascii="Times New Roman" w:hAnsi="Times New Roman"/>
          <w:color w:val="auto"/>
          <w:sz w:val="24"/>
          <w:szCs w:val="24"/>
        </w:rPr>
        <w:t>overnment</w:t>
      </w:r>
      <w:r w:rsidR="00892832" w:rsidRPr="00D17BDC">
        <w:rPr>
          <w:rFonts w:ascii="Times New Roman" w:hAnsi="Times New Roman"/>
          <w:color w:val="auto"/>
          <w:sz w:val="24"/>
          <w:szCs w:val="24"/>
        </w:rPr>
        <w:t>s</w:t>
      </w:r>
      <w:r w:rsidR="00E86BF5" w:rsidRPr="00D17BDC">
        <w:rPr>
          <w:rFonts w:ascii="Times New Roman" w:hAnsi="Times New Roman"/>
          <w:color w:val="auto"/>
          <w:sz w:val="24"/>
          <w:szCs w:val="24"/>
        </w:rPr>
        <w:t xml:space="preserve"> agreed that KEIP should undertake</w:t>
      </w:r>
      <w:r w:rsidR="00E81E56" w:rsidRPr="00D17BDC">
        <w:rPr>
          <w:rFonts w:ascii="Times New Roman" w:hAnsi="Times New Roman"/>
          <w:color w:val="auto"/>
          <w:sz w:val="24"/>
          <w:szCs w:val="24"/>
        </w:rPr>
        <w:t xml:space="preserve"> a</w:t>
      </w:r>
      <w:r w:rsidR="00E86BF5" w:rsidRPr="00D17BDC">
        <w:rPr>
          <w:rFonts w:ascii="Times New Roman" w:hAnsi="Times New Roman"/>
          <w:color w:val="auto"/>
          <w:sz w:val="24"/>
          <w:szCs w:val="24"/>
        </w:rPr>
        <w:t xml:space="preserve"> thorough analysis </w:t>
      </w:r>
      <w:r w:rsidR="00E81E56" w:rsidRPr="00D17BDC">
        <w:rPr>
          <w:rFonts w:ascii="Times New Roman" w:hAnsi="Times New Roman"/>
          <w:color w:val="auto"/>
          <w:sz w:val="24"/>
          <w:szCs w:val="24"/>
        </w:rPr>
        <w:t xml:space="preserve">of </w:t>
      </w:r>
      <w:r w:rsidR="00E86BF5" w:rsidRPr="00D17BDC">
        <w:rPr>
          <w:rFonts w:ascii="Times New Roman" w:hAnsi="Times New Roman"/>
          <w:color w:val="auto"/>
          <w:sz w:val="24"/>
          <w:szCs w:val="24"/>
        </w:rPr>
        <w:t xml:space="preserve">the reasons for low enrolment and retention rates of girls and boys, and ensure the design of KEIP Phase 2 includes activities and programs </w:t>
      </w:r>
      <w:r w:rsidR="00E81E56" w:rsidRPr="00D17BDC">
        <w:rPr>
          <w:rFonts w:ascii="Times New Roman" w:hAnsi="Times New Roman"/>
          <w:color w:val="auto"/>
          <w:sz w:val="24"/>
          <w:szCs w:val="24"/>
        </w:rPr>
        <w:t xml:space="preserve">to </w:t>
      </w:r>
      <w:r w:rsidR="00E86BF5" w:rsidRPr="00D17BDC">
        <w:rPr>
          <w:rFonts w:ascii="Times New Roman" w:hAnsi="Times New Roman"/>
          <w:color w:val="auto"/>
          <w:sz w:val="24"/>
          <w:szCs w:val="24"/>
        </w:rPr>
        <w:t>address these issues</w:t>
      </w:r>
      <w:r w:rsidR="009E05D4" w:rsidRPr="00D17BDC">
        <w:rPr>
          <w:rFonts w:ascii="Times New Roman" w:hAnsi="Times New Roman"/>
          <w:color w:val="auto"/>
          <w:sz w:val="24"/>
          <w:szCs w:val="24"/>
        </w:rPr>
        <w:t xml:space="preserve">. </w:t>
      </w:r>
    </w:p>
    <w:p w:rsidR="00892832" w:rsidRPr="00D17BDC" w:rsidRDefault="00892832" w:rsidP="0044287A">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Both </w:t>
      </w:r>
      <w:r w:rsidR="00E81E56" w:rsidRPr="00D17BDC">
        <w:rPr>
          <w:rFonts w:ascii="Times New Roman" w:hAnsi="Times New Roman"/>
          <w:color w:val="auto"/>
          <w:sz w:val="24"/>
          <w:szCs w:val="24"/>
        </w:rPr>
        <w:t>g</w:t>
      </w:r>
      <w:r w:rsidRPr="00D17BDC">
        <w:rPr>
          <w:rFonts w:ascii="Times New Roman" w:hAnsi="Times New Roman"/>
          <w:color w:val="auto"/>
          <w:sz w:val="24"/>
          <w:szCs w:val="24"/>
        </w:rPr>
        <w:t xml:space="preserve">overnments agreed </w:t>
      </w:r>
      <w:r w:rsidR="009622D2" w:rsidRPr="00D17BDC">
        <w:rPr>
          <w:rFonts w:ascii="Times New Roman" w:hAnsi="Times New Roman"/>
          <w:color w:val="auto"/>
          <w:sz w:val="24"/>
          <w:szCs w:val="24"/>
        </w:rPr>
        <w:t xml:space="preserve">on </w:t>
      </w:r>
      <w:r w:rsidRPr="00D17BDC">
        <w:rPr>
          <w:rFonts w:ascii="Times New Roman" w:hAnsi="Times New Roman"/>
          <w:color w:val="auto"/>
          <w:sz w:val="24"/>
          <w:szCs w:val="24"/>
        </w:rPr>
        <w:t>the importance of having accurate data to monitor education outcomes and provide the basis for policy and planning</w:t>
      </w:r>
      <w:r w:rsidR="00E81E56" w:rsidRPr="00D17BDC">
        <w:rPr>
          <w:rFonts w:ascii="Times New Roman" w:hAnsi="Times New Roman"/>
          <w:color w:val="auto"/>
          <w:sz w:val="24"/>
          <w:szCs w:val="24"/>
        </w:rPr>
        <w:t xml:space="preserve">. Both also agreed </w:t>
      </w:r>
      <w:r w:rsidRPr="00D17BDC">
        <w:rPr>
          <w:rFonts w:ascii="Times New Roman" w:hAnsi="Times New Roman"/>
          <w:color w:val="auto"/>
          <w:sz w:val="24"/>
          <w:szCs w:val="24"/>
        </w:rPr>
        <w:t xml:space="preserve">that this should continue to be a priority area of assistance through KEIP. </w:t>
      </w:r>
    </w:p>
    <w:p w:rsidR="00892832" w:rsidRPr="00D17BDC" w:rsidRDefault="002B2588" w:rsidP="0044287A">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In the second half of 2011, </w:t>
      </w:r>
      <w:r w:rsidR="00892832" w:rsidRPr="00D17BDC">
        <w:rPr>
          <w:rFonts w:ascii="Times New Roman" w:hAnsi="Times New Roman"/>
          <w:color w:val="auto"/>
          <w:sz w:val="24"/>
          <w:szCs w:val="24"/>
        </w:rPr>
        <w:t>GoK</w:t>
      </w:r>
      <w:r w:rsidRPr="00D17BDC">
        <w:rPr>
          <w:rFonts w:ascii="Times New Roman" w:hAnsi="Times New Roman"/>
          <w:color w:val="auto"/>
          <w:sz w:val="24"/>
          <w:szCs w:val="24"/>
        </w:rPr>
        <w:t xml:space="preserve"> advised it will prepare its next Education Sector Strategic Plan </w:t>
      </w:r>
      <w:r w:rsidR="00892832" w:rsidRPr="00D17BDC">
        <w:rPr>
          <w:rFonts w:ascii="Times New Roman" w:hAnsi="Times New Roman"/>
          <w:color w:val="auto"/>
          <w:sz w:val="24"/>
          <w:szCs w:val="24"/>
        </w:rPr>
        <w:t xml:space="preserve">(ESSP) </w:t>
      </w:r>
      <w:r w:rsidRPr="00D17BDC">
        <w:rPr>
          <w:rFonts w:ascii="Times New Roman" w:hAnsi="Times New Roman"/>
          <w:color w:val="auto"/>
          <w:sz w:val="24"/>
          <w:szCs w:val="24"/>
        </w:rPr>
        <w:t xml:space="preserve">for 2012 to 2105. </w:t>
      </w:r>
      <w:r w:rsidR="00892832" w:rsidRPr="00D17BDC">
        <w:rPr>
          <w:rFonts w:ascii="Times New Roman" w:hAnsi="Times New Roman"/>
          <w:color w:val="auto"/>
          <w:sz w:val="24"/>
          <w:szCs w:val="24"/>
        </w:rPr>
        <w:t xml:space="preserve">GoK </w:t>
      </w:r>
      <w:r w:rsidRPr="00D17BDC">
        <w:rPr>
          <w:rFonts w:ascii="Times New Roman" w:hAnsi="Times New Roman"/>
          <w:color w:val="auto"/>
          <w:sz w:val="24"/>
          <w:szCs w:val="24"/>
        </w:rPr>
        <w:t>stated this</w:t>
      </w:r>
      <w:r w:rsidR="00DE2385" w:rsidRPr="00D17BDC">
        <w:rPr>
          <w:rFonts w:ascii="Times New Roman" w:hAnsi="Times New Roman"/>
          <w:color w:val="auto"/>
          <w:sz w:val="24"/>
          <w:szCs w:val="24"/>
        </w:rPr>
        <w:t xml:space="preserve"> is critical </w:t>
      </w:r>
      <w:r w:rsidR="00E81E56" w:rsidRPr="00D17BDC">
        <w:rPr>
          <w:rFonts w:ascii="Times New Roman" w:hAnsi="Times New Roman"/>
          <w:color w:val="auto"/>
          <w:sz w:val="24"/>
          <w:szCs w:val="24"/>
        </w:rPr>
        <w:t>to enable it</w:t>
      </w:r>
      <w:r w:rsidRPr="00D17BDC">
        <w:rPr>
          <w:rFonts w:ascii="Times New Roman" w:hAnsi="Times New Roman"/>
          <w:color w:val="auto"/>
          <w:sz w:val="24"/>
          <w:szCs w:val="24"/>
        </w:rPr>
        <w:t xml:space="preserve"> to determine its priorities for the education sector as whole, </w:t>
      </w:r>
      <w:r w:rsidR="000D4614" w:rsidRPr="00D17BDC">
        <w:rPr>
          <w:rFonts w:ascii="Times New Roman" w:hAnsi="Times New Roman"/>
          <w:color w:val="auto"/>
          <w:sz w:val="24"/>
          <w:szCs w:val="24"/>
        </w:rPr>
        <w:t>including</w:t>
      </w:r>
      <w:r w:rsidR="00E81E56" w:rsidRPr="00D17BDC">
        <w:rPr>
          <w:rFonts w:ascii="Times New Roman" w:hAnsi="Times New Roman"/>
          <w:color w:val="auto"/>
          <w:sz w:val="24"/>
          <w:szCs w:val="24"/>
        </w:rPr>
        <w:t xml:space="preserve"> in</w:t>
      </w:r>
      <w:r w:rsidR="000D4614" w:rsidRPr="00D17BDC">
        <w:rPr>
          <w:rFonts w:ascii="Times New Roman" w:hAnsi="Times New Roman"/>
          <w:color w:val="auto"/>
          <w:sz w:val="24"/>
          <w:szCs w:val="24"/>
        </w:rPr>
        <w:t xml:space="preserve"> basic education. </w:t>
      </w:r>
      <w:r w:rsidR="00DE2385" w:rsidRPr="00D17BDC">
        <w:rPr>
          <w:rFonts w:ascii="Times New Roman" w:hAnsi="Times New Roman"/>
          <w:color w:val="auto"/>
          <w:sz w:val="24"/>
          <w:szCs w:val="24"/>
        </w:rPr>
        <w:t>Th</w:t>
      </w:r>
      <w:r w:rsidR="00E81E56" w:rsidRPr="00D17BDC">
        <w:rPr>
          <w:rFonts w:ascii="Times New Roman" w:hAnsi="Times New Roman"/>
          <w:color w:val="auto"/>
          <w:sz w:val="24"/>
          <w:szCs w:val="24"/>
        </w:rPr>
        <w:t>e plan</w:t>
      </w:r>
      <w:r w:rsidR="00DE2385" w:rsidRPr="00D17BDC">
        <w:rPr>
          <w:rFonts w:ascii="Times New Roman" w:hAnsi="Times New Roman"/>
          <w:color w:val="auto"/>
          <w:sz w:val="24"/>
          <w:szCs w:val="24"/>
        </w:rPr>
        <w:t xml:space="preserve"> will then feed into the next </w:t>
      </w:r>
      <w:r w:rsidR="00797BD1" w:rsidRPr="00D17BDC">
        <w:rPr>
          <w:rFonts w:ascii="Times New Roman" w:hAnsi="Times New Roman"/>
          <w:color w:val="auto"/>
          <w:sz w:val="24"/>
          <w:szCs w:val="24"/>
        </w:rPr>
        <w:t>KDP</w:t>
      </w:r>
      <w:r w:rsidR="00DE2385" w:rsidRPr="00D17BDC">
        <w:rPr>
          <w:rFonts w:ascii="Times New Roman" w:hAnsi="Times New Roman"/>
          <w:color w:val="auto"/>
          <w:sz w:val="24"/>
          <w:szCs w:val="24"/>
        </w:rPr>
        <w:t xml:space="preserve">, and KEIP Phase </w:t>
      </w:r>
      <w:r w:rsidR="00892832" w:rsidRPr="00D17BDC">
        <w:rPr>
          <w:rFonts w:ascii="Times New Roman" w:hAnsi="Times New Roman"/>
          <w:color w:val="auto"/>
          <w:sz w:val="24"/>
          <w:szCs w:val="24"/>
        </w:rPr>
        <w:t>2</w:t>
      </w:r>
      <w:r w:rsidR="00DE2385" w:rsidRPr="00D17BDC">
        <w:rPr>
          <w:rFonts w:ascii="Times New Roman" w:hAnsi="Times New Roman"/>
          <w:color w:val="auto"/>
          <w:sz w:val="24"/>
          <w:szCs w:val="24"/>
        </w:rPr>
        <w:t xml:space="preserve"> should support the implementation of these priorities</w:t>
      </w:r>
      <w:r w:rsidR="009E05D4" w:rsidRPr="00D17BDC">
        <w:rPr>
          <w:rFonts w:ascii="Times New Roman" w:hAnsi="Times New Roman"/>
          <w:color w:val="auto"/>
          <w:sz w:val="24"/>
          <w:szCs w:val="24"/>
        </w:rPr>
        <w:t xml:space="preserve">. </w:t>
      </w:r>
    </w:p>
    <w:p w:rsidR="00892832" w:rsidRPr="00807794" w:rsidRDefault="00AC52B7" w:rsidP="00807794">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In 2012, both </w:t>
      </w:r>
      <w:r w:rsidR="00E81E56" w:rsidRPr="00D17BDC">
        <w:rPr>
          <w:rFonts w:ascii="Times New Roman" w:hAnsi="Times New Roman"/>
          <w:color w:val="auto"/>
          <w:sz w:val="24"/>
          <w:szCs w:val="24"/>
        </w:rPr>
        <w:t>g</w:t>
      </w:r>
      <w:r w:rsidRPr="00D17BDC">
        <w:rPr>
          <w:rFonts w:ascii="Times New Roman" w:hAnsi="Times New Roman"/>
          <w:color w:val="auto"/>
          <w:sz w:val="24"/>
          <w:szCs w:val="24"/>
        </w:rPr>
        <w:t>overnments should consider whether to</w:t>
      </w:r>
      <w:r w:rsidR="00892832" w:rsidRPr="00D17BDC">
        <w:rPr>
          <w:rFonts w:ascii="Times New Roman" w:hAnsi="Times New Roman"/>
          <w:color w:val="auto"/>
          <w:sz w:val="24"/>
          <w:szCs w:val="24"/>
        </w:rPr>
        <w:t xml:space="preserve"> revise the </w:t>
      </w:r>
      <w:r w:rsidR="009C6008" w:rsidRPr="00D17BDC">
        <w:rPr>
          <w:rFonts w:ascii="Times New Roman" w:hAnsi="Times New Roman"/>
          <w:color w:val="auto"/>
          <w:sz w:val="24"/>
          <w:szCs w:val="24"/>
        </w:rPr>
        <w:t>p</w:t>
      </w:r>
      <w:r w:rsidRPr="00D17BDC">
        <w:rPr>
          <w:rFonts w:ascii="Times New Roman" w:hAnsi="Times New Roman"/>
          <w:color w:val="auto"/>
          <w:sz w:val="24"/>
          <w:szCs w:val="24"/>
        </w:rPr>
        <w:t xml:space="preserve">artnership </w:t>
      </w:r>
      <w:r w:rsidR="009C6008" w:rsidRPr="00D17BDC">
        <w:rPr>
          <w:rFonts w:ascii="Times New Roman" w:hAnsi="Times New Roman"/>
          <w:color w:val="auto"/>
          <w:sz w:val="24"/>
          <w:szCs w:val="24"/>
        </w:rPr>
        <w:t>t</w:t>
      </w:r>
      <w:r w:rsidR="00892832" w:rsidRPr="00D17BDC">
        <w:rPr>
          <w:rFonts w:ascii="Times New Roman" w:hAnsi="Times New Roman"/>
          <w:color w:val="auto"/>
          <w:sz w:val="24"/>
          <w:szCs w:val="24"/>
        </w:rPr>
        <w:t>argets under</w:t>
      </w:r>
      <w:r w:rsidRPr="00D17BDC">
        <w:rPr>
          <w:rFonts w:ascii="Times New Roman" w:hAnsi="Times New Roman"/>
          <w:color w:val="auto"/>
          <w:sz w:val="24"/>
          <w:szCs w:val="24"/>
        </w:rPr>
        <w:t xml:space="preserve"> this </w:t>
      </w:r>
      <w:r w:rsidR="00E81E56" w:rsidRPr="00D17BDC">
        <w:rPr>
          <w:rFonts w:ascii="Times New Roman" w:hAnsi="Times New Roman"/>
          <w:color w:val="auto"/>
          <w:sz w:val="24"/>
          <w:szCs w:val="24"/>
        </w:rPr>
        <w:t>p</w:t>
      </w:r>
      <w:r w:rsidRPr="00D17BDC">
        <w:rPr>
          <w:rFonts w:ascii="Times New Roman" w:hAnsi="Times New Roman"/>
          <w:color w:val="auto"/>
          <w:sz w:val="24"/>
          <w:szCs w:val="24"/>
        </w:rPr>
        <w:t xml:space="preserve">riority </w:t>
      </w:r>
      <w:r w:rsidR="00E81E56" w:rsidRPr="00D17BDC">
        <w:rPr>
          <w:rFonts w:ascii="Times New Roman" w:hAnsi="Times New Roman"/>
          <w:color w:val="auto"/>
          <w:sz w:val="24"/>
          <w:szCs w:val="24"/>
        </w:rPr>
        <w:t>o</w:t>
      </w:r>
      <w:r w:rsidRPr="00D17BDC">
        <w:rPr>
          <w:rFonts w:ascii="Times New Roman" w:hAnsi="Times New Roman"/>
          <w:color w:val="auto"/>
          <w:sz w:val="24"/>
          <w:szCs w:val="24"/>
        </w:rPr>
        <w:t>utcome</w:t>
      </w:r>
      <w:r w:rsidR="00892832" w:rsidRPr="00D17BDC">
        <w:rPr>
          <w:rFonts w:ascii="Times New Roman" w:hAnsi="Times New Roman"/>
          <w:color w:val="auto"/>
          <w:sz w:val="24"/>
          <w:szCs w:val="24"/>
        </w:rPr>
        <w:t xml:space="preserve"> to align </w:t>
      </w:r>
      <w:r w:rsidR="00E81E56" w:rsidRPr="00D17BDC">
        <w:rPr>
          <w:rFonts w:ascii="Times New Roman" w:hAnsi="Times New Roman"/>
          <w:color w:val="auto"/>
          <w:sz w:val="24"/>
          <w:szCs w:val="24"/>
        </w:rPr>
        <w:t xml:space="preserve">with </w:t>
      </w:r>
      <w:r w:rsidR="00892832" w:rsidRPr="00D17BDC">
        <w:rPr>
          <w:rFonts w:ascii="Times New Roman" w:hAnsi="Times New Roman"/>
          <w:color w:val="auto"/>
          <w:sz w:val="24"/>
          <w:szCs w:val="24"/>
        </w:rPr>
        <w:t xml:space="preserve">the </w:t>
      </w:r>
      <w:r w:rsidRPr="00D17BDC">
        <w:rPr>
          <w:rFonts w:ascii="Times New Roman" w:hAnsi="Times New Roman"/>
          <w:color w:val="auto"/>
          <w:sz w:val="24"/>
          <w:szCs w:val="24"/>
        </w:rPr>
        <w:t xml:space="preserve">new </w:t>
      </w:r>
      <w:r w:rsidR="00892832" w:rsidRPr="00D17BDC">
        <w:rPr>
          <w:rFonts w:ascii="Times New Roman" w:hAnsi="Times New Roman"/>
          <w:color w:val="auto"/>
          <w:sz w:val="24"/>
          <w:szCs w:val="24"/>
        </w:rPr>
        <w:t>ESSP targets</w:t>
      </w:r>
      <w:r w:rsidRPr="00D17BDC">
        <w:rPr>
          <w:rFonts w:ascii="Times New Roman" w:hAnsi="Times New Roman"/>
          <w:color w:val="auto"/>
          <w:sz w:val="24"/>
          <w:szCs w:val="24"/>
        </w:rPr>
        <w:t xml:space="preserve"> and reflect milestones under KEIP Phase 2. </w:t>
      </w:r>
    </w:p>
    <w:p w:rsidR="002B2588" w:rsidRPr="00D17BDC" w:rsidRDefault="000C42DD" w:rsidP="0044287A">
      <w:pPr>
        <w:spacing w:before="240" w:after="0" w:line="240" w:lineRule="auto"/>
        <w:rPr>
          <w:rFonts w:ascii="Times New Roman" w:hAnsi="Times New Roman"/>
          <w:b/>
          <w:color w:val="auto"/>
          <w:sz w:val="24"/>
          <w:szCs w:val="24"/>
        </w:rPr>
      </w:pPr>
      <w:r>
        <w:rPr>
          <w:rFonts w:ascii="Times New Roman" w:hAnsi="Times New Roman"/>
          <w:b/>
          <w:noProof/>
          <w:color w:val="auto"/>
          <w:sz w:val="24"/>
          <w:szCs w:val="24"/>
          <w:lang w:val="en-US" w:eastAsia="en-US"/>
        </w:rPr>
        <mc:AlternateContent>
          <mc:Choice Requires="wps">
            <w:drawing>
              <wp:inline distT="0" distB="0" distL="0" distR="0">
                <wp:extent cx="5943600" cy="1425575"/>
                <wp:effectExtent l="7620" t="5715" r="11430" b="698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5575"/>
                        </a:xfrm>
                        <a:prstGeom prst="rect">
                          <a:avLst/>
                        </a:prstGeom>
                        <a:solidFill>
                          <a:srgbClr val="C0C0C0">
                            <a:alpha val="28000"/>
                          </a:srgbClr>
                        </a:solidFill>
                        <a:ln w="9525">
                          <a:solidFill>
                            <a:srgbClr val="000000"/>
                          </a:solidFill>
                          <a:miter lim="800000"/>
                          <a:headEnd/>
                          <a:tailEnd/>
                        </a:ln>
                      </wps:spPr>
                      <wps:txbx>
                        <w:txbxContent>
                          <w:p w:rsidR="00807794" w:rsidRPr="00477DB1" w:rsidRDefault="00807794" w:rsidP="00807794">
                            <w:pPr>
                              <w:spacing w:after="120" w:line="240" w:lineRule="auto"/>
                              <w:rPr>
                                <w:rFonts w:ascii="Times New Roman" w:hAnsi="Times New Roman"/>
                                <w:b/>
                                <w:sz w:val="24"/>
                                <w:szCs w:val="24"/>
                              </w:rPr>
                            </w:pPr>
                            <w:r w:rsidRPr="00477DB1">
                              <w:rPr>
                                <w:rFonts w:ascii="Times New Roman" w:hAnsi="Times New Roman"/>
                                <w:b/>
                                <w:sz w:val="24"/>
                                <w:szCs w:val="24"/>
                              </w:rPr>
                              <w:t>Outcomes from the 2011 Partnership Talks</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 xml:space="preserve">KEIP to undertake analysis into reasons for low enrolment, attendance and retention rates, and </w:t>
                            </w:r>
                            <w:r>
                              <w:rPr>
                                <w:rFonts w:ascii="Times New Roman" w:hAnsi="Times New Roman"/>
                                <w:sz w:val="24"/>
                                <w:szCs w:val="24"/>
                              </w:rPr>
                              <w:t>to use analysis results</w:t>
                            </w:r>
                            <w:r w:rsidRPr="00477DB1">
                              <w:rPr>
                                <w:rFonts w:ascii="Times New Roman" w:hAnsi="Times New Roman"/>
                                <w:sz w:val="24"/>
                                <w:szCs w:val="24"/>
                              </w:rPr>
                              <w:t xml:space="preserve"> to inform the design of KEIP Phase 2. </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KEIP to support GoK</w:t>
                            </w:r>
                            <w:r>
                              <w:rPr>
                                <w:rFonts w:ascii="Times New Roman" w:hAnsi="Times New Roman"/>
                                <w:sz w:val="24"/>
                                <w:szCs w:val="24"/>
                              </w:rPr>
                              <w:t xml:space="preserve"> to</w:t>
                            </w:r>
                            <w:r w:rsidRPr="00477DB1">
                              <w:rPr>
                                <w:rFonts w:ascii="Times New Roman" w:hAnsi="Times New Roman"/>
                                <w:sz w:val="24"/>
                                <w:szCs w:val="24"/>
                              </w:rPr>
                              <w:t xml:space="preserve"> improve its education information management systems</w:t>
                            </w:r>
                            <w:r>
                              <w:rPr>
                                <w:rFonts w:ascii="Times New Roman" w:hAnsi="Times New Roman"/>
                                <w:sz w:val="24"/>
                                <w:szCs w:val="24"/>
                              </w:rPr>
                              <w:t xml:space="preserve">. </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GoK to prepare E</w:t>
                            </w:r>
                            <w:r>
                              <w:rPr>
                                <w:rFonts w:ascii="Times New Roman" w:hAnsi="Times New Roman"/>
                                <w:sz w:val="24"/>
                                <w:szCs w:val="24"/>
                              </w:rPr>
                              <w:t>SSP</w:t>
                            </w:r>
                            <w:r w:rsidRPr="00477DB1">
                              <w:rPr>
                                <w:rFonts w:ascii="Times New Roman" w:hAnsi="Times New Roman"/>
                                <w:sz w:val="24"/>
                                <w:szCs w:val="24"/>
                              </w:rPr>
                              <w:t xml:space="preserve"> 2012</w:t>
                            </w:r>
                            <w:r>
                              <w:rPr>
                                <w:rFonts w:ascii="Times New Roman" w:hAnsi="Times New Roman"/>
                                <w:sz w:val="24"/>
                                <w:szCs w:val="24"/>
                              </w:rPr>
                              <w:t>–</w:t>
                            </w:r>
                            <w:r w:rsidRPr="00477DB1">
                              <w:rPr>
                                <w:rFonts w:ascii="Times New Roman" w:hAnsi="Times New Roman"/>
                                <w:sz w:val="24"/>
                                <w:szCs w:val="24"/>
                              </w:rPr>
                              <w:t xml:space="preserve">15. </w:t>
                            </w:r>
                            <w:r>
                              <w:rPr>
                                <w:rFonts w:ascii="Times New Roman" w:hAnsi="Times New Roman"/>
                                <w:sz w:val="24"/>
                                <w:szCs w:val="24"/>
                              </w:rPr>
                              <w:t>AusAID</w:t>
                            </w:r>
                            <w:r w:rsidRPr="00477DB1">
                              <w:rPr>
                                <w:rFonts w:ascii="Times New Roman" w:hAnsi="Times New Roman"/>
                                <w:sz w:val="24"/>
                                <w:szCs w:val="24"/>
                              </w:rPr>
                              <w:t xml:space="preserve"> to consider supporting GoK in these efforts. </w:t>
                            </w:r>
                          </w:p>
                          <w:p w:rsidR="00807794" w:rsidRPr="00E5439B" w:rsidRDefault="00807794" w:rsidP="00D17BDC">
                            <w:pPr>
                              <w:numPr>
                                <w:ilvl w:val="0"/>
                                <w:numId w:val="34"/>
                              </w:numPr>
                              <w:spacing w:after="0" w:line="240" w:lineRule="auto"/>
                              <w:rPr>
                                <w:rFonts w:ascii="Arial" w:hAnsi="Arial" w:cs="Arial"/>
                                <w:sz w:val="20"/>
                                <w:szCs w:val="20"/>
                              </w:rPr>
                            </w:pPr>
                            <w:r w:rsidRPr="00E5439B">
                              <w:rPr>
                                <w:rFonts w:ascii="Times New Roman" w:hAnsi="Times New Roman"/>
                                <w:sz w:val="24"/>
                                <w:szCs w:val="24"/>
                              </w:rPr>
                              <w:t xml:space="preserve">Both governments to </w:t>
                            </w:r>
                            <w:r w:rsidRPr="005D233A">
                              <w:rPr>
                                <w:rFonts w:ascii="Times New Roman" w:hAnsi="Times New Roman"/>
                                <w:sz w:val="24"/>
                                <w:szCs w:val="24"/>
                              </w:rPr>
                              <w:t>consider revising partnership targets and indicators so they are</w:t>
                            </w:r>
                            <w:r w:rsidRPr="00894158">
                              <w:rPr>
                                <w:rFonts w:ascii="Times New Roman" w:hAnsi="Times New Roman"/>
                                <w:sz w:val="24"/>
                                <w:szCs w:val="24"/>
                              </w:rPr>
                              <w:t xml:space="preserve"> in</w:t>
                            </w:r>
                            <w:r w:rsidRPr="00B97F29">
                              <w:rPr>
                                <w:rFonts w:ascii="Times New Roman" w:hAnsi="Times New Roman"/>
                                <w:sz w:val="24"/>
                                <w:szCs w:val="24"/>
                              </w:rPr>
                              <w:t xml:space="preserve"> line with </w:t>
                            </w:r>
                            <w:r w:rsidRPr="002F1219">
                              <w:rPr>
                                <w:rFonts w:ascii="Times New Roman" w:hAnsi="Times New Roman"/>
                                <w:sz w:val="24"/>
                                <w:szCs w:val="24"/>
                              </w:rPr>
                              <w:t>new targets developed through the ESSP 2012–15 an</w:t>
                            </w:r>
                            <w:r w:rsidRPr="00385C8F">
                              <w:rPr>
                                <w:rFonts w:ascii="Times New Roman" w:hAnsi="Times New Roman"/>
                                <w:sz w:val="24"/>
                                <w:szCs w:val="24"/>
                              </w:rPr>
                              <w:t xml:space="preserve">d the KDP 2012–15. </w:t>
                            </w:r>
                            <w:r w:rsidRPr="00C742EE">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8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" fillcolor="silver">
                <v:fill opacity="18247f"/>
                <v:textbox>
                  <w:txbxContent>
                    <w:p w:rsidR="00807794" w:rsidRPr="00477DB1" w:rsidRDefault="00807794" w:rsidP="00807794">
                      <w:pPr>
                        <w:spacing w:after="120" w:line="240" w:lineRule="auto"/>
                        <w:rPr>
                          <w:rFonts w:ascii="Times New Roman" w:hAnsi="Times New Roman"/>
                          <w:b/>
                          <w:sz w:val="24"/>
                          <w:szCs w:val="24"/>
                        </w:rPr>
                      </w:pPr>
                      <w:r w:rsidRPr="00477DB1">
                        <w:rPr>
                          <w:rFonts w:ascii="Times New Roman" w:hAnsi="Times New Roman"/>
                          <w:b/>
                          <w:sz w:val="24"/>
                          <w:szCs w:val="24"/>
                        </w:rPr>
                        <w:t>Outcomes from the 2011 Partnership Talks</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 xml:space="preserve">KEIP to undertake analysis into reasons for low enrolment, attendance and retention rates, and </w:t>
                      </w:r>
                      <w:r>
                        <w:rPr>
                          <w:rFonts w:ascii="Times New Roman" w:hAnsi="Times New Roman"/>
                          <w:sz w:val="24"/>
                          <w:szCs w:val="24"/>
                        </w:rPr>
                        <w:t>to use analysis results</w:t>
                      </w:r>
                      <w:r w:rsidRPr="00477DB1">
                        <w:rPr>
                          <w:rFonts w:ascii="Times New Roman" w:hAnsi="Times New Roman"/>
                          <w:sz w:val="24"/>
                          <w:szCs w:val="24"/>
                        </w:rPr>
                        <w:t xml:space="preserve"> to inform the design of KEIP Phase 2. </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KEIP to support GoK</w:t>
                      </w:r>
                      <w:r>
                        <w:rPr>
                          <w:rFonts w:ascii="Times New Roman" w:hAnsi="Times New Roman"/>
                          <w:sz w:val="24"/>
                          <w:szCs w:val="24"/>
                        </w:rPr>
                        <w:t xml:space="preserve"> to</w:t>
                      </w:r>
                      <w:r w:rsidRPr="00477DB1">
                        <w:rPr>
                          <w:rFonts w:ascii="Times New Roman" w:hAnsi="Times New Roman"/>
                          <w:sz w:val="24"/>
                          <w:szCs w:val="24"/>
                        </w:rPr>
                        <w:t xml:space="preserve"> improve its education information management systems</w:t>
                      </w:r>
                      <w:r>
                        <w:rPr>
                          <w:rFonts w:ascii="Times New Roman" w:hAnsi="Times New Roman"/>
                          <w:sz w:val="24"/>
                          <w:szCs w:val="24"/>
                        </w:rPr>
                        <w:t xml:space="preserve">. </w:t>
                      </w:r>
                    </w:p>
                    <w:p w:rsidR="00807794" w:rsidRPr="00477DB1" w:rsidRDefault="00807794" w:rsidP="00DE2385">
                      <w:pPr>
                        <w:numPr>
                          <w:ilvl w:val="0"/>
                          <w:numId w:val="34"/>
                        </w:numPr>
                        <w:spacing w:after="0" w:line="240" w:lineRule="auto"/>
                        <w:rPr>
                          <w:rFonts w:ascii="Times New Roman" w:hAnsi="Times New Roman"/>
                          <w:sz w:val="24"/>
                          <w:szCs w:val="24"/>
                        </w:rPr>
                      </w:pPr>
                      <w:r w:rsidRPr="00477DB1">
                        <w:rPr>
                          <w:rFonts w:ascii="Times New Roman" w:hAnsi="Times New Roman"/>
                          <w:sz w:val="24"/>
                          <w:szCs w:val="24"/>
                        </w:rPr>
                        <w:t>GoK to prepare E</w:t>
                      </w:r>
                      <w:r>
                        <w:rPr>
                          <w:rFonts w:ascii="Times New Roman" w:hAnsi="Times New Roman"/>
                          <w:sz w:val="24"/>
                          <w:szCs w:val="24"/>
                        </w:rPr>
                        <w:t>SSP</w:t>
                      </w:r>
                      <w:r w:rsidRPr="00477DB1">
                        <w:rPr>
                          <w:rFonts w:ascii="Times New Roman" w:hAnsi="Times New Roman"/>
                          <w:sz w:val="24"/>
                          <w:szCs w:val="24"/>
                        </w:rPr>
                        <w:t xml:space="preserve"> 2012</w:t>
                      </w:r>
                      <w:r>
                        <w:rPr>
                          <w:rFonts w:ascii="Times New Roman" w:hAnsi="Times New Roman"/>
                          <w:sz w:val="24"/>
                          <w:szCs w:val="24"/>
                        </w:rPr>
                        <w:t>–</w:t>
                      </w:r>
                      <w:r w:rsidRPr="00477DB1">
                        <w:rPr>
                          <w:rFonts w:ascii="Times New Roman" w:hAnsi="Times New Roman"/>
                          <w:sz w:val="24"/>
                          <w:szCs w:val="24"/>
                        </w:rPr>
                        <w:t xml:space="preserve">15. </w:t>
                      </w:r>
                      <w:r>
                        <w:rPr>
                          <w:rFonts w:ascii="Times New Roman" w:hAnsi="Times New Roman"/>
                          <w:sz w:val="24"/>
                          <w:szCs w:val="24"/>
                        </w:rPr>
                        <w:t>AusAID</w:t>
                      </w:r>
                      <w:r w:rsidRPr="00477DB1">
                        <w:rPr>
                          <w:rFonts w:ascii="Times New Roman" w:hAnsi="Times New Roman"/>
                          <w:sz w:val="24"/>
                          <w:szCs w:val="24"/>
                        </w:rPr>
                        <w:t xml:space="preserve"> to consider supporting GoK in these efforts. </w:t>
                      </w:r>
                    </w:p>
                    <w:p w:rsidR="00807794" w:rsidRPr="00E5439B" w:rsidRDefault="00807794" w:rsidP="00D17BDC">
                      <w:pPr>
                        <w:numPr>
                          <w:ilvl w:val="0"/>
                          <w:numId w:val="34"/>
                        </w:numPr>
                        <w:spacing w:after="0" w:line="240" w:lineRule="auto"/>
                        <w:rPr>
                          <w:rFonts w:ascii="Arial" w:hAnsi="Arial" w:cs="Arial"/>
                          <w:sz w:val="20"/>
                          <w:szCs w:val="20"/>
                        </w:rPr>
                      </w:pPr>
                      <w:r w:rsidRPr="00E5439B">
                        <w:rPr>
                          <w:rFonts w:ascii="Times New Roman" w:hAnsi="Times New Roman"/>
                          <w:sz w:val="24"/>
                          <w:szCs w:val="24"/>
                        </w:rPr>
                        <w:t xml:space="preserve">Both governments to </w:t>
                      </w:r>
                      <w:r w:rsidRPr="005D233A">
                        <w:rPr>
                          <w:rFonts w:ascii="Times New Roman" w:hAnsi="Times New Roman"/>
                          <w:sz w:val="24"/>
                          <w:szCs w:val="24"/>
                        </w:rPr>
                        <w:t>consider revising partnership targets and indicators so they are</w:t>
                      </w:r>
                      <w:r w:rsidRPr="00894158">
                        <w:rPr>
                          <w:rFonts w:ascii="Times New Roman" w:hAnsi="Times New Roman"/>
                          <w:sz w:val="24"/>
                          <w:szCs w:val="24"/>
                        </w:rPr>
                        <w:t xml:space="preserve"> in</w:t>
                      </w:r>
                      <w:r w:rsidRPr="00B97F29">
                        <w:rPr>
                          <w:rFonts w:ascii="Times New Roman" w:hAnsi="Times New Roman"/>
                          <w:sz w:val="24"/>
                          <w:szCs w:val="24"/>
                        </w:rPr>
                        <w:t xml:space="preserve"> line with </w:t>
                      </w:r>
                      <w:r w:rsidRPr="002F1219">
                        <w:rPr>
                          <w:rFonts w:ascii="Times New Roman" w:hAnsi="Times New Roman"/>
                          <w:sz w:val="24"/>
                          <w:szCs w:val="24"/>
                        </w:rPr>
                        <w:t>new targets developed through the ESSP 2012–15 an</w:t>
                      </w:r>
                      <w:r w:rsidRPr="00385C8F">
                        <w:rPr>
                          <w:rFonts w:ascii="Times New Roman" w:hAnsi="Times New Roman"/>
                          <w:sz w:val="24"/>
                          <w:szCs w:val="24"/>
                        </w:rPr>
                        <w:t xml:space="preserve">d the KDP 2012–15. </w:t>
                      </w:r>
                      <w:r w:rsidRPr="00C742EE">
                        <w:rPr>
                          <w:rFonts w:ascii="Times New Roman" w:hAnsi="Times New Roman"/>
                          <w:sz w:val="24"/>
                          <w:szCs w:val="24"/>
                        </w:rPr>
                        <w:t xml:space="preserve"> </w:t>
                      </w:r>
                    </w:p>
                  </w:txbxContent>
                </v:textbox>
                <w10:wrap anchorx="page"/>
                <w10:anchorlock/>
              </v:shape>
            </w:pict>
          </mc:Fallback>
        </mc:AlternateContent>
      </w:r>
    </w:p>
    <w:p w:rsidR="00200A9A" w:rsidRPr="00D17BDC" w:rsidRDefault="00200A9A" w:rsidP="006A5382">
      <w:pPr>
        <w:pStyle w:val="Heading2"/>
        <w:rPr>
          <w:kern w:val="28"/>
        </w:rPr>
      </w:pPr>
      <w:bookmarkStart w:id="7" w:name="_Toc307062914"/>
      <w:r w:rsidRPr="00D17BDC">
        <w:rPr>
          <w:kern w:val="28"/>
        </w:rPr>
        <w:t xml:space="preserve">Priority Outcome </w:t>
      </w:r>
      <w:bookmarkStart w:id="8" w:name="Two"/>
      <w:bookmarkEnd w:id="8"/>
      <w:r w:rsidRPr="00D17BDC">
        <w:rPr>
          <w:kern w:val="28"/>
        </w:rPr>
        <w:t>2:</w:t>
      </w:r>
      <w:r w:rsidR="00C84DBD" w:rsidRPr="00D17BDC">
        <w:rPr>
          <w:kern w:val="28"/>
        </w:rPr>
        <w:t xml:space="preserve"> </w:t>
      </w:r>
      <w:r w:rsidRPr="00D17BDC">
        <w:rPr>
          <w:kern w:val="28"/>
        </w:rPr>
        <w:t xml:space="preserve">Workforce </w:t>
      </w:r>
      <w:r w:rsidR="00672C46" w:rsidRPr="00D17BDC">
        <w:rPr>
          <w:kern w:val="28"/>
        </w:rPr>
        <w:t>s</w:t>
      </w:r>
      <w:r w:rsidRPr="00D17BDC">
        <w:rPr>
          <w:kern w:val="28"/>
        </w:rPr>
        <w:t xml:space="preserve">kills </w:t>
      </w:r>
      <w:r w:rsidR="00672C46" w:rsidRPr="00D17BDC">
        <w:rPr>
          <w:kern w:val="28"/>
        </w:rPr>
        <w:t>d</w:t>
      </w:r>
      <w:r w:rsidRPr="00D17BDC">
        <w:rPr>
          <w:kern w:val="28"/>
        </w:rPr>
        <w:t>evelopment</w:t>
      </w:r>
      <w:bookmarkEnd w:id="7"/>
    </w:p>
    <w:p w:rsidR="00200A9A" w:rsidRPr="00D17BDC" w:rsidRDefault="005D233A" w:rsidP="00D17BDC">
      <w:pPr>
        <w:spacing w:before="240" w:after="0" w:line="240" w:lineRule="auto"/>
        <w:ind w:left="1985" w:hanging="1985"/>
        <w:rPr>
          <w:rFonts w:ascii="Times New Roman" w:hAnsi="Times New Roman"/>
          <w:color w:val="auto"/>
          <w:sz w:val="24"/>
          <w:szCs w:val="24"/>
        </w:rPr>
      </w:pPr>
      <w:r w:rsidRPr="00D17BDC">
        <w:rPr>
          <w:rFonts w:ascii="Times New Roman" w:hAnsi="Times New Roman"/>
          <w:b/>
          <w:color w:val="auto"/>
          <w:sz w:val="24"/>
          <w:szCs w:val="24"/>
        </w:rPr>
        <w:t>Joint c</w:t>
      </w:r>
      <w:r w:rsidR="00200A9A" w:rsidRPr="00D17BDC">
        <w:rPr>
          <w:rFonts w:ascii="Times New Roman" w:hAnsi="Times New Roman"/>
          <w:b/>
          <w:color w:val="auto"/>
          <w:sz w:val="24"/>
          <w:szCs w:val="24"/>
        </w:rPr>
        <w:t>ommitment</w:t>
      </w:r>
      <w:r w:rsidR="00200A9A" w:rsidRPr="00D17BDC">
        <w:rPr>
          <w:rFonts w:ascii="Times New Roman" w:hAnsi="Times New Roman"/>
          <w:color w:val="auto"/>
          <w:sz w:val="24"/>
          <w:szCs w:val="24"/>
        </w:rPr>
        <w:t>: Provide opportunities for people to develop their workforce skills in areas of industry demand both domestically a</w:t>
      </w:r>
      <w:r w:rsidR="00E42EE8" w:rsidRPr="00D17BDC">
        <w:rPr>
          <w:rFonts w:ascii="Times New Roman" w:hAnsi="Times New Roman"/>
          <w:color w:val="auto"/>
          <w:sz w:val="24"/>
          <w:szCs w:val="24"/>
        </w:rPr>
        <w:t xml:space="preserve">nd abroad </w:t>
      </w:r>
    </w:p>
    <w:p w:rsidR="00F936D0" w:rsidRPr="00D17BDC" w:rsidRDefault="004B6D7E" w:rsidP="002E20EC">
      <w:pPr>
        <w:spacing w:before="240" w:after="0" w:line="240" w:lineRule="auto"/>
        <w:rPr>
          <w:rFonts w:ascii="Times New Roman" w:hAnsi="Times New Roman"/>
          <w:sz w:val="24"/>
          <w:szCs w:val="24"/>
        </w:rPr>
      </w:pPr>
      <w:r w:rsidRPr="00D17BDC">
        <w:rPr>
          <w:rFonts w:ascii="Times New Roman" w:hAnsi="Times New Roman"/>
          <w:color w:val="auto"/>
          <w:sz w:val="24"/>
          <w:szCs w:val="24"/>
        </w:rPr>
        <w:t xml:space="preserve">The second </w:t>
      </w:r>
      <w:r w:rsidR="00C86D69" w:rsidRPr="00D17BDC">
        <w:rPr>
          <w:rFonts w:ascii="Times New Roman" w:hAnsi="Times New Roman"/>
          <w:color w:val="auto"/>
          <w:sz w:val="24"/>
          <w:szCs w:val="24"/>
        </w:rPr>
        <w:t>p</w:t>
      </w:r>
      <w:r w:rsidRPr="00D17BDC">
        <w:rPr>
          <w:rFonts w:ascii="Times New Roman" w:hAnsi="Times New Roman"/>
          <w:color w:val="auto"/>
          <w:sz w:val="24"/>
          <w:szCs w:val="24"/>
        </w:rPr>
        <w:t xml:space="preserve">riority </w:t>
      </w:r>
      <w:r w:rsidR="00C86D69" w:rsidRPr="00D17BDC">
        <w:rPr>
          <w:rFonts w:ascii="Times New Roman" w:hAnsi="Times New Roman"/>
          <w:color w:val="auto"/>
          <w:sz w:val="24"/>
          <w:szCs w:val="24"/>
        </w:rPr>
        <w:t>o</w:t>
      </w:r>
      <w:r w:rsidRPr="00D17BDC">
        <w:rPr>
          <w:rFonts w:ascii="Times New Roman" w:hAnsi="Times New Roman"/>
          <w:color w:val="auto"/>
          <w:sz w:val="24"/>
          <w:szCs w:val="24"/>
        </w:rPr>
        <w:t xml:space="preserve">utcome </w:t>
      </w:r>
      <w:r w:rsidR="00C86D69" w:rsidRPr="00D17BDC">
        <w:rPr>
          <w:rFonts w:ascii="Times New Roman" w:hAnsi="Times New Roman"/>
          <w:color w:val="auto"/>
          <w:sz w:val="24"/>
          <w:szCs w:val="24"/>
        </w:rPr>
        <w:t>a</w:t>
      </w:r>
      <w:r w:rsidRPr="00D17BDC">
        <w:rPr>
          <w:rFonts w:ascii="Times New Roman" w:hAnsi="Times New Roman"/>
          <w:color w:val="auto"/>
          <w:sz w:val="24"/>
          <w:szCs w:val="24"/>
        </w:rPr>
        <w:t>rea</w:t>
      </w:r>
      <w:r w:rsidR="00C86D69" w:rsidRPr="00D17BDC">
        <w:rPr>
          <w:rFonts w:ascii="Times New Roman" w:hAnsi="Times New Roman"/>
          <w:color w:val="auto"/>
          <w:sz w:val="24"/>
          <w:szCs w:val="24"/>
        </w:rPr>
        <w:t xml:space="preserve"> of the Partnership</w:t>
      </w:r>
      <w:r w:rsidRPr="00D17BDC">
        <w:rPr>
          <w:rFonts w:ascii="Times New Roman" w:hAnsi="Times New Roman"/>
          <w:color w:val="auto"/>
          <w:sz w:val="24"/>
          <w:szCs w:val="24"/>
        </w:rPr>
        <w:t xml:space="preserve"> </w:t>
      </w:r>
      <w:r w:rsidR="00840E4C" w:rsidRPr="00D17BDC">
        <w:rPr>
          <w:rFonts w:ascii="Times New Roman" w:hAnsi="Times New Roman"/>
          <w:sz w:val="24"/>
          <w:szCs w:val="24"/>
        </w:rPr>
        <w:t>assist</w:t>
      </w:r>
      <w:r w:rsidR="00610F29" w:rsidRPr="00D17BDC">
        <w:rPr>
          <w:rFonts w:ascii="Times New Roman" w:hAnsi="Times New Roman"/>
          <w:sz w:val="24"/>
          <w:szCs w:val="24"/>
        </w:rPr>
        <w:t>s</w:t>
      </w:r>
      <w:r w:rsidR="00840E4C" w:rsidRPr="00D17BDC">
        <w:rPr>
          <w:rFonts w:ascii="Times New Roman" w:hAnsi="Times New Roman"/>
          <w:sz w:val="24"/>
          <w:szCs w:val="24"/>
        </w:rPr>
        <w:t xml:space="preserve"> GoK to increase the number of </w:t>
      </w:r>
      <w:r w:rsidR="00DB4E4A" w:rsidRPr="00D17BDC">
        <w:rPr>
          <w:rFonts w:ascii="Times New Roman" w:hAnsi="Times New Roman"/>
          <w:sz w:val="24"/>
          <w:szCs w:val="24"/>
        </w:rPr>
        <w:br/>
      </w:r>
      <w:r w:rsidR="00840E4C" w:rsidRPr="00D17BDC">
        <w:rPr>
          <w:rFonts w:ascii="Times New Roman" w:hAnsi="Times New Roman"/>
          <w:sz w:val="24"/>
          <w:szCs w:val="24"/>
        </w:rPr>
        <w:t xml:space="preserve">I-Kiribati with internationally recognised technical and vocational skills in areas of industry demand, domestically and abroad. The intention is to decrease youth unemployment and increase public and private sector productivity in Kiribati. </w:t>
      </w:r>
    </w:p>
    <w:p w:rsidR="00002542" w:rsidRPr="00D17BDC" w:rsidRDefault="00F936D0" w:rsidP="002E20EC">
      <w:pPr>
        <w:spacing w:before="240" w:after="0" w:line="240" w:lineRule="auto"/>
        <w:rPr>
          <w:rFonts w:ascii="Times New Roman" w:hAnsi="Times New Roman"/>
          <w:sz w:val="24"/>
          <w:szCs w:val="24"/>
        </w:rPr>
      </w:pPr>
      <w:r w:rsidRPr="00D17BDC">
        <w:rPr>
          <w:rFonts w:ascii="Times New Roman" w:hAnsi="Times New Roman"/>
          <w:sz w:val="24"/>
          <w:szCs w:val="24"/>
        </w:rPr>
        <w:t xml:space="preserve">Progress towards the four agreed </w:t>
      </w:r>
      <w:r w:rsidR="005D233A" w:rsidRPr="00D17BDC">
        <w:rPr>
          <w:rFonts w:ascii="Times New Roman" w:hAnsi="Times New Roman"/>
          <w:sz w:val="24"/>
          <w:szCs w:val="24"/>
        </w:rPr>
        <w:t>p</w:t>
      </w:r>
      <w:r w:rsidRPr="00D17BDC">
        <w:rPr>
          <w:rFonts w:ascii="Times New Roman" w:hAnsi="Times New Roman"/>
          <w:sz w:val="24"/>
          <w:szCs w:val="24"/>
        </w:rPr>
        <w:t xml:space="preserve">artnership </w:t>
      </w:r>
      <w:r w:rsidR="005D233A" w:rsidRPr="00D17BDC">
        <w:rPr>
          <w:rFonts w:ascii="Times New Roman" w:hAnsi="Times New Roman"/>
          <w:sz w:val="24"/>
          <w:szCs w:val="24"/>
        </w:rPr>
        <w:t>t</w:t>
      </w:r>
      <w:r w:rsidRPr="00D17BDC">
        <w:rPr>
          <w:rFonts w:ascii="Times New Roman" w:hAnsi="Times New Roman"/>
          <w:sz w:val="24"/>
          <w:szCs w:val="24"/>
        </w:rPr>
        <w:t>argets</w:t>
      </w:r>
      <w:r w:rsidR="00C86D69" w:rsidRPr="00D17BDC">
        <w:rPr>
          <w:rFonts w:ascii="Times New Roman" w:hAnsi="Times New Roman"/>
          <w:sz w:val="24"/>
          <w:szCs w:val="24"/>
        </w:rPr>
        <w:t xml:space="preserve"> for this priority outcome</w:t>
      </w:r>
      <w:r w:rsidRPr="00D17BDC">
        <w:rPr>
          <w:rFonts w:ascii="Times New Roman" w:hAnsi="Times New Roman"/>
          <w:sz w:val="24"/>
          <w:szCs w:val="24"/>
        </w:rPr>
        <w:t xml:space="preserve"> is set out in </w:t>
      </w:r>
      <w:r w:rsidR="009622D2" w:rsidRPr="00D17BDC">
        <w:rPr>
          <w:rFonts w:ascii="Times New Roman" w:hAnsi="Times New Roman"/>
          <w:sz w:val="24"/>
          <w:szCs w:val="24"/>
        </w:rPr>
        <w:t>Table 3.</w:t>
      </w:r>
      <w:r w:rsidR="009622D2" w:rsidRPr="00D17BDC">
        <w:rPr>
          <w:rFonts w:ascii="Times New Roman" w:hAnsi="Times New Roman"/>
          <w:noProof/>
        </w:rPr>
        <w:t xml:space="preserve"> </w:t>
      </w:r>
      <w:r w:rsidR="00002542" w:rsidRPr="00D17BDC">
        <w:rPr>
          <w:rFonts w:ascii="Times New Roman" w:hAnsi="Times New Roman"/>
          <w:sz w:val="24"/>
          <w:szCs w:val="24"/>
        </w:rPr>
        <w:t xml:space="preserve">The main programs </w:t>
      </w:r>
      <w:r w:rsidR="00EE213B" w:rsidRPr="00D17BDC">
        <w:rPr>
          <w:rFonts w:ascii="Times New Roman" w:hAnsi="Times New Roman"/>
          <w:sz w:val="24"/>
          <w:szCs w:val="24"/>
        </w:rPr>
        <w:t xml:space="preserve">are: </w:t>
      </w:r>
      <w:r w:rsidR="00610F29" w:rsidRPr="00D17BDC">
        <w:rPr>
          <w:rFonts w:ascii="Times New Roman" w:hAnsi="Times New Roman"/>
          <w:sz w:val="24"/>
          <w:szCs w:val="24"/>
        </w:rPr>
        <w:t>TVETSSP</w:t>
      </w:r>
      <w:r w:rsidR="00C86D69" w:rsidRPr="00D17BDC">
        <w:rPr>
          <w:rFonts w:ascii="Times New Roman" w:hAnsi="Times New Roman"/>
          <w:sz w:val="24"/>
          <w:szCs w:val="24"/>
        </w:rPr>
        <w:t>,</w:t>
      </w:r>
      <w:r w:rsidR="00002542" w:rsidRPr="00D17BDC">
        <w:rPr>
          <w:rFonts w:ascii="Times New Roman" w:hAnsi="Times New Roman"/>
          <w:sz w:val="24"/>
          <w:szCs w:val="24"/>
        </w:rPr>
        <w:t xml:space="preserve"> the Kiribati Australia Nursing Initiative and the Australian Development Scholarship program.</w:t>
      </w:r>
      <w:r w:rsidR="00EE213B" w:rsidRPr="00D17BDC">
        <w:rPr>
          <w:rFonts w:ascii="Times New Roman" w:hAnsi="Times New Roman"/>
          <w:sz w:val="24"/>
          <w:szCs w:val="24"/>
        </w:rPr>
        <w:t xml:space="preserve"> </w:t>
      </w:r>
      <w:r w:rsidR="00C86D69" w:rsidRPr="00D17BDC">
        <w:rPr>
          <w:rFonts w:ascii="Times New Roman" w:hAnsi="Times New Roman"/>
          <w:sz w:val="24"/>
          <w:szCs w:val="24"/>
        </w:rPr>
        <w:t>O</w:t>
      </w:r>
      <w:r w:rsidR="007D08B5" w:rsidRPr="00D17BDC">
        <w:rPr>
          <w:rFonts w:ascii="Times New Roman" w:hAnsi="Times New Roman"/>
          <w:sz w:val="24"/>
          <w:szCs w:val="24"/>
        </w:rPr>
        <w:t>utputs under the</w:t>
      </w:r>
      <w:r w:rsidR="00EE213B" w:rsidRPr="00D17BDC">
        <w:rPr>
          <w:rFonts w:ascii="Times New Roman" w:hAnsi="Times New Roman"/>
          <w:sz w:val="24"/>
          <w:szCs w:val="24"/>
        </w:rPr>
        <w:t xml:space="preserve"> </w:t>
      </w:r>
      <w:r w:rsidR="007D08B5" w:rsidRPr="00D17BDC">
        <w:rPr>
          <w:rFonts w:ascii="Times New Roman" w:hAnsi="Times New Roman"/>
          <w:sz w:val="24"/>
          <w:szCs w:val="24"/>
        </w:rPr>
        <w:t xml:space="preserve">four </w:t>
      </w:r>
      <w:r w:rsidR="00EE213B" w:rsidRPr="00D17BDC">
        <w:rPr>
          <w:rFonts w:ascii="Times New Roman" w:hAnsi="Times New Roman"/>
          <w:sz w:val="24"/>
          <w:szCs w:val="24"/>
        </w:rPr>
        <w:t xml:space="preserve">targets are </w:t>
      </w:r>
      <w:r w:rsidR="00460856" w:rsidRPr="00D17BDC">
        <w:rPr>
          <w:rFonts w:ascii="Times New Roman" w:hAnsi="Times New Roman"/>
          <w:sz w:val="24"/>
          <w:szCs w:val="24"/>
        </w:rPr>
        <w:t>partly</w:t>
      </w:r>
      <w:r w:rsidR="00EE213B" w:rsidRPr="00D17BDC">
        <w:rPr>
          <w:rFonts w:ascii="Times New Roman" w:hAnsi="Times New Roman"/>
          <w:sz w:val="24"/>
          <w:szCs w:val="24"/>
        </w:rPr>
        <w:t xml:space="preserve"> on</w:t>
      </w:r>
      <w:r w:rsidR="00C56CEE" w:rsidRPr="00D17BDC">
        <w:rPr>
          <w:rFonts w:ascii="Times New Roman" w:hAnsi="Times New Roman"/>
          <w:sz w:val="24"/>
          <w:szCs w:val="24"/>
        </w:rPr>
        <w:t xml:space="preserve"> </w:t>
      </w:r>
      <w:r w:rsidR="00EE213B" w:rsidRPr="00D17BDC">
        <w:rPr>
          <w:rFonts w:ascii="Times New Roman" w:hAnsi="Times New Roman"/>
          <w:sz w:val="24"/>
          <w:szCs w:val="24"/>
        </w:rPr>
        <w:t xml:space="preserve">track to being met. </w:t>
      </w:r>
      <w:r w:rsidR="007D08B5" w:rsidRPr="00D17BDC">
        <w:rPr>
          <w:rFonts w:ascii="Times New Roman" w:hAnsi="Times New Roman"/>
          <w:sz w:val="24"/>
          <w:szCs w:val="24"/>
        </w:rPr>
        <w:t>Limited data prevents the monito</w:t>
      </w:r>
      <w:r w:rsidR="00573DD9" w:rsidRPr="00D17BDC">
        <w:rPr>
          <w:rFonts w:ascii="Times New Roman" w:hAnsi="Times New Roman"/>
          <w:sz w:val="24"/>
          <w:szCs w:val="24"/>
        </w:rPr>
        <w:t>ring of the targets themselves</w:t>
      </w:r>
      <w:r w:rsidR="009E05D4" w:rsidRPr="00D17BDC">
        <w:rPr>
          <w:rFonts w:ascii="Times New Roman" w:hAnsi="Times New Roman"/>
          <w:sz w:val="24"/>
          <w:szCs w:val="24"/>
        </w:rPr>
        <w:t xml:space="preserve">. </w:t>
      </w:r>
    </w:p>
    <w:p w:rsidR="004E1F70" w:rsidRDefault="00DB0EA9" w:rsidP="002E20EC">
      <w:pPr>
        <w:spacing w:before="240" w:after="0" w:line="240" w:lineRule="auto"/>
        <w:rPr>
          <w:rFonts w:ascii="Times New Roman" w:hAnsi="Times New Roman"/>
          <w:bCs/>
          <w:sz w:val="24"/>
          <w:szCs w:val="24"/>
        </w:rPr>
      </w:pPr>
      <w:r w:rsidRPr="00D17BDC">
        <w:rPr>
          <w:rFonts w:ascii="Times New Roman" w:hAnsi="Times New Roman"/>
          <w:bCs/>
          <w:sz w:val="24"/>
          <w:szCs w:val="24"/>
        </w:rPr>
        <w:lastRenderedPageBreak/>
        <w:t>I</w:t>
      </w:r>
      <w:r w:rsidR="00C86D69" w:rsidRPr="00D17BDC">
        <w:rPr>
          <w:rFonts w:ascii="Times New Roman" w:hAnsi="Times New Roman"/>
          <w:bCs/>
          <w:sz w:val="24"/>
          <w:szCs w:val="24"/>
        </w:rPr>
        <w:t>ncreasing the proportion of youth completing TVET courses</w:t>
      </w:r>
      <w:r w:rsidRPr="00D17BDC">
        <w:rPr>
          <w:rFonts w:ascii="Times New Roman" w:hAnsi="Times New Roman"/>
          <w:bCs/>
          <w:sz w:val="24"/>
          <w:szCs w:val="24"/>
        </w:rPr>
        <w:t xml:space="preserve"> (Target 1) </w:t>
      </w:r>
      <w:r w:rsidR="00EE213B" w:rsidRPr="00D17BDC">
        <w:rPr>
          <w:rFonts w:ascii="Times New Roman" w:hAnsi="Times New Roman"/>
          <w:bCs/>
          <w:sz w:val="24"/>
          <w:szCs w:val="24"/>
        </w:rPr>
        <w:t>is progressing as expected</w:t>
      </w:r>
      <w:r w:rsidR="00F37046" w:rsidRPr="00D17BDC">
        <w:rPr>
          <w:rFonts w:ascii="Times New Roman" w:hAnsi="Times New Roman"/>
          <w:bCs/>
          <w:sz w:val="24"/>
          <w:szCs w:val="24"/>
        </w:rPr>
        <w:t xml:space="preserve">. </w:t>
      </w:r>
      <w:r w:rsidR="005468C8" w:rsidRPr="00D17BDC">
        <w:rPr>
          <w:rFonts w:ascii="Times New Roman" w:hAnsi="Times New Roman"/>
          <w:bCs/>
          <w:sz w:val="24"/>
          <w:szCs w:val="24"/>
        </w:rPr>
        <w:t>Through the TVETSSP, the Partnership focuses on strengthening the Kiribati Ins</w:t>
      </w:r>
      <w:r w:rsidR="00EE213B" w:rsidRPr="00D17BDC">
        <w:rPr>
          <w:rFonts w:ascii="Times New Roman" w:hAnsi="Times New Roman"/>
          <w:bCs/>
          <w:sz w:val="24"/>
          <w:szCs w:val="24"/>
        </w:rPr>
        <w:t>t</w:t>
      </w:r>
      <w:r w:rsidR="005468C8" w:rsidRPr="00D17BDC">
        <w:rPr>
          <w:rFonts w:ascii="Times New Roman" w:hAnsi="Times New Roman"/>
          <w:bCs/>
          <w:sz w:val="24"/>
          <w:szCs w:val="24"/>
        </w:rPr>
        <w:t xml:space="preserve">itute of Technology (KIT), while other development partners support the Marine Training Centre and </w:t>
      </w:r>
    </w:p>
    <w:p w:rsidR="005468C8" w:rsidRPr="00D17BDC" w:rsidRDefault="005468C8" w:rsidP="005468C8">
      <w:pPr>
        <w:spacing w:after="0" w:line="240" w:lineRule="auto"/>
        <w:rPr>
          <w:rFonts w:ascii="Times New Roman" w:hAnsi="Times New Roman"/>
          <w:bCs/>
          <w:sz w:val="24"/>
          <w:szCs w:val="24"/>
        </w:rPr>
      </w:pPr>
      <w:r w:rsidRPr="00D17BDC">
        <w:rPr>
          <w:rFonts w:ascii="Times New Roman" w:hAnsi="Times New Roman"/>
          <w:bCs/>
          <w:sz w:val="24"/>
          <w:szCs w:val="24"/>
        </w:rPr>
        <w:t>Fisheries Training Centre</w:t>
      </w:r>
      <w:r w:rsidR="009E05D4" w:rsidRPr="00D17BDC">
        <w:rPr>
          <w:rFonts w:ascii="Times New Roman" w:hAnsi="Times New Roman"/>
          <w:bCs/>
          <w:sz w:val="24"/>
          <w:szCs w:val="24"/>
        </w:rPr>
        <w:t xml:space="preserve">. </w:t>
      </w:r>
      <w:r w:rsidRPr="00D17BDC">
        <w:rPr>
          <w:rFonts w:ascii="Times New Roman" w:hAnsi="Times New Roman"/>
          <w:bCs/>
          <w:sz w:val="24"/>
          <w:szCs w:val="24"/>
        </w:rPr>
        <w:t xml:space="preserve">The TVETSSP </w:t>
      </w:r>
      <w:r w:rsidR="00C86D69" w:rsidRPr="00D17BDC">
        <w:rPr>
          <w:rFonts w:ascii="Times New Roman" w:hAnsi="Times New Roman"/>
          <w:bCs/>
          <w:sz w:val="24"/>
          <w:szCs w:val="24"/>
        </w:rPr>
        <w:t>supports</w:t>
      </w:r>
      <w:r w:rsidRPr="00D17BDC">
        <w:rPr>
          <w:rFonts w:ascii="Times New Roman" w:hAnsi="Times New Roman"/>
          <w:bCs/>
          <w:sz w:val="24"/>
          <w:szCs w:val="24"/>
        </w:rPr>
        <w:t xml:space="preserve"> upgrading </w:t>
      </w:r>
      <w:r w:rsidR="00C76CE0" w:rsidRPr="00D17BDC">
        <w:rPr>
          <w:rFonts w:ascii="Times New Roman" w:hAnsi="Times New Roman"/>
          <w:bCs/>
          <w:sz w:val="24"/>
          <w:szCs w:val="24"/>
        </w:rPr>
        <w:t xml:space="preserve">KIT </w:t>
      </w:r>
      <w:r w:rsidRPr="00D17BDC">
        <w:rPr>
          <w:rFonts w:ascii="Times New Roman" w:hAnsi="Times New Roman"/>
          <w:bCs/>
          <w:sz w:val="24"/>
          <w:szCs w:val="24"/>
        </w:rPr>
        <w:t xml:space="preserve">courses </w:t>
      </w:r>
      <w:r w:rsidR="00C76CE0" w:rsidRPr="00D17BDC">
        <w:rPr>
          <w:rFonts w:ascii="Times New Roman" w:hAnsi="Times New Roman"/>
          <w:bCs/>
          <w:sz w:val="24"/>
          <w:szCs w:val="24"/>
        </w:rPr>
        <w:t>to international standards</w:t>
      </w:r>
      <w:r w:rsidR="00C86D69" w:rsidRPr="00D17BDC">
        <w:rPr>
          <w:rFonts w:ascii="Times New Roman" w:hAnsi="Times New Roman"/>
          <w:bCs/>
          <w:sz w:val="24"/>
          <w:szCs w:val="24"/>
        </w:rPr>
        <w:t xml:space="preserve"> and</w:t>
      </w:r>
      <w:r w:rsidR="00CC6284" w:rsidRPr="00D17BDC">
        <w:rPr>
          <w:rFonts w:ascii="Times New Roman" w:hAnsi="Times New Roman"/>
          <w:bCs/>
          <w:sz w:val="24"/>
          <w:szCs w:val="24"/>
        </w:rPr>
        <w:t xml:space="preserve"> improving teacher standards</w:t>
      </w:r>
      <w:r w:rsidR="00C86D69" w:rsidRPr="00D17BDC">
        <w:rPr>
          <w:rFonts w:ascii="Times New Roman" w:hAnsi="Times New Roman"/>
          <w:bCs/>
          <w:sz w:val="24"/>
          <w:szCs w:val="24"/>
        </w:rPr>
        <w:t>. S</w:t>
      </w:r>
      <w:r w:rsidRPr="00D17BDC">
        <w:rPr>
          <w:rFonts w:ascii="Times New Roman" w:hAnsi="Times New Roman"/>
          <w:bCs/>
          <w:sz w:val="24"/>
          <w:szCs w:val="24"/>
        </w:rPr>
        <w:t xml:space="preserve">tudent enrolments </w:t>
      </w:r>
      <w:r w:rsidR="00C76CE0" w:rsidRPr="00D17BDC">
        <w:rPr>
          <w:rFonts w:ascii="Times New Roman" w:hAnsi="Times New Roman"/>
          <w:bCs/>
          <w:sz w:val="24"/>
          <w:szCs w:val="24"/>
        </w:rPr>
        <w:t xml:space="preserve">have increased </w:t>
      </w:r>
      <w:r w:rsidRPr="00D17BDC">
        <w:rPr>
          <w:rFonts w:ascii="Times New Roman" w:hAnsi="Times New Roman"/>
          <w:bCs/>
          <w:sz w:val="24"/>
          <w:szCs w:val="24"/>
        </w:rPr>
        <w:t>f</w:t>
      </w:r>
      <w:r w:rsidR="00C76CE0" w:rsidRPr="00D17BDC">
        <w:rPr>
          <w:rFonts w:ascii="Times New Roman" w:hAnsi="Times New Roman"/>
          <w:bCs/>
          <w:sz w:val="24"/>
          <w:szCs w:val="24"/>
        </w:rPr>
        <w:t>rom 185 in 2010 to 265 in 2011</w:t>
      </w:r>
      <w:r w:rsidR="00C86D69" w:rsidRPr="00D17BDC">
        <w:rPr>
          <w:rFonts w:ascii="Times New Roman" w:hAnsi="Times New Roman"/>
          <w:bCs/>
          <w:sz w:val="24"/>
          <w:szCs w:val="24"/>
        </w:rPr>
        <w:t xml:space="preserve"> as a result</w:t>
      </w:r>
      <w:r w:rsidR="009E05D4" w:rsidRPr="00D17BDC">
        <w:rPr>
          <w:rFonts w:ascii="Times New Roman" w:hAnsi="Times New Roman"/>
          <w:bCs/>
          <w:sz w:val="24"/>
          <w:szCs w:val="24"/>
        </w:rPr>
        <w:t xml:space="preserve">. </w:t>
      </w:r>
    </w:p>
    <w:p w:rsidR="005468C8" w:rsidRPr="00D17BDC" w:rsidRDefault="005468C8" w:rsidP="005468C8">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Kiribati recognises that proficiency in English is crucial for graduates from all disciplines to be competitive in international labour markets (Target 2). KIT will move towards an English-only teaching environment with support from TVETSSP. Other technical institutions in Kiribati are also making changes, including the Marine Training</w:t>
      </w:r>
      <w:r w:rsidR="00924B80" w:rsidRPr="00D17BDC">
        <w:rPr>
          <w:rFonts w:ascii="Times New Roman" w:hAnsi="Times New Roman"/>
          <w:color w:val="auto"/>
          <w:sz w:val="24"/>
          <w:szCs w:val="24"/>
        </w:rPr>
        <w:t xml:space="preserve"> Centre</w:t>
      </w:r>
      <w:r w:rsidRPr="00D17BDC">
        <w:rPr>
          <w:rFonts w:ascii="Times New Roman" w:hAnsi="Times New Roman"/>
          <w:color w:val="auto"/>
          <w:sz w:val="24"/>
          <w:szCs w:val="24"/>
        </w:rPr>
        <w:t>, which has extended its seafarers’ training course to 18 months to incorporate six months of intensive English. Under KANI, students</w:t>
      </w:r>
      <w:r w:rsidR="005D233A" w:rsidRPr="00D17BDC">
        <w:rPr>
          <w:rFonts w:ascii="Times New Roman" w:hAnsi="Times New Roman"/>
          <w:color w:val="auto"/>
          <w:sz w:val="24"/>
          <w:szCs w:val="24"/>
        </w:rPr>
        <w:t xml:space="preserve"> (upon graduating)</w:t>
      </w:r>
      <w:r w:rsidRPr="00D17BDC">
        <w:rPr>
          <w:rFonts w:ascii="Times New Roman" w:hAnsi="Times New Roman"/>
          <w:color w:val="auto"/>
          <w:sz w:val="24"/>
          <w:szCs w:val="24"/>
        </w:rPr>
        <w:t xml:space="preserve"> </w:t>
      </w:r>
      <w:r w:rsidR="00C86D69" w:rsidRPr="00D17BDC">
        <w:rPr>
          <w:rFonts w:ascii="Times New Roman" w:hAnsi="Times New Roman"/>
          <w:color w:val="auto"/>
          <w:sz w:val="24"/>
          <w:szCs w:val="24"/>
        </w:rPr>
        <w:t>take</w:t>
      </w:r>
      <w:r w:rsidRPr="00D17BDC">
        <w:rPr>
          <w:rFonts w:ascii="Times New Roman" w:hAnsi="Times New Roman"/>
          <w:color w:val="auto"/>
          <w:sz w:val="24"/>
          <w:szCs w:val="24"/>
        </w:rPr>
        <w:t xml:space="preserve"> a </w:t>
      </w:r>
      <w:r w:rsidR="00010DF9" w:rsidRPr="00D17BDC">
        <w:rPr>
          <w:rFonts w:ascii="Times New Roman" w:hAnsi="Times New Roman"/>
          <w:color w:val="auto"/>
          <w:sz w:val="24"/>
          <w:szCs w:val="24"/>
        </w:rPr>
        <w:t>10</w:t>
      </w:r>
      <w:r w:rsidR="00C86D69" w:rsidRPr="00D17BDC">
        <w:rPr>
          <w:rFonts w:ascii="Times New Roman" w:hAnsi="Times New Roman"/>
          <w:color w:val="auto"/>
          <w:sz w:val="24"/>
          <w:szCs w:val="24"/>
        </w:rPr>
        <w:t>-</w:t>
      </w:r>
      <w:r w:rsidRPr="00D17BDC">
        <w:rPr>
          <w:rFonts w:ascii="Times New Roman" w:hAnsi="Times New Roman"/>
          <w:color w:val="auto"/>
          <w:sz w:val="24"/>
          <w:szCs w:val="24"/>
        </w:rPr>
        <w:t xml:space="preserve">week intensive </w:t>
      </w:r>
      <w:r w:rsidR="00C64177" w:rsidRPr="00D17BDC">
        <w:rPr>
          <w:rFonts w:ascii="Times New Roman" w:hAnsi="Times New Roman"/>
          <w:color w:val="auto"/>
          <w:sz w:val="24"/>
          <w:szCs w:val="24"/>
        </w:rPr>
        <w:t>International English Language Testing System (</w:t>
      </w:r>
      <w:r w:rsidRPr="00D17BDC">
        <w:rPr>
          <w:rFonts w:ascii="Times New Roman" w:hAnsi="Times New Roman"/>
          <w:color w:val="auto"/>
          <w:sz w:val="24"/>
          <w:szCs w:val="24"/>
        </w:rPr>
        <w:t>IELTS</w:t>
      </w:r>
      <w:r w:rsidR="00C64177" w:rsidRPr="00D17BDC">
        <w:rPr>
          <w:rFonts w:ascii="Times New Roman" w:hAnsi="Times New Roman"/>
          <w:color w:val="auto"/>
          <w:sz w:val="24"/>
          <w:szCs w:val="24"/>
        </w:rPr>
        <w:t>)</w:t>
      </w:r>
      <w:r w:rsidRPr="00D17BDC">
        <w:rPr>
          <w:rFonts w:ascii="Times New Roman" w:hAnsi="Times New Roman"/>
          <w:color w:val="auto"/>
          <w:sz w:val="24"/>
          <w:szCs w:val="24"/>
        </w:rPr>
        <w:t xml:space="preserve"> preparation course to assist them to achieve IELTS level 7, a requirement for employment in Australia and New Zealand. </w:t>
      </w:r>
      <w:r w:rsidR="00573DD9" w:rsidRPr="00D17BDC">
        <w:rPr>
          <w:rFonts w:ascii="Times New Roman" w:hAnsi="Times New Roman"/>
          <w:color w:val="auto"/>
          <w:sz w:val="24"/>
          <w:szCs w:val="24"/>
        </w:rPr>
        <w:t>Improving English language is also a priority under KE</w:t>
      </w:r>
      <w:r w:rsidR="00B15534" w:rsidRPr="00D17BDC">
        <w:rPr>
          <w:rFonts w:ascii="Times New Roman" w:hAnsi="Times New Roman"/>
          <w:color w:val="auto"/>
          <w:sz w:val="24"/>
          <w:szCs w:val="24"/>
        </w:rPr>
        <w:t>IP</w:t>
      </w:r>
      <w:r w:rsidR="005D233A" w:rsidRPr="00D17BDC">
        <w:rPr>
          <w:rFonts w:ascii="Times New Roman" w:hAnsi="Times New Roman"/>
          <w:color w:val="auto"/>
          <w:sz w:val="24"/>
          <w:szCs w:val="24"/>
        </w:rPr>
        <w:t>,</w:t>
      </w:r>
      <w:r w:rsidR="00B15534" w:rsidRPr="00D17BDC">
        <w:rPr>
          <w:rFonts w:ascii="Times New Roman" w:hAnsi="Times New Roman"/>
          <w:color w:val="auto"/>
          <w:sz w:val="24"/>
          <w:szCs w:val="24"/>
        </w:rPr>
        <w:t xml:space="preserve"> with activities being undertaken to improve the quality of English language teachers and curriculum. </w:t>
      </w:r>
    </w:p>
    <w:p w:rsidR="00573DD9" w:rsidRPr="00D17BDC" w:rsidRDefault="00A57099" w:rsidP="00A57099">
      <w:pPr>
        <w:spacing w:before="240" w:after="0" w:line="240" w:lineRule="auto"/>
        <w:rPr>
          <w:rFonts w:ascii="Times New Roman" w:hAnsi="Times New Roman"/>
          <w:color w:val="auto"/>
          <w:sz w:val="24"/>
          <w:szCs w:val="24"/>
        </w:rPr>
      </w:pPr>
      <w:bookmarkStart w:id="9" w:name="_Ref301696875"/>
      <w:r w:rsidRPr="00D17BDC">
        <w:rPr>
          <w:rFonts w:ascii="Times New Roman" w:hAnsi="Times New Roman"/>
          <w:color w:val="auto"/>
          <w:sz w:val="24"/>
          <w:szCs w:val="24"/>
        </w:rPr>
        <w:t xml:space="preserve">Low completion rates for scholarship awardees, although improving, are a concern for both governments (Target 3). </w:t>
      </w:r>
      <w:r w:rsidR="00CC6284" w:rsidRPr="00D17BDC">
        <w:rPr>
          <w:rFonts w:ascii="Times New Roman" w:hAnsi="Times New Roman"/>
          <w:color w:val="auto"/>
          <w:sz w:val="24"/>
          <w:szCs w:val="24"/>
        </w:rPr>
        <w:t xml:space="preserve">There is limited information </w:t>
      </w:r>
      <w:r w:rsidR="00B15534" w:rsidRPr="00D17BDC">
        <w:rPr>
          <w:rFonts w:ascii="Times New Roman" w:hAnsi="Times New Roman"/>
          <w:color w:val="auto"/>
          <w:sz w:val="24"/>
          <w:szCs w:val="24"/>
        </w:rPr>
        <w:t xml:space="preserve">on what happens to </w:t>
      </w:r>
      <w:r w:rsidR="00C86D69" w:rsidRPr="00D17BDC">
        <w:rPr>
          <w:rFonts w:ascii="Times New Roman" w:hAnsi="Times New Roman"/>
          <w:color w:val="auto"/>
          <w:sz w:val="24"/>
          <w:szCs w:val="24"/>
        </w:rPr>
        <w:t>graduates</w:t>
      </w:r>
      <w:r w:rsidR="00B15534" w:rsidRPr="00D17BDC">
        <w:rPr>
          <w:rFonts w:ascii="Times New Roman" w:hAnsi="Times New Roman"/>
          <w:color w:val="auto"/>
          <w:sz w:val="24"/>
          <w:szCs w:val="24"/>
        </w:rPr>
        <w:t xml:space="preserve">, </w:t>
      </w:r>
      <w:r w:rsidR="00CC6284" w:rsidRPr="00D17BDC">
        <w:rPr>
          <w:rFonts w:ascii="Times New Roman" w:hAnsi="Times New Roman"/>
          <w:color w:val="auto"/>
          <w:sz w:val="24"/>
          <w:szCs w:val="24"/>
        </w:rPr>
        <w:t xml:space="preserve">so </w:t>
      </w:r>
      <w:r w:rsidR="00B15534" w:rsidRPr="00D17BDC">
        <w:rPr>
          <w:rFonts w:ascii="Times New Roman" w:hAnsi="Times New Roman"/>
          <w:color w:val="auto"/>
          <w:sz w:val="24"/>
          <w:szCs w:val="24"/>
        </w:rPr>
        <w:t>the effectiveness of these scholarships is not known</w:t>
      </w:r>
      <w:r w:rsidR="009E5415" w:rsidRPr="00D17BDC">
        <w:rPr>
          <w:rFonts w:ascii="Times New Roman" w:hAnsi="Times New Roman"/>
          <w:color w:val="auto"/>
          <w:sz w:val="24"/>
          <w:szCs w:val="24"/>
        </w:rPr>
        <w:t xml:space="preserve">. </w:t>
      </w:r>
      <w:r w:rsidRPr="00D17BDC">
        <w:rPr>
          <w:rFonts w:ascii="Times New Roman" w:hAnsi="Times New Roman"/>
          <w:color w:val="auto"/>
          <w:sz w:val="24"/>
          <w:szCs w:val="24"/>
        </w:rPr>
        <w:t>Bo</w:t>
      </w:r>
      <w:r w:rsidR="00B15534" w:rsidRPr="00D17BDC">
        <w:rPr>
          <w:rFonts w:ascii="Times New Roman" w:hAnsi="Times New Roman"/>
          <w:color w:val="auto"/>
          <w:sz w:val="24"/>
          <w:szCs w:val="24"/>
        </w:rPr>
        <w:t xml:space="preserve">th governments agree that the priority is to </w:t>
      </w:r>
      <w:r w:rsidRPr="00D17BDC">
        <w:rPr>
          <w:rFonts w:ascii="Times New Roman" w:hAnsi="Times New Roman"/>
          <w:color w:val="auto"/>
          <w:sz w:val="24"/>
          <w:szCs w:val="24"/>
        </w:rPr>
        <w:t xml:space="preserve">improve </w:t>
      </w:r>
      <w:r w:rsidR="005D233A" w:rsidRPr="00D17BDC">
        <w:rPr>
          <w:rFonts w:ascii="Times New Roman" w:hAnsi="Times New Roman"/>
          <w:color w:val="auto"/>
          <w:sz w:val="24"/>
          <w:szCs w:val="24"/>
        </w:rPr>
        <w:t xml:space="preserve">support to </w:t>
      </w:r>
      <w:r w:rsidRPr="00D17BDC">
        <w:rPr>
          <w:rFonts w:ascii="Times New Roman" w:hAnsi="Times New Roman"/>
          <w:color w:val="auto"/>
          <w:sz w:val="24"/>
          <w:szCs w:val="24"/>
        </w:rPr>
        <w:t>student</w:t>
      </w:r>
      <w:r w:rsidR="005D233A" w:rsidRPr="00D17BDC">
        <w:rPr>
          <w:rFonts w:ascii="Times New Roman" w:hAnsi="Times New Roman"/>
          <w:color w:val="auto"/>
          <w:sz w:val="24"/>
          <w:szCs w:val="24"/>
        </w:rPr>
        <w:t>s</w:t>
      </w:r>
      <w:r w:rsidR="00B15534" w:rsidRPr="00D17BDC">
        <w:rPr>
          <w:rFonts w:ascii="Times New Roman" w:hAnsi="Times New Roman"/>
          <w:color w:val="auto"/>
          <w:sz w:val="24"/>
          <w:szCs w:val="24"/>
        </w:rPr>
        <w:t>, f</w:t>
      </w:r>
      <w:r w:rsidRPr="00D17BDC">
        <w:rPr>
          <w:rFonts w:ascii="Times New Roman" w:hAnsi="Times New Roman"/>
          <w:color w:val="auto"/>
          <w:sz w:val="24"/>
          <w:szCs w:val="24"/>
        </w:rPr>
        <w:t xml:space="preserve">inalise work on student tracer studies and improve the Kiribati Education Management System Scholar database. </w:t>
      </w:r>
    </w:p>
    <w:p w:rsidR="009E5415" w:rsidRPr="00D17BDC" w:rsidRDefault="00460856" w:rsidP="00A57099">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Progression </w:t>
      </w:r>
      <w:r w:rsidR="009E5415" w:rsidRPr="00D17BDC">
        <w:rPr>
          <w:rFonts w:ascii="Times New Roman" w:hAnsi="Times New Roman"/>
          <w:color w:val="auto"/>
          <w:sz w:val="24"/>
          <w:szCs w:val="24"/>
        </w:rPr>
        <w:t>from studies into employment for I-Kiribati graduates</w:t>
      </w:r>
      <w:r w:rsidR="00063730" w:rsidRPr="00D17BDC">
        <w:rPr>
          <w:rFonts w:ascii="Times New Roman" w:hAnsi="Times New Roman"/>
          <w:color w:val="auto"/>
          <w:sz w:val="24"/>
          <w:szCs w:val="24"/>
        </w:rPr>
        <w:t>—</w:t>
      </w:r>
      <w:r w:rsidR="009E5415" w:rsidRPr="00D17BDC">
        <w:rPr>
          <w:rFonts w:ascii="Times New Roman" w:hAnsi="Times New Roman"/>
          <w:color w:val="auto"/>
          <w:sz w:val="24"/>
          <w:szCs w:val="24"/>
        </w:rPr>
        <w:t>either in Kiribati or abroad</w:t>
      </w:r>
      <w:r w:rsidR="00063730" w:rsidRPr="00D17BDC">
        <w:rPr>
          <w:rFonts w:ascii="Times New Roman" w:hAnsi="Times New Roman"/>
          <w:color w:val="auto"/>
          <w:sz w:val="24"/>
          <w:szCs w:val="24"/>
        </w:rPr>
        <w:t>—</w:t>
      </w:r>
      <w:r w:rsidR="009E5415" w:rsidRPr="00D17BDC">
        <w:rPr>
          <w:rFonts w:ascii="Times New Roman" w:hAnsi="Times New Roman"/>
          <w:color w:val="auto"/>
          <w:sz w:val="24"/>
          <w:szCs w:val="24"/>
        </w:rPr>
        <w:t xml:space="preserve">remains a key priority for GoK and </w:t>
      </w:r>
      <w:r w:rsidR="00DB0EA9" w:rsidRPr="00D17BDC">
        <w:rPr>
          <w:rFonts w:ascii="Times New Roman" w:hAnsi="Times New Roman"/>
          <w:color w:val="auto"/>
          <w:sz w:val="24"/>
          <w:szCs w:val="24"/>
        </w:rPr>
        <w:t xml:space="preserve">is an area the government </w:t>
      </w:r>
      <w:r w:rsidR="009E5415" w:rsidRPr="00D17BDC">
        <w:rPr>
          <w:rFonts w:ascii="Times New Roman" w:hAnsi="Times New Roman"/>
          <w:color w:val="auto"/>
          <w:sz w:val="24"/>
          <w:szCs w:val="24"/>
        </w:rPr>
        <w:t xml:space="preserve">would like to see </w:t>
      </w:r>
      <w:r w:rsidR="00DB0EA9" w:rsidRPr="00D17BDC">
        <w:rPr>
          <w:rFonts w:ascii="Times New Roman" w:hAnsi="Times New Roman"/>
          <w:color w:val="auto"/>
          <w:sz w:val="24"/>
          <w:szCs w:val="24"/>
        </w:rPr>
        <w:t xml:space="preserve">become a greater </w:t>
      </w:r>
      <w:r w:rsidR="009E5415" w:rsidRPr="00D17BDC">
        <w:rPr>
          <w:rFonts w:ascii="Times New Roman" w:hAnsi="Times New Roman"/>
          <w:color w:val="auto"/>
          <w:sz w:val="24"/>
          <w:szCs w:val="24"/>
        </w:rPr>
        <w:t>Partnership focus</w:t>
      </w:r>
      <w:r w:rsidR="008534E6" w:rsidRPr="00D17BDC">
        <w:rPr>
          <w:rFonts w:ascii="Times New Roman" w:hAnsi="Times New Roman"/>
          <w:color w:val="auto"/>
          <w:sz w:val="24"/>
          <w:szCs w:val="24"/>
        </w:rPr>
        <w:t xml:space="preserve"> (Target 4). </w:t>
      </w:r>
    </w:p>
    <w:p w:rsidR="004B6D7E" w:rsidRPr="00D17BDC" w:rsidRDefault="004B6D7E" w:rsidP="004B6D7E">
      <w:pPr>
        <w:pStyle w:val="Caption"/>
        <w:rPr>
          <w:rFonts w:ascii="Times New Roman" w:hAnsi="Times New Roman"/>
          <w:color w:val="auto"/>
          <w:sz w:val="24"/>
          <w:szCs w:val="24"/>
        </w:rPr>
      </w:pPr>
      <w:r w:rsidRPr="00D17BDC">
        <w:t xml:space="preserve">Table </w:t>
      </w:r>
      <w:r w:rsidRPr="00D17BDC">
        <w:fldChar w:fldCharType="begin"/>
      </w:r>
      <w:r w:rsidRPr="00D17BDC">
        <w:instrText xml:space="preserve"> SEQ Table \* ARABIC </w:instrText>
      </w:r>
      <w:r w:rsidRPr="00D17BDC">
        <w:fldChar w:fldCharType="separate"/>
      </w:r>
      <w:r w:rsidR="00015E51">
        <w:rPr>
          <w:noProof/>
        </w:rPr>
        <w:t>3</w:t>
      </w:r>
      <w:r w:rsidRPr="00D17BDC">
        <w:fldChar w:fldCharType="end"/>
      </w:r>
      <w:bookmarkEnd w:id="9"/>
      <w:r w:rsidRPr="00D17BDC">
        <w:t xml:space="preserve">: Progress towards Partnership Targets in Workforce Skills Development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2641"/>
        <w:gridCol w:w="1835"/>
        <w:gridCol w:w="2568"/>
        <w:gridCol w:w="1234"/>
        <w:gridCol w:w="1295"/>
      </w:tblGrid>
      <w:tr w:rsidR="001D1543" w:rsidRPr="00D17BDC" w:rsidTr="00177DB4">
        <w:trPr>
          <w:cantSplit/>
          <w:trHeight w:val="20"/>
          <w:tblHeader/>
        </w:trPr>
        <w:tc>
          <w:tcPr>
            <w:tcW w:w="143" w:type="pct"/>
            <w:tcBorders>
              <w:bottom w:val="single" w:sz="4" w:space="0" w:color="auto"/>
            </w:tcBorders>
            <w:shd w:val="clear" w:color="auto" w:fill="C0C0C0"/>
          </w:tcPr>
          <w:p w:rsidR="001D1543" w:rsidRPr="00D17BDC" w:rsidRDefault="001D1543" w:rsidP="00610F29">
            <w:pPr>
              <w:spacing w:after="0" w:line="240" w:lineRule="auto"/>
              <w:contextualSpacing/>
              <w:rPr>
                <w:rFonts w:ascii="Times New Roman" w:hAnsi="Times New Roman"/>
                <w:b/>
                <w:sz w:val="20"/>
                <w:szCs w:val="20"/>
              </w:rPr>
            </w:pPr>
          </w:p>
        </w:tc>
        <w:tc>
          <w:tcPr>
            <w:tcW w:w="1340" w:type="pct"/>
            <w:tcBorders>
              <w:bottom w:val="single" w:sz="4" w:space="0" w:color="auto"/>
            </w:tcBorders>
            <w:shd w:val="clear" w:color="auto" w:fill="C0C0C0"/>
          </w:tcPr>
          <w:p w:rsidR="001D1543" w:rsidRPr="00D17BDC" w:rsidRDefault="00672C46"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Milestone i</w:t>
            </w:r>
            <w:r w:rsidR="001D1543" w:rsidRPr="00D17BDC">
              <w:rPr>
                <w:rFonts w:ascii="Times New Roman" w:hAnsi="Times New Roman"/>
                <w:b/>
                <w:sz w:val="20"/>
                <w:szCs w:val="20"/>
              </w:rPr>
              <w:t>ndicator</w:t>
            </w:r>
          </w:p>
        </w:tc>
        <w:tc>
          <w:tcPr>
            <w:tcW w:w="931" w:type="pct"/>
            <w:tcBorders>
              <w:bottom w:val="single" w:sz="4" w:space="0" w:color="auto"/>
            </w:tcBorders>
            <w:shd w:val="clear" w:color="auto" w:fill="C0C0C0"/>
          </w:tcPr>
          <w:p w:rsidR="001D1543" w:rsidRPr="00D17BDC" w:rsidRDefault="001D1543"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Baseline </w:t>
            </w:r>
          </w:p>
        </w:tc>
        <w:tc>
          <w:tcPr>
            <w:tcW w:w="1303" w:type="pct"/>
            <w:tcBorders>
              <w:bottom w:val="single" w:sz="4" w:space="0" w:color="auto"/>
            </w:tcBorders>
            <w:shd w:val="clear" w:color="auto" w:fill="C0C0C0"/>
          </w:tcPr>
          <w:p w:rsidR="001D1543" w:rsidRPr="00D17BDC" w:rsidRDefault="001D1543"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Latest </w:t>
            </w:r>
          </w:p>
        </w:tc>
        <w:tc>
          <w:tcPr>
            <w:tcW w:w="626" w:type="pct"/>
            <w:tcBorders>
              <w:bottom w:val="single" w:sz="4" w:space="0" w:color="auto"/>
            </w:tcBorders>
            <w:shd w:val="clear" w:color="auto" w:fill="C0C0C0"/>
          </w:tcPr>
          <w:p w:rsidR="001D1543" w:rsidRPr="00D17BDC" w:rsidRDefault="001D1543"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Target </w:t>
            </w:r>
          </w:p>
        </w:tc>
        <w:tc>
          <w:tcPr>
            <w:tcW w:w="657" w:type="pct"/>
            <w:tcBorders>
              <w:bottom w:val="single" w:sz="4" w:space="0" w:color="auto"/>
            </w:tcBorders>
            <w:shd w:val="clear" w:color="auto" w:fill="C0C0C0"/>
          </w:tcPr>
          <w:p w:rsidR="001D1543" w:rsidRPr="00D17BDC" w:rsidRDefault="001D1543"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Assessment</w:t>
            </w:r>
          </w:p>
        </w:tc>
      </w:tr>
      <w:tr w:rsidR="001D1543" w:rsidRPr="00D17BDC" w:rsidTr="00177DB4">
        <w:trPr>
          <w:cantSplit/>
          <w:trHeight w:val="20"/>
        </w:trPr>
        <w:tc>
          <w:tcPr>
            <w:tcW w:w="5000" w:type="pct"/>
            <w:gridSpan w:val="6"/>
            <w:shd w:val="clear" w:color="auto" w:fill="CCFFFF"/>
          </w:tcPr>
          <w:p w:rsidR="001D1543" w:rsidRPr="00D17BDC" w:rsidRDefault="001D1543"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Target 1: Increasing each year the proportion of youth, aged between 16-24 </w:t>
            </w:r>
            <w:r w:rsidR="00DB0EA9" w:rsidRPr="00D17BDC">
              <w:rPr>
                <w:rFonts w:ascii="Times New Roman" w:hAnsi="Times New Roman"/>
                <w:b/>
                <w:sz w:val="20"/>
                <w:szCs w:val="20"/>
              </w:rPr>
              <w:t xml:space="preserve">years </w:t>
            </w:r>
            <w:r w:rsidRPr="00D17BDC">
              <w:rPr>
                <w:rFonts w:ascii="Times New Roman" w:hAnsi="Times New Roman"/>
                <w:b/>
                <w:sz w:val="20"/>
                <w:szCs w:val="20"/>
              </w:rPr>
              <w:t xml:space="preserve">at time of enrolment, completing TVET courses, which are themselves, or articulate to, internationally recognised qualifications. </w:t>
            </w:r>
          </w:p>
        </w:tc>
      </w:tr>
      <w:tr w:rsidR="001D1543" w:rsidRPr="00D17BDC" w:rsidTr="008D7822">
        <w:trPr>
          <w:trHeight w:val="20"/>
        </w:trPr>
        <w:tc>
          <w:tcPr>
            <w:tcW w:w="143" w:type="pct"/>
            <w:vMerge w:val="restart"/>
            <w:shd w:val="clear" w:color="auto" w:fill="auto"/>
            <w:textDirection w:val="btLr"/>
          </w:tcPr>
          <w:p w:rsidR="001D1543" w:rsidRPr="00D17BDC" w:rsidRDefault="001D1543" w:rsidP="00610F29">
            <w:pPr>
              <w:spacing w:after="0" w:line="240" w:lineRule="auto"/>
              <w:ind w:left="113" w:right="113"/>
              <w:contextualSpacing/>
              <w:jc w:val="center"/>
              <w:rPr>
                <w:rFonts w:ascii="Times New Roman" w:hAnsi="Times New Roman"/>
                <w:sz w:val="20"/>
                <w:szCs w:val="20"/>
              </w:rPr>
            </w:pPr>
            <w:r w:rsidRPr="00D17BDC">
              <w:rPr>
                <w:rFonts w:ascii="Times New Roman" w:hAnsi="Times New Roman"/>
                <w:sz w:val="20"/>
                <w:szCs w:val="20"/>
              </w:rPr>
              <w:t>TVETSSP</w:t>
            </w:r>
          </w:p>
        </w:tc>
        <w:tc>
          <w:tcPr>
            <w:tcW w:w="1340" w:type="pct"/>
            <w:shd w:val="clear" w:color="auto" w:fill="auto"/>
          </w:tcPr>
          <w:p w:rsidR="001D1543" w:rsidRPr="00D17BDC" w:rsidRDefault="001D1543" w:rsidP="00DB0EA9">
            <w:pPr>
              <w:spacing w:after="0" w:line="240" w:lineRule="auto"/>
              <w:contextualSpacing/>
              <w:rPr>
                <w:rFonts w:ascii="Times New Roman" w:hAnsi="Times New Roman"/>
                <w:sz w:val="20"/>
                <w:szCs w:val="20"/>
              </w:rPr>
            </w:pPr>
            <w:r w:rsidRPr="00D17BDC">
              <w:rPr>
                <w:rFonts w:ascii="Times New Roman" w:hAnsi="Times New Roman"/>
                <w:sz w:val="20"/>
                <w:szCs w:val="20"/>
              </w:rPr>
              <w:t>Full</w:t>
            </w:r>
            <w:r w:rsidR="00DB0EA9" w:rsidRPr="00D17BDC">
              <w:rPr>
                <w:rFonts w:ascii="Times New Roman" w:hAnsi="Times New Roman"/>
                <w:sz w:val="20"/>
                <w:szCs w:val="20"/>
              </w:rPr>
              <w:t>-</w:t>
            </w:r>
            <w:r w:rsidRPr="00D17BDC">
              <w:rPr>
                <w:rFonts w:ascii="Times New Roman" w:hAnsi="Times New Roman"/>
                <w:sz w:val="20"/>
                <w:szCs w:val="20"/>
              </w:rPr>
              <w:t>time enrolments at KIT increase</w:t>
            </w:r>
            <w:r w:rsidR="00DB0EA9" w:rsidRPr="00D17BDC">
              <w:rPr>
                <w:rFonts w:ascii="Times New Roman" w:hAnsi="Times New Roman"/>
                <w:sz w:val="20"/>
                <w:szCs w:val="20"/>
              </w:rPr>
              <w:t>d</w:t>
            </w:r>
            <w:r w:rsidRPr="00D17BDC">
              <w:rPr>
                <w:rFonts w:ascii="Times New Roman" w:hAnsi="Times New Roman"/>
                <w:sz w:val="20"/>
                <w:szCs w:val="20"/>
              </w:rPr>
              <w:t xml:space="preserve"> by 120 students in 2012 intake </w:t>
            </w:r>
          </w:p>
        </w:tc>
        <w:tc>
          <w:tcPr>
            <w:tcW w:w="931" w:type="pct"/>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185 </w:t>
            </w:r>
            <w:r w:rsidR="00DB0EA9" w:rsidRPr="00D17BDC">
              <w:rPr>
                <w:rFonts w:ascii="Times New Roman" w:hAnsi="Times New Roman"/>
                <w:sz w:val="20"/>
                <w:szCs w:val="20"/>
              </w:rPr>
              <w:t xml:space="preserve">students </w:t>
            </w:r>
            <w:r w:rsidRPr="00D17BDC">
              <w:rPr>
                <w:rFonts w:ascii="Times New Roman" w:hAnsi="Times New Roman"/>
                <w:sz w:val="20"/>
                <w:szCs w:val="20"/>
              </w:rPr>
              <w:t>(2010)</w:t>
            </w:r>
          </w:p>
        </w:tc>
        <w:tc>
          <w:tcPr>
            <w:tcW w:w="1303" w:type="pct"/>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269 (2011), of which 33% are female</w:t>
            </w:r>
          </w:p>
        </w:tc>
        <w:tc>
          <w:tcPr>
            <w:tcW w:w="626" w:type="pct"/>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305 by 2012</w:t>
            </w:r>
          </w:p>
          <w:p w:rsidR="001D1543" w:rsidRPr="00D17BDC" w:rsidRDefault="001D1543" w:rsidP="001D1543">
            <w:pPr>
              <w:ind w:right="-288" w:firstLine="720"/>
              <w:rPr>
                <w:rFonts w:ascii="Times New Roman" w:hAnsi="Times New Roman"/>
                <w:sz w:val="20"/>
                <w:szCs w:val="20"/>
              </w:rPr>
            </w:pPr>
          </w:p>
        </w:tc>
        <w:tc>
          <w:tcPr>
            <w:tcW w:w="657" w:type="pct"/>
            <w:vMerge w:val="restart"/>
          </w:tcPr>
          <w:p w:rsidR="001D1543" w:rsidRPr="00D17BDC" w:rsidRDefault="001D1543" w:rsidP="00F314A3">
            <w:pPr>
              <w:spacing w:after="0" w:line="240" w:lineRule="auto"/>
              <w:contextualSpacing/>
              <w:rPr>
                <w:rFonts w:ascii="Times New Roman" w:hAnsi="Times New Roman"/>
                <w:sz w:val="20"/>
                <w:szCs w:val="20"/>
              </w:rPr>
            </w:pPr>
            <w:r w:rsidRPr="00D17BDC">
              <w:rPr>
                <w:rFonts w:ascii="Times New Roman" w:hAnsi="Times New Roman"/>
                <w:sz w:val="20"/>
                <w:szCs w:val="20"/>
              </w:rPr>
              <w:t>Partly on</w:t>
            </w:r>
            <w:r w:rsidR="00DB0EA9" w:rsidRPr="00D17BDC">
              <w:rPr>
                <w:rFonts w:ascii="Times New Roman" w:hAnsi="Times New Roman"/>
                <w:sz w:val="20"/>
                <w:szCs w:val="20"/>
              </w:rPr>
              <w:t>-</w:t>
            </w:r>
            <w:r w:rsidRPr="00D17BDC">
              <w:rPr>
                <w:rFonts w:ascii="Times New Roman" w:hAnsi="Times New Roman"/>
                <w:sz w:val="20"/>
                <w:szCs w:val="20"/>
              </w:rPr>
              <w:t xml:space="preserve"> track</w:t>
            </w:r>
          </w:p>
        </w:tc>
      </w:tr>
      <w:tr w:rsidR="001D1543" w:rsidRPr="00D17BDC" w:rsidTr="00177DB4">
        <w:trPr>
          <w:cantSplit/>
          <w:trHeight w:val="20"/>
        </w:trPr>
        <w:tc>
          <w:tcPr>
            <w:tcW w:w="143" w:type="pct"/>
            <w:vMerge/>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1340" w:type="pct"/>
            <w:tcBorders>
              <w:bottom w:val="single" w:sz="4" w:space="0" w:color="auto"/>
            </w:tcBorders>
            <w:shd w:val="clear" w:color="auto" w:fill="auto"/>
          </w:tcPr>
          <w:p w:rsidR="001D1543" w:rsidRPr="00D17BDC" w:rsidRDefault="001D1543" w:rsidP="00DB0EA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New full-time international standard courses across a range of industry areas </w:t>
            </w:r>
            <w:r w:rsidR="00DB0EA9" w:rsidRPr="00D17BDC">
              <w:rPr>
                <w:rFonts w:ascii="Times New Roman" w:hAnsi="Times New Roman"/>
                <w:sz w:val="20"/>
                <w:szCs w:val="20"/>
              </w:rPr>
              <w:t xml:space="preserve">started </w:t>
            </w:r>
            <w:r w:rsidRPr="00D17BDC">
              <w:rPr>
                <w:rFonts w:ascii="Times New Roman" w:hAnsi="Times New Roman"/>
                <w:sz w:val="20"/>
                <w:szCs w:val="20"/>
              </w:rPr>
              <w:t>at KIT</w:t>
            </w:r>
          </w:p>
        </w:tc>
        <w:tc>
          <w:tcPr>
            <w:tcW w:w="931"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2 out of 5 full-time courses meet Australian standards (2010) </w:t>
            </w:r>
          </w:p>
        </w:tc>
        <w:tc>
          <w:tcPr>
            <w:tcW w:w="1303"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All full-time courses have been upgraded to meet Australian standards (2011) </w:t>
            </w:r>
          </w:p>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No new courses have been developed</w:t>
            </w:r>
          </w:p>
        </w:tc>
        <w:tc>
          <w:tcPr>
            <w:tcW w:w="626"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657" w:type="pct"/>
            <w:vMerge/>
          </w:tcPr>
          <w:p w:rsidR="001D1543" w:rsidRPr="00D17BDC" w:rsidRDefault="001D1543" w:rsidP="00610F29">
            <w:pPr>
              <w:spacing w:after="0" w:line="240" w:lineRule="auto"/>
              <w:contextualSpacing/>
              <w:rPr>
                <w:rFonts w:ascii="Times New Roman" w:hAnsi="Times New Roman"/>
                <w:sz w:val="20"/>
                <w:szCs w:val="20"/>
              </w:rPr>
            </w:pPr>
          </w:p>
        </w:tc>
      </w:tr>
      <w:tr w:rsidR="001D1543" w:rsidRPr="00D17BDC" w:rsidTr="00177DB4">
        <w:trPr>
          <w:cantSplit/>
          <w:trHeight w:val="20"/>
        </w:trPr>
        <w:tc>
          <w:tcPr>
            <w:tcW w:w="143" w:type="pct"/>
            <w:vMerge/>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1340" w:type="pct"/>
            <w:tcBorders>
              <w:bottom w:val="single" w:sz="4" w:space="0" w:color="auto"/>
            </w:tcBorders>
            <w:shd w:val="clear" w:color="auto" w:fill="auto"/>
          </w:tcPr>
          <w:p w:rsidR="001D1543" w:rsidRPr="00D17BDC" w:rsidRDefault="00DB0EA9" w:rsidP="00DB0EA9">
            <w:pPr>
              <w:spacing w:after="0" w:line="240" w:lineRule="auto"/>
              <w:contextualSpacing/>
              <w:rPr>
                <w:rFonts w:ascii="Times New Roman" w:hAnsi="Times New Roman"/>
                <w:sz w:val="20"/>
                <w:szCs w:val="20"/>
              </w:rPr>
            </w:pPr>
            <w:r w:rsidRPr="00D17BDC">
              <w:rPr>
                <w:rFonts w:ascii="Times New Roman" w:hAnsi="Times New Roman"/>
                <w:sz w:val="20"/>
                <w:szCs w:val="20"/>
              </w:rPr>
              <w:t>T</w:t>
            </w:r>
            <w:r w:rsidR="001D1543" w:rsidRPr="00D17BDC">
              <w:rPr>
                <w:rFonts w:ascii="Times New Roman" w:hAnsi="Times New Roman"/>
                <w:sz w:val="20"/>
                <w:szCs w:val="20"/>
              </w:rPr>
              <w:t xml:space="preserve">he proportion of KIT lecturers </w:t>
            </w:r>
            <w:r w:rsidRPr="00D17BDC">
              <w:rPr>
                <w:rFonts w:ascii="Times New Roman" w:hAnsi="Times New Roman"/>
                <w:sz w:val="20"/>
                <w:szCs w:val="20"/>
              </w:rPr>
              <w:t xml:space="preserve">who </w:t>
            </w:r>
            <w:r w:rsidR="001D1543" w:rsidRPr="00D17BDC">
              <w:rPr>
                <w:rFonts w:ascii="Times New Roman" w:hAnsi="Times New Roman"/>
                <w:sz w:val="20"/>
                <w:szCs w:val="20"/>
              </w:rPr>
              <w:t xml:space="preserve">have international Certificate III qualifications in their teaching field </w:t>
            </w:r>
            <w:r w:rsidRPr="00D17BDC">
              <w:rPr>
                <w:rFonts w:ascii="Times New Roman" w:hAnsi="Times New Roman"/>
                <w:sz w:val="20"/>
                <w:szCs w:val="20"/>
              </w:rPr>
              <w:t>increased</w:t>
            </w:r>
          </w:p>
        </w:tc>
        <w:tc>
          <w:tcPr>
            <w:tcW w:w="931"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19% (2010) </w:t>
            </w:r>
          </w:p>
        </w:tc>
        <w:tc>
          <w:tcPr>
            <w:tcW w:w="1303"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Next assessment in Sept</w:t>
            </w:r>
            <w:r w:rsidR="00DB0EA9" w:rsidRPr="00D17BDC">
              <w:rPr>
                <w:rFonts w:ascii="Times New Roman" w:hAnsi="Times New Roman"/>
                <w:sz w:val="20"/>
                <w:szCs w:val="20"/>
              </w:rPr>
              <w:t>ember</w:t>
            </w:r>
            <w:r w:rsidRPr="00D17BDC">
              <w:rPr>
                <w:rFonts w:ascii="Times New Roman" w:hAnsi="Times New Roman"/>
                <w:sz w:val="20"/>
                <w:szCs w:val="20"/>
              </w:rPr>
              <w:t xml:space="preserve"> 2011 </w:t>
            </w:r>
          </w:p>
        </w:tc>
        <w:tc>
          <w:tcPr>
            <w:tcW w:w="626"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75% by 2012</w:t>
            </w:r>
          </w:p>
        </w:tc>
        <w:tc>
          <w:tcPr>
            <w:tcW w:w="657" w:type="pct"/>
            <w:vMerge/>
          </w:tcPr>
          <w:p w:rsidR="001D1543" w:rsidRPr="00D17BDC" w:rsidRDefault="001D1543" w:rsidP="00610F29">
            <w:pPr>
              <w:spacing w:after="0" w:line="240" w:lineRule="auto"/>
              <w:contextualSpacing/>
              <w:rPr>
                <w:rFonts w:ascii="Times New Roman" w:hAnsi="Times New Roman"/>
                <w:sz w:val="20"/>
                <w:szCs w:val="20"/>
              </w:rPr>
            </w:pPr>
          </w:p>
        </w:tc>
      </w:tr>
      <w:tr w:rsidR="001D1543" w:rsidRPr="00D17BDC" w:rsidTr="00177DB4">
        <w:trPr>
          <w:cantSplit/>
          <w:trHeight w:val="20"/>
        </w:trPr>
        <w:tc>
          <w:tcPr>
            <w:tcW w:w="143" w:type="pct"/>
            <w:vMerge/>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1340"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Apprenticeship and trade testing systems reviewed and approved by the </w:t>
            </w:r>
            <w:r w:rsidR="00B97F29" w:rsidRPr="00D17BDC">
              <w:rPr>
                <w:rFonts w:ascii="Times New Roman" w:hAnsi="Times New Roman"/>
                <w:sz w:val="20"/>
                <w:szCs w:val="20"/>
              </w:rPr>
              <w:t xml:space="preserve">Kiribati </w:t>
            </w:r>
            <w:r w:rsidRPr="00D17BDC">
              <w:rPr>
                <w:rFonts w:ascii="Times New Roman" w:hAnsi="Times New Roman"/>
                <w:sz w:val="20"/>
                <w:szCs w:val="20"/>
              </w:rPr>
              <w:t>Apprenticeship Board for implementation in 2011</w:t>
            </w:r>
          </w:p>
        </w:tc>
        <w:tc>
          <w:tcPr>
            <w:tcW w:w="931"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1303"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No significant progress</w:t>
            </w:r>
            <w:r w:rsidR="00DB0EA9" w:rsidRPr="00D17BDC">
              <w:rPr>
                <w:rFonts w:ascii="Times New Roman" w:hAnsi="Times New Roman"/>
                <w:sz w:val="20"/>
                <w:szCs w:val="20"/>
              </w:rPr>
              <w:t>,</w:t>
            </w:r>
            <w:r w:rsidRPr="00D17BDC">
              <w:rPr>
                <w:rFonts w:ascii="Times New Roman" w:hAnsi="Times New Roman"/>
                <w:sz w:val="20"/>
                <w:szCs w:val="20"/>
              </w:rPr>
              <w:t xml:space="preserve"> but short-term advisory assistance is scheduled for Sept</w:t>
            </w:r>
            <w:r w:rsidR="00DB0EA9" w:rsidRPr="00D17BDC">
              <w:rPr>
                <w:rFonts w:ascii="Times New Roman" w:hAnsi="Times New Roman"/>
                <w:sz w:val="20"/>
                <w:szCs w:val="20"/>
              </w:rPr>
              <w:t>ember</w:t>
            </w:r>
            <w:r w:rsidRPr="00D17BDC">
              <w:rPr>
                <w:rFonts w:ascii="Times New Roman" w:hAnsi="Times New Roman"/>
                <w:sz w:val="20"/>
                <w:szCs w:val="20"/>
              </w:rPr>
              <w:t xml:space="preserve"> 2011</w:t>
            </w:r>
          </w:p>
          <w:p w:rsidR="001D1543" w:rsidRPr="00D17BDC" w:rsidRDefault="001D1543" w:rsidP="00C64177">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w:t>
            </w:r>
            <w:r w:rsidR="00C64177" w:rsidRPr="00D17BDC">
              <w:rPr>
                <w:rFonts w:ascii="Times New Roman" w:hAnsi="Times New Roman"/>
                <w:sz w:val="20"/>
                <w:szCs w:val="20"/>
              </w:rPr>
              <w:t xml:space="preserve">Terms of reference </w:t>
            </w:r>
            <w:r w:rsidRPr="00D17BDC">
              <w:rPr>
                <w:rFonts w:ascii="Times New Roman" w:hAnsi="Times New Roman"/>
                <w:sz w:val="20"/>
                <w:szCs w:val="20"/>
              </w:rPr>
              <w:t>for the Apprenticeship Board pending GoK approval</w:t>
            </w:r>
          </w:p>
        </w:tc>
        <w:tc>
          <w:tcPr>
            <w:tcW w:w="626"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657" w:type="pct"/>
            <w:vMerge/>
          </w:tcPr>
          <w:p w:rsidR="001D1543" w:rsidRPr="00D17BDC" w:rsidRDefault="001D1543" w:rsidP="00610F29">
            <w:pPr>
              <w:spacing w:after="0" w:line="240" w:lineRule="auto"/>
              <w:contextualSpacing/>
              <w:rPr>
                <w:rFonts w:ascii="Times New Roman" w:hAnsi="Times New Roman"/>
                <w:sz w:val="20"/>
                <w:szCs w:val="20"/>
              </w:rPr>
            </w:pPr>
          </w:p>
        </w:tc>
      </w:tr>
      <w:tr w:rsidR="001D1543" w:rsidRPr="00D17BDC" w:rsidTr="008D7822">
        <w:trPr>
          <w:cantSplit/>
          <w:trHeight w:val="20"/>
        </w:trPr>
        <w:tc>
          <w:tcPr>
            <w:tcW w:w="143" w:type="pct"/>
            <w:tcBorders>
              <w:bottom w:val="single" w:sz="4" w:space="0" w:color="auto"/>
            </w:tcBorders>
            <w:shd w:val="clear" w:color="auto" w:fill="auto"/>
            <w:textDirection w:val="btLr"/>
          </w:tcPr>
          <w:p w:rsidR="001D1543" w:rsidRPr="00D17BDC" w:rsidRDefault="001D1543" w:rsidP="00610F29">
            <w:pPr>
              <w:spacing w:after="0" w:line="240" w:lineRule="auto"/>
              <w:ind w:left="113" w:right="113"/>
              <w:contextualSpacing/>
              <w:jc w:val="center"/>
              <w:rPr>
                <w:rFonts w:ascii="Times New Roman" w:hAnsi="Times New Roman"/>
                <w:sz w:val="20"/>
                <w:szCs w:val="20"/>
              </w:rPr>
            </w:pPr>
            <w:r w:rsidRPr="00D17BDC">
              <w:rPr>
                <w:rFonts w:ascii="Times New Roman" w:hAnsi="Times New Roman"/>
                <w:sz w:val="20"/>
                <w:szCs w:val="20"/>
              </w:rPr>
              <w:lastRenderedPageBreak/>
              <w:t xml:space="preserve">KANI </w:t>
            </w:r>
          </w:p>
        </w:tc>
        <w:tc>
          <w:tcPr>
            <w:tcW w:w="1340"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Students enrolled in Australian diplomas in Nursing and Community Welfare obtain qualification</w:t>
            </w:r>
          </w:p>
        </w:tc>
        <w:tc>
          <w:tcPr>
            <w:tcW w:w="931"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82 students enrolled in Australian Nursing </w:t>
            </w:r>
            <w:r w:rsidR="00B97F29" w:rsidRPr="00D17BDC">
              <w:rPr>
                <w:rFonts w:ascii="Times New Roman" w:hAnsi="Times New Roman"/>
                <w:sz w:val="20"/>
                <w:szCs w:val="20"/>
              </w:rPr>
              <w:t xml:space="preserve">degrees </w:t>
            </w:r>
            <w:r w:rsidRPr="00D17BDC">
              <w:rPr>
                <w:rFonts w:ascii="Times New Roman" w:hAnsi="Times New Roman"/>
                <w:sz w:val="20"/>
                <w:szCs w:val="20"/>
              </w:rPr>
              <w:t xml:space="preserve">and Community Welfare diplomas </w:t>
            </w:r>
          </w:p>
        </w:tc>
        <w:tc>
          <w:tcPr>
            <w:tcW w:w="1303"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- 63% of KANI students have already achieved </w:t>
            </w:r>
            <w:r w:rsidR="00DB0EA9" w:rsidRPr="00D17BDC">
              <w:rPr>
                <w:rFonts w:ascii="Times New Roman" w:hAnsi="Times New Roman"/>
                <w:sz w:val="20"/>
                <w:szCs w:val="20"/>
              </w:rPr>
              <w:t>their</w:t>
            </w:r>
            <w:r w:rsidR="00DB4E4A" w:rsidRPr="00D17BDC">
              <w:rPr>
                <w:rFonts w:ascii="Times New Roman" w:hAnsi="Times New Roman"/>
                <w:sz w:val="20"/>
                <w:szCs w:val="20"/>
              </w:rPr>
              <w:t xml:space="preserve"> </w:t>
            </w:r>
            <w:r w:rsidR="00B97F29" w:rsidRPr="00D17BDC">
              <w:rPr>
                <w:rFonts w:ascii="Times New Roman" w:hAnsi="Times New Roman"/>
                <w:sz w:val="20"/>
                <w:szCs w:val="20"/>
              </w:rPr>
              <w:t xml:space="preserve">degree / </w:t>
            </w:r>
            <w:r w:rsidRPr="00D17BDC">
              <w:rPr>
                <w:rFonts w:ascii="Times New Roman" w:hAnsi="Times New Roman"/>
                <w:sz w:val="20"/>
                <w:szCs w:val="20"/>
              </w:rPr>
              <w:t xml:space="preserve">diplomas </w:t>
            </w:r>
          </w:p>
          <w:p w:rsidR="001D1543" w:rsidRPr="00D17BDC" w:rsidRDefault="001D1543" w:rsidP="00DB0EA9">
            <w:pPr>
              <w:spacing w:after="0" w:line="240" w:lineRule="auto"/>
              <w:contextualSpacing/>
              <w:rPr>
                <w:rFonts w:ascii="Times New Roman" w:hAnsi="Times New Roman"/>
                <w:sz w:val="20"/>
                <w:szCs w:val="20"/>
              </w:rPr>
            </w:pPr>
            <w:r w:rsidRPr="00D17BDC">
              <w:rPr>
                <w:rFonts w:ascii="Times New Roman" w:hAnsi="Times New Roman"/>
                <w:sz w:val="20"/>
                <w:szCs w:val="20"/>
              </w:rPr>
              <w:t>- A further 30%</w:t>
            </w:r>
            <w:r w:rsidR="00DB0EA9" w:rsidRPr="00D17BDC">
              <w:rPr>
                <w:rFonts w:ascii="Times New Roman" w:hAnsi="Times New Roman"/>
                <w:sz w:val="20"/>
                <w:szCs w:val="20"/>
              </w:rPr>
              <w:t xml:space="preserve"> of KANI students</w:t>
            </w:r>
            <w:r w:rsidRPr="00D17BDC">
              <w:rPr>
                <w:rFonts w:ascii="Times New Roman" w:hAnsi="Times New Roman"/>
                <w:sz w:val="20"/>
                <w:szCs w:val="20"/>
              </w:rPr>
              <w:t xml:space="preserve"> expected to receive</w:t>
            </w:r>
            <w:r w:rsidR="00DB0EA9" w:rsidRPr="00D17BDC">
              <w:rPr>
                <w:rFonts w:ascii="Times New Roman" w:hAnsi="Times New Roman"/>
                <w:sz w:val="20"/>
                <w:szCs w:val="20"/>
              </w:rPr>
              <w:t xml:space="preserve"> their</w:t>
            </w:r>
            <w:r w:rsidR="00B97F29" w:rsidRPr="00D17BDC">
              <w:rPr>
                <w:rFonts w:ascii="Times New Roman" w:hAnsi="Times New Roman"/>
                <w:sz w:val="20"/>
                <w:szCs w:val="20"/>
              </w:rPr>
              <w:t xml:space="preserve"> degree /</w:t>
            </w:r>
            <w:r w:rsidRPr="00D17BDC">
              <w:rPr>
                <w:rFonts w:ascii="Times New Roman" w:hAnsi="Times New Roman"/>
                <w:sz w:val="20"/>
                <w:szCs w:val="20"/>
              </w:rPr>
              <w:t xml:space="preserve"> diploma by July 2012</w:t>
            </w:r>
          </w:p>
        </w:tc>
        <w:tc>
          <w:tcPr>
            <w:tcW w:w="626" w:type="pct"/>
            <w:tcBorders>
              <w:bottom w:val="single" w:sz="4" w:space="0" w:color="auto"/>
            </w:tcBorders>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90% of students obtain qualificatio</w:t>
            </w:r>
            <w:r w:rsidR="00DB0EA9" w:rsidRPr="00D17BDC">
              <w:rPr>
                <w:rFonts w:ascii="Times New Roman" w:hAnsi="Times New Roman"/>
                <w:sz w:val="20"/>
                <w:szCs w:val="20"/>
              </w:rPr>
              <w:t>n</w:t>
            </w:r>
          </w:p>
        </w:tc>
        <w:tc>
          <w:tcPr>
            <w:tcW w:w="657" w:type="pct"/>
            <w:vMerge/>
            <w:tcBorders>
              <w:bottom w:val="single" w:sz="4" w:space="0" w:color="auto"/>
            </w:tcBorders>
          </w:tcPr>
          <w:p w:rsidR="001D1543" w:rsidRPr="00D17BDC" w:rsidRDefault="001D1543" w:rsidP="00610F29">
            <w:pPr>
              <w:spacing w:after="0" w:line="240" w:lineRule="auto"/>
              <w:contextualSpacing/>
              <w:rPr>
                <w:rFonts w:ascii="Times New Roman" w:hAnsi="Times New Roman"/>
                <w:sz w:val="20"/>
                <w:szCs w:val="20"/>
              </w:rPr>
            </w:pPr>
          </w:p>
        </w:tc>
      </w:tr>
      <w:tr w:rsidR="00823098" w:rsidRPr="00D17BDC" w:rsidTr="00177DB4">
        <w:trPr>
          <w:cantSplit/>
          <w:trHeight w:val="20"/>
        </w:trPr>
        <w:tc>
          <w:tcPr>
            <w:tcW w:w="5000" w:type="pct"/>
            <w:gridSpan w:val="6"/>
            <w:shd w:val="clear" w:color="auto" w:fill="CCFFFF"/>
          </w:tcPr>
          <w:p w:rsidR="00823098" w:rsidRPr="00D17BDC" w:rsidRDefault="00823098" w:rsidP="00610F29">
            <w:pPr>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Target 2: Increasing the proportion of post-secondary graduates proficient in English, to an IELTS level appropriate to vocation </w:t>
            </w:r>
          </w:p>
        </w:tc>
      </w:tr>
      <w:tr w:rsidR="00823098" w:rsidRPr="00D17BDC" w:rsidTr="008D7822">
        <w:trPr>
          <w:trHeight w:val="20"/>
        </w:trPr>
        <w:tc>
          <w:tcPr>
            <w:tcW w:w="143" w:type="pct"/>
            <w:vMerge w:val="restart"/>
            <w:shd w:val="clear" w:color="auto" w:fill="auto"/>
            <w:textDirection w:val="btLr"/>
          </w:tcPr>
          <w:p w:rsidR="00823098" w:rsidRPr="00D17BDC" w:rsidRDefault="00823098" w:rsidP="00610F29">
            <w:pPr>
              <w:spacing w:after="0" w:line="240" w:lineRule="auto"/>
              <w:ind w:left="113" w:right="113"/>
              <w:contextualSpacing/>
              <w:jc w:val="center"/>
              <w:rPr>
                <w:rFonts w:ascii="Times New Roman" w:hAnsi="Times New Roman"/>
                <w:sz w:val="20"/>
                <w:szCs w:val="20"/>
              </w:rPr>
            </w:pPr>
            <w:r w:rsidRPr="00D17BDC">
              <w:rPr>
                <w:rFonts w:ascii="Times New Roman" w:hAnsi="Times New Roman"/>
                <w:sz w:val="20"/>
                <w:szCs w:val="20"/>
              </w:rPr>
              <w:t>TVETSSP</w:t>
            </w:r>
          </w:p>
        </w:tc>
        <w:tc>
          <w:tcPr>
            <w:tcW w:w="1340"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All KIT lecturers proficient in English at IELTS level 7 </w:t>
            </w:r>
          </w:p>
        </w:tc>
        <w:tc>
          <w:tcPr>
            <w:tcW w:w="931"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0 out of 11 staff are at IELTs level 7 (2010)</w:t>
            </w:r>
          </w:p>
        </w:tc>
        <w:tc>
          <w:tcPr>
            <w:tcW w:w="1303" w:type="pct"/>
            <w:shd w:val="clear" w:color="auto" w:fill="auto"/>
          </w:tcPr>
          <w:p w:rsidR="00823098" w:rsidRPr="00D17BDC" w:rsidRDefault="000D70A9"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w:t>
            </w:r>
            <w:r w:rsidR="00823098" w:rsidRPr="00D17BDC">
              <w:rPr>
                <w:rFonts w:ascii="Times New Roman" w:hAnsi="Times New Roman"/>
                <w:sz w:val="20"/>
                <w:szCs w:val="20"/>
              </w:rPr>
              <w:t xml:space="preserve">4 out of 21 staff are at </w:t>
            </w:r>
            <w:r w:rsidR="00C64177" w:rsidRPr="00D17BDC">
              <w:rPr>
                <w:rFonts w:ascii="Times New Roman" w:hAnsi="Times New Roman"/>
                <w:sz w:val="20"/>
                <w:szCs w:val="20"/>
              </w:rPr>
              <w:t xml:space="preserve">International Second Language Proficiency Rating </w:t>
            </w:r>
            <w:r w:rsidR="00823098" w:rsidRPr="00D17BDC">
              <w:rPr>
                <w:rFonts w:ascii="Times New Roman" w:hAnsi="Times New Roman"/>
                <w:sz w:val="20"/>
                <w:szCs w:val="20"/>
              </w:rPr>
              <w:t>4 and 4+ (2011)</w:t>
            </w:r>
          </w:p>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- 20 KIT staff enrolled in Certificate in Spoken and Written English (Certificate IV) </w:t>
            </w:r>
          </w:p>
        </w:tc>
        <w:tc>
          <w:tcPr>
            <w:tcW w:w="626"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657" w:type="pct"/>
            <w:vMerge w:val="restart"/>
          </w:tcPr>
          <w:p w:rsidR="00823098" w:rsidRPr="00D17BDC" w:rsidRDefault="00823098" w:rsidP="00C56CEE">
            <w:pPr>
              <w:spacing w:after="0" w:line="240" w:lineRule="auto"/>
              <w:contextualSpacing/>
              <w:rPr>
                <w:rFonts w:ascii="Times New Roman" w:hAnsi="Times New Roman"/>
                <w:sz w:val="20"/>
                <w:szCs w:val="20"/>
              </w:rPr>
            </w:pPr>
            <w:r w:rsidRPr="00D17BDC">
              <w:rPr>
                <w:rFonts w:ascii="Times New Roman" w:hAnsi="Times New Roman"/>
                <w:sz w:val="20"/>
                <w:szCs w:val="20"/>
              </w:rPr>
              <w:t>Partly on</w:t>
            </w:r>
            <w:r w:rsidR="00C56CEE" w:rsidRPr="00D17BDC">
              <w:rPr>
                <w:rFonts w:ascii="Times New Roman" w:hAnsi="Times New Roman"/>
                <w:sz w:val="20"/>
                <w:szCs w:val="20"/>
              </w:rPr>
              <w:t xml:space="preserve"> </w:t>
            </w:r>
            <w:r w:rsidRPr="00D17BDC">
              <w:rPr>
                <w:rFonts w:ascii="Times New Roman" w:hAnsi="Times New Roman"/>
                <w:sz w:val="20"/>
                <w:szCs w:val="20"/>
              </w:rPr>
              <w:t>track</w:t>
            </w:r>
          </w:p>
        </w:tc>
      </w:tr>
      <w:tr w:rsidR="00823098" w:rsidRPr="00D17BDC" w:rsidTr="008D7822">
        <w:trPr>
          <w:cantSplit/>
          <w:trHeight w:val="20"/>
        </w:trPr>
        <w:tc>
          <w:tcPr>
            <w:tcW w:w="143" w:type="pct"/>
            <w:vMerge/>
            <w:shd w:val="clear" w:color="auto" w:fill="auto"/>
            <w:textDirection w:val="btLr"/>
          </w:tcPr>
          <w:p w:rsidR="00823098" w:rsidRPr="00D17BDC" w:rsidRDefault="00823098" w:rsidP="00610F29">
            <w:pPr>
              <w:spacing w:after="0" w:line="240" w:lineRule="auto"/>
              <w:ind w:left="113" w:right="113"/>
              <w:contextualSpacing/>
              <w:rPr>
                <w:rFonts w:ascii="Times New Roman" w:hAnsi="Times New Roman"/>
                <w:sz w:val="20"/>
                <w:szCs w:val="20"/>
              </w:rPr>
            </w:pPr>
          </w:p>
        </w:tc>
        <w:tc>
          <w:tcPr>
            <w:tcW w:w="1340"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90 full-time students completing KIT Vocational Preparatory Course which includes training in English for Specific Purposes</w:t>
            </w:r>
          </w:p>
        </w:tc>
        <w:tc>
          <w:tcPr>
            <w:tcW w:w="931"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1303"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- 100 first</w:t>
            </w:r>
            <w:r w:rsidR="00DB0EA9" w:rsidRPr="00D17BDC">
              <w:rPr>
                <w:rFonts w:ascii="Times New Roman" w:hAnsi="Times New Roman"/>
                <w:sz w:val="20"/>
                <w:szCs w:val="20"/>
              </w:rPr>
              <w:t>-</w:t>
            </w:r>
            <w:r w:rsidRPr="00D17BDC">
              <w:rPr>
                <w:rFonts w:ascii="Times New Roman" w:hAnsi="Times New Roman"/>
                <w:sz w:val="20"/>
                <w:szCs w:val="20"/>
              </w:rPr>
              <w:t xml:space="preserve">year KIT students enrolled </w:t>
            </w:r>
          </w:p>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- 260 KIT students enrolled in the new Certificate in Spoken and Written English (Certificate I and II)</w:t>
            </w:r>
          </w:p>
        </w:tc>
        <w:tc>
          <w:tcPr>
            <w:tcW w:w="626" w:type="pct"/>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657" w:type="pct"/>
            <w:vMerge/>
          </w:tcPr>
          <w:p w:rsidR="00823098" w:rsidRPr="00D17BDC" w:rsidRDefault="00823098" w:rsidP="00610F29">
            <w:pPr>
              <w:spacing w:after="0" w:line="240" w:lineRule="auto"/>
              <w:contextualSpacing/>
              <w:rPr>
                <w:rFonts w:ascii="Times New Roman" w:hAnsi="Times New Roman"/>
                <w:sz w:val="20"/>
                <w:szCs w:val="20"/>
              </w:rPr>
            </w:pPr>
          </w:p>
        </w:tc>
      </w:tr>
      <w:tr w:rsidR="00823098" w:rsidRPr="00D17BDC" w:rsidTr="008D7822">
        <w:trPr>
          <w:cantSplit/>
          <w:trHeight w:val="20"/>
        </w:trPr>
        <w:tc>
          <w:tcPr>
            <w:tcW w:w="143" w:type="pct"/>
            <w:tcBorders>
              <w:bottom w:val="single" w:sz="4" w:space="0" w:color="auto"/>
            </w:tcBorders>
            <w:shd w:val="clear" w:color="auto" w:fill="auto"/>
            <w:textDirection w:val="btLr"/>
          </w:tcPr>
          <w:p w:rsidR="00823098" w:rsidRPr="00D17BDC" w:rsidRDefault="00823098" w:rsidP="00610F29">
            <w:pPr>
              <w:spacing w:after="0" w:line="240" w:lineRule="auto"/>
              <w:ind w:left="113" w:right="113"/>
              <w:contextualSpacing/>
              <w:jc w:val="center"/>
              <w:rPr>
                <w:rFonts w:ascii="Times New Roman" w:hAnsi="Times New Roman"/>
                <w:sz w:val="20"/>
                <w:szCs w:val="20"/>
              </w:rPr>
            </w:pPr>
            <w:r w:rsidRPr="00D17BDC">
              <w:rPr>
                <w:rFonts w:ascii="Times New Roman" w:hAnsi="Times New Roman"/>
                <w:sz w:val="20"/>
                <w:szCs w:val="20"/>
              </w:rPr>
              <w:t>KANI</w:t>
            </w:r>
          </w:p>
        </w:tc>
        <w:tc>
          <w:tcPr>
            <w:tcW w:w="1340" w:type="pct"/>
            <w:tcBorders>
              <w:bottom w:val="single" w:sz="4" w:space="0" w:color="auto"/>
            </w:tcBorders>
            <w:shd w:val="clear" w:color="auto" w:fill="auto"/>
          </w:tcPr>
          <w:p w:rsidR="00823098" w:rsidRPr="00D17BDC" w:rsidRDefault="00823098" w:rsidP="00DB0EA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Students completing Diplomas of Nursing and Community Welfare, and Bachelor Nursing obtain an equivalent IELTs score of 7 </w:t>
            </w:r>
          </w:p>
        </w:tc>
        <w:tc>
          <w:tcPr>
            <w:tcW w:w="931"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1303"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no information available regarding IELTs levels of KANI graduates </w:t>
            </w:r>
          </w:p>
          <w:p w:rsidR="00823098" w:rsidRPr="00D17BDC" w:rsidRDefault="00823098" w:rsidP="00610F29">
            <w:pPr>
              <w:spacing w:after="0" w:line="240" w:lineRule="auto"/>
              <w:contextualSpacing/>
              <w:rPr>
                <w:rFonts w:ascii="Times New Roman" w:hAnsi="Times New Roman"/>
                <w:sz w:val="20"/>
                <w:szCs w:val="20"/>
              </w:rPr>
            </w:pPr>
          </w:p>
        </w:tc>
        <w:tc>
          <w:tcPr>
            <w:tcW w:w="626"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657" w:type="pct"/>
            <w:vMerge/>
            <w:tcBorders>
              <w:bottom w:val="single" w:sz="4" w:space="0" w:color="auto"/>
            </w:tcBorders>
          </w:tcPr>
          <w:p w:rsidR="00823098" w:rsidRPr="00D17BDC" w:rsidRDefault="00823098" w:rsidP="00610F29">
            <w:pPr>
              <w:spacing w:after="0" w:line="240" w:lineRule="auto"/>
              <w:contextualSpacing/>
              <w:rPr>
                <w:rFonts w:ascii="Times New Roman" w:hAnsi="Times New Roman"/>
                <w:sz w:val="20"/>
                <w:szCs w:val="20"/>
              </w:rPr>
            </w:pPr>
          </w:p>
        </w:tc>
      </w:tr>
      <w:tr w:rsidR="00823098" w:rsidRPr="00D17BDC" w:rsidTr="008D7822">
        <w:trPr>
          <w:cantSplit/>
          <w:trHeight w:val="20"/>
        </w:trPr>
        <w:tc>
          <w:tcPr>
            <w:tcW w:w="5000" w:type="pct"/>
            <w:gridSpan w:val="6"/>
            <w:tcBorders>
              <w:bottom w:val="single" w:sz="4" w:space="0" w:color="auto"/>
            </w:tcBorders>
            <w:shd w:val="clear" w:color="auto" w:fill="CCFFFF"/>
          </w:tcPr>
          <w:p w:rsidR="00823098" w:rsidRPr="00D17BDC" w:rsidRDefault="00823098" w:rsidP="00DB0EA9">
            <w:pPr>
              <w:keepNext/>
              <w:spacing w:after="0" w:line="240" w:lineRule="auto"/>
              <w:contextualSpacing/>
              <w:rPr>
                <w:rFonts w:ascii="Times New Roman" w:hAnsi="Times New Roman"/>
                <w:b/>
                <w:sz w:val="20"/>
                <w:szCs w:val="20"/>
              </w:rPr>
            </w:pPr>
            <w:r w:rsidRPr="00D17BDC">
              <w:rPr>
                <w:rFonts w:ascii="Times New Roman" w:hAnsi="Times New Roman"/>
                <w:b/>
                <w:sz w:val="20"/>
                <w:szCs w:val="20"/>
              </w:rPr>
              <w:t xml:space="preserve">Target 3: Increasing completion rates for I-Kiribati studying at </w:t>
            </w:r>
            <w:r w:rsidR="00DB0EA9" w:rsidRPr="00D17BDC">
              <w:rPr>
                <w:rFonts w:ascii="Times New Roman" w:hAnsi="Times New Roman"/>
                <w:b/>
                <w:sz w:val="20"/>
                <w:szCs w:val="20"/>
              </w:rPr>
              <w:t>t</w:t>
            </w:r>
            <w:r w:rsidRPr="00D17BDC">
              <w:rPr>
                <w:rFonts w:ascii="Times New Roman" w:hAnsi="Times New Roman"/>
                <w:b/>
                <w:sz w:val="20"/>
                <w:szCs w:val="20"/>
              </w:rPr>
              <w:t xml:space="preserve">ertiary </w:t>
            </w:r>
            <w:r w:rsidR="00DB0EA9" w:rsidRPr="00D17BDC">
              <w:rPr>
                <w:rFonts w:ascii="Times New Roman" w:hAnsi="Times New Roman"/>
                <w:b/>
                <w:sz w:val="20"/>
                <w:szCs w:val="20"/>
              </w:rPr>
              <w:t>i</w:t>
            </w:r>
            <w:r w:rsidRPr="00D17BDC">
              <w:rPr>
                <w:rFonts w:ascii="Times New Roman" w:hAnsi="Times New Roman"/>
                <w:b/>
                <w:sz w:val="20"/>
                <w:szCs w:val="20"/>
              </w:rPr>
              <w:t>nstitutions</w:t>
            </w:r>
          </w:p>
        </w:tc>
      </w:tr>
      <w:tr w:rsidR="00823098" w:rsidRPr="00D17BDC" w:rsidTr="008D7822">
        <w:trPr>
          <w:cantSplit/>
          <w:trHeight w:val="20"/>
        </w:trPr>
        <w:tc>
          <w:tcPr>
            <w:tcW w:w="143" w:type="pct"/>
            <w:tcBorders>
              <w:bottom w:val="single" w:sz="4" w:space="0" w:color="auto"/>
            </w:tcBorders>
            <w:shd w:val="clear" w:color="auto" w:fill="auto"/>
            <w:textDirection w:val="btLr"/>
          </w:tcPr>
          <w:p w:rsidR="00823098" w:rsidRPr="00D17BDC" w:rsidRDefault="00823098" w:rsidP="00610F29">
            <w:pPr>
              <w:keepNext/>
              <w:spacing w:after="0" w:line="240" w:lineRule="auto"/>
              <w:ind w:left="113" w:right="113"/>
              <w:contextualSpacing/>
              <w:jc w:val="center"/>
              <w:rPr>
                <w:rFonts w:ascii="Times New Roman" w:hAnsi="Times New Roman"/>
                <w:sz w:val="20"/>
                <w:szCs w:val="20"/>
              </w:rPr>
            </w:pPr>
          </w:p>
        </w:tc>
        <w:tc>
          <w:tcPr>
            <w:tcW w:w="1340" w:type="pct"/>
            <w:tcBorders>
              <w:bottom w:val="single" w:sz="4" w:space="0" w:color="auto"/>
            </w:tcBorders>
            <w:shd w:val="clear" w:color="auto" w:fill="auto"/>
          </w:tcPr>
          <w:p w:rsidR="00823098" w:rsidRPr="00D17BDC" w:rsidRDefault="00823098" w:rsidP="00610F29">
            <w:pPr>
              <w:keepNext/>
              <w:spacing w:after="0" w:line="240" w:lineRule="auto"/>
              <w:contextualSpacing/>
              <w:rPr>
                <w:rFonts w:ascii="Times New Roman" w:hAnsi="Times New Roman"/>
                <w:sz w:val="20"/>
                <w:szCs w:val="20"/>
              </w:rPr>
            </w:pPr>
            <w:r w:rsidRPr="00D17BDC">
              <w:rPr>
                <w:rFonts w:ascii="Times New Roman" w:hAnsi="Times New Roman"/>
                <w:sz w:val="20"/>
                <w:szCs w:val="20"/>
              </w:rPr>
              <w:t xml:space="preserve">Proportion of KANI students enrolled in Bachelor of Nursing graduate </w:t>
            </w:r>
          </w:p>
        </w:tc>
        <w:tc>
          <w:tcPr>
            <w:tcW w:w="931" w:type="pct"/>
            <w:tcBorders>
              <w:bottom w:val="single" w:sz="4" w:space="0" w:color="auto"/>
            </w:tcBorders>
            <w:shd w:val="clear" w:color="auto" w:fill="auto"/>
          </w:tcPr>
          <w:p w:rsidR="00823098" w:rsidRPr="00D17BDC" w:rsidRDefault="00823098" w:rsidP="00610F29">
            <w:pPr>
              <w:keepNext/>
              <w:spacing w:after="0" w:line="240" w:lineRule="auto"/>
              <w:contextualSpacing/>
              <w:rPr>
                <w:rFonts w:ascii="Times New Roman" w:hAnsi="Times New Roman"/>
                <w:sz w:val="20"/>
                <w:szCs w:val="20"/>
              </w:rPr>
            </w:pPr>
          </w:p>
        </w:tc>
        <w:tc>
          <w:tcPr>
            <w:tcW w:w="1303" w:type="pct"/>
            <w:tcBorders>
              <w:bottom w:val="single" w:sz="4" w:space="0" w:color="auto"/>
            </w:tcBorders>
            <w:shd w:val="clear" w:color="auto" w:fill="auto"/>
          </w:tcPr>
          <w:p w:rsidR="00823098" w:rsidRPr="00D17BDC" w:rsidRDefault="00823098" w:rsidP="00DB0EA9">
            <w:pPr>
              <w:keepNext/>
              <w:spacing w:after="0" w:line="240" w:lineRule="auto"/>
              <w:contextualSpacing/>
              <w:rPr>
                <w:rFonts w:ascii="Times New Roman" w:hAnsi="Times New Roman"/>
                <w:sz w:val="20"/>
                <w:szCs w:val="20"/>
              </w:rPr>
            </w:pPr>
            <w:r w:rsidRPr="00D17BDC">
              <w:rPr>
                <w:rFonts w:ascii="Times New Roman" w:hAnsi="Times New Roman"/>
                <w:sz w:val="20"/>
                <w:szCs w:val="20"/>
              </w:rPr>
              <w:t xml:space="preserve">91% of students still enrolled and first cohort of students will graduate in end 2011 </w:t>
            </w:r>
          </w:p>
        </w:tc>
        <w:tc>
          <w:tcPr>
            <w:tcW w:w="626" w:type="pct"/>
            <w:tcBorders>
              <w:bottom w:val="single" w:sz="4" w:space="0" w:color="auto"/>
            </w:tcBorders>
            <w:shd w:val="clear" w:color="auto" w:fill="auto"/>
          </w:tcPr>
          <w:p w:rsidR="00823098" w:rsidRPr="00D17BDC" w:rsidRDefault="00823098" w:rsidP="00063730">
            <w:pPr>
              <w:keepNext/>
              <w:spacing w:after="0" w:line="240" w:lineRule="auto"/>
              <w:contextualSpacing/>
              <w:rPr>
                <w:rFonts w:ascii="Times New Roman" w:hAnsi="Times New Roman"/>
                <w:sz w:val="20"/>
                <w:szCs w:val="20"/>
              </w:rPr>
            </w:pPr>
            <w:r w:rsidRPr="00D17BDC">
              <w:rPr>
                <w:rFonts w:ascii="Times New Roman" w:hAnsi="Times New Roman"/>
                <w:sz w:val="20"/>
                <w:szCs w:val="20"/>
              </w:rPr>
              <w:t>70</w:t>
            </w:r>
            <w:r w:rsidR="00063730" w:rsidRPr="00D17BDC">
              <w:rPr>
                <w:rFonts w:ascii="Times New Roman" w:hAnsi="Times New Roman"/>
                <w:sz w:val="20"/>
                <w:szCs w:val="20"/>
              </w:rPr>
              <w:t>–</w:t>
            </w:r>
            <w:r w:rsidRPr="00D17BDC">
              <w:rPr>
                <w:rFonts w:ascii="Times New Roman" w:hAnsi="Times New Roman"/>
                <w:sz w:val="20"/>
                <w:szCs w:val="20"/>
              </w:rPr>
              <w:t xml:space="preserve">100% </w:t>
            </w:r>
          </w:p>
        </w:tc>
        <w:tc>
          <w:tcPr>
            <w:tcW w:w="657" w:type="pct"/>
            <w:vMerge w:val="restart"/>
          </w:tcPr>
          <w:p w:rsidR="00823098" w:rsidRPr="00D17BDC" w:rsidRDefault="00823098" w:rsidP="00610F29">
            <w:pPr>
              <w:keepNext/>
              <w:spacing w:after="0" w:line="240" w:lineRule="auto"/>
              <w:contextualSpacing/>
              <w:rPr>
                <w:rFonts w:ascii="Times New Roman" w:hAnsi="Times New Roman"/>
                <w:sz w:val="20"/>
                <w:szCs w:val="20"/>
              </w:rPr>
            </w:pPr>
            <w:r w:rsidRPr="00D17BDC">
              <w:rPr>
                <w:rFonts w:ascii="Times New Roman" w:hAnsi="Times New Roman"/>
                <w:sz w:val="20"/>
                <w:szCs w:val="20"/>
              </w:rPr>
              <w:t>On track</w:t>
            </w:r>
          </w:p>
        </w:tc>
      </w:tr>
      <w:tr w:rsidR="00823098" w:rsidRPr="00D17BDC" w:rsidTr="008D7822">
        <w:trPr>
          <w:cantSplit/>
          <w:trHeight w:val="20"/>
        </w:trPr>
        <w:tc>
          <w:tcPr>
            <w:tcW w:w="143" w:type="pct"/>
            <w:tcBorders>
              <w:bottom w:val="single" w:sz="4" w:space="0" w:color="auto"/>
            </w:tcBorders>
            <w:shd w:val="clear" w:color="auto" w:fill="auto"/>
            <w:textDirection w:val="btLr"/>
          </w:tcPr>
          <w:p w:rsidR="00823098" w:rsidRPr="00D17BDC" w:rsidRDefault="00823098" w:rsidP="00610F29">
            <w:pPr>
              <w:spacing w:after="0" w:line="240" w:lineRule="auto"/>
              <w:ind w:left="113" w:right="113"/>
              <w:contextualSpacing/>
              <w:jc w:val="center"/>
              <w:rPr>
                <w:rFonts w:ascii="Times New Roman" w:hAnsi="Times New Roman"/>
                <w:sz w:val="20"/>
                <w:szCs w:val="20"/>
              </w:rPr>
            </w:pPr>
          </w:p>
        </w:tc>
        <w:tc>
          <w:tcPr>
            <w:tcW w:w="1340"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Increased proportion of other Australian scholarship awardees complete their tertiary studies </w:t>
            </w:r>
          </w:p>
        </w:tc>
        <w:tc>
          <w:tcPr>
            <w:tcW w:w="931"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For ARDS: 61% completion rate between 2000</w:t>
            </w:r>
            <w:r w:rsidR="00063730" w:rsidRPr="00D17BDC">
              <w:rPr>
                <w:rFonts w:ascii="Times New Roman" w:hAnsi="Times New Roman"/>
                <w:sz w:val="20"/>
                <w:szCs w:val="20"/>
              </w:rPr>
              <w:t>–</w:t>
            </w:r>
            <w:r w:rsidRPr="00D17BDC">
              <w:rPr>
                <w:rFonts w:ascii="Times New Roman" w:hAnsi="Times New Roman"/>
                <w:sz w:val="20"/>
                <w:szCs w:val="20"/>
              </w:rPr>
              <w:t>07</w:t>
            </w:r>
          </w:p>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For ADS: 85% completion rate since 2000</w:t>
            </w:r>
          </w:p>
        </w:tc>
        <w:tc>
          <w:tcPr>
            <w:tcW w:w="1303"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Completion rate for ARDS averaged at 86% between 2006</w:t>
            </w:r>
            <w:r w:rsidR="00DB0EA9" w:rsidRPr="00D17BDC">
              <w:rPr>
                <w:rFonts w:ascii="Times New Roman" w:hAnsi="Times New Roman"/>
                <w:sz w:val="20"/>
                <w:szCs w:val="20"/>
              </w:rPr>
              <w:t xml:space="preserve"> and </w:t>
            </w:r>
            <w:r w:rsidRPr="00D17BDC">
              <w:rPr>
                <w:rFonts w:ascii="Times New Roman" w:hAnsi="Times New Roman"/>
                <w:sz w:val="20"/>
                <w:szCs w:val="20"/>
              </w:rPr>
              <w:t>2010</w:t>
            </w:r>
          </w:p>
          <w:p w:rsidR="00823098" w:rsidRPr="00D17BDC" w:rsidRDefault="00823098"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 </w:t>
            </w:r>
          </w:p>
        </w:tc>
        <w:tc>
          <w:tcPr>
            <w:tcW w:w="626" w:type="pct"/>
            <w:tcBorders>
              <w:bottom w:val="single" w:sz="4" w:space="0" w:color="auto"/>
            </w:tcBorders>
            <w:shd w:val="clear" w:color="auto" w:fill="auto"/>
          </w:tcPr>
          <w:p w:rsidR="00823098" w:rsidRPr="00D17BDC" w:rsidRDefault="00823098" w:rsidP="00610F29">
            <w:pPr>
              <w:spacing w:after="0" w:line="240" w:lineRule="auto"/>
              <w:contextualSpacing/>
              <w:rPr>
                <w:rFonts w:ascii="Times New Roman" w:hAnsi="Times New Roman"/>
                <w:sz w:val="20"/>
                <w:szCs w:val="20"/>
              </w:rPr>
            </w:pPr>
          </w:p>
        </w:tc>
        <w:tc>
          <w:tcPr>
            <w:tcW w:w="657" w:type="pct"/>
            <w:vMerge/>
            <w:tcBorders>
              <w:bottom w:val="single" w:sz="4" w:space="0" w:color="auto"/>
            </w:tcBorders>
          </w:tcPr>
          <w:p w:rsidR="00823098" w:rsidRPr="00D17BDC" w:rsidRDefault="00823098" w:rsidP="00610F29">
            <w:pPr>
              <w:spacing w:after="0" w:line="240" w:lineRule="auto"/>
              <w:contextualSpacing/>
              <w:rPr>
                <w:rFonts w:ascii="Times New Roman" w:hAnsi="Times New Roman"/>
                <w:sz w:val="20"/>
                <w:szCs w:val="20"/>
              </w:rPr>
            </w:pPr>
          </w:p>
        </w:tc>
      </w:tr>
      <w:tr w:rsidR="00823098" w:rsidRPr="00D17BDC" w:rsidTr="00177DB4">
        <w:trPr>
          <w:cantSplit/>
          <w:trHeight w:val="20"/>
        </w:trPr>
        <w:tc>
          <w:tcPr>
            <w:tcW w:w="5000" w:type="pct"/>
            <w:gridSpan w:val="6"/>
            <w:shd w:val="clear" w:color="auto" w:fill="CCFFFF"/>
          </w:tcPr>
          <w:p w:rsidR="00823098" w:rsidRPr="00D17BDC" w:rsidRDefault="00823098" w:rsidP="00610F29">
            <w:pPr>
              <w:spacing w:after="0" w:line="240" w:lineRule="auto"/>
              <w:contextualSpacing/>
              <w:jc w:val="both"/>
              <w:rPr>
                <w:rFonts w:ascii="Times New Roman" w:hAnsi="Times New Roman"/>
                <w:b/>
                <w:sz w:val="20"/>
                <w:szCs w:val="20"/>
              </w:rPr>
            </w:pPr>
            <w:r w:rsidRPr="00D17BDC">
              <w:rPr>
                <w:rFonts w:ascii="Times New Roman" w:hAnsi="Times New Roman"/>
                <w:b/>
                <w:sz w:val="20"/>
                <w:szCs w:val="20"/>
              </w:rPr>
              <w:t xml:space="preserve">Target 4: Increasing the number of I-Kiribati workers accessing employment opportunities abroad </w:t>
            </w:r>
          </w:p>
        </w:tc>
      </w:tr>
      <w:tr w:rsidR="001D1543" w:rsidRPr="00D17BDC" w:rsidTr="00177DB4">
        <w:trPr>
          <w:cantSplit/>
          <w:trHeight w:val="20"/>
        </w:trPr>
        <w:tc>
          <w:tcPr>
            <w:tcW w:w="143" w:type="pct"/>
            <w:shd w:val="clear" w:color="auto" w:fill="auto"/>
          </w:tcPr>
          <w:p w:rsidR="001D1543" w:rsidRPr="00D17BDC" w:rsidRDefault="001D1543" w:rsidP="00610F29">
            <w:pPr>
              <w:spacing w:after="0" w:line="240" w:lineRule="auto"/>
              <w:contextualSpacing/>
              <w:rPr>
                <w:rFonts w:ascii="Times New Roman" w:hAnsi="Times New Roman"/>
                <w:sz w:val="20"/>
                <w:szCs w:val="20"/>
              </w:rPr>
            </w:pPr>
          </w:p>
        </w:tc>
        <w:tc>
          <w:tcPr>
            <w:tcW w:w="1340" w:type="pct"/>
            <w:shd w:val="clear" w:color="auto" w:fill="auto"/>
          </w:tcPr>
          <w:p w:rsidR="001D1543" w:rsidRPr="00D17BDC" w:rsidRDefault="001D1543" w:rsidP="00610F2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Comprehensive labour migration strategy identified and approved </w:t>
            </w:r>
          </w:p>
        </w:tc>
        <w:tc>
          <w:tcPr>
            <w:tcW w:w="931" w:type="pct"/>
            <w:shd w:val="clear" w:color="auto" w:fill="auto"/>
          </w:tcPr>
          <w:p w:rsidR="001D1543" w:rsidRPr="00D17BDC" w:rsidRDefault="001D1543" w:rsidP="00610F29">
            <w:pPr>
              <w:spacing w:after="0" w:line="240" w:lineRule="auto"/>
              <w:contextualSpacing/>
              <w:jc w:val="both"/>
              <w:rPr>
                <w:rFonts w:ascii="Times New Roman" w:hAnsi="Times New Roman"/>
                <w:sz w:val="20"/>
                <w:szCs w:val="20"/>
              </w:rPr>
            </w:pPr>
          </w:p>
        </w:tc>
        <w:tc>
          <w:tcPr>
            <w:tcW w:w="1303" w:type="pct"/>
            <w:shd w:val="clear" w:color="auto" w:fill="auto"/>
          </w:tcPr>
          <w:p w:rsidR="001D1543" w:rsidRPr="00D17BDC" w:rsidRDefault="001D1543" w:rsidP="000D70A9">
            <w:pPr>
              <w:spacing w:after="0" w:line="240" w:lineRule="auto"/>
              <w:contextualSpacing/>
              <w:rPr>
                <w:rFonts w:ascii="Times New Roman" w:hAnsi="Times New Roman"/>
                <w:sz w:val="20"/>
                <w:szCs w:val="20"/>
              </w:rPr>
            </w:pPr>
            <w:r w:rsidRPr="00D17BDC">
              <w:rPr>
                <w:rFonts w:ascii="Times New Roman" w:hAnsi="Times New Roman"/>
                <w:sz w:val="20"/>
                <w:szCs w:val="20"/>
              </w:rPr>
              <w:t xml:space="preserve">MLHRD is continuing work on the labour migration strategy under the TVETSSP </w:t>
            </w:r>
          </w:p>
        </w:tc>
        <w:tc>
          <w:tcPr>
            <w:tcW w:w="626" w:type="pct"/>
            <w:shd w:val="clear" w:color="auto" w:fill="auto"/>
          </w:tcPr>
          <w:p w:rsidR="001D1543" w:rsidRPr="00D17BDC" w:rsidRDefault="001D1543" w:rsidP="00610F29">
            <w:pPr>
              <w:spacing w:after="0" w:line="240" w:lineRule="auto"/>
              <w:contextualSpacing/>
              <w:jc w:val="both"/>
              <w:rPr>
                <w:rFonts w:ascii="Times New Roman" w:hAnsi="Times New Roman"/>
                <w:sz w:val="20"/>
                <w:szCs w:val="20"/>
              </w:rPr>
            </w:pPr>
          </w:p>
        </w:tc>
        <w:tc>
          <w:tcPr>
            <w:tcW w:w="657" w:type="pct"/>
          </w:tcPr>
          <w:p w:rsidR="001D1543" w:rsidRPr="00D17BDC" w:rsidRDefault="00823098" w:rsidP="00610F29">
            <w:pPr>
              <w:spacing w:after="0" w:line="240" w:lineRule="auto"/>
              <w:contextualSpacing/>
              <w:jc w:val="both"/>
              <w:rPr>
                <w:rFonts w:ascii="Times New Roman" w:hAnsi="Times New Roman"/>
                <w:sz w:val="20"/>
                <w:szCs w:val="20"/>
              </w:rPr>
            </w:pPr>
            <w:r w:rsidRPr="00D17BDC">
              <w:rPr>
                <w:rFonts w:ascii="Times New Roman" w:hAnsi="Times New Roman"/>
                <w:sz w:val="20"/>
                <w:szCs w:val="20"/>
              </w:rPr>
              <w:t xml:space="preserve">Off track </w:t>
            </w:r>
          </w:p>
        </w:tc>
      </w:tr>
    </w:tbl>
    <w:p w:rsidR="002D22D3" w:rsidRPr="00D17BDC" w:rsidRDefault="000D70A9" w:rsidP="00A57099">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At the Partnership Talks, </w:t>
      </w:r>
      <w:r w:rsidR="00A57099" w:rsidRPr="00D17BDC">
        <w:rPr>
          <w:rFonts w:ascii="Times New Roman" w:hAnsi="Times New Roman"/>
          <w:color w:val="auto"/>
          <w:sz w:val="24"/>
          <w:szCs w:val="24"/>
        </w:rPr>
        <w:t xml:space="preserve">GoK </w:t>
      </w:r>
      <w:r w:rsidR="00D56EFD" w:rsidRPr="00D17BDC">
        <w:rPr>
          <w:rFonts w:ascii="Times New Roman" w:hAnsi="Times New Roman"/>
          <w:color w:val="auto"/>
          <w:sz w:val="24"/>
          <w:szCs w:val="24"/>
        </w:rPr>
        <w:t xml:space="preserve">reiterated the importance of having pathways to employment, </w:t>
      </w:r>
      <w:r w:rsidR="00343700" w:rsidRPr="00D17BDC">
        <w:rPr>
          <w:rFonts w:ascii="Times New Roman" w:hAnsi="Times New Roman"/>
          <w:color w:val="auto"/>
          <w:sz w:val="24"/>
          <w:szCs w:val="24"/>
        </w:rPr>
        <w:t>domestically and abroad</w:t>
      </w:r>
      <w:r w:rsidR="00BB4FA4" w:rsidRPr="00D17BDC">
        <w:rPr>
          <w:rFonts w:ascii="Times New Roman" w:hAnsi="Times New Roman"/>
          <w:color w:val="auto"/>
          <w:sz w:val="24"/>
          <w:szCs w:val="24"/>
        </w:rPr>
        <w:t xml:space="preserve"> and how the Partnership can support these areas.</w:t>
      </w:r>
      <w:r w:rsidR="009E5415" w:rsidRPr="00D17BDC">
        <w:rPr>
          <w:rFonts w:ascii="Times New Roman" w:hAnsi="Times New Roman"/>
          <w:color w:val="auto"/>
          <w:sz w:val="24"/>
          <w:szCs w:val="24"/>
        </w:rPr>
        <w:t xml:space="preserve"> </w:t>
      </w:r>
      <w:r w:rsidR="00DB0EA9" w:rsidRPr="00D17BDC">
        <w:rPr>
          <w:rFonts w:ascii="Times New Roman" w:hAnsi="Times New Roman"/>
          <w:color w:val="auto"/>
          <w:sz w:val="24"/>
          <w:szCs w:val="24"/>
        </w:rPr>
        <w:t>G</w:t>
      </w:r>
      <w:r w:rsidR="00C56CEE" w:rsidRPr="00D17BDC">
        <w:rPr>
          <w:rFonts w:ascii="Times New Roman" w:hAnsi="Times New Roman"/>
          <w:color w:val="auto"/>
          <w:sz w:val="24"/>
          <w:szCs w:val="24"/>
        </w:rPr>
        <w:t>o</w:t>
      </w:r>
      <w:r w:rsidR="00DB0EA9" w:rsidRPr="00D17BDC">
        <w:rPr>
          <w:rFonts w:ascii="Times New Roman" w:hAnsi="Times New Roman"/>
          <w:color w:val="auto"/>
          <w:sz w:val="24"/>
          <w:szCs w:val="24"/>
        </w:rPr>
        <w:t>K</w:t>
      </w:r>
      <w:r w:rsidR="00C56CEE" w:rsidRPr="00D17BDC">
        <w:rPr>
          <w:rFonts w:ascii="Times New Roman" w:hAnsi="Times New Roman"/>
          <w:color w:val="auto"/>
          <w:sz w:val="24"/>
          <w:szCs w:val="24"/>
        </w:rPr>
        <w:t>’s</w:t>
      </w:r>
      <w:r w:rsidR="00DB0EA9" w:rsidRPr="00D17BDC">
        <w:rPr>
          <w:rFonts w:ascii="Times New Roman" w:hAnsi="Times New Roman"/>
          <w:color w:val="auto"/>
          <w:sz w:val="24"/>
          <w:szCs w:val="24"/>
        </w:rPr>
        <w:t xml:space="preserve"> </w:t>
      </w:r>
      <w:r w:rsidR="00D56EFD" w:rsidRPr="00D17BDC">
        <w:rPr>
          <w:rFonts w:ascii="Times New Roman" w:hAnsi="Times New Roman"/>
          <w:color w:val="auto"/>
          <w:sz w:val="24"/>
          <w:szCs w:val="24"/>
        </w:rPr>
        <w:t xml:space="preserve">Secretary to Cabinet expressed the need for </w:t>
      </w:r>
      <w:r w:rsidR="00DB0EA9" w:rsidRPr="00D17BDC">
        <w:rPr>
          <w:rFonts w:ascii="Times New Roman" w:hAnsi="Times New Roman"/>
          <w:color w:val="auto"/>
          <w:sz w:val="24"/>
          <w:szCs w:val="24"/>
        </w:rPr>
        <w:t xml:space="preserve">the government </w:t>
      </w:r>
      <w:r w:rsidR="00D56EFD" w:rsidRPr="00D17BDC">
        <w:rPr>
          <w:rFonts w:ascii="Times New Roman" w:hAnsi="Times New Roman"/>
          <w:color w:val="auto"/>
          <w:sz w:val="24"/>
          <w:szCs w:val="24"/>
        </w:rPr>
        <w:t xml:space="preserve">to develop a stronger understanding of its own labour market to match labour </w:t>
      </w:r>
      <w:r w:rsidR="00BB4FA4" w:rsidRPr="00D17BDC">
        <w:rPr>
          <w:rFonts w:ascii="Times New Roman" w:hAnsi="Times New Roman"/>
          <w:color w:val="auto"/>
          <w:sz w:val="24"/>
          <w:szCs w:val="24"/>
        </w:rPr>
        <w:t>supply with demand</w:t>
      </w:r>
      <w:r w:rsidR="00063730" w:rsidRPr="00D17BDC">
        <w:rPr>
          <w:rFonts w:ascii="Times New Roman" w:hAnsi="Times New Roman"/>
          <w:color w:val="auto"/>
          <w:sz w:val="24"/>
          <w:szCs w:val="24"/>
        </w:rPr>
        <w:t>—</w:t>
      </w:r>
      <w:r w:rsidR="00D56EFD" w:rsidRPr="00D17BDC">
        <w:rPr>
          <w:rFonts w:ascii="Times New Roman" w:hAnsi="Times New Roman"/>
          <w:color w:val="auto"/>
          <w:sz w:val="24"/>
          <w:szCs w:val="24"/>
        </w:rPr>
        <w:t xml:space="preserve">domestically and abroad. A database, TVET policy and labour migration strategy would </w:t>
      </w:r>
      <w:r w:rsidR="00A94916" w:rsidRPr="00D17BDC">
        <w:rPr>
          <w:rFonts w:ascii="Times New Roman" w:hAnsi="Times New Roman"/>
          <w:color w:val="auto"/>
          <w:sz w:val="24"/>
          <w:szCs w:val="24"/>
        </w:rPr>
        <w:t xml:space="preserve">support meeting </w:t>
      </w:r>
      <w:r w:rsidR="00D56EFD" w:rsidRPr="00D17BDC">
        <w:rPr>
          <w:rFonts w:ascii="Times New Roman" w:hAnsi="Times New Roman"/>
          <w:color w:val="auto"/>
          <w:sz w:val="24"/>
          <w:szCs w:val="24"/>
        </w:rPr>
        <w:t xml:space="preserve">these needs. </w:t>
      </w:r>
    </w:p>
    <w:p w:rsidR="00A57099" w:rsidRPr="00D17BDC" w:rsidRDefault="00460856" w:rsidP="00A57099">
      <w:pPr>
        <w:spacing w:before="240" w:after="0" w:line="240" w:lineRule="auto"/>
        <w:rPr>
          <w:rFonts w:ascii="Times New Roman" w:hAnsi="Times New Roman"/>
          <w:color w:val="auto"/>
          <w:sz w:val="24"/>
          <w:szCs w:val="24"/>
        </w:rPr>
      </w:pPr>
      <w:proofErr w:type="spellStart"/>
      <w:r w:rsidRPr="00D17BDC">
        <w:rPr>
          <w:rFonts w:ascii="Times New Roman" w:hAnsi="Times New Roman"/>
          <w:color w:val="auto"/>
          <w:sz w:val="24"/>
          <w:szCs w:val="24"/>
        </w:rPr>
        <w:t>GoK</w:t>
      </w:r>
      <w:proofErr w:type="spellEnd"/>
      <w:r w:rsidRPr="00D17BDC">
        <w:rPr>
          <w:rFonts w:ascii="Times New Roman" w:hAnsi="Times New Roman"/>
          <w:color w:val="auto"/>
          <w:sz w:val="24"/>
          <w:szCs w:val="24"/>
        </w:rPr>
        <w:t xml:space="preserve"> noted it is keen to examine labour migration opportunities in other sectors</w:t>
      </w:r>
      <w:r w:rsidR="00A94916" w:rsidRPr="00D17BDC">
        <w:rPr>
          <w:rFonts w:ascii="Times New Roman" w:hAnsi="Times New Roman"/>
          <w:color w:val="auto"/>
          <w:sz w:val="24"/>
          <w:szCs w:val="24"/>
        </w:rPr>
        <w:t>,</w:t>
      </w:r>
      <w:r w:rsidRPr="00D17BDC">
        <w:rPr>
          <w:rFonts w:ascii="Times New Roman" w:hAnsi="Times New Roman"/>
          <w:color w:val="auto"/>
          <w:sz w:val="24"/>
          <w:szCs w:val="24"/>
        </w:rPr>
        <w:t xml:space="preserve"> such as international peacekeeping</w:t>
      </w:r>
      <w:r w:rsidR="00A94916" w:rsidRPr="00D17BDC">
        <w:rPr>
          <w:rFonts w:ascii="Times New Roman" w:hAnsi="Times New Roman"/>
          <w:color w:val="auto"/>
          <w:sz w:val="24"/>
          <w:szCs w:val="24"/>
        </w:rPr>
        <w:t>,</w:t>
      </w:r>
      <w:r w:rsidRPr="00D17BDC">
        <w:rPr>
          <w:rFonts w:ascii="Times New Roman" w:hAnsi="Times New Roman"/>
          <w:color w:val="auto"/>
          <w:sz w:val="24"/>
          <w:szCs w:val="24"/>
        </w:rPr>
        <w:t xml:space="preserve"> building on Kiribati’s experiences in </w:t>
      </w:r>
      <w:r w:rsidR="00C64177" w:rsidRPr="00D17BDC">
        <w:rPr>
          <w:rFonts w:ascii="Times New Roman" w:hAnsi="Times New Roman"/>
          <w:color w:val="auto"/>
          <w:sz w:val="24"/>
          <w:szCs w:val="24"/>
        </w:rPr>
        <w:t>the Regional Assistance Mission to Solomon Islands</w:t>
      </w:r>
      <w:r w:rsidRPr="00D17BDC">
        <w:rPr>
          <w:rFonts w:ascii="Times New Roman" w:hAnsi="Times New Roman"/>
          <w:color w:val="auto"/>
          <w:sz w:val="24"/>
          <w:szCs w:val="24"/>
        </w:rPr>
        <w:t xml:space="preserve">, and it was agreed this would be further discussed </w:t>
      </w:r>
      <w:r w:rsidR="00A57099" w:rsidRPr="00D17BDC">
        <w:rPr>
          <w:rFonts w:ascii="Times New Roman" w:hAnsi="Times New Roman"/>
          <w:color w:val="auto"/>
          <w:sz w:val="24"/>
          <w:szCs w:val="24"/>
        </w:rPr>
        <w:t xml:space="preserve">during the Security Partnership Talks in July 2011. </w:t>
      </w:r>
    </w:p>
    <w:p w:rsidR="00A57099" w:rsidRPr="00D17BDC" w:rsidRDefault="00A57099" w:rsidP="00A57099">
      <w:pPr>
        <w:spacing w:before="240" w:after="0" w:line="240" w:lineRule="auto"/>
        <w:rPr>
          <w:rFonts w:ascii="Times New Roman" w:hAnsi="Times New Roman"/>
          <w:color w:val="auto"/>
          <w:sz w:val="24"/>
          <w:szCs w:val="24"/>
        </w:rPr>
      </w:pPr>
      <w:proofErr w:type="spellStart"/>
      <w:r w:rsidRPr="00D17BDC">
        <w:rPr>
          <w:rFonts w:ascii="Times New Roman" w:hAnsi="Times New Roman"/>
          <w:color w:val="auto"/>
          <w:sz w:val="24"/>
          <w:szCs w:val="24"/>
        </w:rPr>
        <w:t>AusAID</w:t>
      </w:r>
      <w:proofErr w:type="spellEnd"/>
      <w:r w:rsidRPr="00D17BDC">
        <w:rPr>
          <w:rFonts w:ascii="Times New Roman" w:hAnsi="Times New Roman"/>
          <w:color w:val="auto"/>
          <w:sz w:val="24"/>
          <w:szCs w:val="24"/>
        </w:rPr>
        <w:t xml:space="preserve"> outlined </w:t>
      </w:r>
      <w:r w:rsidR="00924B80" w:rsidRPr="00D17BDC">
        <w:rPr>
          <w:rFonts w:ascii="Times New Roman" w:hAnsi="Times New Roman"/>
          <w:color w:val="auto"/>
          <w:sz w:val="24"/>
          <w:szCs w:val="24"/>
        </w:rPr>
        <w:t xml:space="preserve">the </w:t>
      </w:r>
      <w:r w:rsidRPr="00D17BDC">
        <w:rPr>
          <w:rFonts w:ascii="Times New Roman" w:hAnsi="Times New Roman"/>
          <w:color w:val="auto"/>
          <w:sz w:val="24"/>
          <w:szCs w:val="24"/>
        </w:rPr>
        <w:t xml:space="preserve">rationale behind </w:t>
      </w:r>
      <w:r w:rsidR="00924B80" w:rsidRPr="00D17BDC">
        <w:rPr>
          <w:rFonts w:ascii="Times New Roman" w:hAnsi="Times New Roman"/>
          <w:color w:val="auto"/>
          <w:sz w:val="24"/>
          <w:szCs w:val="24"/>
        </w:rPr>
        <w:t xml:space="preserve">the </w:t>
      </w:r>
      <w:r w:rsidRPr="00D17BDC">
        <w:rPr>
          <w:rFonts w:ascii="Times New Roman" w:hAnsi="Times New Roman"/>
          <w:color w:val="auto"/>
          <w:sz w:val="24"/>
          <w:szCs w:val="24"/>
        </w:rPr>
        <w:t xml:space="preserve">slow start to the Pacific Seasonal Workers Program following from the global economic crisis and the drought in Australia. Recent improvements to program outcomes were noted in addition to the importance of tapping into the unskilled labour </w:t>
      </w:r>
      <w:r w:rsidRPr="00D17BDC">
        <w:rPr>
          <w:rFonts w:ascii="Times New Roman" w:hAnsi="Times New Roman"/>
          <w:color w:val="auto"/>
          <w:sz w:val="24"/>
          <w:szCs w:val="24"/>
        </w:rPr>
        <w:lastRenderedPageBreak/>
        <w:t>market and addressing outer islands</w:t>
      </w:r>
      <w:r w:rsidR="00D17BDC">
        <w:rPr>
          <w:rFonts w:ascii="Times New Roman" w:hAnsi="Times New Roman"/>
          <w:color w:val="auto"/>
          <w:sz w:val="24"/>
          <w:szCs w:val="24"/>
        </w:rPr>
        <w:t>’</w:t>
      </w:r>
      <w:r w:rsidRPr="00D17BDC">
        <w:rPr>
          <w:rFonts w:ascii="Times New Roman" w:hAnsi="Times New Roman"/>
          <w:color w:val="auto"/>
          <w:sz w:val="24"/>
          <w:szCs w:val="24"/>
        </w:rPr>
        <w:t xml:space="preserve"> needs. AusAID </w:t>
      </w:r>
      <w:r w:rsidR="00343700" w:rsidRPr="00D17BDC">
        <w:rPr>
          <w:rFonts w:ascii="Times New Roman" w:hAnsi="Times New Roman"/>
          <w:color w:val="auto"/>
          <w:sz w:val="24"/>
          <w:szCs w:val="24"/>
        </w:rPr>
        <w:t xml:space="preserve">is </w:t>
      </w:r>
      <w:r w:rsidRPr="00D17BDC">
        <w:rPr>
          <w:rFonts w:ascii="Times New Roman" w:hAnsi="Times New Roman"/>
          <w:color w:val="auto"/>
          <w:sz w:val="24"/>
          <w:szCs w:val="24"/>
        </w:rPr>
        <w:t>committed to advocating more strongly on the issue of access to Australia’s labour markets</w:t>
      </w:r>
      <w:r w:rsidR="00D56EFD" w:rsidRPr="00D17BDC">
        <w:rPr>
          <w:rFonts w:ascii="Times New Roman" w:hAnsi="Times New Roman"/>
          <w:color w:val="auto"/>
          <w:sz w:val="24"/>
          <w:szCs w:val="24"/>
        </w:rPr>
        <w:t xml:space="preserve"> to other </w:t>
      </w:r>
      <w:r w:rsidR="004865CD" w:rsidRPr="00D17BDC">
        <w:rPr>
          <w:rFonts w:ascii="Times New Roman" w:hAnsi="Times New Roman"/>
          <w:color w:val="auto"/>
          <w:sz w:val="24"/>
          <w:szCs w:val="24"/>
        </w:rPr>
        <w:t>g</w:t>
      </w:r>
      <w:r w:rsidR="00D56EFD" w:rsidRPr="00D17BDC">
        <w:rPr>
          <w:rFonts w:ascii="Times New Roman" w:hAnsi="Times New Roman"/>
          <w:color w:val="auto"/>
          <w:sz w:val="24"/>
          <w:szCs w:val="24"/>
        </w:rPr>
        <w:t>overnment departments</w:t>
      </w:r>
      <w:r w:rsidR="009E05D4" w:rsidRPr="00D17BDC">
        <w:rPr>
          <w:rFonts w:ascii="Times New Roman" w:hAnsi="Times New Roman"/>
          <w:color w:val="auto"/>
          <w:sz w:val="24"/>
          <w:szCs w:val="24"/>
        </w:rPr>
        <w:t xml:space="preserve">. </w:t>
      </w:r>
    </w:p>
    <w:p w:rsidR="00A57099" w:rsidRPr="00D17BDC" w:rsidRDefault="00BB4FA4" w:rsidP="00A57099">
      <w:pPr>
        <w:spacing w:before="240" w:after="0" w:line="240" w:lineRule="auto"/>
        <w:rPr>
          <w:rFonts w:ascii="Times New Roman" w:hAnsi="Times New Roman"/>
          <w:color w:val="auto"/>
          <w:sz w:val="24"/>
          <w:szCs w:val="24"/>
        </w:rPr>
      </w:pPr>
      <w:proofErr w:type="spellStart"/>
      <w:r w:rsidRPr="00D17BDC">
        <w:rPr>
          <w:rFonts w:ascii="Times New Roman" w:hAnsi="Times New Roman"/>
          <w:color w:val="auto"/>
          <w:sz w:val="24"/>
          <w:szCs w:val="24"/>
        </w:rPr>
        <w:t>AusAID</w:t>
      </w:r>
      <w:proofErr w:type="spellEnd"/>
      <w:r w:rsidRPr="00D17BDC">
        <w:rPr>
          <w:rFonts w:ascii="Times New Roman" w:hAnsi="Times New Roman"/>
          <w:color w:val="auto"/>
          <w:sz w:val="24"/>
          <w:szCs w:val="24"/>
        </w:rPr>
        <w:t xml:space="preserve"> commended the MLHRD on the strong start to the TVETSSP, </w:t>
      </w:r>
      <w:r w:rsidR="004865CD" w:rsidRPr="00D17BDC">
        <w:rPr>
          <w:rFonts w:ascii="Times New Roman" w:hAnsi="Times New Roman"/>
          <w:color w:val="auto"/>
          <w:sz w:val="24"/>
          <w:szCs w:val="24"/>
        </w:rPr>
        <w:t>including</w:t>
      </w:r>
      <w:r w:rsidRPr="00D17BDC">
        <w:rPr>
          <w:rFonts w:ascii="Times New Roman" w:hAnsi="Times New Roman"/>
          <w:color w:val="auto"/>
          <w:sz w:val="24"/>
          <w:szCs w:val="24"/>
        </w:rPr>
        <w:t xml:space="preserve"> progress </w:t>
      </w:r>
      <w:r w:rsidR="004865CD" w:rsidRPr="00D17BDC">
        <w:rPr>
          <w:rFonts w:ascii="Times New Roman" w:hAnsi="Times New Roman"/>
          <w:color w:val="auto"/>
          <w:sz w:val="24"/>
          <w:szCs w:val="24"/>
        </w:rPr>
        <w:t xml:space="preserve">to date </w:t>
      </w:r>
      <w:r w:rsidRPr="00D17BDC">
        <w:rPr>
          <w:rFonts w:ascii="Times New Roman" w:hAnsi="Times New Roman"/>
          <w:color w:val="auto"/>
          <w:sz w:val="24"/>
          <w:szCs w:val="24"/>
        </w:rPr>
        <w:t>in expanding student enrolments from 185 to 26</w:t>
      </w:r>
      <w:r w:rsidR="004F0BE8" w:rsidRPr="00D17BDC">
        <w:rPr>
          <w:rFonts w:ascii="Times New Roman" w:hAnsi="Times New Roman"/>
          <w:color w:val="auto"/>
          <w:sz w:val="24"/>
          <w:szCs w:val="24"/>
        </w:rPr>
        <w:t>9 between 2010 and 2011, and up</w:t>
      </w:r>
      <w:r w:rsidRPr="00D17BDC">
        <w:rPr>
          <w:rFonts w:ascii="Times New Roman" w:hAnsi="Times New Roman"/>
          <w:color w:val="auto"/>
          <w:sz w:val="24"/>
          <w:szCs w:val="24"/>
        </w:rPr>
        <w:t xml:space="preserve">grading </w:t>
      </w:r>
      <w:r w:rsidR="004F0BE8" w:rsidRPr="00D17BDC">
        <w:rPr>
          <w:rFonts w:ascii="Times New Roman" w:hAnsi="Times New Roman"/>
          <w:color w:val="auto"/>
          <w:sz w:val="24"/>
          <w:szCs w:val="24"/>
        </w:rPr>
        <w:t xml:space="preserve">existing </w:t>
      </w:r>
      <w:r w:rsidRPr="00D17BDC">
        <w:rPr>
          <w:rFonts w:ascii="Times New Roman" w:hAnsi="Times New Roman"/>
          <w:color w:val="auto"/>
          <w:sz w:val="24"/>
          <w:szCs w:val="24"/>
        </w:rPr>
        <w:t>courses to international standards</w:t>
      </w:r>
      <w:r w:rsidR="009E05D4" w:rsidRPr="00D17BDC">
        <w:rPr>
          <w:rFonts w:ascii="Times New Roman" w:hAnsi="Times New Roman"/>
          <w:color w:val="auto"/>
          <w:sz w:val="24"/>
          <w:szCs w:val="24"/>
        </w:rPr>
        <w:t xml:space="preserve">. </w:t>
      </w:r>
      <w:r w:rsidR="004F0BE8" w:rsidRPr="00D17BDC">
        <w:rPr>
          <w:rFonts w:ascii="Times New Roman" w:hAnsi="Times New Roman"/>
          <w:color w:val="auto"/>
          <w:sz w:val="24"/>
          <w:szCs w:val="24"/>
        </w:rPr>
        <w:t>Both governments agreed the next priority is to ensure students graduate with Australian qualifications as this increases their chance of obtaining visas to work overseas.</w:t>
      </w:r>
      <w:r w:rsidRPr="00D17BDC">
        <w:rPr>
          <w:rFonts w:ascii="Times New Roman" w:hAnsi="Times New Roman"/>
          <w:color w:val="auto"/>
          <w:sz w:val="24"/>
          <w:szCs w:val="24"/>
        </w:rPr>
        <w:t xml:space="preserve"> </w:t>
      </w:r>
      <w:r w:rsidR="004865CD" w:rsidRPr="00D17BDC">
        <w:rPr>
          <w:rFonts w:ascii="Times New Roman" w:hAnsi="Times New Roman"/>
          <w:color w:val="auto"/>
          <w:sz w:val="24"/>
          <w:szCs w:val="24"/>
        </w:rPr>
        <w:t xml:space="preserve">The </w:t>
      </w:r>
      <w:r w:rsidR="00A57099" w:rsidRPr="00D17BDC">
        <w:rPr>
          <w:rFonts w:ascii="Times New Roman" w:hAnsi="Times New Roman"/>
          <w:color w:val="auto"/>
          <w:sz w:val="24"/>
          <w:szCs w:val="24"/>
        </w:rPr>
        <w:t xml:space="preserve">Secretary </w:t>
      </w:r>
      <w:r w:rsidR="002D22D3" w:rsidRPr="00D17BDC">
        <w:rPr>
          <w:rFonts w:ascii="Times New Roman" w:hAnsi="Times New Roman"/>
          <w:color w:val="auto"/>
          <w:sz w:val="24"/>
          <w:szCs w:val="24"/>
        </w:rPr>
        <w:t xml:space="preserve">to Labour </w:t>
      </w:r>
      <w:r w:rsidR="004865CD" w:rsidRPr="00D17BDC">
        <w:rPr>
          <w:rFonts w:ascii="Times New Roman" w:hAnsi="Times New Roman"/>
          <w:color w:val="auto"/>
          <w:sz w:val="24"/>
          <w:szCs w:val="24"/>
        </w:rPr>
        <w:t xml:space="preserve">asked for </w:t>
      </w:r>
      <w:r w:rsidR="00A57099" w:rsidRPr="00D17BDC">
        <w:rPr>
          <w:rFonts w:ascii="Times New Roman" w:hAnsi="Times New Roman"/>
          <w:color w:val="auto"/>
          <w:sz w:val="24"/>
          <w:szCs w:val="24"/>
        </w:rPr>
        <w:t xml:space="preserve">details of AusAID support </w:t>
      </w:r>
      <w:r w:rsidR="004865CD" w:rsidRPr="00D17BDC">
        <w:rPr>
          <w:rFonts w:ascii="Times New Roman" w:hAnsi="Times New Roman"/>
          <w:color w:val="auto"/>
          <w:sz w:val="24"/>
          <w:szCs w:val="24"/>
        </w:rPr>
        <w:t xml:space="preserve">on </w:t>
      </w:r>
      <w:r w:rsidR="009E5415" w:rsidRPr="00D17BDC">
        <w:rPr>
          <w:rFonts w:ascii="Times New Roman" w:hAnsi="Times New Roman"/>
          <w:color w:val="auto"/>
          <w:sz w:val="24"/>
          <w:szCs w:val="24"/>
        </w:rPr>
        <w:t xml:space="preserve">renovations at </w:t>
      </w:r>
      <w:r w:rsidR="00A57099" w:rsidRPr="00D17BDC">
        <w:rPr>
          <w:rFonts w:ascii="Times New Roman" w:hAnsi="Times New Roman"/>
          <w:color w:val="auto"/>
          <w:sz w:val="24"/>
          <w:szCs w:val="24"/>
        </w:rPr>
        <w:t xml:space="preserve">KIT. </w:t>
      </w:r>
      <w:proofErr w:type="spellStart"/>
      <w:r w:rsidR="00A57099" w:rsidRPr="00D17BDC">
        <w:rPr>
          <w:rFonts w:ascii="Times New Roman" w:hAnsi="Times New Roman"/>
          <w:color w:val="auto"/>
          <w:sz w:val="24"/>
          <w:szCs w:val="24"/>
        </w:rPr>
        <w:t>AusAID</w:t>
      </w:r>
      <w:proofErr w:type="spellEnd"/>
      <w:r w:rsidR="00A57099" w:rsidRPr="00D17BDC">
        <w:rPr>
          <w:rFonts w:ascii="Times New Roman" w:hAnsi="Times New Roman"/>
          <w:color w:val="auto"/>
          <w:sz w:val="24"/>
          <w:szCs w:val="24"/>
        </w:rPr>
        <w:t xml:space="preserve"> advised </w:t>
      </w:r>
      <w:r w:rsidR="004865CD" w:rsidRPr="00D17BDC">
        <w:rPr>
          <w:rFonts w:ascii="Times New Roman" w:hAnsi="Times New Roman"/>
          <w:color w:val="auto"/>
          <w:sz w:val="24"/>
          <w:szCs w:val="24"/>
        </w:rPr>
        <w:t>it</w:t>
      </w:r>
      <w:r w:rsidR="00A57099" w:rsidRPr="00D17BDC">
        <w:rPr>
          <w:rFonts w:ascii="Times New Roman" w:hAnsi="Times New Roman"/>
          <w:color w:val="auto"/>
          <w:sz w:val="24"/>
          <w:szCs w:val="24"/>
        </w:rPr>
        <w:t xml:space="preserve"> would consider the proposal and </w:t>
      </w:r>
      <w:proofErr w:type="spellStart"/>
      <w:r w:rsidR="00A57099" w:rsidRPr="00D17BDC">
        <w:rPr>
          <w:rFonts w:ascii="Times New Roman" w:hAnsi="Times New Roman"/>
          <w:color w:val="auto"/>
          <w:sz w:val="24"/>
          <w:szCs w:val="24"/>
        </w:rPr>
        <w:t>costings</w:t>
      </w:r>
      <w:proofErr w:type="spellEnd"/>
      <w:r w:rsidR="00A57099" w:rsidRPr="00D17BDC">
        <w:rPr>
          <w:rFonts w:ascii="Times New Roman" w:hAnsi="Times New Roman"/>
          <w:color w:val="auto"/>
          <w:sz w:val="24"/>
          <w:szCs w:val="24"/>
        </w:rPr>
        <w:t xml:space="preserve"> from </w:t>
      </w:r>
      <w:proofErr w:type="spellStart"/>
      <w:r w:rsidR="00A57099" w:rsidRPr="00D17BDC">
        <w:rPr>
          <w:rFonts w:ascii="Times New Roman" w:hAnsi="Times New Roman"/>
          <w:color w:val="auto"/>
          <w:sz w:val="24"/>
          <w:szCs w:val="24"/>
        </w:rPr>
        <w:t>GoK</w:t>
      </w:r>
      <w:proofErr w:type="spellEnd"/>
      <w:r w:rsidR="002D22D3" w:rsidRPr="00D17BDC">
        <w:rPr>
          <w:rFonts w:ascii="Times New Roman" w:hAnsi="Times New Roman"/>
          <w:color w:val="auto"/>
          <w:sz w:val="24"/>
          <w:szCs w:val="24"/>
        </w:rPr>
        <w:t xml:space="preserve"> for the renovations</w:t>
      </w:r>
      <w:r w:rsidR="00A57099" w:rsidRPr="00D17BDC">
        <w:rPr>
          <w:rFonts w:ascii="Times New Roman" w:hAnsi="Times New Roman"/>
          <w:color w:val="auto"/>
          <w:sz w:val="24"/>
          <w:szCs w:val="24"/>
        </w:rPr>
        <w:t xml:space="preserve"> when they are finalised</w:t>
      </w:r>
      <w:r w:rsidR="009E05D4" w:rsidRPr="00D17BDC">
        <w:rPr>
          <w:rFonts w:ascii="Times New Roman" w:hAnsi="Times New Roman"/>
          <w:color w:val="auto"/>
          <w:sz w:val="24"/>
          <w:szCs w:val="24"/>
        </w:rPr>
        <w:t xml:space="preserve">. </w:t>
      </w:r>
    </w:p>
    <w:p w:rsidR="00A57099" w:rsidRPr="00D17BDC" w:rsidRDefault="00B97F29" w:rsidP="00A57099">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For all in-service scholarship programs, t</w:t>
      </w:r>
      <w:r w:rsidR="004865CD" w:rsidRPr="00D17BDC">
        <w:rPr>
          <w:rFonts w:ascii="Times New Roman" w:hAnsi="Times New Roman"/>
          <w:color w:val="auto"/>
          <w:sz w:val="24"/>
          <w:szCs w:val="24"/>
        </w:rPr>
        <w:t xml:space="preserve">he </w:t>
      </w:r>
      <w:r w:rsidR="00A57099" w:rsidRPr="00D17BDC">
        <w:rPr>
          <w:rFonts w:ascii="Times New Roman" w:hAnsi="Times New Roman"/>
          <w:color w:val="auto"/>
          <w:sz w:val="24"/>
          <w:szCs w:val="24"/>
        </w:rPr>
        <w:t xml:space="preserve">Secretary of </w:t>
      </w:r>
      <w:r w:rsidR="004865CD" w:rsidRPr="00D17BDC">
        <w:rPr>
          <w:rFonts w:ascii="Times New Roman" w:hAnsi="Times New Roman"/>
          <w:color w:val="auto"/>
          <w:sz w:val="24"/>
          <w:szCs w:val="24"/>
        </w:rPr>
        <w:t xml:space="preserve">the </w:t>
      </w:r>
      <w:r w:rsidR="00A57099" w:rsidRPr="00D17BDC">
        <w:rPr>
          <w:rFonts w:ascii="Times New Roman" w:hAnsi="Times New Roman"/>
          <w:color w:val="auto"/>
          <w:sz w:val="24"/>
          <w:szCs w:val="24"/>
        </w:rPr>
        <w:t>P</w:t>
      </w:r>
      <w:r w:rsidR="004164BD" w:rsidRPr="00D17BDC">
        <w:rPr>
          <w:rFonts w:ascii="Times New Roman" w:hAnsi="Times New Roman"/>
          <w:color w:val="auto"/>
          <w:sz w:val="24"/>
          <w:szCs w:val="24"/>
        </w:rPr>
        <w:t xml:space="preserve">ublic </w:t>
      </w:r>
      <w:r w:rsidR="00A57099" w:rsidRPr="00D17BDC">
        <w:rPr>
          <w:rFonts w:ascii="Times New Roman" w:hAnsi="Times New Roman"/>
          <w:color w:val="auto"/>
          <w:sz w:val="24"/>
          <w:szCs w:val="24"/>
        </w:rPr>
        <w:t>S</w:t>
      </w:r>
      <w:r w:rsidR="004164BD" w:rsidRPr="00D17BDC">
        <w:rPr>
          <w:rFonts w:ascii="Times New Roman" w:hAnsi="Times New Roman"/>
          <w:color w:val="auto"/>
          <w:sz w:val="24"/>
          <w:szCs w:val="24"/>
        </w:rPr>
        <w:t xml:space="preserve">ervice </w:t>
      </w:r>
      <w:r w:rsidR="00A57099" w:rsidRPr="00D17BDC">
        <w:rPr>
          <w:rFonts w:ascii="Times New Roman" w:hAnsi="Times New Roman"/>
          <w:color w:val="auto"/>
          <w:sz w:val="24"/>
          <w:szCs w:val="24"/>
        </w:rPr>
        <w:t>O</w:t>
      </w:r>
      <w:r w:rsidR="004164BD" w:rsidRPr="00D17BDC">
        <w:rPr>
          <w:rFonts w:ascii="Times New Roman" w:hAnsi="Times New Roman"/>
          <w:color w:val="auto"/>
          <w:sz w:val="24"/>
          <w:szCs w:val="24"/>
        </w:rPr>
        <w:t>ffice</w:t>
      </w:r>
      <w:r w:rsidR="00A57099" w:rsidRPr="00D17BDC">
        <w:rPr>
          <w:rFonts w:ascii="Times New Roman" w:hAnsi="Times New Roman"/>
          <w:color w:val="auto"/>
          <w:sz w:val="24"/>
          <w:szCs w:val="24"/>
        </w:rPr>
        <w:t xml:space="preserve"> </w:t>
      </w:r>
      <w:r w:rsidR="002D22D3" w:rsidRPr="00D17BDC">
        <w:rPr>
          <w:rFonts w:ascii="Times New Roman" w:hAnsi="Times New Roman"/>
          <w:color w:val="auto"/>
          <w:sz w:val="24"/>
          <w:szCs w:val="24"/>
        </w:rPr>
        <w:t xml:space="preserve">advised </w:t>
      </w:r>
      <w:r w:rsidR="004164BD" w:rsidRPr="00D17BDC">
        <w:rPr>
          <w:rFonts w:ascii="Times New Roman" w:hAnsi="Times New Roman"/>
          <w:color w:val="auto"/>
          <w:sz w:val="24"/>
          <w:szCs w:val="24"/>
        </w:rPr>
        <w:t xml:space="preserve">it </w:t>
      </w:r>
      <w:r w:rsidR="004865CD" w:rsidRPr="00D17BDC">
        <w:rPr>
          <w:rFonts w:ascii="Times New Roman" w:hAnsi="Times New Roman"/>
          <w:color w:val="auto"/>
          <w:sz w:val="24"/>
          <w:szCs w:val="24"/>
        </w:rPr>
        <w:t>is</w:t>
      </w:r>
      <w:r w:rsidR="002D22D3" w:rsidRPr="00D17BDC">
        <w:rPr>
          <w:rFonts w:ascii="Times New Roman" w:hAnsi="Times New Roman"/>
          <w:color w:val="auto"/>
          <w:sz w:val="24"/>
          <w:szCs w:val="24"/>
        </w:rPr>
        <w:t xml:space="preserve"> </w:t>
      </w:r>
      <w:r w:rsidR="00A57099" w:rsidRPr="00D17BDC">
        <w:rPr>
          <w:rFonts w:ascii="Times New Roman" w:hAnsi="Times New Roman"/>
          <w:color w:val="auto"/>
          <w:sz w:val="24"/>
          <w:szCs w:val="24"/>
        </w:rPr>
        <w:t xml:space="preserve">reviewing policies </w:t>
      </w:r>
      <w:r w:rsidRPr="00D17BDC">
        <w:rPr>
          <w:rFonts w:ascii="Times New Roman" w:hAnsi="Times New Roman"/>
          <w:color w:val="auto"/>
          <w:sz w:val="24"/>
          <w:szCs w:val="24"/>
        </w:rPr>
        <w:t xml:space="preserve">to ensure </w:t>
      </w:r>
      <w:r w:rsidR="00A57099" w:rsidRPr="00D17BDC">
        <w:rPr>
          <w:rFonts w:ascii="Times New Roman" w:hAnsi="Times New Roman"/>
          <w:color w:val="auto"/>
          <w:sz w:val="24"/>
          <w:szCs w:val="24"/>
        </w:rPr>
        <w:t>transpa</w:t>
      </w:r>
      <w:r w:rsidR="00252186" w:rsidRPr="00D17BDC">
        <w:rPr>
          <w:rFonts w:ascii="Times New Roman" w:hAnsi="Times New Roman"/>
          <w:color w:val="auto"/>
          <w:sz w:val="24"/>
          <w:szCs w:val="24"/>
        </w:rPr>
        <w:t xml:space="preserve">rent </w:t>
      </w:r>
      <w:r w:rsidRPr="00D17BDC">
        <w:rPr>
          <w:rFonts w:ascii="Times New Roman" w:hAnsi="Times New Roman"/>
          <w:color w:val="auto"/>
          <w:sz w:val="24"/>
          <w:szCs w:val="24"/>
        </w:rPr>
        <w:t xml:space="preserve">selection </w:t>
      </w:r>
      <w:r w:rsidR="00252186" w:rsidRPr="00D17BDC">
        <w:rPr>
          <w:rFonts w:ascii="Times New Roman" w:hAnsi="Times New Roman"/>
          <w:color w:val="auto"/>
          <w:sz w:val="24"/>
          <w:szCs w:val="24"/>
        </w:rPr>
        <w:t>processes, while</w:t>
      </w:r>
      <w:r w:rsidR="00A57099" w:rsidRPr="00D17BDC">
        <w:rPr>
          <w:rFonts w:ascii="Times New Roman" w:hAnsi="Times New Roman"/>
          <w:color w:val="auto"/>
          <w:sz w:val="24"/>
          <w:szCs w:val="24"/>
        </w:rPr>
        <w:t xml:space="preserve"> considering </w:t>
      </w:r>
      <w:r w:rsidR="00BB4FA4" w:rsidRPr="00D17BDC">
        <w:rPr>
          <w:rFonts w:ascii="Times New Roman" w:hAnsi="Times New Roman"/>
          <w:color w:val="auto"/>
          <w:sz w:val="24"/>
          <w:szCs w:val="24"/>
        </w:rPr>
        <w:t xml:space="preserve">equity issues raised by AusAID. </w:t>
      </w:r>
      <w:r w:rsidR="00A57099" w:rsidRPr="00D17BDC">
        <w:rPr>
          <w:rFonts w:ascii="Times New Roman" w:hAnsi="Times New Roman"/>
          <w:color w:val="auto"/>
          <w:sz w:val="24"/>
          <w:szCs w:val="24"/>
        </w:rPr>
        <w:t xml:space="preserve">AusAID noted </w:t>
      </w:r>
      <w:r w:rsidR="004865CD" w:rsidRPr="00D17BDC">
        <w:rPr>
          <w:rFonts w:ascii="Times New Roman" w:hAnsi="Times New Roman"/>
          <w:color w:val="auto"/>
          <w:sz w:val="24"/>
          <w:szCs w:val="24"/>
        </w:rPr>
        <w:t xml:space="preserve">the </w:t>
      </w:r>
      <w:r w:rsidR="00A57099" w:rsidRPr="00D17BDC">
        <w:rPr>
          <w:rFonts w:ascii="Times New Roman" w:hAnsi="Times New Roman"/>
          <w:color w:val="auto"/>
          <w:sz w:val="24"/>
          <w:szCs w:val="24"/>
        </w:rPr>
        <w:t xml:space="preserve">importance of the </w:t>
      </w:r>
      <w:r w:rsidR="004865CD" w:rsidRPr="00D17BDC">
        <w:rPr>
          <w:rFonts w:ascii="Times New Roman" w:hAnsi="Times New Roman"/>
          <w:color w:val="auto"/>
          <w:sz w:val="24"/>
          <w:szCs w:val="24"/>
        </w:rPr>
        <w:t>need for</w:t>
      </w:r>
      <w:r w:rsidR="00A57099" w:rsidRPr="00D17BDC">
        <w:rPr>
          <w:rFonts w:ascii="Times New Roman" w:hAnsi="Times New Roman"/>
          <w:color w:val="auto"/>
          <w:sz w:val="24"/>
          <w:szCs w:val="24"/>
        </w:rPr>
        <w:t xml:space="preserve"> data </w:t>
      </w:r>
      <w:r w:rsidR="004865CD" w:rsidRPr="00D17BDC">
        <w:rPr>
          <w:rFonts w:ascii="Times New Roman" w:hAnsi="Times New Roman"/>
          <w:color w:val="auto"/>
          <w:sz w:val="24"/>
          <w:szCs w:val="24"/>
        </w:rPr>
        <w:t>on</w:t>
      </w:r>
      <w:r w:rsidR="00A57099" w:rsidRPr="00D17BDC">
        <w:rPr>
          <w:rFonts w:ascii="Times New Roman" w:hAnsi="Times New Roman"/>
          <w:color w:val="auto"/>
          <w:sz w:val="24"/>
          <w:szCs w:val="24"/>
        </w:rPr>
        <w:t xml:space="preserve"> </w:t>
      </w:r>
      <w:r w:rsidRPr="00D17BDC">
        <w:rPr>
          <w:rFonts w:ascii="Times New Roman" w:hAnsi="Times New Roman"/>
          <w:color w:val="auto"/>
          <w:sz w:val="24"/>
          <w:szCs w:val="24"/>
        </w:rPr>
        <w:t xml:space="preserve">tertiary </w:t>
      </w:r>
      <w:r w:rsidR="00A57099" w:rsidRPr="00D17BDC">
        <w:rPr>
          <w:rFonts w:ascii="Times New Roman" w:hAnsi="Times New Roman"/>
          <w:color w:val="auto"/>
          <w:sz w:val="24"/>
          <w:szCs w:val="24"/>
        </w:rPr>
        <w:t xml:space="preserve">education and </w:t>
      </w:r>
      <w:r w:rsidR="004865CD" w:rsidRPr="00D17BDC">
        <w:rPr>
          <w:rFonts w:ascii="Times New Roman" w:hAnsi="Times New Roman"/>
          <w:color w:val="auto"/>
          <w:sz w:val="24"/>
          <w:szCs w:val="24"/>
        </w:rPr>
        <w:t>asked that</w:t>
      </w:r>
      <w:r w:rsidR="002D22D3" w:rsidRPr="00D17BDC">
        <w:rPr>
          <w:rFonts w:ascii="Times New Roman" w:hAnsi="Times New Roman"/>
          <w:color w:val="auto"/>
          <w:sz w:val="24"/>
          <w:szCs w:val="24"/>
        </w:rPr>
        <w:t xml:space="preserve"> conduct</w:t>
      </w:r>
      <w:r w:rsidR="004865CD" w:rsidRPr="00D17BDC">
        <w:rPr>
          <w:rFonts w:ascii="Times New Roman" w:hAnsi="Times New Roman"/>
          <w:color w:val="auto"/>
          <w:sz w:val="24"/>
          <w:szCs w:val="24"/>
        </w:rPr>
        <w:t>ing</w:t>
      </w:r>
      <w:r w:rsidR="002D22D3" w:rsidRPr="00D17BDC">
        <w:rPr>
          <w:rFonts w:ascii="Times New Roman" w:hAnsi="Times New Roman"/>
          <w:color w:val="auto"/>
          <w:sz w:val="24"/>
          <w:szCs w:val="24"/>
        </w:rPr>
        <w:t xml:space="preserve"> </w:t>
      </w:r>
      <w:r w:rsidR="00A57099" w:rsidRPr="00D17BDC">
        <w:rPr>
          <w:rFonts w:ascii="Times New Roman" w:hAnsi="Times New Roman"/>
          <w:color w:val="auto"/>
          <w:sz w:val="24"/>
          <w:szCs w:val="24"/>
        </w:rPr>
        <w:t xml:space="preserve">tracer studies and </w:t>
      </w:r>
      <w:r w:rsidR="002D22D3" w:rsidRPr="00D17BDC">
        <w:rPr>
          <w:rFonts w:ascii="Times New Roman" w:hAnsi="Times New Roman"/>
          <w:color w:val="auto"/>
          <w:sz w:val="24"/>
          <w:szCs w:val="24"/>
        </w:rPr>
        <w:t>improv</w:t>
      </w:r>
      <w:r w:rsidR="004865CD" w:rsidRPr="00D17BDC">
        <w:rPr>
          <w:rFonts w:ascii="Times New Roman" w:hAnsi="Times New Roman"/>
          <w:color w:val="auto"/>
          <w:sz w:val="24"/>
          <w:szCs w:val="24"/>
        </w:rPr>
        <w:t>ing</w:t>
      </w:r>
      <w:r w:rsidR="002D22D3" w:rsidRPr="00D17BDC">
        <w:rPr>
          <w:rFonts w:ascii="Times New Roman" w:hAnsi="Times New Roman"/>
          <w:color w:val="auto"/>
          <w:sz w:val="24"/>
          <w:szCs w:val="24"/>
        </w:rPr>
        <w:t xml:space="preserve"> Kiribati Education Management Information System to monitor tertiary education (university and TVET)</w:t>
      </w:r>
      <w:r w:rsidR="004865CD" w:rsidRPr="00D17BDC">
        <w:rPr>
          <w:rFonts w:ascii="Times New Roman" w:hAnsi="Times New Roman"/>
          <w:color w:val="auto"/>
          <w:sz w:val="24"/>
          <w:szCs w:val="24"/>
        </w:rPr>
        <w:t xml:space="preserve"> be priorities</w:t>
      </w:r>
      <w:r w:rsidR="00A57099" w:rsidRPr="00D17BDC">
        <w:rPr>
          <w:rFonts w:ascii="Times New Roman" w:hAnsi="Times New Roman"/>
          <w:color w:val="auto"/>
          <w:sz w:val="24"/>
          <w:szCs w:val="24"/>
        </w:rPr>
        <w:t>.</w:t>
      </w:r>
    </w:p>
    <w:p w:rsidR="00A57099" w:rsidRPr="00D17BDC" w:rsidRDefault="004865CD" w:rsidP="00A57099">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The </w:t>
      </w:r>
      <w:r w:rsidR="00A57099" w:rsidRPr="00D17BDC">
        <w:rPr>
          <w:rFonts w:ascii="Times New Roman" w:hAnsi="Times New Roman"/>
          <w:color w:val="auto"/>
          <w:sz w:val="24"/>
          <w:szCs w:val="24"/>
        </w:rPr>
        <w:t xml:space="preserve">MLHRD advised </w:t>
      </w:r>
      <w:r w:rsidRPr="00D17BDC">
        <w:rPr>
          <w:rFonts w:ascii="Times New Roman" w:hAnsi="Times New Roman"/>
          <w:color w:val="auto"/>
          <w:sz w:val="24"/>
          <w:szCs w:val="24"/>
        </w:rPr>
        <w:t>it is</w:t>
      </w:r>
      <w:r w:rsidR="00A57099" w:rsidRPr="00D17BDC">
        <w:rPr>
          <w:rFonts w:ascii="Times New Roman" w:hAnsi="Times New Roman"/>
          <w:color w:val="auto"/>
          <w:sz w:val="24"/>
          <w:szCs w:val="24"/>
        </w:rPr>
        <w:t xml:space="preserve"> still in discussions with the MISA on</w:t>
      </w:r>
      <w:r w:rsidRPr="00D17BDC">
        <w:rPr>
          <w:rFonts w:ascii="Times New Roman" w:hAnsi="Times New Roman"/>
          <w:color w:val="auto"/>
          <w:sz w:val="24"/>
          <w:szCs w:val="24"/>
        </w:rPr>
        <w:t xml:space="preserve"> the</w:t>
      </w:r>
      <w:r w:rsidR="00A57099" w:rsidRPr="00D17BDC">
        <w:rPr>
          <w:rFonts w:ascii="Times New Roman" w:hAnsi="Times New Roman"/>
          <w:color w:val="auto"/>
          <w:sz w:val="24"/>
          <w:szCs w:val="24"/>
        </w:rPr>
        <w:t xml:space="preserve"> development of a Youth Employment Policy, which the </w:t>
      </w:r>
      <w:r w:rsidR="00C64177" w:rsidRPr="00D17BDC">
        <w:rPr>
          <w:rFonts w:ascii="Times New Roman" w:hAnsi="Times New Roman"/>
          <w:color w:val="auto"/>
          <w:sz w:val="24"/>
          <w:szCs w:val="24"/>
        </w:rPr>
        <w:t>International Labour Organi</w:t>
      </w:r>
      <w:r w:rsidRPr="00D17BDC">
        <w:rPr>
          <w:rFonts w:ascii="Times New Roman" w:hAnsi="Times New Roman"/>
          <w:color w:val="auto"/>
          <w:sz w:val="24"/>
          <w:szCs w:val="24"/>
        </w:rPr>
        <w:t>z</w:t>
      </w:r>
      <w:r w:rsidR="00C64177" w:rsidRPr="00D17BDC">
        <w:rPr>
          <w:rFonts w:ascii="Times New Roman" w:hAnsi="Times New Roman"/>
          <w:color w:val="auto"/>
          <w:sz w:val="24"/>
          <w:szCs w:val="24"/>
        </w:rPr>
        <w:t xml:space="preserve">ation </w:t>
      </w:r>
      <w:r w:rsidR="00A57099" w:rsidRPr="00D17BDC">
        <w:rPr>
          <w:rFonts w:ascii="Times New Roman" w:hAnsi="Times New Roman"/>
          <w:color w:val="auto"/>
          <w:sz w:val="24"/>
          <w:szCs w:val="24"/>
        </w:rPr>
        <w:t xml:space="preserve">is coordinating. AusAID articulated </w:t>
      </w:r>
      <w:r w:rsidRPr="00D17BDC">
        <w:rPr>
          <w:rFonts w:ascii="Times New Roman" w:hAnsi="Times New Roman"/>
          <w:color w:val="auto"/>
          <w:sz w:val="24"/>
          <w:szCs w:val="24"/>
        </w:rPr>
        <w:t>it</w:t>
      </w:r>
      <w:r w:rsidR="00A57099" w:rsidRPr="00D17BDC">
        <w:rPr>
          <w:rFonts w:ascii="Times New Roman" w:hAnsi="Times New Roman"/>
          <w:color w:val="auto"/>
          <w:sz w:val="24"/>
          <w:szCs w:val="24"/>
        </w:rPr>
        <w:t xml:space="preserve"> hope</w:t>
      </w:r>
      <w:r w:rsidRPr="00D17BDC">
        <w:rPr>
          <w:rFonts w:ascii="Times New Roman" w:hAnsi="Times New Roman"/>
          <w:color w:val="auto"/>
          <w:sz w:val="24"/>
          <w:szCs w:val="24"/>
        </w:rPr>
        <w:t>d</w:t>
      </w:r>
      <w:r w:rsidR="00A57099" w:rsidRPr="00D17BDC">
        <w:rPr>
          <w:rFonts w:ascii="Times New Roman" w:hAnsi="Times New Roman"/>
          <w:color w:val="auto"/>
          <w:sz w:val="24"/>
          <w:szCs w:val="24"/>
        </w:rPr>
        <w:t xml:space="preserve"> to support the </w:t>
      </w:r>
      <w:r w:rsidR="00DB4E4A" w:rsidRPr="00D17BDC">
        <w:rPr>
          <w:rFonts w:ascii="Times New Roman" w:hAnsi="Times New Roman"/>
          <w:color w:val="auto"/>
          <w:sz w:val="24"/>
          <w:szCs w:val="24"/>
        </w:rPr>
        <w:t>m</w:t>
      </w:r>
      <w:r w:rsidR="00A57099" w:rsidRPr="00D17BDC">
        <w:rPr>
          <w:rFonts w:ascii="Times New Roman" w:hAnsi="Times New Roman"/>
          <w:color w:val="auto"/>
          <w:sz w:val="24"/>
          <w:szCs w:val="24"/>
        </w:rPr>
        <w:t>inistry in this area</w:t>
      </w:r>
      <w:r w:rsidR="004164BD" w:rsidRPr="00D17BDC">
        <w:rPr>
          <w:rFonts w:ascii="Times New Roman" w:hAnsi="Times New Roman"/>
          <w:color w:val="auto"/>
          <w:sz w:val="24"/>
          <w:szCs w:val="24"/>
        </w:rPr>
        <w:t>,</w:t>
      </w:r>
      <w:r w:rsidR="00A57099" w:rsidRPr="00D17BDC">
        <w:rPr>
          <w:rFonts w:ascii="Times New Roman" w:hAnsi="Times New Roman"/>
          <w:color w:val="auto"/>
          <w:sz w:val="24"/>
          <w:szCs w:val="24"/>
        </w:rPr>
        <w:t xml:space="preserve"> as expectations </w:t>
      </w:r>
      <w:r w:rsidR="00924B80" w:rsidRPr="00D17BDC">
        <w:rPr>
          <w:rFonts w:ascii="Times New Roman" w:hAnsi="Times New Roman"/>
          <w:color w:val="auto"/>
          <w:sz w:val="24"/>
          <w:szCs w:val="24"/>
        </w:rPr>
        <w:t xml:space="preserve">have been established </w:t>
      </w:r>
      <w:r w:rsidR="00A57099" w:rsidRPr="00D17BDC">
        <w:rPr>
          <w:rFonts w:ascii="Times New Roman" w:hAnsi="Times New Roman"/>
          <w:color w:val="auto"/>
          <w:sz w:val="24"/>
          <w:szCs w:val="24"/>
        </w:rPr>
        <w:t xml:space="preserve">among the communities where the program has started. </w:t>
      </w:r>
      <w:r w:rsidR="00D56EFD" w:rsidRPr="00D17BDC">
        <w:rPr>
          <w:rFonts w:ascii="Times New Roman" w:hAnsi="Times New Roman"/>
          <w:color w:val="auto"/>
          <w:sz w:val="24"/>
          <w:szCs w:val="24"/>
        </w:rPr>
        <w:t>AusAID advised that</w:t>
      </w:r>
      <w:r w:rsidR="00261467" w:rsidRPr="00D17BDC">
        <w:rPr>
          <w:rFonts w:ascii="Times New Roman" w:hAnsi="Times New Roman"/>
          <w:color w:val="auto"/>
          <w:sz w:val="24"/>
          <w:szCs w:val="24"/>
        </w:rPr>
        <w:t xml:space="preserve"> any broader support to this area would be contingent on broader GoK support to private sector development, acknowledging existing priorities of </w:t>
      </w:r>
      <w:r w:rsidR="00C64177" w:rsidRPr="00D17BDC">
        <w:rPr>
          <w:rFonts w:ascii="Times New Roman" w:hAnsi="Times New Roman"/>
          <w:color w:val="auto"/>
          <w:sz w:val="24"/>
          <w:szCs w:val="24"/>
        </w:rPr>
        <w:t xml:space="preserve">Public Financial Management </w:t>
      </w:r>
      <w:r w:rsidR="00070BE9">
        <w:rPr>
          <w:rFonts w:ascii="Times New Roman" w:hAnsi="Times New Roman"/>
          <w:color w:val="auto"/>
          <w:sz w:val="24"/>
          <w:szCs w:val="24"/>
        </w:rPr>
        <w:t>(</w:t>
      </w:r>
      <w:r w:rsidR="00D56EFD" w:rsidRPr="00D17BDC">
        <w:rPr>
          <w:rFonts w:ascii="Times New Roman" w:hAnsi="Times New Roman"/>
          <w:color w:val="auto"/>
          <w:sz w:val="24"/>
          <w:szCs w:val="24"/>
        </w:rPr>
        <w:t>PFM</w:t>
      </w:r>
      <w:r w:rsidR="00070BE9">
        <w:rPr>
          <w:rFonts w:ascii="Times New Roman" w:hAnsi="Times New Roman"/>
          <w:color w:val="auto"/>
          <w:sz w:val="24"/>
          <w:szCs w:val="24"/>
        </w:rPr>
        <w:t>)</w:t>
      </w:r>
      <w:r w:rsidR="00D56EFD" w:rsidRPr="00D17BDC">
        <w:rPr>
          <w:rFonts w:ascii="Times New Roman" w:hAnsi="Times New Roman"/>
          <w:color w:val="auto"/>
          <w:sz w:val="24"/>
          <w:szCs w:val="24"/>
        </w:rPr>
        <w:t xml:space="preserve"> and </w:t>
      </w:r>
      <w:r w:rsidR="00C64177" w:rsidRPr="00D17BDC">
        <w:rPr>
          <w:rFonts w:ascii="Times New Roman" w:hAnsi="Times New Roman"/>
          <w:color w:val="auto"/>
          <w:sz w:val="24"/>
          <w:szCs w:val="24"/>
        </w:rPr>
        <w:t xml:space="preserve">state-owned enterprise </w:t>
      </w:r>
      <w:r w:rsidR="00070BE9">
        <w:rPr>
          <w:rFonts w:ascii="Times New Roman" w:hAnsi="Times New Roman"/>
          <w:color w:val="auto"/>
          <w:sz w:val="24"/>
          <w:szCs w:val="24"/>
        </w:rPr>
        <w:t>(</w:t>
      </w:r>
      <w:r w:rsidR="00D56EFD" w:rsidRPr="00D17BDC">
        <w:rPr>
          <w:rFonts w:ascii="Times New Roman" w:hAnsi="Times New Roman"/>
          <w:color w:val="auto"/>
          <w:sz w:val="24"/>
          <w:szCs w:val="24"/>
        </w:rPr>
        <w:t>SOE</w:t>
      </w:r>
      <w:r w:rsidR="00070BE9">
        <w:rPr>
          <w:rFonts w:ascii="Times New Roman" w:hAnsi="Times New Roman"/>
          <w:color w:val="auto"/>
          <w:sz w:val="24"/>
          <w:szCs w:val="24"/>
        </w:rPr>
        <w:t>)</w:t>
      </w:r>
      <w:r w:rsidR="00D56EFD" w:rsidRPr="00D17BDC">
        <w:rPr>
          <w:rFonts w:ascii="Times New Roman" w:hAnsi="Times New Roman"/>
          <w:color w:val="auto"/>
          <w:sz w:val="24"/>
          <w:szCs w:val="24"/>
        </w:rPr>
        <w:t xml:space="preserve">. </w:t>
      </w:r>
    </w:p>
    <w:p w:rsidR="00A57099" w:rsidRPr="00D17BDC" w:rsidRDefault="00A57099" w:rsidP="00A57099">
      <w:pPr>
        <w:spacing w:before="240" w:after="0" w:line="240" w:lineRule="auto"/>
        <w:rPr>
          <w:rFonts w:ascii="Times New Roman" w:hAnsi="Times New Roman"/>
          <w:color w:val="auto"/>
          <w:sz w:val="24"/>
          <w:szCs w:val="24"/>
        </w:rPr>
      </w:pPr>
      <w:r w:rsidRPr="00D17BDC">
        <w:rPr>
          <w:rFonts w:ascii="Times New Roman" w:hAnsi="Times New Roman"/>
          <w:color w:val="auto"/>
          <w:sz w:val="24"/>
          <w:szCs w:val="24"/>
        </w:rPr>
        <w:t xml:space="preserve">GoK </w:t>
      </w:r>
      <w:r w:rsidR="00E90481" w:rsidRPr="00D17BDC">
        <w:rPr>
          <w:rFonts w:ascii="Times New Roman" w:hAnsi="Times New Roman"/>
          <w:color w:val="auto"/>
          <w:sz w:val="24"/>
          <w:szCs w:val="24"/>
        </w:rPr>
        <w:t xml:space="preserve">asked </w:t>
      </w:r>
      <w:r w:rsidRPr="00D17BDC">
        <w:rPr>
          <w:rFonts w:ascii="Times New Roman" w:hAnsi="Times New Roman"/>
          <w:color w:val="auto"/>
          <w:sz w:val="24"/>
          <w:szCs w:val="24"/>
        </w:rPr>
        <w:t>AusAID to fast</w:t>
      </w:r>
      <w:r w:rsidR="00E90481" w:rsidRPr="00D17BDC">
        <w:rPr>
          <w:rFonts w:ascii="Times New Roman" w:hAnsi="Times New Roman"/>
          <w:color w:val="auto"/>
          <w:sz w:val="24"/>
          <w:szCs w:val="24"/>
        </w:rPr>
        <w:t xml:space="preserve"> </w:t>
      </w:r>
      <w:r w:rsidRPr="00D17BDC">
        <w:rPr>
          <w:rFonts w:ascii="Times New Roman" w:hAnsi="Times New Roman"/>
          <w:color w:val="auto"/>
          <w:sz w:val="24"/>
          <w:szCs w:val="24"/>
        </w:rPr>
        <w:t xml:space="preserve">track </w:t>
      </w:r>
      <w:r w:rsidR="00D56EFD" w:rsidRPr="00D17BDC">
        <w:rPr>
          <w:rFonts w:ascii="Times New Roman" w:hAnsi="Times New Roman"/>
          <w:color w:val="auto"/>
          <w:sz w:val="24"/>
          <w:szCs w:val="24"/>
        </w:rPr>
        <w:t>its proposed support to</w:t>
      </w:r>
      <w:r w:rsidR="00E90481" w:rsidRPr="00D17BDC">
        <w:rPr>
          <w:rFonts w:ascii="Times New Roman" w:hAnsi="Times New Roman"/>
          <w:color w:val="auto"/>
          <w:sz w:val="24"/>
          <w:szCs w:val="24"/>
        </w:rPr>
        <w:t xml:space="preserve"> the</w:t>
      </w:r>
      <w:r w:rsidR="00D56EFD" w:rsidRPr="00D17BDC">
        <w:rPr>
          <w:rFonts w:ascii="Times New Roman" w:hAnsi="Times New Roman"/>
          <w:color w:val="auto"/>
          <w:sz w:val="24"/>
          <w:szCs w:val="24"/>
        </w:rPr>
        <w:t xml:space="preserve"> Kiribati School of Nursing. </w:t>
      </w:r>
      <w:r w:rsidRPr="00D17BDC">
        <w:rPr>
          <w:rFonts w:ascii="Times New Roman" w:hAnsi="Times New Roman"/>
          <w:color w:val="auto"/>
          <w:sz w:val="24"/>
          <w:szCs w:val="24"/>
        </w:rPr>
        <w:t xml:space="preserve">AusAID advised that this is being progressed, with the </w:t>
      </w:r>
      <w:r w:rsidR="00C64177" w:rsidRPr="00D17BDC">
        <w:rPr>
          <w:rFonts w:ascii="Times New Roman" w:hAnsi="Times New Roman"/>
          <w:color w:val="auto"/>
          <w:sz w:val="24"/>
          <w:szCs w:val="24"/>
        </w:rPr>
        <w:t>World Health Organization (</w:t>
      </w:r>
      <w:r w:rsidRPr="00D17BDC">
        <w:rPr>
          <w:rFonts w:ascii="Times New Roman" w:hAnsi="Times New Roman"/>
          <w:color w:val="auto"/>
          <w:sz w:val="24"/>
          <w:szCs w:val="24"/>
        </w:rPr>
        <w:t>WHO</w:t>
      </w:r>
      <w:r w:rsidR="00C64177" w:rsidRPr="00D17BDC">
        <w:rPr>
          <w:rFonts w:ascii="Times New Roman" w:hAnsi="Times New Roman"/>
          <w:color w:val="auto"/>
          <w:sz w:val="24"/>
          <w:szCs w:val="24"/>
        </w:rPr>
        <w:t>)</w:t>
      </w:r>
      <w:r w:rsidRPr="00D17BDC">
        <w:rPr>
          <w:rFonts w:ascii="Times New Roman" w:hAnsi="Times New Roman"/>
          <w:color w:val="auto"/>
          <w:sz w:val="24"/>
          <w:szCs w:val="24"/>
        </w:rPr>
        <w:t xml:space="preserve"> proposal now being considered</w:t>
      </w:r>
      <w:r w:rsidR="00343700" w:rsidRPr="00D17BDC">
        <w:rPr>
          <w:rFonts w:ascii="Times New Roman" w:hAnsi="Times New Roman"/>
          <w:color w:val="auto"/>
          <w:sz w:val="24"/>
          <w:szCs w:val="24"/>
        </w:rPr>
        <w:t xml:space="preserve"> by AusAID</w:t>
      </w:r>
      <w:r w:rsidR="00E90481" w:rsidRPr="00D17BDC">
        <w:rPr>
          <w:rFonts w:ascii="Times New Roman" w:hAnsi="Times New Roman"/>
          <w:color w:val="auto"/>
          <w:sz w:val="24"/>
          <w:szCs w:val="24"/>
        </w:rPr>
        <w:t>,</w:t>
      </w:r>
      <w:r w:rsidR="00343700" w:rsidRPr="00D17BDC">
        <w:rPr>
          <w:rFonts w:ascii="Times New Roman" w:hAnsi="Times New Roman"/>
          <w:color w:val="auto"/>
          <w:sz w:val="24"/>
          <w:szCs w:val="24"/>
        </w:rPr>
        <w:t xml:space="preserve"> MHMS and MLHRD</w:t>
      </w:r>
      <w:r w:rsidRPr="00D17BDC">
        <w:rPr>
          <w:rFonts w:ascii="Times New Roman" w:hAnsi="Times New Roman"/>
          <w:color w:val="auto"/>
          <w:sz w:val="24"/>
          <w:szCs w:val="24"/>
        </w:rPr>
        <w:t>. Both parties commented on the costs of the KANI scholarships program and</w:t>
      </w:r>
      <w:r w:rsidR="00E90481" w:rsidRPr="00D17BDC">
        <w:rPr>
          <w:rFonts w:ascii="Times New Roman" w:hAnsi="Times New Roman"/>
          <w:color w:val="auto"/>
          <w:sz w:val="24"/>
          <w:szCs w:val="24"/>
        </w:rPr>
        <w:t xml:space="preserve"> the</w:t>
      </w:r>
      <w:r w:rsidRPr="00D17BDC">
        <w:rPr>
          <w:rFonts w:ascii="Times New Roman" w:hAnsi="Times New Roman"/>
          <w:color w:val="auto"/>
          <w:sz w:val="24"/>
          <w:szCs w:val="24"/>
        </w:rPr>
        <w:t xml:space="preserve"> need to review outcomes under the pilot program.</w:t>
      </w:r>
      <w:r w:rsidR="00DB4E4A" w:rsidRPr="00D17BDC">
        <w:rPr>
          <w:rFonts w:ascii="Times New Roman" w:hAnsi="Times New Roman"/>
          <w:color w:val="auto"/>
          <w:sz w:val="24"/>
          <w:szCs w:val="24"/>
        </w:rPr>
        <w:t xml:space="preserve"> </w:t>
      </w:r>
      <w:r w:rsidR="00E90481" w:rsidRPr="00D17BDC">
        <w:rPr>
          <w:rFonts w:ascii="Times New Roman" w:hAnsi="Times New Roman"/>
          <w:color w:val="auto"/>
          <w:sz w:val="24"/>
          <w:szCs w:val="24"/>
        </w:rPr>
        <w:t>GoK</w:t>
      </w:r>
      <w:r w:rsidR="00C56CEE" w:rsidRPr="00D17BDC">
        <w:rPr>
          <w:rFonts w:ascii="Times New Roman" w:hAnsi="Times New Roman"/>
          <w:color w:val="auto"/>
          <w:sz w:val="24"/>
          <w:szCs w:val="24"/>
        </w:rPr>
        <w:t>’s</w:t>
      </w:r>
      <w:r w:rsidR="00E90481" w:rsidRPr="00D17BDC">
        <w:rPr>
          <w:rFonts w:ascii="Times New Roman" w:hAnsi="Times New Roman"/>
          <w:color w:val="auto"/>
          <w:sz w:val="24"/>
          <w:szCs w:val="24"/>
        </w:rPr>
        <w:t xml:space="preserve"> </w:t>
      </w:r>
      <w:r w:rsidRPr="00D17BDC">
        <w:rPr>
          <w:rFonts w:ascii="Times New Roman" w:hAnsi="Times New Roman"/>
          <w:color w:val="auto"/>
          <w:sz w:val="24"/>
          <w:szCs w:val="24"/>
        </w:rPr>
        <w:t xml:space="preserve">Foreign Affairs Secretary </w:t>
      </w:r>
      <w:r w:rsidR="009E5415" w:rsidRPr="00D17BDC">
        <w:rPr>
          <w:rFonts w:ascii="Times New Roman" w:hAnsi="Times New Roman"/>
          <w:color w:val="auto"/>
          <w:sz w:val="24"/>
          <w:szCs w:val="24"/>
        </w:rPr>
        <w:t>advised that investments</w:t>
      </w:r>
      <w:r w:rsidRPr="00D17BDC">
        <w:rPr>
          <w:rFonts w:ascii="Times New Roman" w:hAnsi="Times New Roman"/>
          <w:color w:val="auto"/>
          <w:sz w:val="24"/>
          <w:szCs w:val="24"/>
        </w:rPr>
        <w:t xml:space="preserve"> might</w:t>
      </w:r>
      <w:r w:rsidR="00E90481" w:rsidRPr="00D17BDC">
        <w:rPr>
          <w:rFonts w:ascii="Times New Roman" w:hAnsi="Times New Roman"/>
          <w:color w:val="auto"/>
          <w:sz w:val="24"/>
          <w:szCs w:val="24"/>
        </w:rPr>
        <w:t xml:space="preserve"> represent</w:t>
      </w:r>
      <w:r w:rsidRPr="00D17BDC">
        <w:rPr>
          <w:rFonts w:ascii="Times New Roman" w:hAnsi="Times New Roman"/>
          <w:color w:val="auto"/>
          <w:sz w:val="24"/>
          <w:szCs w:val="24"/>
        </w:rPr>
        <w:t xml:space="preserve"> better</w:t>
      </w:r>
      <w:r w:rsidR="00E90481" w:rsidRPr="00D17BDC">
        <w:rPr>
          <w:rFonts w:ascii="Times New Roman" w:hAnsi="Times New Roman"/>
          <w:color w:val="auto"/>
          <w:sz w:val="24"/>
          <w:szCs w:val="24"/>
        </w:rPr>
        <w:t xml:space="preserve"> value for money if</w:t>
      </w:r>
      <w:r w:rsidRPr="00D17BDC">
        <w:rPr>
          <w:rFonts w:ascii="Times New Roman" w:hAnsi="Times New Roman"/>
          <w:color w:val="auto"/>
          <w:sz w:val="24"/>
          <w:szCs w:val="24"/>
        </w:rPr>
        <w:t xml:space="preserve"> focused </w:t>
      </w:r>
      <w:r w:rsidR="00E90481" w:rsidRPr="00D17BDC">
        <w:rPr>
          <w:rFonts w:ascii="Times New Roman" w:hAnsi="Times New Roman"/>
          <w:color w:val="auto"/>
          <w:sz w:val="24"/>
          <w:szCs w:val="24"/>
        </w:rPr>
        <w:t xml:space="preserve">on </w:t>
      </w:r>
      <w:r w:rsidRPr="00D17BDC">
        <w:rPr>
          <w:rFonts w:ascii="Times New Roman" w:hAnsi="Times New Roman"/>
          <w:color w:val="auto"/>
          <w:sz w:val="24"/>
          <w:szCs w:val="24"/>
        </w:rPr>
        <w:t>strengthening local institutions.</w:t>
      </w:r>
    </w:p>
    <w:p w:rsidR="00840E4C" w:rsidRPr="00D17BDC" w:rsidRDefault="000C42DD" w:rsidP="006A5382">
      <w:pPr>
        <w:spacing w:before="240" w:after="0" w:line="240" w:lineRule="auto"/>
        <w:rPr>
          <w:rFonts w:ascii="Times New Roman" w:hAnsi="Times New Roman"/>
          <w:color w:val="auto"/>
          <w:sz w:val="24"/>
          <w:szCs w:val="24"/>
        </w:rPr>
      </w:pPr>
      <w:r>
        <w:rPr>
          <w:rFonts w:ascii="Times New Roman" w:hAnsi="Times New Roman"/>
          <w:noProof/>
          <w:color w:val="auto"/>
          <w:sz w:val="24"/>
          <w:szCs w:val="24"/>
          <w:lang w:val="en-US" w:eastAsia="en-US"/>
        </w:rPr>
        <mc:AlternateContent>
          <mc:Choice Requires="wps">
            <w:drawing>
              <wp:inline distT="0" distB="0" distL="0" distR="0">
                <wp:extent cx="5943600" cy="2322830"/>
                <wp:effectExtent l="7620" t="5715" r="11430" b="5080"/>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2830"/>
                        </a:xfrm>
                        <a:prstGeom prst="rect">
                          <a:avLst/>
                        </a:prstGeom>
                        <a:solidFill>
                          <a:srgbClr val="C0C0C0">
                            <a:alpha val="28000"/>
                          </a:srgbClr>
                        </a:solidFill>
                        <a:ln w="9525">
                          <a:solidFill>
                            <a:srgbClr val="000000"/>
                          </a:solidFill>
                          <a:miter lim="800000"/>
                          <a:headEnd/>
                          <a:tailEnd/>
                        </a:ln>
                      </wps:spPr>
                      <wps:txbx>
                        <w:txbxContent>
                          <w:p w:rsidR="00807794" w:rsidRPr="00477DB1" w:rsidRDefault="00807794" w:rsidP="00807794">
                            <w:pPr>
                              <w:spacing w:after="120" w:line="240" w:lineRule="auto"/>
                              <w:rPr>
                                <w:rFonts w:ascii="Times New Roman" w:hAnsi="Times New Roman"/>
                                <w:b/>
                                <w:sz w:val="24"/>
                                <w:szCs w:val="24"/>
                              </w:rPr>
                            </w:pPr>
                            <w:r w:rsidRPr="00477DB1">
                              <w:rPr>
                                <w:rFonts w:ascii="Times New Roman" w:hAnsi="Times New Roman"/>
                                <w:b/>
                                <w:sz w:val="24"/>
                                <w:szCs w:val="24"/>
                              </w:rPr>
                              <w:t>Outcomes from the 2011 Partnership Talks</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 xml:space="preserve">Labour mobility is managed by many parts of the Australian </w:t>
                            </w:r>
                            <w:r>
                              <w:rPr>
                                <w:rFonts w:ascii="Times New Roman" w:hAnsi="Times New Roman"/>
                                <w:sz w:val="24"/>
                                <w:szCs w:val="24"/>
                              </w:rPr>
                              <w:t>G</w:t>
                            </w:r>
                            <w:r w:rsidRPr="00C60EDB">
                              <w:rPr>
                                <w:rFonts w:ascii="Times New Roman" w:hAnsi="Times New Roman"/>
                                <w:sz w:val="24"/>
                                <w:szCs w:val="24"/>
                              </w:rPr>
                              <w:t>overnment</w:t>
                            </w:r>
                            <w:r>
                              <w:rPr>
                                <w:rFonts w:ascii="Times New Roman" w:hAnsi="Times New Roman"/>
                                <w:sz w:val="24"/>
                                <w:szCs w:val="24"/>
                              </w:rPr>
                              <w:t xml:space="preserve"> and</w:t>
                            </w:r>
                            <w:r w:rsidRPr="00C60EDB">
                              <w:rPr>
                                <w:rFonts w:ascii="Times New Roman" w:hAnsi="Times New Roman"/>
                                <w:sz w:val="24"/>
                                <w:szCs w:val="24"/>
                              </w:rPr>
                              <w:t xml:space="preserve"> AusAID will continue to advocate on behalf of Kiribati in the Australian Government context</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 xml:space="preserve">Both </w:t>
                            </w:r>
                            <w:r>
                              <w:rPr>
                                <w:rFonts w:ascii="Times New Roman" w:hAnsi="Times New Roman"/>
                                <w:sz w:val="24"/>
                                <w:szCs w:val="24"/>
                              </w:rPr>
                              <w:t>g</w:t>
                            </w:r>
                            <w:r w:rsidRPr="00C60EDB">
                              <w:rPr>
                                <w:rFonts w:ascii="Times New Roman" w:hAnsi="Times New Roman"/>
                                <w:sz w:val="24"/>
                                <w:szCs w:val="24"/>
                              </w:rPr>
                              <w:t xml:space="preserve">overnments agreed to examine options for KIT students to graduate with Australian qualifications (formal </w:t>
                            </w:r>
                            <w:proofErr w:type="spellStart"/>
                            <w:r w:rsidRPr="00C60EDB">
                              <w:rPr>
                                <w:rFonts w:ascii="Times New Roman" w:hAnsi="Times New Roman"/>
                                <w:sz w:val="24"/>
                                <w:szCs w:val="24"/>
                              </w:rPr>
                              <w:t>auspicing</w:t>
                            </w:r>
                            <w:proofErr w:type="spellEnd"/>
                            <w:r w:rsidRPr="00C60EDB">
                              <w:rPr>
                                <w:rFonts w:ascii="Times New Roman" w:hAnsi="Times New Roman"/>
                                <w:sz w:val="24"/>
                                <w:szCs w:val="24"/>
                              </w:rPr>
                              <w:t xml:space="preserve"> arrangements or qualifications framework)</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GoK to undertake costing of infrastructure</w:t>
                            </w:r>
                            <w:r>
                              <w:rPr>
                                <w:rFonts w:ascii="Times New Roman" w:hAnsi="Times New Roman"/>
                                <w:sz w:val="24"/>
                                <w:szCs w:val="24"/>
                              </w:rPr>
                              <w:t>-</w:t>
                            </w:r>
                            <w:r w:rsidRPr="00C60EDB">
                              <w:rPr>
                                <w:rFonts w:ascii="Times New Roman" w:hAnsi="Times New Roman"/>
                                <w:sz w:val="24"/>
                                <w:szCs w:val="24"/>
                              </w:rPr>
                              <w:t xml:space="preserve">related expansion and rehabilitation at </w:t>
                            </w:r>
                            <w:r>
                              <w:rPr>
                                <w:rFonts w:ascii="Times New Roman" w:hAnsi="Times New Roman"/>
                                <w:sz w:val="24"/>
                                <w:szCs w:val="24"/>
                              </w:rPr>
                              <w:t>KIT</w:t>
                            </w:r>
                            <w:r w:rsidRPr="00C60EDB">
                              <w:rPr>
                                <w:rFonts w:ascii="Times New Roman" w:hAnsi="Times New Roman"/>
                                <w:sz w:val="24"/>
                                <w:szCs w:val="24"/>
                              </w:rPr>
                              <w:t xml:space="preserve"> for </w:t>
                            </w:r>
                            <w:r>
                              <w:rPr>
                                <w:rFonts w:ascii="Times New Roman" w:hAnsi="Times New Roman"/>
                                <w:sz w:val="24"/>
                                <w:szCs w:val="24"/>
                              </w:rPr>
                              <w:t>the Government of Australia to consider</w:t>
                            </w:r>
                            <w:r w:rsidRPr="00C60EDB">
                              <w:rPr>
                                <w:rFonts w:ascii="Times New Roman" w:hAnsi="Times New Roman"/>
                                <w:sz w:val="24"/>
                                <w:szCs w:val="24"/>
                              </w:rPr>
                              <w:t xml:space="preserve"> joint financing</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GoK </w:t>
                            </w:r>
                            <w:r w:rsidRPr="00C60EDB">
                              <w:rPr>
                                <w:rFonts w:ascii="Times New Roman" w:hAnsi="Times New Roman"/>
                                <w:sz w:val="24"/>
                                <w:szCs w:val="24"/>
                              </w:rPr>
                              <w:t>(PSO, M</w:t>
                            </w:r>
                            <w:r>
                              <w:rPr>
                                <w:rFonts w:ascii="Times New Roman" w:hAnsi="Times New Roman"/>
                                <w:sz w:val="24"/>
                                <w:szCs w:val="24"/>
                              </w:rPr>
                              <w:t>inistry of Education</w:t>
                            </w:r>
                            <w:r w:rsidRPr="00C60EDB">
                              <w:rPr>
                                <w:rFonts w:ascii="Times New Roman" w:hAnsi="Times New Roman"/>
                                <w:sz w:val="24"/>
                                <w:szCs w:val="24"/>
                              </w:rPr>
                              <w:t>)</w:t>
                            </w:r>
                            <w:r>
                              <w:rPr>
                                <w:rFonts w:ascii="Times New Roman" w:hAnsi="Times New Roman"/>
                                <w:sz w:val="24"/>
                                <w:szCs w:val="24"/>
                              </w:rPr>
                              <w:t xml:space="preserve"> will </w:t>
                            </w:r>
                            <w:r w:rsidRPr="00C60EDB">
                              <w:rPr>
                                <w:rFonts w:ascii="Times New Roman" w:hAnsi="Times New Roman"/>
                                <w:sz w:val="24"/>
                                <w:szCs w:val="24"/>
                              </w:rPr>
                              <w:t xml:space="preserve">focus in 2011 </w:t>
                            </w:r>
                            <w:r>
                              <w:rPr>
                                <w:rFonts w:ascii="Times New Roman" w:hAnsi="Times New Roman"/>
                                <w:sz w:val="24"/>
                                <w:szCs w:val="24"/>
                              </w:rPr>
                              <w:t>on finalising</w:t>
                            </w:r>
                            <w:r w:rsidRPr="00C60EDB">
                              <w:rPr>
                                <w:rFonts w:ascii="Times New Roman" w:hAnsi="Times New Roman"/>
                                <w:sz w:val="24"/>
                                <w:szCs w:val="24"/>
                              </w:rPr>
                              <w:t xml:space="preserve"> work on scholarship student tracer studies and improv</w:t>
                            </w:r>
                            <w:r>
                              <w:rPr>
                                <w:rFonts w:ascii="Times New Roman" w:hAnsi="Times New Roman"/>
                                <w:sz w:val="24"/>
                                <w:szCs w:val="24"/>
                              </w:rPr>
                              <w:t>ing</w:t>
                            </w:r>
                            <w:r w:rsidRPr="00C60EDB">
                              <w:rPr>
                                <w:rFonts w:ascii="Times New Roman" w:hAnsi="Times New Roman"/>
                                <w:sz w:val="24"/>
                                <w:szCs w:val="24"/>
                              </w:rPr>
                              <w:t xml:space="preserve"> the Kiribati Education Management System Scholar database.</w:t>
                            </w:r>
                          </w:p>
                          <w:p w:rsidR="00807794" w:rsidRPr="00840E4C" w:rsidRDefault="00807794" w:rsidP="00CC683A">
                            <w:pPr>
                              <w:numPr>
                                <w:ilvl w:val="0"/>
                                <w:numId w:val="34"/>
                              </w:numPr>
                              <w:spacing w:after="0" w:line="240" w:lineRule="auto"/>
                              <w:rPr>
                                <w:rFonts w:ascii="Calibri" w:hAnsi="Calibri"/>
                              </w:rPr>
                            </w:pPr>
                            <w:r w:rsidRPr="00C60EDB">
                              <w:rPr>
                                <w:rFonts w:ascii="Times New Roman" w:hAnsi="Times New Roman"/>
                                <w:sz w:val="24"/>
                                <w:szCs w:val="24"/>
                              </w:rPr>
                              <w:t xml:space="preserve">Both </w:t>
                            </w:r>
                            <w:r>
                              <w:rPr>
                                <w:rFonts w:ascii="Times New Roman" w:hAnsi="Times New Roman"/>
                                <w:sz w:val="24"/>
                                <w:szCs w:val="24"/>
                              </w:rPr>
                              <w:t>g</w:t>
                            </w:r>
                            <w:r w:rsidRPr="00C60EDB">
                              <w:rPr>
                                <w:rFonts w:ascii="Times New Roman" w:hAnsi="Times New Roman"/>
                                <w:sz w:val="24"/>
                                <w:szCs w:val="24"/>
                              </w:rPr>
                              <w:t xml:space="preserve">overnments agreed to review KANI and improve </w:t>
                            </w:r>
                            <w:r>
                              <w:rPr>
                                <w:rFonts w:ascii="Times New Roman" w:hAnsi="Times New Roman"/>
                                <w:sz w:val="24"/>
                                <w:szCs w:val="24"/>
                              </w:rPr>
                              <w:t>its</w:t>
                            </w:r>
                            <w:r w:rsidRPr="00C60EDB">
                              <w:rPr>
                                <w:rFonts w:ascii="Times New Roman" w:hAnsi="Times New Roman"/>
                                <w:sz w:val="24"/>
                                <w:szCs w:val="24"/>
                              </w:rPr>
                              <w:t xml:space="preserve"> long-t</w:t>
                            </w:r>
                            <w:r>
                              <w:rPr>
                                <w:rFonts w:ascii="Times New Roman" w:hAnsi="Times New Roman"/>
                                <w:sz w:val="24"/>
                                <w:szCs w:val="24"/>
                              </w:rPr>
                              <w:t>erm viability. Go</w:t>
                            </w:r>
                            <w:r w:rsidRPr="00C60EDB">
                              <w:rPr>
                                <w:rFonts w:ascii="Times New Roman" w:hAnsi="Times New Roman"/>
                                <w:sz w:val="24"/>
                                <w:szCs w:val="24"/>
                              </w:rPr>
                              <w:t xml:space="preserve">K (MHMS), AusAID and WHO to start program to </w:t>
                            </w:r>
                            <w:r>
                              <w:rPr>
                                <w:rFonts w:ascii="Times New Roman" w:hAnsi="Times New Roman"/>
                                <w:sz w:val="24"/>
                                <w:szCs w:val="24"/>
                              </w:rPr>
                              <w:t>upgrade</w:t>
                            </w:r>
                            <w:r w:rsidRPr="00C60EDB">
                              <w:rPr>
                                <w:rFonts w:ascii="Times New Roman" w:hAnsi="Times New Roman"/>
                                <w:sz w:val="24"/>
                                <w:szCs w:val="24"/>
                              </w:rPr>
                              <w:t xml:space="preserve"> </w:t>
                            </w:r>
                            <w:r>
                              <w:rPr>
                                <w:rFonts w:ascii="Times New Roman" w:hAnsi="Times New Roman"/>
                                <w:sz w:val="24"/>
                                <w:szCs w:val="24"/>
                              </w:rPr>
                              <w:t xml:space="preserve">the </w:t>
                            </w:r>
                            <w:r w:rsidRPr="00C60EDB">
                              <w:rPr>
                                <w:rFonts w:ascii="Times New Roman" w:hAnsi="Times New Roman"/>
                                <w:sz w:val="24"/>
                                <w:szCs w:val="24"/>
                              </w:rPr>
                              <w:t xml:space="preserve">Kiribati School of Nursing. </w:t>
                            </w:r>
                          </w:p>
                        </w:txbxContent>
                      </wps:txbx>
                      <wps:bodyPr rot="0" vert="horz" wrap="square" lIns="91440" tIns="45720" rIns="91440" bIns="45720" anchor="t" anchorCtr="0" upright="1">
                        <a:noAutofit/>
                      </wps:bodyPr>
                    </wps:wsp>
                  </a:graphicData>
                </a:graphic>
              </wp:inline>
            </w:drawing>
          </mc:Choice>
          <mc:Fallback>
            <w:pict>
              <v:shape id="Text Box 6" o:spid="_x0000_s1027" type="#_x0000_t202" style="width:468pt;height:18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" fillcolor="silver">
                <v:fill opacity="18247f"/>
                <v:textbox>
                  <w:txbxContent>
                    <w:p w:rsidR="00807794" w:rsidRPr="00477DB1" w:rsidRDefault="00807794" w:rsidP="00807794">
                      <w:pPr>
                        <w:spacing w:after="120" w:line="240" w:lineRule="auto"/>
                        <w:rPr>
                          <w:rFonts w:ascii="Times New Roman" w:hAnsi="Times New Roman"/>
                          <w:b/>
                          <w:sz w:val="24"/>
                          <w:szCs w:val="24"/>
                        </w:rPr>
                      </w:pPr>
                      <w:r w:rsidRPr="00477DB1">
                        <w:rPr>
                          <w:rFonts w:ascii="Times New Roman" w:hAnsi="Times New Roman"/>
                          <w:b/>
                          <w:sz w:val="24"/>
                          <w:szCs w:val="24"/>
                        </w:rPr>
                        <w:t>Outcomes from the 2011 Partnership Talks</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 xml:space="preserve">Labour mobility is managed by many parts of the Australian </w:t>
                      </w:r>
                      <w:r>
                        <w:rPr>
                          <w:rFonts w:ascii="Times New Roman" w:hAnsi="Times New Roman"/>
                          <w:sz w:val="24"/>
                          <w:szCs w:val="24"/>
                        </w:rPr>
                        <w:t>G</w:t>
                      </w:r>
                      <w:r w:rsidRPr="00C60EDB">
                        <w:rPr>
                          <w:rFonts w:ascii="Times New Roman" w:hAnsi="Times New Roman"/>
                          <w:sz w:val="24"/>
                          <w:szCs w:val="24"/>
                        </w:rPr>
                        <w:t>overnment</w:t>
                      </w:r>
                      <w:r>
                        <w:rPr>
                          <w:rFonts w:ascii="Times New Roman" w:hAnsi="Times New Roman"/>
                          <w:sz w:val="24"/>
                          <w:szCs w:val="24"/>
                        </w:rPr>
                        <w:t xml:space="preserve"> and</w:t>
                      </w:r>
                      <w:r w:rsidRPr="00C60EDB">
                        <w:rPr>
                          <w:rFonts w:ascii="Times New Roman" w:hAnsi="Times New Roman"/>
                          <w:sz w:val="24"/>
                          <w:szCs w:val="24"/>
                        </w:rPr>
                        <w:t xml:space="preserve"> AusAID will continue to advocate on behalf of Kiribati in the Australian Government context</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 xml:space="preserve">Both </w:t>
                      </w:r>
                      <w:r>
                        <w:rPr>
                          <w:rFonts w:ascii="Times New Roman" w:hAnsi="Times New Roman"/>
                          <w:sz w:val="24"/>
                          <w:szCs w:val="24"/>
                        </w:rPr>
                        <w:t>g</w:t>
                      </w:r>
                      <w:r w:rsidRPr="00C60EDB">
                        <w:rPr>
                          <w:rFonts w:ascii="Times New Roman" w:hAnsi="Times New Roman"/>
                          <w:sz w:val="24"/>
                          <w:szCs w:val="24"/>
                        </w:rPr>
                        <w:t xml:space="preserve">overnments agreed to examine options for KIT students to graduate with Australian qualifications (formal </w:t>
                      </w:r>
                      <w:proofErr w:type="spellStart"/>
                      <w:r w:rsidRPr="00C60EDB">
                        <w:rPr>
                          <w:rFonts w:ascii="Times New Roman" w:hAnsi="Times New Roman"/>
                          <w:sz w:val="24"/>
                          <w:szCs w:val="24"/>
                        </w:rPr>
                        <w:t>auspicing</w:t>
                      </w:r>
                      <w:proofErr w:type="spellEnd"/>
                      <w:r w:rsidRPr="00C60EDB">
                        <w:rPr>
                          <w:rFonts w:ascii="Times New Roman" w:hAnsi="Times New Roman"/>
                          <w:sz w:val="24"/>
                          <w:szCs w:val="24"/>
                        </w:rPr>
                        <w:t xml:space="preserve"> arrangements or qualifications framework)</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sidRPr="00C60EDB">
                        <w:rPr>
                          <w:rFonts w:ascii="Times New Roman" w:hAnsi="Times New Roman"/>
                          <w:sz w:val="24"/>
                          <w:szCs w:val="24"/>
                        </w:rPr>
                        <w:t>GoK to undertake costing of infrastructure</w:t>
                      </w:r>
                      <w:r>
                        <w:rPr>
                          <w:rFonts w:ascii="Times New Roman" w:hAnsi="Times New Roman"/>
                          <w:sz w:val="24"/>
                          <w:szCs w:val="24"/>
                        </w:rPr>
                        <w:t>-</w:t>
                      </w:r>
                      <w:r w:rsidRPr="00C60EDB">
                        <w:rPr>
                          <w:rFonts w:ascii="Times New Roman" w:hAnsi="Times New Roman"/>
                          <w:sz w:val="24"/>
                          <w:szCs w:val="24"/>
                        </w:rPr>
                        <w:t xml:space="preserve">related expansion and rehabilitation at </w:t>
                      </w:r>
                      <w:r>
                        <w:rPr>
                          <w:rFonts w:ascii="Times New Roman" w:hAnsi="Times New Roman"/>
                          <w:sz w:val="24"/>
                          <w:szCs w:val="24"/>
                        </w:rPr>
                        <w:t>KIT</w:t>
                      </w:r>
                      <w:r w:rsidRPr="00C60EDB">
                        <w:rPr>
                          <w:rFonts w:ascii="Times New Roman" w:hAnsi="Times New Roman"/>
                          <w:sz w:val="24"/>
                          <w:szCs w:val="24"/>
                        </w:rPr>
                        <w:t xml:space="preserve"> for </w:t>
                      </w:r>
                      <w:r>
                        <w:rPr>
                          <w:rFonts w:ascii="Times New Roman" w:hAnsi="Times New Roman"/>
                          <w:sz w:val="24"/>
                          <w:szCs w:val="24"/>
                        </w:rPr>
                        <w:t>the Government of Australia to consider</w:t>
                      </w:r>
                      <w:r w:rsidRPr="00C60EDB">
                        <w:rPr>
                          <w:rFonts w:ascii="Times New Roman" w:hAnsi="Times New Roman"/>
                          <w:sz w:val="24"/>
                          <w:szCs w:val="24"/>
                        </w:rPr>
                        <w:t xml:space="preserve"> joint financing</w:t>
                      </w:r>
                      <w:r>
                        <w:rPr>
                          <w:rFonts w:ascii="Times New Roman" w:hAnsi="Times New Roman"/>
                          <w:sz w:val="24"/>
                          <w:szCs w:val="24"/>
                        </w:rPr>
                        <w:t>.</w:t>
                      </w:r>
                    </w:p>
                    <w:p w:rsidR="00807794" w:rsidRPr="00C60EDB" w:rsidRDefault="00807794" w:rsidP="007256CF">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GoK </w:t>
                      </w:r>
                      <w:r w:rsidRPr="00C60EDB">
                        <w:rPr>
                          <w:rFonts w:ascii="Times New Roman" w:hAnsi="Times New Roman"/>
                          <w:sz w:val="24"/>
                          <w:szCs w:val="24"/>
                        </w:rPr>
                        <w:t>(PSO, M</w:t>
                      </w:r>
                      <w:r>
                        <w:rPr>
                          <w:rFonts w:ascii="Times New Roman" w:hAnsi="Times New Roman"/>
                          <w:sz w:val="24"/>
                          <w:szCs w:val="24"/>
                        </w:rPr>
                        <w:t>inistry of Education</w:t>
                      </w:r>
                      <w:r w:rsidRPr="00C60EDB">
                        <w:rPr>
                          <w:rFonts w:ascii="Times New Roman" w:hAnsi="Times New Roman"/>
                          <w:sz w:val="24"/>
                          <w:szCs w:val="24"/>
                        </w:rPr>
                        <w:t>)</w:t>
                      </w:r>
                      <w:r>
                        <w:rPr>
                          <w:rFonts w:ascii="Times New Roman" w:hAnsi="Times New Roman"/>
                          <w:sz w:val="24"/>
                          <w:szCs w:val="24"/>
                        </w:rPr>
                        <w:t xml:space="preserve"> will </w:t>
                      </w:r>
                      <w:r w:rsidRPr="00C60EDB">
                        <w:rPr>
                          <w:rFonts w:ascii="Times New Roman" w:hAnsi="Times New Roman"/>
                          <w:sz w:val="24"/>
                          <w:szCs w:val="24"/>
                        </w:rPr>
                        <w:t xml:space="preserve">focus in 2011 </w:t>
                      </w:r>
                      <w:r>
                        <w:rPr>
                          <w:rFonts w:ascii="Times New Roman" w:hAnsi="Times New Roman"/>
                          <w:sz w:val="24"/>
                          <w:szCs w:val="24"/>
                        </w:rPr>
                        <w:t>on finalising</w:t>
                      </w:r>
                      <w:r w:rsidRPr="00C60EDB">
                        <w:rPr>
                          <w:rFonts w:ascii="Times New Roman" w:hAnsi="Times New Roman"/>
                          <w:sz w:val="24"/>
                          <w:szCs w:val="24"/>
                        </w:rPr>
                        <w:t xml:space="preserve"> work on scholarship student tracer studies and improv</w:t>
                      </w:r>
                      <w:r>
                        <w:rPr>
                          <w:rFonts w:ascii="Times New Roman" w:hAnsi="Times New Roman"/>
                          <w:sz w:val="24"/>
                          <w:szCs w:val="24"/>
                        </w:rPr>
                        <w:t>ing</w:t>
                      </w:r>
                      <w:r w:rsidRPr="00C60EDB">
                        <w:rPr>
                          <w:rFonts w:ascii="Times New Roman" w:hAnsi="Times New Roman"/>
                          <w:sz w:val="24"/>
                          <w:szCs w:val="24"/>
                        </w:rPr>
                        <w:t xml:space="preserve"> the Kiribati Education Management System Scholar database.</w:t>
                      </w:r>
                    </w:p>
                    <w:p w:rsidR="00807794" w:rsidRPr="00840E4C" w:rsidRDefault="00807794" w:rsidP="00CC683A">
                      <w:pPr>
                        <w:numPr>
                          <w:ilvl w:val="0"/>
                          <w:numId w:val="34"/>
                        </w:numPr>
                        <w:spacing w:after="0" w:line="240" w:lineRule="auto"/>
                        <w:rPr>
                          <w:rFonts w:ascii="Calibri" w:hAnsi="Calibri"/>
                        </w:rPr>
                      </w:pPr>
                      <w:r w:rsidRPr="00C60EDB">
                        <w:rPr>
                          <w:rFonts w:ascii="Times New Roman" w:hAnsi="Times New Roman"/>
                          <w:sz w:val="24"/>
                          <w:szCs w:val="24"/>
                        </w:rPr>
                        <w:t xml:space="preserve">Both </w:t>
                      </w:r>
                      <w:r>
                        <w:rPr>
                          <w:rFonts w:ascii="Times New Roman" w:hAnsi="Times New Roman"/>
                          <w:sz w:val="24"/>
                          <w:szCs w:val="24"/>
                        </w:rPr>
                        <w:t>g</w:t>
                      </w:r>
                      <w:r w:rsidRPr="00C60EDB">
                        <w:rPr>
                          <w:rFonts w:ascii="Times New Roman" w:hAnsi="Times New Roman"/>
                          <w:sz w:val="24"/>
                          <w:szCs w:val="24"/>
                        </w:rPr>
                        <w:t xml:space="preserve">overnments agreed to review KANI and improve </w:t>
                      </w:r>
                      <w:r>
                        <w:rPr>
                          <w:rFonts w:ascii="Times New Roman" w:hAnsi="Times New Roman"/>
                          <w:sz w:val="24"/>
                          <w:szCs w:val="24"/>
                        </w:rPr>
                        <w:t>its</w:t>
                      </w:r>
                      <w:r w:rsidRPr="00C60EDB">
                        <w:rPr>
                          <w:rFonts w:ascii="Times New Roman" w:hAnsi="Times New Roman"/>
                          <w:sz w:val="24"/>
                          <w:szCs w:val="24"/>
                        </w:rPr>
                        <w:t xml:space="preserve"> long-t</w:t>
                      </w:r>
                      <w:r>
                        <w:rPr>
                          <w:rFonts w:ascii="Times New Roman" w:hAnsi="Times New Roman"/>
                          <w:sz w:val="24"/>
                          <w:szCs w:val="24"/>
                        </w:rPr>
                        <w:t>erm viability. Go</w:t>
                      </w:r>
                      <w:r w:rsidRPr="00C60EDB">
                        <w:rPr>
                          <w:rFonts w:ascii="Times New Roman" w:hAnsi="Times New Roman"/>
                          <w:sz w:val="24"/>
                          <w:szCs w:val="24"/>
                        </w:rPr>
                        <w:t xml:space="preserve">K (MHMS), AusAID and WHO to start program to </w:t>
                      </w:r>
                      <w:r>
                        <w:rPr>
                          <w:rFonts w:ascii="Times New Roman" w:hAnsi="Times New Roman"/>
                          <w:sz w:val="24"/>
                          <w:szCs w:val="24"/>
                        </w:rPr>
                        <w:t>upgrade</w:t>
                      </w:r>
                      <w:r w:rsidRPr="00C60EDB">
                        <w:rPr>
                          <w:rFonts w:ascii="Times New Roman" w:hAnsi="Times New Roman"/>
                          <w:sz w:val="24"/>
                          <w:szCs w:val="24"/>
                        </w:rPr>
                        <w:t xml:space="preserve"> </w:t>
                      </w:r>
                      <w:r>
                        <w:rPr>
                          <w:rFonts w:ascii="Times New Roman" w:hAnsi="Times New Roman"/>
                          <w:sz w:val="24"/>
                          <w:szCs w:val="24"/>
                        </w:rPr>
                        <w:t xml:space="preserve">the </w:t>
                      </w:r>
                      <w:r w:rsidRPr="00C60EDB">
                        <w:rPr>
                          <w:rFonts w:ascii="Times New Roman" w:hAnsi="Times New Roman"/>
                          <w:sz w:val="24"/>
                          <w:szCs w:val="24"/>
                        </w:rPr>
                        <w:t xml:space="preserve">Kiribati School of Nursing. </w:t>
                      </w:r>
                    </w:p>
                  </w:txbxContent>
                </v:textbox>
                <w10:wrap anchorx="page"/>
                <w10:anchorlock/>
              </v:shape>
            </w:pict>
          </mc:Fallback>
        </mc:AlternateContent>
      </w:r>
    </w:p>
    <w:p w:rsidR="000E24AB" w:rsidRPr="00D17BDC" w:rsidRDefault="000E24AB" w:rsidP="005274FC">
      <w:pPr>
        <w:pStyle w:val="Heading2"/>
        <w:rPr>
          <w:kern w:val="28"/>
        </w:rPr>
      </w:pPr>
      <w:bookmarkStart w:id="10" w:name="_Toc307062915"/>
      <w:r w:rsidRPr="00D17BDC">
        <w:rPr>
          <w:kern w:val="28"/>
        </w:rPr>
        <w:t xml:space="preserve">Priority Outcome </w:t>
      </w:r>
      <w:bookmarkStart w:id="11" w:name="Three"/>
      <w:bookmarkEnd w:id="11"/>
      <w:r w:rsidRPr="00D17BDC">
        <w:rPr>
          <w:kern w:val="28"/>
        </w:rPr>
        <w:t>3:</w:t>
      </w:r>
      <w:r w:rsidR="00C84DBD" w:rsidRPr="00D17BDC">
        <w:rPr>
          <w:kern w:val="28"/>
        </w:rPr>
        <w:t xml:space="preserve"> </w:t>
      </w:r>
      <w:r w:rsidRPr="00D17BDC">
        <w:rPr>
          <w:kern w:val="28"/>
        </w:rPr>
        <w:t xml:space="preserve">Improved </w:t>
      </w:r>
      <w:r w:rsidR="00672C46" w:rsidRPr="00D17BDC">
        <w:rPr>
          <w:kern w:val="28"/>
        </w:rPr>
        <w:t>g</w:t>
      </w:r>
      <w:r w:rsidRPr="00D17BDC">
        <w:rPr>
          <w:kern w:val="28"/>
        </w:rPr>
        <w:t xml:space="preserve">rowth and </w:t>
      </w:r>
      <w:r w:rsidR="00672C46" w:rsidRPr="00D17BDC">
        <w:rPr>
          <w:kern w:val="28"/>
        </w:rPr>
        <w:t>e</w:t>
      </w:r>
      <w:r w:rsidRPr="00D17BDC">
        <w:rPr>
          <w:kern w:val="28"/>
        </w:rPr>
        <w:t xml:space="preserve">conomic </w:t>
      </w:r>
      <w:r w:rsidR="00672C46" w:rsidRPr="00D17BDC">
        <w:rPr>
          <w:kern w:val="28"/>
        </w:rPr>
        <w:t>m</w:t>
      </w:r>
      <w:r w:rsidRPr="00D17BDC">
        <w:rPr>
          <w:kern w:val="28"/>
        </w:rPr>
        <w:t>anagement</w:t>
      </w:r>
      <w:bookmarkEnd w:id="10"/>
    </w:p>
    <w:p w:rsidR="000E24AB" w:rsidRPr="00D17BDC" w:rsidRDefault="004164BD" w:rsidP="00D17BDC">
      <w:pPr>
        <w:spacing w:before="240" w:after="0" w:line="240" w:lineRule="auto"/>
        <w:ind w:left="1985" w:hanging="1985"/>
        <w:rPr>
          <w:rFonts w:ascii="Times New Roman" w:hAnsi="Times New Roman"/>
          <w:color w:val="auto"/>
          <w:sz w:val="24"/>
          <w:szCs w:val="24"/>
        </w:rPr>
      </w:pPr>
      <w:r w:rsidRPr="00D17BDC">
        <w:rPr>
          <w:rFonts w:ascii="Times New Roman" w:hAnsi="Times New Roman"/>
          <w:b/>
          <w:color w:val="auto"/>
          <w:sz w:val="24"/>
          <w:szCs w:val="24"/>
        </w:rPr>
        <w:t>Joint c</w:t>
      </w:r>
      <w:r w:rsidR="000E24AB" w:rsidRPr="00D17BDC">
        <w:rPr>
          <w:rFonts w:ascii="Times New Roman" w:hAnsi="Times New Roman"/>
          <w:b/>
          <w:color w:val="auto"/>
          <w:sz w:val="24"/>
          <w:szCs w:val="24"/>
        </w:rPr>
        <w:t xml:space="preserve">ommitment: </w:t>
      </w:r>
      <w:r w:rsidR="000E24AB" w:rsidRPr="00D17BDC">
        <w:rPr>
          <w:rFonts w:ascii="Times New Roman" w:hAnsi="Times New Roman"/>
          <w:color w:val="auto"/>
          <w:sz w:val="24"/>
          <w:szCs w:val="24"/>
        </w:rPr>
        <w:t xml:space="preserve">Strengthen economic management in support of mutually agreed </w:t>
      </w:r>
      <w:r w:rsidR="002F738D" w:rsidRPr="00D17BDC">
        <w:rPr>
          <w:rFonts w:ascii="Times New Roman" w:hAnsi="Times New Roman"/>
          <w:color w:val="auto"/>
          <w:sz w:val="24"/>
          <w:szCs w:val="24"/>
        </w:rPr>
        <w:t>GoK</w:t>
      </w:r>
      <w:r w:rsidR="00610F29" w:rsidRPr="00D17BDC">
        <w:rPr>
          <w:rFonts w:ascii="Times New Roman" w:hAnsi="Times New Roman"/>
          <w:color w:val="auto"/>
          <w:sz w:val="24"/>
          <w:szCs w:val="24"/>
        </w:rPr>
        <w:t xml:space="preserve">-led economic reforms. </w:t>
      </w:r>
    </w:p>
    <w:p w:rsidR="00101467" w:rsidRPr="00D17BDC" w:rsidRDefault="00101467" w:rsidP="00056BD3">
      <w:pPr>
        <w:spacing w:before="240" w:after="0" w:line="240" w:lineRule="auto"/>
        <w:rPr>
          <w:rFonts w:ascii="Times New Roman" w:hAnsi="Times New Roman"/>
          <w:sz w:val="24"/>
          <w:szCs w:val="24"/>
          <w:lang w:val="en-US"/>
        </w:rPr>
      </w:pPr>
      <w:r w:rsidRPr="00D17BDC">
        <w:rPr>
          <w:rFonts w:ascii="Times New Roman" w:hAnsi="Times New Roman"/>
          <w:color w:val="auto"/>
          <w:sz w:val="24"/>
          <w:szCs w:val="24"/>
        </w:rPr>
        <w:lastRenderedPageBreak/>
        <w:t xml:space="preserve">The third </w:t>
      </w:r>
      <w:r w:rsidR="00C86D69" w:rsidRPr="00D17BDC">
        <w:rPr>
          <w:rFonts w:ascii="Times New Roman" w:hAnsi="Times New Roman"/>
          <w:color w:val="auto"/>
          <w:sz w:val="24"/>
          <w:szCs w:val="24"/>
        </w:rPr>
        <w:t>p</w:t>
      </w:r>
      <w:r w:rsidRPr="00D17BDC">
        <w:rPr>
          <w:rFonts w:ascii="Times New Roman" w:hAnsi="Times New Roman"/>
          <w:color w:val="auto"/>
          <w:sz w:val="24"/>
          <w:szCs w:val="24"/>
        </w:rPr>
        <w:t xml:space="preserve">riority </w:t>
      </w:r>
      <w:r w:rsidR="00C86D69" w:rsidRPr="00D17BDC">
        <w:rPr>
          <w:rFonts w:ascii="Times New Roman" w:hAnsi="Times New Roman"/>
          <w:color w:val="auto"/>
          <w:sz w:val="24"/>
          <w:szCs w:val="24"/>
        </w:rPr>
        <w:t>o</w:t>
      </w:r>
      <w:r w:rsidRPr="00D17BDC">
        <w:rPr>
          <w:rFonts w:ascii="Times New Roman" w:hAnsi="Times New Roman"/>
          <w:color w:val="auto"/>
          <w:sz w:val="24"/>
          <w:szCs w:val="24"/>
        </w:rPr>
        <w:t>utcome</w:t>
      </w:r>
      <w:r w:rsidR="00C86D69" w:rsidRPr="00D17BDC">
        <w:rPr>
          <w:rFonts w:ascii="Times New Roman" w:hAnsi="Times New Roman"/>
          <w:color w:val="auto"/>
          <w:sz w:val="24"/>
          <w:szCs w:val="24"/>
        </w:rPr>
        <w:t xml:space="preserve"> area of the Partnership</w:t>
      </w:r>
      <w:r w:rsidRPr="00D17BDC">
        <w:rPr>
          <w:rFonts w:ascii="Times New Roman" w:hAnsi="Times New Roman"/>
          <w:color w:val="auto"/>
          <w:sz w:val="24"/>
          <w:szCs w:val="24"/>
        </w:rPr>
        <w:t xml:space="preserve"> focuses on building a stronger and more resilient Kiribati economy, and </w:t>
      </w:r>
      <w:r w:rsidR="00056BD3" w:rsidRPr="00D17BDC">
        <w:rPr>
          <w:rFonts w:ascii="Times New Roman" w:hAnsi="Times New Roman"/>
          <w:color w:val="auto"/>
          <w:sz w:val="24"/>
          <w:szCs w:val="24"/>
        </w:rPr>
        <w:t xml:space="preserve">improving economic governance, primarily through strengthening Kiribati’s revenue base and better budget management, and improving efficiency and effectiveness of public expenditure to achieve social and economic outcomes. </w:t>
      </w:r>
      <w:r w:rsidR="00E90481" w:rsidRPr="00D17BDC">
        <w:rPr>
          <w:rFonts w:ascii="Times New Roman" w:hAnsi="Times New Roman"/>
          <w:sz w:val="24"/>
          <w:szCs w:val="24"/>
        </w:rPr>
        <w:t xml:space="preserve">Progress towards the four agreed </w:t>
      </w:r>
      <w:r w:rsidR="004164BD" w:rsidRPr="00D17BDC">
        <w:rPr>
          <w:rFonts w:ascii="Times New Roman" w:hAnsi="Times New Roman"/>
          <w:sz w:val="24"/>
          <w:szCs w:val="24"/>
        </w:rPr>
        <w:t>p</w:t>
      </w:r>
      <w:r w:rsidR="00E90481" w:rsidRPr="00D17BDC">
        <w:rPr>
          <w:rFonts w:ascii="Times New Roman" w:hAnsi="Times New Roman"/>
          <w:sz w:val="24"/>
          <w:szCs w:val="24"/>
        </w:rPr>
        <w:t xml:space="preserve">artnership </w:t>
      </w:r>
      <w:r w:rsidR="004164BD" w:rsidRPr="00D17BDC">
        <w:rPr>
          <w:rFonts w:ascii="Times New Roman" w:hAnsi="Times New Roman"/>
          <w:sz w:val="24"/>
          <w:szCs w:val="24"/>
        </w:rPr>
        <w:t>t</w:t>
      </w:r>
      <w:r w:rsidR="00E90481" w:rsidRPr="00D17BDC">
        <w:rPr>
          <w:rFonts w:ascii="Times New Roman" w:hAnsi="Times New Roman"/>
          <w:sz w:val="24"/>
          <w:szCs w:val="24"/>
        </w:rPr>
        <w:t xml:space="preserve">argets for this priority outcome is set out </w:t>
      </w:r>
      <w:r w:rsidR="00E90481" w:rsidRPr="00D17BDC">
        <w:rPr>
          <w:rFonts w:ascii="Times New Roman" w:hAnsi="Times New Roman"/>
          <w:color w:val="auto"/>
          <w:sz w:val="24"/>
          <w:szCs w:val="24"/>
        </w:rPr>
        <w:t>in Table 4, with targets</w:t>
      </w:r>
      <w:r w:rsidR="00056BD3" w:rsidRPr="00D17BDC">
        <w:rPr>
          <w:rFonts w:ascii="Times New Roman" w:hAnsi="Times New Roman"/>
          <w:color w:val="auto"/>
          <w:sz w:val="24"/>
          <w:szCs w:val="24"/>
        </w:rPr>
        <w:t xml:space="preserve"> 1, 2 and 4</w:t>
      </w:r>
      <w:r w:rsidR="00E90481" w:rsidRPr="00D17BDC">
        <w:rPr>
          <w:rFonts w:ascii="Times New Roman" w:hAnsi="Times New Roman"/>
          <w:color w:val="auto"/>
          <w:sz w:val="24"/>
          <w:szCs w:val="24"/>
        </w:rPr>
        <w:t xml:space="preserve"> relatively on</w:t>
      </w:r>
      <w:r w:rsidR="00C56CEE" w:rsidRPr="00D17BDC">
        <w:rPr>
          <w:rFonts w:ascii="Times New Roman" w:hAnsi="Times New Roman"/>
          <w:color w:val="auto"/>
          <w:sz w:val="24"/>
          <w:szCs w:val="24"/>
        </w:rPr>
        <w:t xml:space="preserve"> </w:t>
      </w:r>
      <w:r w:rsidR="00E90481" w:rsidRPr="00D17BDC">
        <w:rPr>
          <w:rFonts w:ascii="Times New Roman" w:hAnsi="Times New Roman"/>
          <w:color w:val="auto"/>
          <w:sz w:val="24"/>
          <w:szCs w:val="24"/>
        </w:rPr>
        <w:t>track and t</w:t>
      </w:r>
      <w:r w:rsidR="00056BD3" w:rsidRPr="00D17BDC">
        <w:rPr>
          <w:rFonts w:ascii="Times New Roman" w:hAnsi="Times New Roman"/>
          <w:color w:val="auto"/>
          <w:sz w:val="24"/>
          <w:szCs w:val="24"/>
        </w:rPr>
        <w:t>arget 3</w:t>
      </w:r>
      <w:r w:rsidR="00E90481" w:rsidRPr="00D17BDC">
        <w:rPr>
          <w:rFonts w:ascii="Times New Roman" w:hAnsi="Times New Roman"/>
          <w:color w:val="auto"/>
          <w:sz w:val="24"/>
          <w:szCs w:val="24"/>
        </w:rPr>
        <w:t xml:space="preserve"> not able to be easily measured</w:t>
      </w:r>
      <w:r w:rsidR="009E05D4" w:rsidRPr="00D17BDC">
        <w:rPr>
          <w:rFonts w:ascii="Times New Roman" w:hAnsi="Times New Roman"/>
          <w:color w:val="auto"/>
          <w:sz w:val="24"/>
          <w:szCs w:val="24"/>
        </w:rPr>
        <w:t xml:space="preserve">. </w:t>
      </w:r>
    </w:p>
    <w:p w:rsidR="00F314A3" w:rsidRPr="00D17BDC" w:rsidRDefault="00F314A3" w:rsidP="00F314A3">
      <w:pPr>
        <w:pStyle w:val="Normal2"/>
      </w:pPr>
      <w:r w:rsidRPr="00D17BDC">
        <w:t xml:space="preserve">Based on </w:t>
      </w:r>
      <w:proofErr w:type="spellStart"/>
      <w:r w:rsidRPr="00D17BDC">
        <w:t>GoK’s</w:t>
      </w:r>
      <w:proofErr w:type="spellEnd"/>
      <w:r w:rsidRPr="00D17BDC">
        <w:t xml:space="preserve"> 2011 Budget and the International Monetary Fund’s Article IV Consultation (2011), </w:t>
      </w:r>
      <w:proofErr w:type="spellStart"/>
      <w:r w:rsidRPr="00D17BDC">
        <w:t>GoK</w:t>
      </w:r>
      <w:proofErr w:type="spellEnd"/>
      <w:r w:rsidRPr="00D17BDC">
        <w:t xml:space="preserve"> has succeeded reducing the recurrent budget deficit for 2010 (Target 1), and ensuring the Medium Term Fiscal Strategy targets lower deficits, </w:t>
      </w:r>
      <w:bookmarkStart w:id="12" w:name="_GoBack"/>
      <w:bookmarkEnd w:id="12"/>
      <w:r w:rsidRPr="00D17BDC">
        <w:t xml:space="preserve">as a proportion of gross domestic product, over the period to 2013. If the fiscal strategy targets are met, general public expenditure will also continue to decline as a proportion of GDP. </w:t>
      </w:r>
    </w:p>
    <w:p w:rsidR="00460856" w:rsidRDefault="00A97F46" w:rsidP="00177DB4">
      <w:pPr>
        <w:pStyle w:val="Normal2"/>
      </w:pPr>
      <w:r w:rsidRPr="00D17BDC">
        <w:t xml:space="preserve">There has been an improvement in revenue from fishing licenses in recent years, and </w:t>
      </w:r>
      <w:proofErr w:type="spellStart"/>
      <w:r w:rsidRPr="00D17BDC">
        <w:t>GoK</w:t>
      </w:r>
      <w:proofErr w:type="spellEnd"/>
      <w:r w:rsidRPr="00D17BDC">
        <w:t xml:space="preserve"> has reported that revenue for 2010 was substantially higher than budgeted (Target 2). </w:t>
      </w:r>
      <w:r w:rsidR="00FD60DA" w:rsidRPr="00D17BDC">
        <w:t xml:space="preserve">These improvements have, in part, been attributed to the reforms introduced through the </w:t>
      </w:r>
      <w:r w:rsidR="00C56CEE" w:rsidRPr="00D17BDC">
        <w:t>p</w:t>
      </w:r>
      <w:r w:rsidR="00FD60DA" w:rsidRPr="00D17BDC">
        <w:t>erformance</w:t>
      </w:r>
      <w:r w:rsidR="00C56CEE" w:rsidRPr="00D17BDC">
        <w:t>-l</w:t>
      </w:r>
      <w:r w:rsidR="00FD60DA" w:rsidRPr="00D17BDC">
        <w:t xml:space="preserve">inked </w:t>
      </w:r>
      <w:r w:rsidR="00C56CEE" w:rsidRPr="00D17BDC">
        <w:t>a</w:t>
      </w:r>
      <w:r w:rsidR="00FD60DA" w:rsidRPr="00D17BDC">
        <w:t>id</w:t>
      </w:r>
      <w:r w:rsidR="00065C9A" w:rsidRPr="00D17BDC">
        <w:t xml:space="preserve"> (PLA)</w:t>
      </w:r>
      <w:r w:rsidR="00FD60DA" w:rsidRPr="00D17BDC">
        <w:t xml:space="preserve"> initiative with the Ministry of Fisheries and Marine Resources Development</w:t>
      </w:r>
      <w:r w:rsidR="009E05D4" w:rsidRPr="00D17BDC">
        <w:t xml:space="preserve">. </w:t>
      </w:r>
      <w:r w:rsidR="00242A30" w:rsidRPr="00D17BDC">
        <w:t xml:space="preserve">The PLA initiative is viewed very positively by the </w:t>
      </w:r>
      <w:r w:rsidR="00E90481" w:rsidRPr="00D17BDC">
        <w:t>ministry</w:t>
      </w:r>
      <w:r w:rsidR="00460856" w:rsidRPr="00D17BDC">
        <w:t xml:space="preserve">. </w:t>
      </w:r>
    </w:p>
    <w:p w:rsidR="00FD60DA" w:rsidRPr="00177DB4" w:rsidRDefault="00A97F46" w:rsidP="00177DB4">
      <w:pPr>
        <w:pStyle w:val="Normal2"/>
      </w:pPr>
      <w:r w:rsidRPr="00177DB4">
        <w:t xml:space="preserve">It is </w:t>
      </w:r>
      <w:r w:rsidR="00CB0B94" w:rsidRPr="00177DB4">
        <w:t xml:space="preserve">difficult to </w:t>
      </w:r>
      <w:r w:rsidRPr="00177DB4">
        <w:t xml:space="preserve">assess </w:t>
      </w:r>
      <w:r w:rsidR="00E90481" w:rsidRPr="00177DB4">
        <w:t xml:space="preserve">if </w:t>
      </w:r>
      <w:r w:rsidRPr="00177DB4">
        <w:t xml:space="preserve">there has been improvement in the effectiveness </w:t>
      </w:r>
      <w:r w:rsidR="00701D98" w:rsidRPr="00177DB4">
        <w:t xml:space="preserve">and efficiency </w:t>
      </w:r>
      <w:r w:rsidRPr="00177DB4">
        <w:t xml:space="preserve">of </w:t>
      </w:r>
      <w:proofErr w:type="spellStart"/>
      <w:r w:rsidRPr="00177DB4">
        <w:t>GoK’s</w:t>
      </w:r>
      <w:proofErr w:type="spellEnd"/>
      <w:r w:rsidRPr="00177DB4">
        <w:t xml:space="preserve"> expenditure program in promoting development</w:t>
      </w:r>
      <w:r w:rsidR="00FD60DA" w:rsidRPr="00177DB4">
        <w:t xml:space="preserve"> (Target 3)</w:t>
      </w:r>
      <w:r w:rsidR="00CB0B94" w:rsidRPr="00177DB4">
        <w:t>. H</w:t>
      </w:r>
      <w:r w:rsidR="00701D98" w:rsidRPr="00177DB4">
        <w:t xml:space="preserve">owever </w:t>
      </w:r>
      <w:r w:rsidR="00101467" w:rsidRPr="00177DB4">
        <w:t xml:space="preserve">significant efforts are underway </w:t>
      </w:r>
      <w:r w:rsidR="00E90481" w:rsidRPr="00177DB4">
        <w:t>to</w:t>
      </w:r>
      <w:r w:rsidR="00101467" w:rsidRPr="00177DB4">
        <w:t xml:space="preserve"> improv</w:t>
      </w:r>
      <w:r w:rsidR="00E90481" w:rsidRPr="00177DB4">
        <w:t xml:space="preserve">e the </w:t>
      </w:r>
      <w:r w:rsidR="00101467" w:rsidRPr="00177DB4">
        <w:t xml:space="preserve">performance of </w:t>
      </w:r>
      <w:r w:rsidR="00C64177" w:rsidRPr="00177DB4">
        <w:t>SOE</w:t>
      </w:r>
      <w:r w:rsidR="00261467" w:rsidRPr="00177DB4">
        <w:t>s</w:t>
      </w:r>
      <w:r w:rsidR="00242A30" w:rsidRPr="00177DB4">
        <w:t xml:space="preserve">. In addition, </w:t>
      </w:r>
      <w:r w:rsidR="00FD60DA" w:rsidRPr="00177DB4">
        <w:t>in 2011 the MFED finalised a PFM Reform Plan and successful</w:t>
      </w:r>
      <w:r w:rsidR="00242A30" w:rsidRPr="00177DB4">
        <w:t>ly</w:t>
      </w:r>
      <w:r w:rsidR="00FD60DA" w:rsidRPr="00177DB4">
        <w:t xml:space="preserve"> coordinated support from </w:t>
      </w:r>
      <w:r w:rsidR="00F50A04" w:rsidRPr="00177DB4">
        <w:t>the</w:t>
      </w:r>
      <w:r w:rsidR="00DB4E4A" w:rsidRPr="00177DB4">
        <w:t xml:space="preserve"> </w:t>
      </w:r>
      <w:r w:rsidR="00FD60DA" w:rsidRPr="00177DB4">
        <w:t xml:space="preserve">ADB and </w:t>
      </w:r>
      <w:r w:rsidR="00D155FD" w:rsidRPr="00177DB4">
        <w:t xml:space="preserve">Pacific Financial Technical Assistance Centre </w:t>
      </w:r>
      <w:r w:rsidR="00FD60DA" w:rsidRPr="00177DB4">
        <w:t xml:space="preserve">to support the implementation of key </w:t>
      </w:r>
      <w:r w:rsidR="00AB5DBB" w:rsidRPr="00177DB4">
        <w:t>reforms</w:t>
      </w:r>
      <w:r w:rsidR="009E05D4" w:rsidRPr="00177DB4">
        <w:t xml:space="preserve">. </w:t>
      </w:r>
    </w:p>
    <w:p w:rsidR="00CB0B94" w:rsidRPr="00D17BDC" w:rsidRDefault="00FD60DA" w:rsidP="00177DB4">
      <w:pPr>
        <w:pStyle w:val="Normal2"/>
      </w:pPr>
      <w:r w:rsidRPr="00D17BDC">
        <w:t>The contribution of the private sector to the economy remained the same over the past year at around 45</w:t>
      </w:r>
      <w:r w:rsidR="002F005A" w:rsidRPr="00D17BDC">
        <w:t xml:space="preserve"> per cent</w:t>
      </w:r>
      <w:r w:rsidRPr="00D17BDC">
        <w:t xml:space="preserve"> of </w:t>
      </w:r>
      <w:r w:rsidR="009D4AAA" w:rsidRPr="00D17BDC">
        <w:t>gross domestic product</w:t>
      </w:r>
      <w:r w:rsidRPr="00D17BDC">
        <w:t xml:space="preserve"> </w:t>
      </w:r>
      <w:r w:rsidR="00056BD3" w:rsidRPr="00D17BDC">
        <w:t>(Target 4)</w:t>
      </w:r>
      <w:r w:rsidR="00D61466" w:rsidRPr="00D17BDC">
        <w:t xml:space="preserve">. </w:t>
      </w:r>
      <w:r w:rsidRPr="00D17BDC">
        <w:t>A</w:t>
      </w:r>
      <w:r w:rsidR="00242A30" w:rsidRPr="00D17BDC">
        <w:t xml:space="preserve">usAID support to this </w:t>
      </w:r>
      <w:r w:rsidR="00F50A04" w:rsidRPr="00D17BDC">
        <w:t>t</w:t>
      </w:r>
      <w:r w:rsidRPr="00D17BDC">
        <w:t>arget has been</w:t>
      </w:r>
      <w:r w:rsidR="00242A30" w:rsidRPr="00D17BDC">
        <w:t xml:space="preserve"> indirect and progressed through SOE reform and under the </w:t>
      </w:r>
      <w:r w:rsidR="00F50A04" w:rsidRPr="00D17BDC">
        <w:t>p</w:t>
      </w:r>
      <w:r w:rsidR="00242A30" w:rsidRPr="00D17BDC">
        <w:t xml:space="preserve">riority </w:t>
      </w:r>
      <w:r w:rsidR="00F50A04" w:rsidRPr="00D17BDC">
        <w:t>o</w:t>
      </w:r>
      <w:r w:rsidR="00242A30" w:rsidRPr="00D17BDC">
        <w:t xml:space="preserve">utcomes for </w:t>
      </w:r>
      <w:r w:rsidR="002F1219" w:rsidRPr="00D17BDC">
        <w:t xml:space="preserve">basic </w:t>
      </w:r>
      <w:r w:rsidR="00065C9A" w:rsidRPr="00D17BDC">
        <w:t>e</w:t>
      </w:r>
      <w:r w:rsidR="00242A30" w:rsidRPr="00D17BDC">
        <w:t xml:space="preserve">ducation and </w:t>
      </w:r>
      <w:r w:rsidR="00F50A04" w:rsidRPr="00D17BDC">
        <w:t>w</w:t>
      </w:r>
      <w:r w:rsidR="00242A30" w:rsidRPr="00D17BDC">
        <w:t xml:space="preserve">orkforce </w:t>
      </w:r>
      <w:r w:rsidR="00F50A04" w:rsidRPr="00D17BDC">
        <w:t>s</w:t>
      </w:r>
      <w:r w:rsidR="00242A30" w:rsidRPr="00D17BDC">
        <w:t xml:space="preserve">kills </w:t>
      </w:r>
      <w:r w:rsidR="00F50A04" w:rsidRPr="00D17BDC">
        <w:t>d</w:t>
      </w:r>
      <w:r w:rsidR="00242A30" w:rsidRPr="00D17BDC">
        <w:t xml:space="preserve">evelopment. In addition, </w:t>
      </w:r>
      <w:r w:rsidR="008534E6" w:rsidRPr="00D17BDC">
        <w:t>AusAID is providing funding for infrastructure projects (</w:t>
      </w:r>
      <w:r w:rsidR="00F50A04" w:rsidRPr="00D17BDC">
        <w:t>r</w:t>
      </w:r>
      <w:r w:rsidR="008534E6" w:rsidRPr="00D17BDC">
        <w:t>oads</w:t>
      </w:r>
      <w:r w:rsidR="00065C9A" w:rsidRPr="00D17BDC">
        <w:t xml:space="preserve">; </w:t>
      </w:r>
      <w:r w:rsidR="004338A2" w:rsidRPr="00D17BDC">
        <w:t xml:space="preserve">information and communication technology </w:t>
      </w:r>
      <w:r w:rsidR="008534E6" w:rsidRPr="00D17BDC">
        <w:t>development</w:t>
      </w:r>
      <w:r w:rsidR="00F50A04" w:rsidRPr="00D17BDC">
        <w:t>;</w:t>
      </w:r>
      <w:r w:rsidR="008534E6" w:rsidRPr="00D17BDC">
        <w:t xml:space="preserve"> </w:t>
      </w:r>
      <w:r w:rsidR="00F50A04" w:rsidRPr="00D17BDC">
        <w:t>e</w:t>
      </w:r>
      <w:r w:rsidR="008534E6" w:rsidRPr="00D17BDC">
        <w:t>nergy</w:t>
      </w:r>
      <w:r w:rsidR="00F50A04" w:rsidRPr="00D17BDC">
        <w:t>;</w:t>
      </w:r>
      <w:r w:rsidR="008534E6" w:rsidRPr="00D17BDC">
        <w:t xml:space="preserve"> </w:t>
      </w:r>
      <w:r w:rsidR="00F50A04" w:rsidRPr="00D17BDC">
        <w:t>w</w:t>
      </w:r>
      <w:r w:rsidR="008534E6" w:rsidRPr="00D17BDC">
        <w:t xml:space="preserve">ater and </w:t>
      </w:r>
      <w:r w:rsidR="00F50A04" w:rsidRPr="00D17BDC">
        <w:t>s</w:t>
      </w:r>
      <w:r w:rsidR="008534E6" w:rsidRPr="00D17BDC">
        <w:t>anitation) which will improve productivity for the private sector and may provide opportunities for private sector involvement in deliver</w:t>
      </w:r>
      <w:r w:rsidR="00F50A04" w:rsidRPr="00D17BDC">
        <w:t>ing</w:t>
      </w:r>
      <w:r w:rsidR="008534E6" w:rsidRPr="00D17BDC">
        <w:t xml:space="preserve"> and </w:t>
      </w:r>
      <w:r w:rsidR="00DB4E4A" w:rsidRPr="00D17BDC">
        <w:t>maintaining</w:t>
      </w:r>
      <w:r w:rsidR="008534E6" w:rsidRPr="00D17BDC">
        <w:t xml:space="preserve"> these infrastructure services</w:t>
      </w:r>
      <w:r w:rsidR="009E05D4" w:rsidRPr="00D17BDC">
        <w:t xml:space="preserve">. </w:t>
      </w:r>
    </w:p>
    <w:p w:rsidR="004B6D7E" w:rsidRPr="00D17BDC" w:rsidRDefault="004B6D7E" w:rsidP="004B6D7E">
      <w:pPr>
        <w:pStyle w:val="Caption"/>
        <w:rPr>
          <w:rFonts w:ascii="Times New Roman" w:hAnsi="Times New Roman"/>
          <w:sz w:val="24"/>
          <w:szCs w:val="24"/>
          <w:lang w:val="en-US"/>
        </w:rPr>
      </w:pPr>
      <w:r w:rsidRPr="00D17BDC">
        <w:t xml:space="preserve">Table </w:t>
      </w:r>
      <w:r w:rsidRPr="00D17BDC">
        <w:fldChar w:fldCharType="begin"/>
      </w:r>
      <w:r w:rsidRPr="00D17BDC">
        <w:instrText xml:space="preserve"> SEQ Table \* ARABIC </w:instrText>
      </w:r>
      <w:r w:rsidRPr="00D17BDC">
        <w:fldChar w:fldCharType="separate"/>
      </w:r>
      <w:r w:rsidR="00015E51">
        <w:rPr>
          <w:noProof/>
        </w:rPr>
        <w:t>4</w:t>
      </w:r>
      <w:r w:rsidRPr="00D17BDC">
        <w:fldChar w:fldCharType="end"/>
      </w:r>
      <w:r w:rsidRPr="00D17BDC">
        <w:t xml:space="preserve">: Progress towards Priority Outcome 3 targets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415"/>
        <w:gridCol w:w="2656"/>
        <w:gridCol w:w="1374"/>
        <w:gridCol w:w="1272"/>
      </w:tblGrid>
      <w:tr w:rsidR="008D7822" w:rsidRPr="00D17BDC" w:rsidTr="00177DB4">
        <w:trPr>
          <w:cantSplit/>
          <w:trHeight w:val="20"/>
          <w:tblHeader/>
        </w:trPr>
        <w:tc>
          <w:tcPr>
            <w:tcW w:w="1583" w:type="pct"/>
            <w:tcBorders>
              <w:bottom w:val="single" w:sz="4" w:space="0" w:color="auto"/>
            </w:tcBorders>
            <w:shd w:val="clear" w:color="auto" w:fill="C0C0C0"/>
          </w:tcPr>
          <w:p w:rsidR="008D7822" w:rsidRPr="00D17BDC" w:rsidRDefault="008D7822" w:rsidP="00610F29">
            <w:pPr>
              <w:spacing w:after="0" w:line="240" w:lineRule="auto"/>
              <w:rPr>
                <w:rFonts w:ascii="Times New Roman" w:hAnsi="Times New Roman"/>
                <w:b/>
                <w:sz w:val="20"/>
                <w:szCs w:val="20"/>
              </w:rPr>
            </w:pPr>
          </w:p>
        </w:tc>
        <w:tc>
          <w:tcPr>
            <w:tcW w:w="720" w:type="pct"/>
            <w:tcBorders>
              <w:bottom w:val="single" w:sz="4" w:space="0" w:color="auto"/>
            </w:tcBorders>
            <w:shd w:val="clear" w:color="auto" w:fill="C0C0C0"/>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Baseline </w:t>
            </w:r>
          </w:p>
        </w:tc>
        <w:tc>
          <w:tcPr>
            <w:tcW w:w="1351" w:type="pct"/>
            <w:tcBorders>
              <w:bottom w:val="single" w:sz="4" w:space="0" w:color="auto"/>
            </w:tcBorders>
            <w:shd w:val="clear" w:color="auto" w:fill="C0C0C0"/>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Latest </w:t>
            </w:r>
          </w:p>
        </w:tc>
        <w:tc>
          <w:tcPr>
            <w:tcW w:w="699" w:type="pct"/>
            <w:tcBorders>
              <w:bottom w:val="single" w:sz="4" w:space="0" w:color="auto"/>
            </w:tcBorders>
            <w:shd w:val="clear" w:color="auto" w:fill="C0C0C0"/>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Target </w:t>
            </w:r>
          </w:p>
        </w:tc>
        <w:tc>
          <w:tcPr>
            <w:tcW w:w="647" w:type="pct"/>
            <w:tcBorders>
              <w:bottom w:val="single" w:sz="4" w:space="0" w:color="auto"/>
            </w:tcBorders>
            <w:shd w:val="clear" w:color="auto" w:fill="C0C0C0"/>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Assessment</w:t>
            </w:r>
          </w:p>
        </w:tc>
      </w:tr>
      <w:tr w:rsidR="008D7822" w:rsidRPr="00D17BDC" w:rsidTr="00177DB4">
        <w:trPr>
          <w:cantSplit/>
          <w:trHeight w:val="20"/>
        </w:trPr>
        <w:tc>
          <w:tcPr>
            <w:tcW w:w="5000" w:type="pct"/>
            <w:gridSpan w:val="5"/>
            <w:shd w:val="clear" w:color="auto" w:fill="CCFFFF"/>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Target 1: Decreased gap between </w:t>
            </w:r>
            <w:r w:rsidR="002F738D" w:rsidRPr="00D17BDC">
              <w:rPr>
                <w:rFonts w:ascii="Times New Roman" w:hAnsi="Times New Roman"/>
                <w:b/>
                <w:sz w:val="20"/>
                <w:szCs w:val="20"/>
              </w:rPr>
              <w:t>GoK</w:t>
            </w:r>
            <w:r w:rsidRPr="00D17BDC">
              <w:rPr>
                <w:rFonts w:ascii="Times New Roman" w:hAnsi="Times New Roman"/>
                <w:b/>
                <w:sz w:val="20"/>
                <w:szCs w:val="20"/>
              </w:rPr>
              <w:t xml:space="preserve"> current expenditure and (non-external grant) revenue</w:t>
            </w:r>
          </w:p>
          <w:p w:rsidR="008D7822" w:rsidRPr="00D17BDC" w:rsidRDefault="008D7822" w:rsidP="00F50A04">
            <w:pPr>
              <w:spacing w:after="0" w:line="240" w:lineRule="auto"/>
              <w:rPr>
                <w:rFonts w:ascii="Times New Roman" w:hAnsi="Times New Roman"/>
                <w:b/>
                <w:sz w:val="20"/>
                <w:szCs w:val="20"/>
              </w:rPr>
            </w:pPr>
            <w:r w:rsidRPr="00D17BDC">
              <w:rPr>
                <w:rFonts w:ascii="Times New Roman" w:hAnsi="Times New Roman"/>
                <w:sz w:val="20"/>
                <w:szCs w:val="20"/>
              </w:rPr>
              <w:t xml:space="preserve">meaning that GoK unsustainable budget deficits of recent years are to be reduced, </w:t>
            </w:r>
            <w:r w:rsidR="00F50A04" w:rsidRPr="00D17BDC">
              <w:rPr>
                <w:rFonts w:ascii="Times New Roman" w:hAnsi="Times New Roman"/>
                <w:sz w:val="20"/>
                <w:szCs w:val="20"/>
              </w:rPr>
              <w:t xml:space="preserve">starting </w:t>
            </w:r>
            <w:r w:rsidRPr="00D17BDC">
              <w:rPr>
                <w:rFonts w:ascii="Times New Roman" w:hAnsi="Times New Roman"/>
                <w:sz w:val="20"/>
                <w:szCs w:val="20"/>
              </w:rPr>
              <w:t xml:space="preserve">with the 2011 budget </w:t>
            </w:r>
          </w:p>
        </w:tc>
      </w:tr>
      <w:tr w:rsidR="008D7822" w:rsidRPr="00D17BDC" w:rsidTr="00177DB4">
        <w:trPr>
          <w:cantSplit/>
          <w:trHeight w:val="20"/>
        </w:trPr>
        <w:tc>
          <w:tcPr>
            <w:tcW w:w="1583"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Budget deficit (% of GDP) </w:t>
            </w:r>
          </w:p>
        </w:tc>
        <w:tc>
          <w:tcPr>
            <w:tcW w:w="720"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12.6% (2009)</w:t>
            </w:r>
          </w:p>
        </w:tc>
        <w:tc>
          <w:tcPr>
            <w:tcW w:w="1351"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8.0% (2010)</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Not identified </w:t>
            </w:r>
          </w:p>
        </w:tc>
        <w:tc>
          <w:tcPr>
            <w:tcW w:w="647" w:type="pct"/>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On track</w:t>
            </w:r>
          </w:p>
        </w:tc>
      </w:tr>
      <w:tr w:rsidR="008D7822" w:rsidRPr="00D17BDC" w:rsidTr="00177DB4">
        <w:trPr>
          <w:cantSplit/>
          <w:trHeight w:val="20"/>
        </w:trPr>
        <w:tc>
          <w:tcPr>
            <w:tcW w:w="5000" w:type="pct"/>
            <w:gridSpan w:val="5"/>
            <w:shd w:val="clear" w:color="auto" w:fill="CCFFFF"/>
          </w:tcPr>
          <w:p w:rsidR="008D7822" w:rsidRPr="00D17BDC" w:rsidRDefault="008D7822" w:rsidP="00610F29">
            <w:pPr>
              <w:spacing w:after="0" w:line="240" w:lineRule="auto"/>
              <w:rPr>
                <w:rFonts w:ascii="Times New Roman" w:hAnsi="Times New Roman"/>
                <w:b/>
                <w:sz w:val="20"/>
                <w:szCs w:val="20"/>
              </w:rPr>
            </w:pPr>
            <w:r w:rsidRPr="00D17BDC">
              <w:rPr>
                <w:rFonts w:ascii="Times New Roman" w:hAnsi="Times New Roman"/>
                <w:b/>
                <w:sz w:val="20"/>
                <w:szCs w:val="20"/>
              </w:rPr>
              <w:t xml:space="preserve">Target 2: Increased and sustainable revenue flows to Kiribati </w:t>
            </w:r>
          </w:p>
          <w:p w:rsidR="008D7822" w:rsidRPr="00D17BDC" w:rsidRDefault="008D7822" w:rsidP="00F50A04">
            <w:pPr>
              <w:spacing w:after="0" w:line="240" w:lineRule="auto"/>
              <w:rPr>
                <w:rFonts w:ascii="Times New Roman" w:hAnsi="Times New Roman"/>
                <w:b/>
                <w:sz w:val="20"/>
                <w:szCs w:val="20"/>
              </w:rPr>
            </w:pPr>
            <w:r w:rsidRPr="00D17BDC">
              <w:rPr>
                <w:rFonts w:ascii="Times New Roman" w:hAnsi="Times New Roman"/>
                <w:sz w:val="20"/>
                <w:szCs w:val="20"/>
              </w:rPr>
              <w:t xml:space="preserve">by ensuring returns on Kiribati’s fisheries and marine resources are maximised and continue to </w:t>
            </w:r>
            <w:r w:rsidR="00F50A04" w:rsidRPr="00D17BDC">
              <w:rPr>
                <w:rFonts w:ascii="Times New Roman" w:hAnsi="Times New Roman"/>
                <w:sz w:val="20"/>
                <w:szCs w:val="20"/>
              </w:rPr>
              <w:t>help</w:t>
            </w:r>
            <w:r w:rsidRPr="00D17BDC">
              <w:rPr>
                <w:rFonts w:ascii="Times New Roman" w:hAnsi="Times New Roman"/>
                <w:sz w:val="20"/>
                <w:szCs w:val="20"/>
              </w:rPr>
              <w:t xml:space="preserve"> stabilis</w:t>
            </w:r>
            <w:r w:rsidR="00F50A04" w:rsidRPr="00D17BDC">
              <w:rPr>
                <w:rFonts w:ascii="Times New Roman" w:hAnsi="Times New Roman"/>
                <w:sz w:val="20"/>
                <w:szCs w:val="20"/>
              </w:rPr>
              <w:t>e</w:t>
            </w:r>
            <w:r w:rsidRPr="00D17BDC">
              <w:rPr>
                <w:rFonts w:ascii="Times New Roman" w:hAnsi="Times New Roman"/>
                <w:sz w:val="20"/>
                <w:szCs w:val="20"/>
              </w:rPr>
              <w:t xml:space="preserve"> the budget</w:t>
            </w:r>
          </w:p>
        </w:tc>
      </w:tr>
      <w:tr w:rsidR="008D7822" w:rsidRPr="00D17BDC" w:rsidTr="00177DB4">
        <w:trPr>
          <w:cantSplit/>
          <w:trHeight w:val="20"/>
        </w:trPr>
        <w:tc>
          <w:tcPr>
            <w:tcW w:w="1583" w:type="pct"/>
            <w:shd w:val="clear" w:color="auto" w:fill="auto"/>
          </w:tcPr>
          <w:p w:rsidR="008D7822" w:rsidRPr="00D17BDC" w:rsidRDefault="008D7822" w:rsidP="00F50A04">
            <w:pPr>
              <w:spacing w:after="0" w:line="240" w:lineRule="auto"/>
              <w:rPr>
                <w:rFonts w:ascii="Times New Roman" w:hAnsi="Times New Roman"/>
                <w:sz w:val="20"/>
                <w:szCs w:val="20"/>
              </w:rPr>
            </w:pPr>
            <w:r w:rsidRPr="00D17BDC">
              <w:rPr>
                <w:rFonts w:ascii="Times New Roman" w:hAnsi="Times New Roman"/>
                <w:sz w:val="20"/>
                <w:szCs w:val="20"/>
              </w:rPr>
              <w:t xml:space="preserve">Total </w:t>
            </w:r>
            <w:r w:rsidR="00F50A04" w:rsidRPr="00D17BDC">
              <w:rPr>
                <w:rFonts w:ascii="Times New Roman" w:hAnsi="Times New Roman"/>
                <w:sz w:val="20"/>
                <w:szCs w:val="20"/>
              </w:rPr>
              <w:t>r</w:t>
            </w:r>
            <w:r w:rsidRPr="00D17BDC">
              <w:rPr>
                <w:rFonts w:ascii="Times New Roman" w:hAnsi="Times New Roman"/>
                <w:sz w:val="20"/>
                <w:szCs w:val="20"/>
              </w:rPr>
              <w:t xml:space="preserve">evenues (excluding external grants) </w:t>
            </w:r>
          </w:p>
        </w:tc>
        <w:tc>
          <w:tcPr>
            <w:tcW w:w="720"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$69.6 million (2009)</w:t>
            </w:r>
          </w:p>
        </w:tc>
        <w:tc>
          <w:tcPr>
            <w:tcW w:w="1351"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$81 million (2010)</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Not identified</w:t>
            </w:r>
          </w:p>
        </w:tc>
        <w:tc>
          <w:tcPr>
            <w:tcW w:w="647" w:type="pct"/>
            <w:vMerge w:val="restart"/>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On track</w:t>
            </w:r>
          </w:p>
        </w:tc>
      </w:tr>
      <w:tr w:rsidR="008D7822" w:rsidRPr="00D17BDC" w:rsidTr="00177DB4">
        <w:trPr>
          <w:cantSplit/>
          <w:trHeight w:val="20"/>
        </w:trPr>
        <w:tc>
          <w:tcPr>
            <w:tcW w:w="1583" w:type="pct"/>
            <w:shd w:val="clear" w:color="auto" w:fill="auto"/>
          </w:tcPr>
          <w:p w:rsidR="008D7822" w:rsidRPr="00D17BDC" w:rsidRDefault="008D7822" w:rsidP="00F50A04">
            <w:pPr>
              <w:spacing w:after="0" w:line="240" w:lineRule="auto"/>
              <w:rPr>
                <w:rFonts w:ascii="Times New Roman" w:hAnsi="Times New Roman"/>
                <w:sz w:val="20"/>
                <w:szCs w:val="20"/>
              </w:rPr>
            </w:pPr>
            <w:r w:rsidRPr="00D17BDC">
              <w:rPr>
                <w:rFonts w:ascii="Times New Roman" w:hAnsi="Times New Roman"/>
                <w:sz w:val="20"/>
                <w:szCs w:val="20"/>
              </w:rPr>
              <w:t xml:space="preserve"> - Of which </w:t>
            </w:r>
            <w:r w:rsidR="00F50A04" w:rsidRPr="00D17BDC">
              <w:rPr>
                <w:rFonts w:ascii="Times New Roman" w:hAnsi="Times New Roman"/>
                <w:sz w:val="20"/>
                <w:szCs w:val="20"/>
              </w:rPr>
              <w:t>f</w:t>
            </w:r>
            <w:r w:rsidRPr="00D17BDC">
              <w:rPr>
                <w:rFonts w:ascii="Times New Roman" w:hAnsi="Times New Roman"/>
                <w:sz w:val="20"/>
                <w:szCs w:val="20"/>
              </w:rPr>
              <w:t xml:space="preserve">isheries revenues </w:t>
            </w:r>
          </w:p>
        </w:tc>
        <w:tc>
          <w:tcPr>
            <w:tcW w:w="720"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$29.5 million (2009)</w:t>
            </w:r>
          </w:p>
        </w:tc>
        <w:tc>
          <w:tcPr>
            <w:tcW w:w="1351"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$41.7 million (2010)</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Not identified</w:t>
            </w:r>
          </w:p>
        </w:tc>
        <w:tc>
          <w:tcPr>
            <w:tcW w:w="647" w:type="pct"/>
            <w:vMerge/>
          </w:tcPr>
          <w:p w:rsidR="008D7822" w:rsidRPr="00D17BDC" w:rsidRDefault="008D7822" w:rsidP="00610F29">
            <w:pPr>
              <w:spacing w:after="0" w:line="240" w:lineRule="auto"/>
              <w:rPr>
                <w:rFonts w:ascii="Times New Roman" w:hAnsi="Times New Roman"/>
                <w:sz w:val="20"/>
                <w:szCs w:val="20"/>
              </w:rPr>
            </w:pPr>
          </w:p>
        </w:tc>
      </w:tr>
      <w:tr w:rsidR="008D7822" w:rsidRPr="00D17BDC" w:rsidTr="00177DB4">
        <w:trPr>
          <w:cantSplit/>
          <w:trHeight w:val="20"/>
        </w:trPr>
        <w:tc>
          <w:tcPr>
            <w:tcW w:w="5000" w:type="pct"/>
            <w:gridSpan w:val="5"/>
            <w:shd w:val="clear" w:color="auto" w:fill="CCFFFF"/>
          </w:tcPr>
          <w:p w:rsidR="008D7822" w:rsidRPr="00D17BDC" w:rsidRDefault="008D7822" w:rsidP="001F69B3">
            <w:pPr>
              <w:spacing w:after="0" w:line="240" w:lineRule="auto"/>
              <w:rPr>
                <w:rFonts w:ascii="Times New Roman" w:hAnsi="Times New Roman"/>
                <w:b/>
                <w:sz w:val="20"/>
                <w:szCs w:val="20"/>
              </w:rPr>
            </w:pPr>
            <w:r w:rsidRPr="00D17BDC">
              <w:rPr>
                <w:rFonts w:ascii="Times New Roman" w:hAnsi="Times New Roman"/>
                <w:b/>
                <w:sz w:val="20"/>
                <w:szCs w:val="20"/>
              </w:rPr>
              <w:t>Target 3: Improve the efficiency and effectiveness of public expenditures in promoting the development of Kiribati</w:t>
            </w:r>
          </w:p>
          <w:p w:rsidR="008D7822" w:rsidRPr="00D17BDC" w:rsidRDefault="008D7822" w:rsidP="00D17BDC">
            <w:pPr>
              <w:spacing w:after="0" w:line="240" w:lineRule="auto"/>
              <w:rPr>
                <w:rFonts w:ascii="Times New Roman" w:hAnsi="Times New Roman"/>
                <w:b/>
                <w:sz w:val="20"/>
                <w:szCs w:val="20"/>
              </w:rPr>
            </w:pPr>
            <w:r w:rsidRPr="00D17BDC">
              <w:rPr>
                <w:rFonts w:ascii="Times New Roman" w:hAnsi="Times New Roman"/>
                <w:sz w:val="20"/>
                <w:szCs w:val="20"/>
              </w:rPr>
              <w:t>by improving the quality of financial management systems and by ensuring expenditure programs are focused on the provision of public goods and addressing inequality</w:t>
            </w:r>
          </w:p>
        </w:tc>
      </w:tr>
      <w:tr w:rsidR="008D7822" w:rsidRPr="00D17BDC" w:rsidTr="00177DB4">
        <w:trPr>
          <w:cantSplit/>
          <w:trHeight w:val="20"/>
        </w:trPr>
        <w:tc>
          <w:tcPr>
            <w:tcW w:w="1583" w:type="pct"/>
            <w:shd w:val="clear" w:color="auto" w:fill="auto"/>
          </w:tcPr>
          <w:p w:rsidR="008D7822" w:rsidRPr="00D17BDC" w:rsidRDefault="008D7822" w:rsidP="00D155FD">
            <w:pPr>
              <w:spacing w:after="0" w:line="240" w:lineRule="auto"/>
              <w:rPr>
                <w:rFonts w:ascii="Times New Roman" w:hAnsi="Times New Roman"/>
                <w:sz w:val="20"/>
                <w:szCs w:val="20"/>
              </w:rPr>
            </w:pPr>
            <w:r w:rsidRPr="00D17BDC">
              <w:rPr>
                <w:rFonts w:ascii="Times New Roman" w:hAnsi="Times New Roman"/>
                <w:sz w:val="20"/>
                <w:szCs w:val="20"/>
              </w:rPr>
              <w:t xml:space="preserve">GoK has, in response to the findings of the 2010 </w:t>
            </w:r>
            <w:r w:rsidR="00D155FD" w:rsidRPr="00D17BDC">
              <w:rPr>
                <w:rFonts w:ascii="Times New Roman" w:hAnsi="Times New Roman"/>
                <w:sz w:val="20"/>
                <w:szCs w:val="20"/>
              </w:rPr>
              <w:t xml:space="preserve">Public Expenditure and Financial Accountability </w:t>
            </w:r>
            <w:r w:rsidRPr="00D17BDC">
              <w:rPr>
                <w:rFonts w:ascii="Times New Roman" w:hAnsi="Times New Roman"/>
                <w:sz w:val="20"/>
                <w:szCs w:val="20"/>
              </w:rPr>
              <w:t>assessment, and with the support of donors: prioritised reform actions; endorsed a roadmap for implementation; and begun implementing reform actions</w:t>
            </w:r>
          </w:p>
        </w:tc>
        <w:tc>
          <w:tcPr>
            <w:tcW w:w="720" w:type="pct"/>
            <w:shd w:val="clear" w:color="auto" w:fill="auto"/>
          </w:tcPr>
          <w:p w:rsidR="008D7822" w:rsidRPr="00D17BDC" w:rsidRDefault="008D7822" w:rsidP="00F50A04">
            <w:pPr>
              <w:spacing w:after="0" w:line="240" w:lineRule="auto"/>
              <w:rPr>
                <w:rFonts w:ascii="Times New Roman" w:hAnsi="Times New Roman"/>
                <w:sz w:val="20"/>
                <w:szCs w:val="20"/>
              </w:rPr>
            </w:pPr>
            <w:r w:rsidRPr="00D17BDC">
              <w:rPr>
                <w:rFonts w:ascii="Times New Roman" w:hAnsi="Times New Roman"/>
                <w:sz w:val="20"/>
                <w:szCs w:val="20"/>
              </w:rPr>
              <w:t xml:space="preserve">- </w:t>
            </w:r>
            <w:r w:rsidR="00D155FD" w:rsidRPr="00D17BDC">
              <w:rPr>
                <w:rFonts w:ascii="Times New Roman" w:hAnsi="Times New Roman"/>
                <w:sz w:val="20"/>
                <w:szCs w:val="20"/>
              </w:rPr>
              <w:t xml:space="preserve">Public Expenditure and Financial Accountability </w:t>
            </w:r>
            <w:r w:rsidRPr="00D17BDC">
              <w:rPr>
                <w:rFonts w:ascii="Times New Roman" w:hAnsi="Times New Roman"/>
                <w:sz w:val="20"/>
                <w:szCs w:val="20"/>
              </w:rPr>
              <w:t xml:space="preserve">assessment undertaken </w:t>
            </w:r>
          </w:p>
        </w:tc>
        <w:tc>
          <w:tcPr>
            <w:tcW w:w="1351"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PFM Reform Plan developed and endorsed by Cabinet (June 2011)</w:t>
            </w:r>
          </w:p>
          <w:p w:rsidR="008D7822" w:rsidRPr="00D17BDC" w:rsidRDefault="008D7822" w:rsidP="00154BC4">
            <w:pPr>
              <w:spacing w:after="0" w:line="240" w:lineRule="auto"/>
              <w:rPr>
                <w:rFonts w:ascii="Times New Roman" w:hAnsi="Times New Roman"/>
                <w:sz w:val="20"/>
                <w:szCs w:val="20"/>
              </w:rPr>
            </w:pPr>
            <w:r w:rsidRPr="00D17BDC">
              <w:rPr>
                <w:rFonts w:ascii="Times New Roman" w:hAnsi="Times New Roman"/>
                <w:sz w:val="20"/>
                <w:szCs w:val="20"/>
              </w:rPr>
              <w:t xml:space="preserve">- Medium Term </w:t>
            </w:r>
            <w:r w:rsidR="00154BC4" w:rsidRPr="00D17BDC">
              <w:rPr>
                <w:rFonts w:ascii="Times New Roman" w:hAnsi="Times New Roman"/>
                <w:sz w:val="20"/>
                <w:szCs w:val="20"/>
              </w:rPr>
              <w:t xml:space="preserve">Fiscal Strategy </w:t>
            </w:r>
            <w:r w:rsidRPr="00D17BDC">
              <w:rPr>
                <w:rFonts w:ascii="Times New Roman" w:hAnsi="Times New Roman"/>
                <w:sz w:val="20"/>
                <w:szCs w:val="20"/>
              </w:rPr>
              <w:t xml:space="preserve"> reflected for first time in 2011 Budget </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Not identified </w:t>
            </w:r>
          </w:p>
        </w:tc>
        <w:tc>
          <w:tcPr>
            <w:tcW w:w="647" w:type="pct"/>
            <w:vMerge w:val="restart"/>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Difficult to measure</w:t>
            </w:r>
          </w:p>
        </w:tc>
      </w:tr>
      <w:tr w:rsidR="008D7822" w:rsidRPr="00D17BDC" w:rsidTr="00177DB4">
        <w:trPr>
          <w:cantSplit/>
          <w:trHeight w:val="20"/>
        </w:trPr>
        <w:tc>
          <w:tcPr>
            <w:tcW w:w="1583" w:type="pct"/>
            <w:shd w:val="clear" w:color="auto" w:fill="auto"/>
          </w:tcPr>
          <w:p w:rsidR="008D7822" w:rsidRPr="00D17BDC" w:rsidRDefault="008D7822" w:rsidP="00F50A04">
            <w:pPr>
              <w:tabs>
                <w:tab w:val="left" w:pos="770"/>
              </w:tabs>
              <w:spacing w:after="0" w:line="240" w:lineRule="auto"/>
              <w:rPr>
                <w:rFonts w:ascii="Times New Roman" w:hAnsi="Times New Roman"/>
                <w:sz w:val="20"/>
                <w:szCs w:val="20"/>
              </w:rPr>
            </w:pPr>
            <w:r w:rsidRPr="00D17BDC">
              <w:rPr>
                <w:rFonts w:ascii="Times New Roman" w:hAnsi="Times New Roman"/>
                <w:sz w:val="20"/>
                <w:szCs w:val="20"/>
              </w:rPr>
              <w:lastRenderedPageBreak/>
              <w:t>GoK with ADB (and funding from AusAID) developed a public enterprise portfolio performance improvement strategy</w:t>
            </w:r>
            <w:r w:rsidR="00F50A04" w:rsidRPr="00D17BDC">
              <w:rPr>
                <w:rFonts w:ascii="Times New Roman" w:hAnsi="Times New Roman"/>
                <w:sz w:val="20"/>
                <w:szCs w:val="20"/>
              </w:rPr>
              <w:t xml:space="preserve"> which</w:t>
            </w:r>
            <w:r w:rsidRPr="00D17BDC">
              <w:rPr>
                <w:rFonts w:ascii="Times New Roman" w:hAnsi="Times New Roman"/>
                <w:sz w:val="20"/>
                <w:szCs w:val="20"/>
              </w:rPr>
              <w:t xml:space="preserve"> has been endorsed by Cabinet</w:t>
            </w:r>
          </w:p>
        </w:tc>
        <w:tc>
          <w:tcPr>
            <w:tcW w:w="720" w:type="pct"/>
            <w:shd w:val="clear" w:color="auto" w:fill="auto"/>
          </w:tcPr>
          <w:p w:rsidR="008D7822" w:rsidRPr="00D17BDC" w:rsidRDefault="008D7822" w:rsidP="00610F29">
            <w:pPr>
              <w:spacing w:after="0" w:line="240" w:lineRule="auto"/>
              <w:rPr>
                <w:rFonts w:ascii="Times New Roman" w:hAnsi="Times New Roman"/>
                <w:sz w:val="20"/>
                <w:szCs w:val="20"/>
              </w:rPr>
            </w:pPr>
          </w:p>
        </w:tc>
        <w:tc>
          <w:tcPr>
            <w:tcW w:w="1351"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 Cabinet agreement to reform eight SOEs. Of these, one has been sold (Kiribati Supply Company Limited). </w:t>
            </w:r>
          </w:p>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 Cabinet endorsed the Telecommunications Act in April 2011 </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 xml:space="preserve">Not identified </w:t>
            </w:r>
          </w:p>
        </w:tc>
        <w:tc>
          <w:tcPr>
            <w:tcW w:w="647" w:type="pct"/>
            <w:vMerge/>
          </w:tcPr>
          <w:p w:rsidR="008D7822" w:rsidRPr="00D17BDC" w:rsidRDefault="008D7822" w:rsidP="00610F29">
            <w:pPr>
              <w:spacing w:after="0" w:line="240" w:lineRule="auto"/>
              <w:rPr>
                <w:rFonts w:ascii="Times New Roman" w:hAnsi="Times New Roman"/>
                <w:sz w:val="20"/>
                <w:szCs w:val="20"/>
              </w:rPr>
            </w:pPr>
          </w:p>
        </w:tc>
      </w:tr>
      <w:tr w:rsidR="008D7822" w:rsidRPr="00D17BDC" w:rsidTr="00177DB4">
        <w:trPr>
          <w:cantSplit/>
          <w:trHeight w:val="20"/>
        </w:trPr>
        <w:tc>
          <w:tcPr>
            <w:tcW w:w="5000" w:type="pct"/>
            <w:gridSpan w:val="5"/>
            <w:shd w:val="clear" w:color="auto" w:fill="CCFFFF"/>
          </w:tcPr>
          <w:p w:rsidR="008D7822" w:rsidRPr="00D17BDC" w:rsidRDefault="008D7822" w:rsidP="00610F29">
            <w:pPr>
              <w:keepNext/>
              <w:spacing w:after="0" w:line="240" w:lineRule="auto"/>
              <w:jc w:val="both"/>
              <w:rPr>
                <w:rFonts w:ascii="Times New Roman" w:hAnsi="Times New Roman"/>
                <w:b/>
                <w:sz w:val="20"/>
                <w:szCs w:val="20"/>
              </w:rPr>
            </w:pPr>
            <w:r w:rsidRPr="00D17BDC">
              <w:rPr>
                <w:rFonts w:ascii="Times New Roman" w:hAnsi="Times New Roman"/>
                <w:b/>
                <w:sz w:val="20"/>
                <w:szCs w:val="20"/>
              </w:rPr>
              <w:t>Target 4:</w:t>
            </w:r>
            <w:r w:rsidRPr="00D17BDC">
              <w:rPr>
                <w:rFonts w:ascii="Times New Roman" w:hAnsi="Times New Roman"/>
                <w:b/>
                <w:i/>
                <w:sz w:val="20"/>
                <w:szCs w:val="20"/>
              </w:rPr>
              <w:t xml:space="preserve"> </w:t>
            </w:r>
            <w:r w:rsidRPr="00D17BDC">
              <w:rPr>
                <w:rFonts w:ascii="Times New Roman" w:hAnsi="Times New Roman"/>
                <w:b/>
                <w:sz w:val="20"/>
                <w:szCs w:val="20"/>
              </w:rPr>
              <w:t>Decline in general public expenditure as a percentage of GDP</w:t>
            </w:r>
          </w:p>
          <w:p w:rsidR="008D7822" w:rsidRPr="00D17BDC" w:rsidRDefault="008D7822" w:rsidP="00D17BDC">
            <w:pPr>
              <w:keepNext/>
              <w:spacing w:after="0" w:line="240" w:lineRule="auto"/>
              <w:rPr>
                <w:rFonts w:ascii="Times New Roman" w:hAnsi="Times New Roman"/>
                <w:b/>
                <w:i/>
                <w:sz w:val="20"/>
                <w:szCs w:val="20"/>
              </w:rPr>
            </w:pPr>
            <w:r w:rsidRPr="00D17BDC">
              <w:rPr>
                <w:rFonts w:ascii="Times New Roman" w:hAnsi="Times New Roman"/>
                <w:sz w:val="20"/>
                <w:szCs w:val="20"/>
              </w:rPr>
              <w:t>to be achieved over the medium and longer term</w:t>
            </w:r>
            <w:r w:rsidR="00F50A04" w:rsidRPr="00D17BDC">
              <w:rPr>
                <w:rFonts w:ascii="Times New Roman" w:hAnsi="Times New Roman"/>
                <w:sz w:val="20"/>
                <w:szCs w:val="20"/>
              </w:rPr>
              <w:t>s</w:t>
            </w:r>
            <w:r w:rsidRPr="00D17BDC">
              <w:rPr>
                <w:rFonts w:ascii="Times New Roman" w:hAnsi="Times New Roman"/>
                <w:sz w:val="20"/>
                <w:szCs w:val="20"/>
              </w:rPr>
              <w:t xml:space="preserve"> by policies promot</w:t>
            </w:r>
            <w:r w:rsidR="00F50A04" w:rsidRPr="00D17BDC">
              <w:rPr>
                <w:rFonts w:ascii="Times New Roman" w:hAnsi="Times New Roman"/>
                <w:sz w:val="20"/>
                <w:szCs w:val="20"/>
              </w:rPr>
              <w:t>ing</w:t>
            </w:r>
            <w:r w:rsidRPr="00D17BDC">
              <w:rPr>
                <w:rFonts w:ascii="Times New Roman" w:hAnsi="Times New Roman"/>
                <w:sz w:val="20"/>
                <w:szCs w:val="20"/>
              </w:rPr>
              <w:t xml:space="preserve"> private sector development and robust economic growth</w:t>
            </w:r>
          </w:p>
        </w:tc>
      </w:tr>
      <w:tr w:rsidR="008D7822" w:rsidRPr="00D17BDC" w:rsidTr="00177DB4">
        <w:trPr>
          <w:cantSplit/>
          <w:trHeight w:val="20"/>
        </w:trPr>
        <w:tc>
          <w:tcPr>
            <w:tcW w:w="1583" w:type="pct"/>
            <w:shd w:val="clear" w:color="auto" w:fill="auto"/>
          </w:tcPr>
          <w:p w:rsidR="008D7822" w:rsidRPr="00D17BDC" w:rsidRDefault="008D7822" w:rsidP="009D4AAA">
            <w:pPr>
              <w:spacing w:after="0" w:line="240" w:lineRule="auto"/>
              <w:rPr>
                <w:rFonts w:ascii="Times New Roman" w:hAnsi="Times New Roman"/>
                <w:sz w:val="20"/>
                <w:szCs w:val="20"/>
              </w:rPr>
            </w:pPr>
            <w:r w:rsidRPr="00D17BDC">
              <w:rPr>
                <w:rFonts w:ascii="Times New Roman" w:hAnsi="Times New Roman"/>
                <w:sz w:val="20"/>
                <w:szCs w:val="20"/>
              </w:rPr>
              <w:t xml:space="preserve">Public expenditure as % of total </w:t>
            </w:r>
            <w:r w:rsidR="009D4AAA" w:rsidRPr="00D17BDC">
              <w:rPr>
                <w:rFonts w:ascii="Times New Roman" w:hAnsi="Times New Roman"/>
                <w:sz w:val="20"/>
                <w:szCs w:val="20"/>
              </w:rPr>
              <w:t>gross domestic product</w:t>
            </w:r>
            <w:r w:rsidRPr="00D17BDC">
              <w:rPr>
                <w:rFonts w:ascii="Times New Roman" w:hAnsi="Times New Roman"/>
                <w:sz w:val="20"/>
                <w:szCs w:val="20"/>
              </w:rPr>
              <w:t xml:space="preserve"> </w:t>
            </w:r>
          </w:p>
        </w:tc>
        <w:tc>
          <w:tcPr>
            <w:tcW w:w="720" w:type="pct"/>
            <w:shd w:val="clear" w:color="auto" w:fill="auto"/>
          </w:tcPr>
          <w:p w:rsidR="008D7822" w:rsidRPr="00D17BDC" w:rsidRDefault="008D7822" w:rsidP="00610F29">
            <w:pPr>
              <w:spacing w:after="0" w:line="240" w:lineRule="auto"/>
              <w:jc w:val="both"/>
              <w:rPr>
                <w:rFonts w:ascii="Times New Roman" w:hAnsi="Times New Roman"/>
                <w:sz w:val="20"/>
                <w:szCs w:val="20"/>
              </w:rPr>
            </w:pPr>
            <w:r w:rsidRPr="00D17BDC">
              <w:rPr>
                <w:rFonts w:ascii="Times New Roman" w:hAnsi="Times New Roman"/>
                <w:sz w:val="20"/>
                <w:szCs w:val="20"/>
              </w:rPr>
              <w:t>55% (2009)</w:t>
            </w:r>
          </w:p>
        </w:tc>
        <w:tc>
          <w:tcPr>
            <w:tcW w:w="1351" w:type="pct"/>
            <w:shd w:val="clear" w:color="auto" w:fill="auto"/>
          </w:tcPr>
          <w:p w:rsidR="008D7822" w:rsidRPr="00D17BDC" w:rsidRDefault="008D7822" w:rsidP="00610F29">
            <w:pPr>
              <w:spacing w:after="0" w:line="240" w:lineRule="auto"/>
              <w:jc w:val="both"/>
              <w:rPr>
                <w:rFonts w:ascii="Times New Roman" w:hAnsi="Times New Roman"/>
                <w:sz w:val="20"/>
                <w:szCs w:val="20"/>
              </w:rPr>
            </w:pPr>
            <w:r w:rsidRPr="00D17BDC">
              <w:rPr>
                <w:rFonts w:ascii="Times New Roman" w:hAnsi="Times New Roman"/>
                <w:sz w:val="20"/>
                <w:szCs w:val="20"/>
              </w:rPr>
              <w:t xml:space="preserve">54.8% (2010) </w:t>
            </w:r>
          </w:p>
        </w:tc>
        <w:tc>
          <w:tcPr>
            <w:tcW w:w="699" w:type="pct"/>
            <w:shd w:val="clear" w:color="auto" w:fill="auto"/>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Not identified</w:t>
            </w:r>
          </w:p>
        </w:tc>
        <w:tc>
          <w:tcPr>
            <w:tcW w:w="647" w:type="pct"/>
          </w:tcPr>
          <w:p w:rsidR="008D7822" w:rsidRPr="00D17BDC" w:rsidRDefault="008D7822" w:rsidP="00610F29">
            <w:pPr>
              <w:spacing w:after="0" w:line="240" w:lineRule="auto"/>
              <w:rPr>
                <w:rFonts w:ascii="Times New Roman" w:hAnsi="Times New Roman"/>
                <w:sz w:val="20"/>
                <w:szCs w:val="20"/>
              </w:rPr>
            </w:pPr>
            <w:r w:rsidRPr="00D17BDC">
              <w:rPr>
                <w:rFonts w:ascii="Times New Roman" w:hAnsi="Times New Roman"/>
                <w:sz w:val="20"/>
                <w:szCs w:val="20"/>
              </w:rPr>
              <w:t>Partly on track</w:t>
            </w:r>
          </w:p>
        </w:tc>
      </w:tr>
    </w:tbl>
    <w:p w:rsidR="003560E9" w:rsidRPr="00D17BDC" w:rsidRDefault="008534E6" w:rsidP="00177DB4">
      <w:pPr>
        <w:pStyle w:val="Normal2"/>
      </w:pPr>
      <w:r w:rsidRPr="00D17BDC">
        <w:t>At the Partnership Talks</w:t>
      </w:r>
      <w:r w:rsidR="00065C9A" w:rsidRPr="00D17BDC">
        <w:t xml:space="preserve">, </w:t>
      </w:r>
      <w:r w:rsidRPr="00D17BDC">
        <w:t>GoK (MFED) advised on the e</w:t>
      </w:r>
      <w:r w:rsidR="003560E9" w:rsidRPr="00D17BDC">
        <w:t>fforts taken over the past year</w:t>
      </w:r>
      <w:r w:rsidR="00F50A04" w:rsidRPr="00D17BDC">
        <w:t>. This includes: a</w:t>
      </w:r>
      <w:r w:rsidR="003560E9" w:rsidRPr="00D17BDC">
        <w:t xml:space="preserve"> review of the </w:t>
      </w:r>
      <w:r w:rsidR="00D155FD" w:rsidRPr="00D17BDC">
        <w:t xml:space="preserve">Revenue Equalisation Reserve Fund </w:t>
      </w:r>
      <w:r w:rsidR="003560E9" w:rsidRPr="00D17BDC">
        <w:t xml:space="preserve">and debt sustainability analysis; introduction of the medium term </w:t>
      </w:r>
      <w:r w:rsidR="00154BC4" w:rsidRPr="00D17BDC">
        <w:t>fiscal strategy</w:t>
      </w:r>
      <w:r w:rsidR="003560E9" w:rsidRPr="00D17BDC">
        <w:t xml:space="preserve">; continued efforts to reform </w:t>
      </w:r>
      <w:r w:rsidR="00C64177" w:rsidRPr="00D17BDC">
        <w:t>SOE</w:t>
      </w:r>
      <w:r w:rsidR="003560E9" w:rsidRPr="00D17BDC">
        <w:t>; and</w:t>
      </w:r>
      <w:r w:rsidR="00F50A04" w:rsidRPr="00D17BDC">
        <w:t>,</w:t>
      </w:r>
      <w:r w:rsidR="003560E9" w:rsidRPr="00D17BDC">
        <w:t xml:space="preserve"> most </w:t>
      </w:r>
      <w:r w:rsidR="00F50A04" w:rsidRPr="00D17BDC">
        <w:t xml:space="preserve">recently, </w:t>
      </w:r>
      <w:r w:rsidR="003560E9" w:rsidRPr="00D17BDC">
        <w:t>the development of the PFM Reform Plan and the Taxation IT Plan</w:t>
      </w:r>
      <w:r w:rsidR="009E05D4" w:rsidRPr="00D17BDC">
        <w:t xml:space="preserve">. </w:t>
      </w:r>
      <w:r w:rsidR="003560E9" w:rsidRPr="00D17BDC">
        <w:t>The Secretary of Finance noted that the Ministry is at the stage where these plans</w:t>
      </w:r>
      <w:r w:rsidR="00902FA9" w:rsidRPr="00D17BDC">
        <w:t xml:space="preserve"> need to be implemented</w:t>
      </w:r>
      <w:r w:rsidR="003560E9" w:rsidRPr="00D17BDC">
        <w:t xml:space="preserve">, and this requires support from development partners. </w:t>
      </w:r>
    </w:p>
    <w:p w:rsidR="003560E9" w:rsidRPr="00D17BDC" w:rsidRDefault="00F50A04" w:rsidP="00177DB4">
      <w:pPr>
        <w:pStyle w:val="Normal2"/>
      </w:pPr>
      <w:r w:rsidRPr="00D17BDC">
        <w:t>The Government of Australia</w:t>
      </w:r>
      <w:r w:rsidR="00101467" w:rsidRPr="00D17BDC">
        <w:t xml:space="preserve"> congratulated </w:t>
      </w:r>
      <w:proofErr w:type="spellStart"/>
      <w:r w:rsidR="00101467" w:rsidRPr="00D17BDC">
        <w:t>GoK</w:t>
      </w:r>
      <w:proofErr w:type="spellEnd"/>
      <w:r w:rsidR="00101467" w:rsidRPr="00D17BDC">
        <w:t xml:space="preserve"> on </w:t>
      </w:r>
      <w:r w:rsidR="004D44F5" w:rsidRPr="00D17BDC">
        <w:t xml:space="preserve">its </w:t>
      </w:r>
      <w:r w:rsidR="0079689F" w:rsidRPr="00D17BDC">
        <w:t xml:space="preserve">leadership and </w:t>
      </w:r>
      <w:r w:rsidR="004D44F5" w:rsidRPr="00D17BDC">
        <w:t xml:space="preserve">accomplishments, </w:t>
      </w:r>
      <w:r w:rsidR="003560E9" w:rsidRPr="00D17BDC">
        <w:t xml:space="preserve">and </w:t>
      </w:r>
      <w:r w:rsidR="00902FA9" w:rsidRPr="00D17BDC">
        <w:t xml:space="preserve">commended the </w:t>
      </w:r>
      <w:r w:rsidRPr="00D17BDC">
        <w:t xml:space="preserve">government </w:t>
      </w:r>
      <w:r w:rsidR="00902FA9" w:rsidRPr="00D17BDC">
        <w:t xml:space="preserve">on </w:t>
      </w:r>
      <w:r w:rsidR="003560E9" w:rsidRPr="00D17BDC">
        <w:t>its investment into strategic planning</w:t>
      </w:r>
      <w:r w:rsidR="00902FA9" w:rsidRPr="00D17BDC">
        <w:t xml:space="preserve"> noting that </w:t>
      </w:r>
      <w:r w:rsidR="009E05D4" w:rsidRPr="00D17BDC">
        <w:t>‘</w:t>
      </w:r>
      <w:r w:rsidR="00270151" w:rsidRPr="00D17BDC">
        <w:t xml:space="preserve">as bureaucrats </w:t>
      </w:r>
      <w:r w:rsidR="00902FA9" w:rsidRPr="00D17BDC">
        <w:t>we appreciate</w:t>
      </w:r>
      <w:r w:rsidR="003560E9" w:rsidRPr="00D17BDC">
        <w:t xml:space="preserve"> that </w:t>
      </w:r>
      <w:r w:rsidR="00902FA9" w:rsidRPr="00D17BDC">
        <w:t>p</w:t>
      </w:r>
      <w:r w:rsidR="00242A30" w:rsidRPr="00D17BDC">
        <w:t>lans don’t grow on trees</w:t>
      </w:r>
      <w:r w:rsidR="00902FA9" w:rsidRPr="00D17BDC">
        <w:t xml:space="preserve"> and are an important pre-condition for </w:t>
      </w:r>
      <w:proofErr w:type="gramStart"/>
      <w:r w:rsidR="00902FA9" w:rsidRPr="00D17BDC">
        <w:t>progress</w:t>
      </w:r>
      <w:r w:rsidR="009E05D4" w:rsidRPr="00D17BDC">
        <w:t>’</w:t>
      </w:r>
      <w:proofErr w:type="gramEnd"/>
      <w:r w:rsidR="00902FA9" w:rsidRPr="00D17BDC">
        <w:t>.</w:t>
      </w:r>
    </w:p>
    <w:p w:rsidR="00807796" w:rsidRPr="00D17BDC" w:rsidRDefault="00F50A04" w:rsidP="00177DB4">
      <w:pPr>
        <w:pStyle w:val="Normal2"/>
      </w:pPr>
      <w:r w:rsidRPr="00D17BDC">
        <w:t xml:space="preserve">The Government of Australia </w:t>
      </w:r>
      <w:r w:rsidR="00270151" w:rsidRPr="00D17BDC">
        <w:t xml:space="preserve">noted that this </w:t>
      </w:r>
      <w:r w:rsidRPr="00D17BDC">
        <w:t>p</w:t>
      </w:r>
      <w:r w:rsidR="00270151" w:rsidRPr="00D17BDC">
        <w:t xml:space="preserve">riority </w:t>
      </w:r>
      <w:r w:rsidRPr="00D17BDC">
        <w:t>o</w:t>
      </w:r>
      <w:r w:rsidR="00270151" w:rsidRPr="00D17BDC">
        <w:t xml:space="preserve">utcome </w:t>
      </w:r>
      <w:r w:rsidRPr="00D17BDC">
        <w:t>a</w:t>
      </w:r>
      <w:r w:rsidR="004D44F5" w:rsidRPr="00D17BDC">
        <w:t xml:space="preserve">rea is very important and underpins performance across the Partnership. </w:t>
      </w:r>
      <w:r w:rsidRPr="00D17BDC">
        <w:t>Australia also</w:t>
      </w:r>
      <w:r w:rsidR="004D44F5" w:rsidRPr="00D17BDC">
        <w:t xml:space="preserve"> advised that AusAID is the lead donor in basic education an</w:t>
      </w:r>
      <w:r w:rsidR="0079689F" w:rsidRPr="00D17BDC">
        <w:t xml:space="preserve">d workforce skills development, </w:t>
      </w:r>
      <w:r w:rsidR="004D44F5" w:rsidRPr="00D17BDC">
        <w:t xml:space="preserve">but </w:t>
      </w:r>
      <w:r w:rsidRPr="00D17BDC">
        <w:t>that international financial institutions</w:t>
      </w:r>
      <w:r w:rsidR="004D44F5" w:rsidRPr="00D17BDC">
        <w:t xml:space="preserve"> are much better equipped to provide direct support to GoK under this </w:t>
      </w:r>
      <w:r w:rsidRPr="00D17BDC">
        <w:t>p</w:t>
      </w:r>
      <w:r w:rsidR="004D44F5" w:rsidRPr="00D17BDC">
        <w:t xml:space="preserve">riority </w:t>
      </w:r>
      <w:r w:rsidRPr="00D17BDC">
        <w:t>o</w:t>
      </w:r>
      <w:r w:rsidR="004D44F5" w:rsidRPr="00D17BDC">
        <w:t xml:space="preserve">utcome </w:t>
      </w:r>
      <w:r w:rsidRPr="00D17BDC">
        <w:t>a</w:t>
      </w:r>
      <w:r w:rsidR="004D44F5" w:rsidRPr="00D17BDC">
        <w:t>rea</w:t>
      </w:r>
      <w:r w:rsidR="00915CBF" w:rsidRPr="00D17BDC">
        <w:t xml:space="preserve"> (with AusAID providing financial support as necessary)</w:t>
      </w:r>
      <w:r w:rsidR="004D44F5" w:rsidRPr="00D17BDC">
        <w:t xml:space="preserve">. </w:t>
      </w:r>
    </w:p>
    <w:p w:rsidR="00902FA9" w:rsidRPr="00D17BDC" w:rsidRDefault="00807796" w:rsidP="00177DB4">
      <w:pPr>
        <w:pStyle w:val="Normal2"/>
      </w:pPr>
      <w:r w:rsidRPr="00D17BDC">
        <w:t xml:space="preserve">GoK requested AusAID to continue to mobilise </w:t>
      </w:r>
      <w:r w:rsidR="0079689F" w:rsidRPr="00D17BDC">
        <w:t xml:space="preserve">assistance from the international and regional financial institutions </w:t>
      </w:r>
      <w:r w:rsidR="002F1219" w:rsidRPr="00D17BDC">
        <w:t xml:space="preserve">to </w:t>
      </w:r>
      <w:r w:rsidR="0079689F" w:rsidRPr="00D17BDC">
        <w:t>im</w:t>
      </w:r>
      <w:r w:rsidRPr="00D17BDC">
        <w:t xml:space="preserve">plement </w:t>
      </w:r>
      <w:r w:rsidR="00F50A04" w:rsidRPr="00D17BDC">
        <w:t xml:space="preserve">its </w:t>
      </w:r>
      <w:r w:rsidRPr="00D17BDC">
        <w:t xml:space="preserve">PFM reform plan and other economic reform priorities. </w:t>
      </w:r>
      <w:r w:rsidR="001E7590" w:rsidRPr="00D17BDC">
        <w:t>AusAID agreed to this. B</w:t>
      </w:r>
      <w:r w:rsidRPr="00D17BDC">
        <w:t xml:space="preserve">oth </w:t>
      </w:r>
      <w:r w:rsidR="00F50A04" w:rsidRPr="00D17BDC">
        <w:t>g</w:t>
      </w:r>
      <w:r w:rsidRPr="00D17BDC">
        <w:t xml:space="preserve">overnments </w:t>
      </w:r>
      <w:r w:rsidR="001E7590" w:rsidRPr="00D17BDC">
        <w:t xml:space="preserve">also agreed to investigate options for improving donor coordination and support </w:t>
      </w:r>
      <w:r w:rsidR="00F50A04" w:rsidRPr="00D17BDC">
        <w:t xml:space="preserve">for </w:t>
      </w:r>
      <w:r w:rsidR="001E7590" w:rsidRPr="00D17BDC">
        <w:t>GoK’s economic reform priorities</w:t>
      </w:r>
      <w:r w:rsidR="00F50A04" w:rsidRPr="00D17BDC">
        <w:t xml:space="preserve"> which</w:t>
      </w:r>
      <w:r w:rsidR="001E7590" w:rsidRPr="00D17BDC">
        <w:t xml:space="preserve"> could be through establishing a Consolidated Economic Reform Program, using </w:t>
      </w:r>
      <w:r w:rsidR="00C60EDB" w:rsidRPr="00D17BDC">
        <w:t xml:space="preserve">the </w:t>
      </w:r>
      <w:r w:rsidR="001E7590" w:rsidRPr="00D17BDC">
        <w:t xml:space="preserve">PFM </w:t>
      </w:r>
      <w:r w:rsidR="00C60EDB" w:rsidRPr="00D17BDC">
        <w:t xml:space="preserve">Plan </w:t>
      </w:r>
      <w:r w:rsidR="001E7590" w:rsidRPr="00D17BDC">
        <w:t xml:space="preserve">as the basis </w:t>
      </w:r>
      <w:r w:rsidR="00F50A04" w:rsidRPr="00D17BDC">
        <w:t xml:space="preserve">but </w:t>
      </w:r>
      <w:r w:rsidR="001E7590" w:rsidRPr="00D17BDC">
        <w:t>broadening</w:t>
      </w:r>
      <w:r w:rsidR="00F50A04" w:rsidRPr="00D17BDC">
        <w:t xml:space="preserve"> it</w:t>
      </w:r>
      <w:r w:rsidR="001E7590" w:rsidRPr="00D17BDC">
        <w:t xml:space="preserve"> to cover other reform areas as needed</w:t>
      </w:r>
      <w:r w:rsidR="009E05D4" w:rsidRPr="00D17BDC">
        <w:t xml:space="preserve">. </w:t>
      </w:r>
    </w:p>
    <w:p w:rsidR="003560E9" w:rsidRPr="00D17BDC" w:rsidRDefault="00902FA9" w:rsidP="00177DB4">
      <w:pPr>
        <w:pStyle w:val="Normal2"/>
      </w:pPr>
      <w:r w:rsidRPr="00D17BDC">
        <w:t xml:space="preserve">On fisheries, </w:t>
      </w:r>
      <w:proofErr w:type="spellStart"/>
      <w:r w:rsidR="003560E9" w:rsidRPr="00D17BDC">
        <w:t>GoK</w:t>
      </w:r>
      <w:proofErr w:type="spellEnd"/>
      <w:r w:rsidR="003560E9" w:rsidRPr="00D17BDC">
        <w:t xml:space="preserve"> (MFRD) informed that the </w:t>
      </w:r>
      <w:r w:rsidR="002F1219" w:rsidRPr="00D17BDC">
        <w:t>PLA initiative</w:t>
      </w:r>
      <w:r w:rsidR="003560E9" w:rsidRPr="00D17BDC">
        <w:t xml:space="preserve"> was very beneficial and </w:t>
      </w:r>
      <w:r w:rsidR="00F50A04" w:rsidRPr="00D17BDC">
        <w:t>expressed the desire for</w:t>
      </w:r>
      <w:r w:rsidR="003560E9" w:rsidRPr="00D17BDC">
        <w:t xml:space="preserve"> it to continue. </w:t>
      </w:r>
      <w:r w:rsidR="00F50A04" w:rsidRPr="00D17BDC">
        <w:t>The Government of Australia</w:t>
      </w:r>
      <w:r w:rsidR="009E7F62" w:rsidRPr="00D17BDC">
        <w:t xml:space="preserve"> </w:t>
      </w:r>
      <w:r w:rsidR="00915CBF" w:rsidRPr="00D17BDC">
        <w:t xml:space="preserve">explained the rationale behind </w:t>
      </w:r>
      <w:r w:rsidR="00F50A04" w:rsidRPr="00D17BDC">
        <w:t xml:space="preserve">temporarily </w:t>
      </w:r>
      <w:r w:rsidR="00915CBF" w:rsidRPr="00D17BDC">
        <w:t xml:space="preserve">putting PLA initiatives on hold in Kiribati, and explained there has been an </w:t>
      </w:r>
      <w:r w:rsidR="00F50A04" w:rsidRPr="00D17BDC">
        <w:t>a</w:t>
      </w:r>
      <w:r w:rsidR="00915CBF" w:rsidRPr="00D17BDC">
        <w:t>gency-wide change in policy stipulat</w:t>
      </w:r>
      <w:r w:rsidR="00F50A04" w:rsidRPr="00D17BDC">
        <w:t>ing</w:t>
      </w:r>
      <w:r w:rsidR="00915CBF" w:rsidRPr="00D17BDC">
        <w:t xml:space="preserve"> that each country must undertake </w:t>
      </w:r>
      <w:r w:rsidR="009E7F62" w:rsidRPr="00D17BDC">
        <w:t>due diligence (</w:t>
      </w:r>
      <w:r w:rsidR="00F50A04" w:rsidRPr="00D17BDC">
        <w:t>a</w:t>
      </w:r>
      <w:r w:rsidR="009E7F62" w:rsidRPr="00D17BDC">
        <w:t xml:space="preserve">ssessment of </w:t>
      </w:r>
      <w:r w:rsidR="00F50A04" w:rsidRPr="00D17BDC">
        <w:t>n</w:t>
      </w:r>
      <w:r w:rsidR="009E7F62" w:rsidRPr="00D17BDC">
        <w:t xml:space="preserve">ational </w:t>
      </w:r>
      <w:r w:rsidR="00F50A04" w:rsidRPr="00D17BDC">
        <w:t>s</w:t>
      </w:r>
      <w:r w:rsidR="009E7F62" w:rsidRPr="00D17BDC">
        <w:t xml:space="preserve">ystems) before providing forms of budget support. </w:t>
      </w:r>
      <w:r w:rsidR="00562339" w:rsidRPr="00D17BDC">
        <w:t>The Government of Austr</w:t>
      </w:r>
      <w:r w:rsidR="00DB4E4A" w:rsidRPr="00D17BDC">
        <w:t>a</w:t>
      </w:r>
      <w:r w:rsidR="00562339" w:rsidRPr="00D17BDC">
        <w:t xml:space="preserve">lia </w:t>
      </w:r>
      <w:r w:rsidR="009E7F62" w:rsidRPr="00D17BDC">
        <w:t>reiterated it would like to see PLA continue in Kiribati and</w:t>
      </w:r>
      <w:r w:rsidR="00562339" w:rsidRPr="00D17BDC">
        <w:t>, indeed,</w:t>
      </w:r>
      <w:r w:rsidR="009E7F62" w:rsidRPr="00D17BDC">
        <w:t xml:space="preserve"> expanded into other sectors such as basic education and workforce skills development. </w:t>
      </w:r>
    </w:p>
    <w:p w:rsidR="00177DB4" w:rsidRPr="00177DB4" w:rsidRDefault="00562339" w:rsidP="00177DB4">
      <w:pPr>
        <w:pStyle w:val="Normal3"/>
      </w:pPr>
      <w:r w:rsidRPr="00D17BDC">
        <w:t>The Government of Australia</w:t>
      </w:r>
      <w:r w:rsidR="00BD4A67" w:rsidRPr="00D17BDC">
        <w:t xml:space="preserve"> noted its </w:t>
      </w:r>
      <w:r w:rsidRPr="00D17BDC">
        <w:t xml:space="preserve">will continue to </w:t>
      </w:r>
      <w:r w:rsidR="00BD4A67" w:rsidRPr="00D17BDC">
        <w:t>support the fisheries sector</w:t>
      </w:r>
      <w:r w:rsidRPr="00D17BDC">
        <w:t>, with work being</w:t>
      </w:r>
      <w:r w:rsidR="00BD4A67" w:rsidRPr="00D17BDC">
        <w:t xml:space="preserve"> informed by the Institutional Strengthening Review being </w:t>
      </w:r>
      <w:r w:rsidR="00807796" w:rsidRPr="00D17BDC">
        <w:t xml:space="preserve">prepared. GoK noted that it is pleased the </w:t>
      </w:r>
      <w:r w:rsidR="00D155FD" w:rsidRPr="00D17BDC">
        <w:t xml:space="preserve">Forum Fisheries Agency </w:t>
      </w:r>
      <w:r w:rsidR="00807796" w:rsidRPr="00D17BDC">
        <w:t xml:space="preserve">is undertaking this review and </w:t>
      </w:r>
      <w:r w:rsidRPr="00D17BDC">
        <w:t>indicated its desire for the review to</w:t>
      </w:r>
      <w:r w:rsidR="00807796" w:rsidRPr="00D17BDC">
        <w:t xml:space="preserve"> look at the direct activities requir</w:t>
      </w:r>
      <w:r w:rsidRPr="00D17BDC">
        <w:t>ing</w:t>
      </w:r>
      <w:r w:rsidR="00807796" w:rsidRPr="00D17BDC">
        <w:t xml:space="preserve"> support on the ground. </w:t>
      </w:r>
      <w:r w:rsidR="001E7590" w:rsidRPr="00D17BDC">
        <w:t>B</w:t>
      </w:r>
      <w:r w:rsidR="00807796" w:rsidRPr="00D17BDC">
        <w:t xml:space="preserve">oth </w:t>
      </w:r>
      <w:r w:rsidRPr="00D17BDC">
        <w:t>g</w:t>
      </w:r>
      <w:r w:rsidR="00807796" w:rsidRPr="00D17BDC">
        <w:t>overnments noted the importanc</w:t>
      </w:r>
      <w:r w:rsidR="001E7590" w:rsidRPr="00D17BDC">
        <w:t xml:space="preserve">e of the revenues earned from </w:t>
      </w:r>
      <w:r w:rsidR="00807796" w:rsidRPr="00D17BDC">
        <w:t>fisheries</w:t>
      </w:r>
      <w:r w:rsidR="001E7590" w:rsidRPr="00D17BDC">
        <w:t xml:space="preserve"> to </w:t>
      </w:r>
      <w:r w:rsidRPr="00D17BDC">
        <w:t>GoK</w:t>
      </w:r>
      <w:r w:rsidR="001E7590" w:rsidRPr="00D17BDC">
        <w:t xml:space="preserve"> and the du</w:t>
      </w:r>
      <w:r w:rsidR="00924B80" w:rsidRPr="00D17BDC">
        <w:t>a</w:t>
      </w:r>
      <w:r w:rsidR="001E7590" w:rsidRPr="00D17BDC">
        <w:t>l challenges of sustainable harvesting of Kiribati’s fish and maximising the revenue earn</w:t>
      </w:r>
      <w:r w:rsidR="00924B80" w:rsidRPr="00D17BDC">
        <w:t>ed</w:t>
      </w:r>
      <w:r w:rsidR="001E7590" w:rsidRPr="00D17BDC">
        <w:t xml:space="preserve"> from its fisheries resources. </w:t>
      </w:r>
    </w:p>
    <w:p w:rsidR="00DF2714" w:rsidRPr="00D17BDC" w:rsidRDefault="00807794" w:rsidP="00807794">
      <w:pPr>
        <w:pStyle w:val="gray"/>
        <w:pBdr>
          <w:bottom w:val="single" w:sz="6" w:space="1" w:color="auto"/>
        </w:pBdr>
        <w:spacing w:before="0" w:after="0" w:line="240" w:lineRule="auto"/>
        <w:ind w:left="0" w:right="272"/>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lastRenderedPageBreak/>
        <w:br/>
      </w:r>
      <w:r w:rsidR="000C42DD">
        <w:rPr>
          <w:rFonts w:ascii="Times New Roman" w:hAnsi="Times New Roman" w:cs="Times New Roman"/>
          <w:bCs/>
          <w:noProof/>
          <w:color w:val="auto"/>
          <w:sz w:val="24"/>
          <w:szCs w:val="24"/>
          <w:lang w:val="en-US" w:eastAsia="en-US"/>
        </w:rPr>
        <mc:AlternateContent>
          <mc:Choice Requires="wps">
            <w:drawing>
              <wp:inline distT="0" distB="0" distL="0" distR="0">
                <wp:extent cx="5943600" cy="1978025"/>
                <wp:effectExtent l="7620" t="8890" r="11430" b="13335"/>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78025"/>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915CBF" w:rsidRDefault="00807794" w:rsidP="00610F29">
                            <w:pPr>
                              <w:numPr>
                                <w:ilvl w:val="0"/>
                                <w:numId w:val="34"/>
                              </w:numPr>
                              <w:spacing w:after="0" w:line="240" w:lineRule="auto"/>
                              <w:rPr>
                                <w:rFonts w:ascii="Times New Roman" w:hAnsi="Times New Roman"/>
                                <w:sz w:val="24"/>
                                <w:szCs w:val="24"/>
                              </w:rPr>
                            </w:pPr>
                            <w:r w:rsidRPr="00915CBF">
                              <w:rPr>
                                <w:rFonts w:ascii="Times New Roman" w:hAnsi="Times New Roman"/>
                                <w:sz w:val="24"/>
                                <w:szCs w:val="24"/>
                              </w:rPr>
                              <w:t xml:space="preserve">GoK, in close consultation with AusAID, </w:t>
                            </w:r>
                            <w:r>
                              <w:rPr>
                                <w:rFonts w:ascii="Times New Roman" w:hAnsi="Times New Roman"/>
                                <w:sz w:val="24"/>
                                <w:szCs w:val="24"/>
                              </w:rPr>
                              <w:t xml:space="preserve">is </w:t>
                            </w:r>
                            <w:r w:rsidRPr="00915CBF">
                              <w:rPr>
                                <w:rFonts w:ascii="Times New Roman" w:hAnsi="Times New Roman"/>
                                <w:sz w:val="24"/>
                                <w:szCs w:val="24"/>
                              </w:rPr>
                              <w:t xml:space="preserve">to consider opportunities for establishing a </w:t>
                            </w:r>
                            <w:r>
                              <w:rPr>
                                <w:rFonts w:ascii="Times New Roman" w:hAnsi="Times New Roman"/>
                                <w:sz w:val="24"/>
                                <w:szCs w:val="24"/>
                              </w:rPr>
                              <w:t xml:space="preserve">Consolidated Economic Reform Program </w:t>
                            </w:r>
                            <w:r w:rsidRPr="00915CBF">
                              <w:rPr>
                                <w:rFonts w:ascii="Times New Roman" w:hAnsi="Times New Roman"/>
                                <w:sz w:val="24"/>
                                <w:szCs w:val="24"/>
                              </w:rPr>
                              <w:t xml:space="preserve">(in the context of existing donor engagement on a number of specific issues such as PFM). </w:t>
                            </w:r>
                          </w:p>
                          <w:p w:rsidR="00807794" w:rsidRPr="00915CBF" w:rsidRDefault="00807794" w:rsidP="00BD4A67">
                            <w:pPr>
                              <w:numPr>
                                <w:ilvl w:val="0"/>
                                <w:numId w:val="34"/>
                              </w:numPr>
                              <w:tabs>
                                <w:tab w:val="clear" w:pos="360"/>
                              </w:tabs>
                              <w:spacing w:after="0" w:line="240" w:lineRule="auto"/>
                              <w:rPr>
                                <w:rFonts w:ascii="Times New Roman" w:hAnsi="Times New Roman"/>
                                <w:sz w:val="24"/>
                                <w:szCs w:val="24"/>
                              </w:rPr>
                            </w:pPr>
                            <w:r>
                              <w:rPr>
                                <w:rFonts w:ascii="Times New Roman" w:hAnsi="Times New Roman"/>
                                <w:sz w:val="24"/>
                                <w:szCs w:val="24"/>
                              </w:rPr>
                              <w:t>Government of Australia</w:t>
                            </w:r>
                            <w:r w:rsidRPr="00915CBF">
                              <w:rPr>
                                <w:rFonts w:ascii="Times New Roman" w:hAnsi="Times New Roman"/>
                                <w:sz w:val="24"/>
                                <w:szCs w:val="24"/>
                              </w:rPr>
                              <w:t xml:space="preserve"> to continue to</w:t>
                            </w:r>
                            <w:r>
                              <w:rPr>
                                <w:rFonts w:ascii="Times New Roman" w:hAnsi="Times New Roman"/>
                                <w:sz w:val="24"/>
                                <w:szCs w:val="24"/>
                              </w:rPr>
                              <w:t xml:space="preserve"> mobilise support from international and regional financial institutions to GoK, and GoK to ensure this support is effective in meeting Partnership targets. </w:t>
                            </w:r>
                          </w:p>
                          <w:p w:rsidR="00807794" w:rsidRPr="00915CBF" w:rsidRDefault="00807794" w:rsidP="00915CBF">
                            <w:pPr>
                              <w:numPr>
                                <w:ilvl w:val="0"/>
                                <w:numId w:val="34"/>
                              </w:numPr>
                              <w:tabs>
                                <w:tab w:val="clear" w:pos="360"/>
                              </w:tabs>
                              <w:spacing w:after="0" w:line="240" w:lineRule="auto"/>
                              <w:rPr>
                                <w:rFonts w:ascii="Times New Roman" w:hAnsi="Times New Roman"/>
                                <w:sz w:val="24"/>
                                <w:szCs w:val="24"/>
                              </w:rPr>
                            </w:pPr>
                            <w:r w:rsidRPr="001F69B3">
                              <w:rPr>
                                <w:rFonts w:ascii="Times New Roman" w:hAnsi="Times New Roman"/>
                                <w:sz w:val="24"/>
                                <w:szCs w:val="24"/>
                              </w:rPr>
                              <w:t xml:space="preserve">AusAID to work with other Australian Government departments and GoK to use the Forum Fisheries Agency Institutional Strengthening Review to inform the direction of Australian assistance to this sector. </w:t>
                            </w: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468pt;height:1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915CBF" w:rsidRDefault="00807794" w:rsidP="00610F29">
                      <w:pPr>
                        <w:numPr>
                          <w:ilvl w:val="0"/>
                          <w:numId w:val="34"/>
                        </w:numPr>
                        <w:spacing w:after="0" w:line="240" w:lineRule="auto"/>
                        <w:rPr>
                          <w:rFonts w:ascii="Times New Roman" w:hAnsi="Times New Roman"/>
                          <w:sz w:val="24"/>
                          <w:szCs w:val="24"/>
                        </w:rPr>
                      </w:pPr>
                      <w:r w:rsidRPr="00915CBF">
                        <w:rPr>
                          <w:rFonts w:ascii="Times New Roman" w:hAnsi="Times New Roman"/>
                          <w:sz w:val="24"/>
                          <w:szCs w:val="24"/>
                        </w:rPr>
                        <w:t xml:space="preserve">GoK, in close consultation with AusAID, </w:t>
                      </w:r>
                      <w:r>
                        <w:rPr>
                          <w:rFonts w:ascii="Times New Roman" w:hAnsi="Times New Roman"/>
                          <w:sz w:val="24"/>
                          <w:szCs w:val="24"/>
                        </w:rPr>
                        <w:t xml:space="preserve">is </w:t>
                      </w:r>
                      <w:r w:rsidRPr="00915CBF">
                        <w:rPr>
                          <w:rFonts w:ascii="Times New Roman" w:hAnsi="Times New Roman"/>
                          <w:sz w:val="24"/>
                          <w:szCs w:val="24"/>
                        </w:rPr>
                        <w:t xml:space="preserve">to consider opportunities for establishing a </w:t>
                      </w:r>
                      <w:r>
                        <w:rPr>
                          <w:rFonts w:ascii="Times New Roman" w:hAnsi="Times New Roman"/>
                          <w:sz w:val="24"/>
                          <w:szCs w:val="24"/>
                        </w:rPr>
                        <w:t xml:space="preserve">Consolidated Economic Reform Program </w:t>
                      </w:r>
                      <w:r w:rsidRPr="00915CBF">
                        <w:rPr>
                          <w:rFonts w:ascii="Times New Roman" w:hAnsi="Times New Roman"/>
                          <w:sz w:val="24"/>
                          <w:szCs w:val="24"/>
                        </w:rPr>
                        <w:t xml:space="preserve">(in the context of existing donor engagement on a number of specific issues such as PFM). </w:t>
                      </w:r>
                    </w:p>
                    <w:p w:rsidR="00807794" w:rsidRPr="00915CBF" w:rsidRDefault="00807794" w:rsidP="00BD4A67">
                      <w:pPr>
                        <w:numPr>
                          <w:ilvl w:val="0"/>
                          <w:numId w:val="34"/>
                        </w:numPr>
                        <w:tabs>
                          <w:tab w:val="clear" w:pos="360"/>
                        </w:tabs>
                        <w:spacing w:after="0" w:line="240" w:lineRule="auto"/>
                        <w:rPr>
                          <w:rFonts w:ascii="Times New Roman" w:hAnsi="Times New Roman"/>
                          <w:sz w:val="24"/>
                          <w:szCs w:val="24"/>
                        </w:rPr>
                      </w:pPr>
                      <w:r>
                        <w:rPr>
                          <w:rFonts w:ascii="Times New Roman" w:hAnsi="Times New Roman"/>
                          <w:sz w:val="24"/>
                          <w:szCs w:val="24"/>
                        </w:rPr>
                        <w:t>Government of Australia</w:t>
                      </w:r>
                      <w:r w:rsidRPr="00915CBF">
                        <w:rPr>
                          <w:rFonts w:ascii="Times New Roman" w:hAnsi="Times New Roman"/>
                          <w:sz w:val="24"/>
                          <w:szCs w:val="24"/>
                        </w:rPr>
                        <w:t xml:space="preserve"> to continue to</w:t>
                      </w:r>
                      <w:r>
                        <w:rPr>
                          <w:rFonts w:ascii="Times New Roman" w:hAnsi="Times New Roman"/>
                          <w:sz w:val="24"/>
                          <w:szCs w:val="24"/>
                        </w:rPr>
                        <w:t xml:space="preserve"> mobilise support from international and regional financial institutions to GoK, and GoK to ensure this support is effective in meeting Partnership targets. </w:t>
                      </w:r>
                    </w:p>
                    <w:p w:rsidR="00807794" w:rsidRPr="00915CBF" w:rsidRDefault="00807794" w:rsidP="00915CBF">
                      <w:pPr>
                        <w:numPr>
                          <w:ilvl w:val="0"/>
                          <w:numId w:val="34"/>
                        </w:numPr>
                        <w:tabs>
                          <w:tab w:val="clear" w:pos="360"/>
                        </w:tabs>
                        <w:spacing w:after="0" w:line="240" w:lineRule="auto"/>
                        <w:rPr>
                          <w:rFonts w:ascii="Times New Roman" w:hAnsi="Times New Roman"/>
                          <w:sz w:val="24"/>
                          <w:szCs w:val="24"/>
                        </w:rPr>
                      </w:pPr>
                      <w:r w:rsidRPr="001F69B3">
                        <w:rPr>
                          <w:rFonts w:ascii="Times New Roman" w:hAnsi="Times New Roman"/>
                          <w:sz w:val="24"/>
                          <w:szCs w:val="24"/>
                        </w:rPr>
                        <w:t xml:space="preserve">AusAID to work with other Australian Government departments and GoK to use the Forum Fisheries Agency Institutional Strengthening Review to inform the direction of Australian assistance to this sector. </w:t>
                      </w:r>
                    </w:p>
                  </w:txbxContent>
                </v:textbox>
                <w10:wrap anchorx="page"/>
                <w10:anchorlock/>
              </v:shape>
            </w:pict>
          </mc:Fallback>
        </mc:AlternateContent>
      </w:r>
    </w:p>
    <w:p w:rsidR="000E24AB" w:rsidRPr="00D17BDC" w:rsidRDefault="000E24AB" w:rsidP="006A5382">
      <w:pPr>
        <w:pStyle w:val="Heading2"/>
        <w:rPr>
          <w:kern w:val="28"/>
        </w:rPr>
      </w:pPr>
      <w:bookmarkStart w:id="13" w:name="_Toc307062916"/>
      <w:r w:rsidRPr="00D17BDC">
        <w:rPr>
          <w:kern w:val="28"/>
        </w:rPr>
        <w:t xml:space="preserve">Support for </w:t>
      </w:r>
      <w:bookmarkStart w:id="14" w:name="Other"/>
      <w:bookmarkEnd w:id="14"/>
      <w:r w:rsidRPr="00D17BDC">
        <w:rPr>
          <w:kern w:val="28"/>
        </w:rPr>
        <w:t>other sectors</w:t>
      </w:r>
      <w:bookmarkEnd w:id="13"/>
      <w:r w:rsidRPr="00D17BDC">
        <w:rPr>
          <w:kern w:val="28"/>
        </w:rPr>
        <w:t xml:space="preserve"> </w:t>
      </w:r>
    </w:p>
    <w:p w:rsidR="008D2C98" w:rsidRPr="00D17BDC" w:rsidRDefault="000E24AB"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In addition to the </w:t>
      </w:r>
      <w:r w:rsidR="00432D71" w:rsidRPr="00D17BDC">
        <w:rPr>
          <w:rFonts w:ascii="Times New Roman" w:hAnsi="Times New Roman"/>
          <w:sz w:val="24"/>
          <w:szCs w:val="24"/>
        </w:rPr>
        <w:t>p</w:t>
      </w:r>
      <w:r w:rsidRPr="00D17BDC">
        <w:rPr>
          <w:rFonts w:ascii="Times New Roman" w:hAnsi="Times New Roman"/>
          <w:sz w:val="24"/>
          <w:szCs w:val="24"/>
        </w:rPr>
        <w:t>artnership</w:t>
      </w:r>
      <w:r w:rsidR="00432D71" w:rsidRPr="00D17BDC">
        <w:rPr>
          <w:rFonts w:ascii="Times New Roman" w:hAnsi="Times New Roman"/>
          <w:sz w:val="24"/>
          <w:szCs w:val="24"/>
        </w:rPr>
        <w:t>’s</w:t>
      </w:r>
      <w:r w:rsidRPr="00D17BDC">
        <w:rPr>
          <w:rFonts w:ascii="Times New Roman" w:hAnsi="Times New Roman"/>
          <w:sz w:val="24"/>
          <w:szCs w:val="24"/>
        </w:rPr>
        <w:t xml:space="preserve"> </w:t>
      </w:r>
      <w:r w:rsidR="00562339" w:rsidRPr="00D17BDC">
        <w:rPr>
          <w:rFonts w:ascii="Times New Roman" w:hAnsi="Times New Roman"/>
          <w:sz w:val="24"/>
          <w:szCs w:val="24"/>
        </w:rPr>
        <w:t>p</w:t>
      </w:r>
      <w:r w:rsidRPr="00D17BDC">
        <w:rPr>
          <w:rFonts w:ascii="Times New Roman" w:hAnsi="Times New Roman"/>
          <w:sz w:val="24"/>
          <w:szCs w:val="24"/>
        </w:rPr>
        <w:t xml:space="preserve">riority </w:t>
      </w:r>
      <w:r w:rsidR="00562339" w:rsidRPr="00D17BDC">
        <w:rPr>
          <w:rFonts w:ascii="Times New Roman" w:hAnsi="Times New Roman"/>
          <w:sz w:val="24"/>
          <w:szCs w:val="24"/>
        </w:rPr>
        <w:t>o</w:t>
      </w:r>
      <w:r w:rsidRPr="00D17BDC">
        <w:rPr>
          <w:rFonts w:ascii="Times New Roman" w:hAnsi="Times New Roman"/>
          <w:sz w:val="24"/>
          <w:szCs w:val="24"/>
        </w:rPr>
        <w:t xml:space="preserve">utcomes, </w:t>
      </w:r>
      <w:r w:rsidR="0088213E" w:rsidRPr="00D17BDC">
        <w:rPr>
          <w:rFonts w:ascii="Times New Roman" w:hAnsi="Times New Roman"/>
          <w:sz w:val="24"/>
          <w:szCs w:val="24"/>
        </w:rPr>
        <w:t>AusAID</w:t>
      </w:r>
      <w:r w:rsidRPr="00D17BDC">
        <w:rPr>
          <w:rFonts w:ascii="Times New Roman" w:hAnsi="Times New Roman"/>
          <w:sz w:val="24"/>
          <w:szCs w:val="24"/>
        </w:rPr>
        <w:t xml:space="preserve"> provide</w:t>
      </w:r>
      <w:r w:rsidR="000248BF" w:rsidRPr="00D17BDC">
        <w:rPr>
          <w:rFonts w:ascii="Times New Roman" w:hAnsi="Times New Roman"/>
          <w:sz w:val="24"/>
          <w:szCs w:val="24"/>
        </w:rPr>
        <w:t>s</w:t>
      </w:r>
      <w:r w:rsidRPr="00D17BDC">
        <w:rPr>
          <w:rFonts w:ascii="Times New Roman" w:hAnsi="Times New Roman"/>
          <w:sz w:val="24"/>
          <w:szCs w:val="24"/>
        </w:rPr>
        <w:t xml:space="preserve"> support </w:t>
      </w:r>
      <w:r w:rsidR="00432D71" w:rsidRPr="00D17BDC">
        <w:rPr>
          <w:rFonts w:ascii="Times New Roman" w:hAnsi="Times New Roman"/>
          <w:sz w:val="24"/>
          <w:szCs w:val="24"/>
        </w:rPr>
        <w:t>to</w:t>
      </w:r>
      <w:r w:rsidRPr="00D17BDC">
        <w:rPr>
          <w:rFonts w:ascii="Times New Roman" w:hAnsi="Times New Roman"/>
          <w:sz w:val="24"/>
          <w:szCs w:val="24"/>
        </w:rPr>
        <w:t xml:space="preserve"> other sectors</w:t>
      </w:r>
      <w:r w:rsidR="00562339" w:rsidRPr="00D17BDC">
        <w:rPr>
          <w:rFonts w:ascii="Times New Roman" w:hAnsi="Times New Roman"/>
          <w:sz w:val="24"/>
          <w:szCs w:val="24"/>
        </w:rPr>
        <w:t xml:space="preserve"> in Kiribati</w:t>
      </w:r>
      <w:r w:rsidR="00E07FE7" w:rsidRPr="00D17BDC">
        <w:rPr>
          <w:rFonts w:ascii="Times New Roman" w:hAnsi="Times New Roman"/>
          <w:sz w:val="24"/>
          <w:szCs w:val="24"/>
        </w:rPr>
        <w:t>:</w:t>
      </w:r>
      <w:r w:rsidRPr="00D17BDC">
        <w:rPr>
          <w:rFonts w:ascii="Times New Roman" w:hAnsi="Times New Roman"/>
          <w:sz w:val="24"/>
          <w:szCs w:val="24"/>
        </w:rPr>
        <w:t xml:space="preserve"> </w:t>
      </w:r>
      <w:r w:rsidR="00562339" w:rsidRPr="00D17BDC">
        <w:rPr>
          <w:rFonts w:ascii="Times New Roman" w:hAnsi="Times New Roman"/>
          <w:sz w:val="24"/>
          <w:szCs w:val="24"/>
        </w:rPr>
        <w:t xml:space="preserve">adapting to </w:t>
      </w:r>
      <w:r w:rsidRPr="00D17BDC">
        <w:rPr>
          <w:rFonts w:ascii="Times New Roman" w:hAnsi="Times New Roman"/>
          <w:sz w:val="24"/>
          <w:szCs w:val="24"/>
        </w:rPr>
        <w:t>climate change, improving health, eliminating gender-based violence,</w:t>
      </w:r>
      <w:r w:rsidR="00E07FE7" w:rsidRPr="00D17BDC">
        <w:rPr>
          <w:rFonts w:ascii="Times New Roman" w:hAnsi="Times New Roman"/>
          <w:sz w:val="24"/>
          <w:szCs w:val="24"/>
        </w:rPr>
        <w:t xml:space="preserve"> and </w:t>
      </w:r>
      <w:r w:rsidR="00562339" w:rsidRPr="00D17BDC">
        <w:rPr>
          <w:rFonts w:ascii="Times New Roman" w:hAnsi="Times New Roman"/>
          <w:sz w:val="24"/>
          <w:szCs w:val="24"/>
        </w:rPr>
        <w:t xml:space="preserve">developing </w:t>
      </w:r>
      <w:r w:rsidR="00E07FE7" w:rsidRPr="00D17BDC">
        <w:rPr>
          <w:rFonts w:ascii="Times New Roman" w:hAnsi="Times New Roman"/>
          <w:sz w:val="24"/>
          <w:szCs w:val="24"/>
        </w:rPr>
        <w:t>infrastructure</w:t>
      </w:r>
      <w:r w:rsidR="008D2C98" w:rsidRPr="00D17BDC">
        <w:rPr>
          <w:rFonts w:ascii="Times New Roman" w:hAnsi="Times New Roman"/>
          <w:sz w:val="24"/>
          <w:szCs w:val="24"/>
        </w:rPr>
        <w:t xml:space="preserve">. </w:t>
      </w:r>
      <w:r w:rsidRPr="00D17BDC">
        <w:rPr>
          <w:rFonts w:ascii="Times New Roman" w:hAnsi="Times New Roman"/>
          <w:sz w:val="24"/>
          <w:szCs w:val="24"/>
        </w:rPr>
        <w:t>In 2010</w:t>
      </w:r>
      <w:r w:rsidR="00FC2101" w:rsidRPr="00D17BDC">
        <w:rPr>
          <w:rFonts w:ascii="Times New Roman" w:hAnsi="Times New Roman"/>
          <w:sz w:val="24"/>
          <w:szCs w:val="24"/>
        </w:rPr>
        <w:t>–</w:t>
      </w:r>
      <w:r w:rsidRPr="00D17BDC">
        <w:rPr>
          <w:rFonts w:ascii="Times New Roman" w:hAnsi="Times New Roman"/>
          <w:sz w:val="24"/>
          <w:szCs w:val="24"/>
        </w:rPr>
        <w:t xml:space="preserve">11, this </w:t>
      </w:r>
      <w:r w:rsidR="000248BF" w:rsidRPr="00D17BDC">
        <w:rPr>
          <w:rFonts w:ascii="Times New Roman" w:hAnsi="Times New Roman"/>
          <w:sz w:val="24"/>
          <w:szCs w:val="24"/>
        </w:rPr>
        <w:t xml:space="preserve">accounted for </w:t>
      </w:r>
      <w:r w:rsidR="00C01108" w:rsidRPr="00D17BDC">
        <w:rPr>
          <w:rFonts w:ascii="Times New Roman" w:hAnsi="Times New Roman"/>
          <w:sz w:val="24"/>
          <w:szCs w:val="24"/>
        </w:rPr>
        <w:t>more than</w:t>
      </w:r>
      <w:r w:rsidR="000248BF" w:rsidRPr="00D17BDC">
        <w:rPr>
          <w:rFonts w:ascii="Times New Roman" w:hAnsi="Times New Roman"/>
          <w:sz w:val="24"/>
          <w:szCs w:val="24"/>
        </w:rPr>
        <w:t xml:space="preserve"> 50</w:t>
      </w:r>
      <w:r w:rsidR="00562339" w:rsidRPr="00D17BDC">
        <w:rPr>
          <w:rFonts w:ascii="Times New Roman" w:hAnsi="Times New Roman"/>
          <w:sz w:val="24"/>
          <w:szCs w:val="24"/>
        </w:rPr>
        <w:t> </w:t>
      </w:r>
      <w:r w:rsidR="002F005A" w:rsidRPr="00D17BDC">
        <w:rPr>
          <w:rFonts w:ascii="Times New Roman" w:hAnsi="Times New Roman"/>
          <w:sz w:val="24"/>
          <w:szCs w:val="24"/>
        </w:rPr>
        <w:t>per cent</w:t>
      </w:r>
      <w:r w:rsidR="000248BF" w:rsidRPr="00D17BDC">
        <w:rPr>
          <w:rFonts w:ascii="Times New Roman" w:hAnsi="Times New Roman"/>
          <w:sz w:val="24"/>
          <w:szCs w:val="24"/>
        </w:rPr>
        <w:t xml:space="preserve"> </w:t>
      </w:r>
      <w:r w:rsidRPr="00D17BDC">
        <w:rPr>
          <w:rFonts w:ascii="Times New Roman" w:hAnsi="Times New Roman"/>
          <w:sz w:val="24"/>
          <w:szCs w:val="24"/>
        </w:rPr>
        <w:t xml:space="preserve">of </w:t>
      </w:r>
      <w:r w:rsidR="00432D71" w:rsidRPr="00D17BDC">
        <w:rPr>
          <w:rFonts w:ascii="Times New Roman" w:hAnsi="Times New Roman"/>
          <w:sz w:val="24"/>
          <w:szCs w:val="24"/>
        </w:rPr>
        <w:t>Australia’s</w:t>
      </w:r>
      <w:r w:rsidRPr="00D17BDC">
        <w:rPr>
          <w:rFonts w:ascii="Times New Roman" w:hAnsi="Times New Roman"/>
          <w:sz w:val="24"/>
          <w:szCs w:val="24"/>
        </w:rPr>
        <w:t xml:space="preserve"> bilateral assistance to Kiribati</w:t>
      </w:r>
      <w:r w:rsidR="000248BF" w:rsidRPr="00D17BDC">
        <w:rPr>
          <w:rFonts w:ascii="Times New Roman" w:hAnsi="Times New Roman"/>
          <w:sz w:val="24"/>
          <w:szCs w:val="24"/>
        </w:rPr>
        <w:t xml:space="preserve"> and </w:t>
      </w:r>
      <w:r w:rsidRPr="00D17BDC">
        <w:rPr>
          <w:rFonts w:ascii="Times New Roman" w:hAnsi="Times New Roman"/>
          <w:sz w:val="24"/>
          <w:szCs w:val="24"/>
        </w:rPr>
        <w:t xml:space="preserve">will remain a significant part of </w:t>
      </w:r>
      <w:r w:rsidR="00432D71" w:rsidRPr="00D17BDC">
        <w:rPr>
          <w:rFonts w:ascii="Times New Roman" w:hAnsi="Times New Roman"/>
          <w:sz w:val="24"/>
          <w:szCs w:val="24"/>
        </w:rPr>
        <w:t>its</w:t>
      </w:r>
      <w:r w:rsidR="008D2C98" w:rsidRPr="00D17BDC">
        <w:rPr>
          <w:rFonts w:ascii="Times New Roman" w:hAnsi="Times New Roman"/>
          <w:sz w:val="24"/>
          <w:szCs w:val="24"/>
        </w:rPr>
        <w:t xml:space="preserve"> support. </w:t>
      </w:r>
      <w:r w:rsidR="00E07FE7" w:rsidRPr="00D17BDC">
        <w:rPr>
          <w:rFonts w:ascii="Times New Roman" w:hAnsi="Times New Roman"/>
          <w:sz w:val="24"/>
          <w:szCs w:val="24"/>
        </w:rPr>
        <w:t xml:space="preserve">Unlike in the </w:t>
      </w:r>
      <w:r w:rsidR="00562339" w:rsidRPr="00D17BDC">
        <w:rPr>
          <w:rFonts w:ascii="Times New Roman" w:hAnsi="Times New Roman"/>
          <w:sz w:val="24"/>
          <w:szCs w:val="24"/>
        </w:rPr>
        <w:t>p</w:t>
      </w:r>
      <w:r w:rsidR="00E07FE7" w:rsidRPr="00D17BDC">
        <w:rPr>
          <w:rFonts w:ascii="Times New Roman" w:hAnsi="Times New Roman"/>
          <w:sz w:val="24"/>
          <w:szCs w:val="24"/>
        </w:rPr>
        <w:t xml:space="preserve">riority </w:t>
      </w:r>
      <w:r w:rsidR="00562339" w:rsidRPr="00D17BDC">
        <w:rPr>
          <w:rFonts w:ascii="Times New Roman" w:hAnsi="Times New Roman"/>
          <w:sz w:val="24"/>
          <w:szCs w:val="24"/>
        </w:rPr>
        <w:t>o</w:t>
      </w:r>
      <w:r w:rsidR="00E07FE7" w:rsidRPr="00D17BDC">
        <w:rPr>
          <w:rFonts w:ascii="Times New Roman" w:hAnsi="Times New Roman"/>
          <w:sz w:val="24"/>
          <w:szCs w:val="24"/>
        </w:rPr>
        <w:t xml:space="preserve">utcome </w:t>
      </w:r>
      <w:r w:rsidR="00562339" w:rsidRPr="00D17BDC">
        <w:rPr>
          <w:rFonts w:ascii="Times New Roman" w:hAnsi="Times New Roman"/>
          <w:sz w:val="24"/>
          <w:szCs w:val="24"/>
        </w:rPr>
        <w:t>a</w:t>
      </w:r>
      <w:r w:rsidR="00E07FE7" w:rsidRPr="00D17BDC">
        <w:rPr>
          <w:rFonts w:ascii="Times New Roman" w:hAnsi="Times New Roman"/>
          <w:sz w:val="24"/>
          <w:szCs w:val="24"/>
        </w:rPr>
        <w:t xml:space="preserve">reas, there are no joint targets for these sectors. Most of Australia’s support is channelled through regional </w:t>
      </w:r>
      <w:r w:rsidR="00AC4037" w:rsidRPr="00D17BDC">
        <w:rPr>
          <w:rFonts w:ascii="Times New Roman" w:hAnsi="Times New Roman"/>
          <w:sz w:val="24"/>
          <w:szCs w:val="24"/>
        </w:rPr>
        <w:t>and multilateral organisations</w:t>
      </w:r>
      <w:r w:rsidR="00562339" w:rsidRPr="00D17BDC">
        <w:rPr>
          <w:rFonts w:ascii="Times New Roman" w:hAnsi="Times New Roman"/>
          <w:sz w:val="24"/>
          <w:szCs w:val="24"/>
        </w:rPr>
        <w:t>, which</w:t>
      </w:r>
      <w:r w:rsidR="00AC4037" w:rsidRPr="00D17BDC">
        <w:rPr>
          <w:rFonts w:ascii="Times New Roman" w:hAnsi="Times New Roman"/>
          <w:sz w:val="24"/>
          <w:szCs w:val="24"/>
        </w:rPr>
        <w:t xml:space="preserve"> presents opportunities and challenges for development effectiveness.</w:t>
      </w:r>
    </w:p>
    <w:p w:rsidR="00472C93" w:rsidRPr="00177DB4" w:rsidRDefault="000E24AB" w:rsidP="00177DB4">
      <w:pPr>
        <w:pStyle w:val="H3A"/>
      </w:pPr>
      <w:r w:rsidRPr="00177DB4">
        <w:t>Climate change adaptation</w:t>
      </w:r>
    </w:p>
    <w:p w:rsidR="005F236A" w:rsidRPr="00D17BDC" w:rsidRDefault="00E07FE7" w:rsidP="006A5382">
      <w:pPr>
        <w:spacing w:before="240" w:after="0" w:line="240" w:lineRule="auto"/>
        <w:rPr>
          <w:rFonts w:ascii="Times New Roman" w:hAnsi="Times New Roman"/>
          <w:sz w:val="24"/>
          <w:szCs w:val="24"/>
        </w:rPr>
      </w:pPr>
      <w:r w:rsidRPr="00D17BDC">
        <w:rPr>
          <w:rFonts w:ascii="Times New Roman" w:hAnsi="Times New Roman"/>
          <w:sz w:val="24"/>
          <w:szCs w:val="24"/>
        </w:rPr>
        <w:t>The majority of Australia’s s</w:t>
      </w:r>
      <w:r w:rsidR="000E24AB" w:rsidRPr="00D17BDC">
        <w:rPr>
          <w:rFonts w:ascii="Times New Roman" w:hAnsi="Times New Roman"/>
          <w:sz w:val="24"/>
          <w:szCs w:val="24"/>
        </w:rPr>
        <w:t xml:space="preserve">upport to climate change adaptation </w:t>
      </w:r>
      <w:r w:rsidRPr="00D17BDC">
        <w:rPr>
          <w:rFonts w:ascii="Times New Roman" w:hAnsi="Times New Roman"/>
          <w:sz w:val="24"/>
          <w:szCs w:val="24"/>
        </w:rPr>
        <w:t xml:space="preserve">in Kiribati </w:t>
      </w:r>
      <w:r w:rsidR="000E24AB" w:rsidRPr="00D17BDC">
        <w:rPr>
          <w:rFonts w:ascii="Times New Roman" w:hAnsi="Times New Roman"/>
          <w:sz w:val="24"/>
          <w:szCs w:val="24"/>
        </w:rPr>
        <w:t>is through the W</w:t>
      </w:r>
      <w:r w:rsidR="00562339" w:rsidRPr="00D17BDC">
        <w:rPr>
          <w:rFonts w:ascii="Times New Roman" w:hAnsi="Times New Roman"/>
          <w:sz w:val="24"/>
          <w:szCs w:val="24"/>
        </w:rPr>
        <w:t>orld Bank</w:t>
      </w:r>
      <w:r w:rsidR="000E24AB" w:rsidRPr="00D17BDC">
        <w:rPr>
          <w:rFonts w:ascii="Times New Roman" w:hAnsi="Times New Roman"/>
          <w:sz w:val="24"/>
          <w:szCs w:val="24"/>
        </w:rPr>
        <w:t xml:space="preserve">-led KAP. </w:t>
      </w:r>
      <w:r w:rsidR="002C4234" w:rsidRPr="00D17BDC">
        <w:rPr>
          <w:rFonts w:ascii="Times New Roman" w:hAnsi="Times New Roman"/>
          <w:sz w:val="24"/>
          <w:szCs w:val="24"/>
        </w:rPr>
        <w:t>T</w:t>
      </w:r>
      <w:r w:rsidR="000E24AB" w:rsidRPr="00D17BDC">
        <w:rPr>
          <w:rFonts w:ascii="Times New Roman" w:hAnsi="Times New Roman"/>
          <w:sz w:val="24"/>
          <w:szCs w:val="24"/>
        </w:rPr>
        <w:t xml:space="preserve">here </w:t>
      </w:r>
      <w:r w:rsidR="002C4234" w:rsidRPr="00D17BDC">
        <w:rPr>
          <w:rFonts w:ascii="Times New Roman" w:hAnsi="Times New Roman"/>
          <w:sz w:val="24"/>
          <w:szCs w:val="24"/>
        </w:rPr>
        <w:t>have been</w:t>
      </w:r>
      <w:r w:rsidR="000E24AB" w:rsidRPr="00D17BDC">
        <w:rPr>
          <w:rFonts w:ascii="Times New Roman" w:hAnsi="Times New Roman"/>
          <w:sz w:val="24"/>
          <w:szCs w:val="24"/>
        </w:rPr>
        <w:t xml:space="preserve"> issues with the design, and with </w:t>
      </w:r>
      <w:r w:rsidR="002C4234" w:rsidRPr="00D17BDC">
        <w:rPr>
          <w:rFonts w:ascii="Times New Roman" w:hAnsi="Times New Roman"/>
          <w:sz w:val="24"/>
          <w:szCs w:val="24"/>
        </w:rPr>
        <w:t xml:space="preserve">differences emerging between </w:t>
      </w:r>
      <w:r w:rsidR="000E24AB" w:rsidRPr="00D17BDC">
        <w:rPr>
          <w:rFonts w:ascii="Times New Roman" w:hAnsi="Times New Roman"/>
          <w:sz w:val="24"/>
          <w:szCs w:val="24"/>
        </w:rPr>
        <w:t>the W</w:t>
      </w:r>
      <w:r w:rsidR="00562339" w:rsidRPr="00D17BDC">
        <w:rPr>
          <w:rFonts w:ascii="Times New Roman" w:hAnsi="Times New Roman"/>
          <w:sz w:val="24"/>
          <w:szCs w:val="24"/>
        </w:rPr>
        <w:t>orld Bank</w:t>
      </w:r>
      <w:r w:rsidR="000E24AB" w:rsidRPr="00D17BDC">
        <w:rPr>
          <w:rFonts w:ascii="Times New Roman" w:hAnsi="Times New Roman"/>
          <w:sz w:val="24"/>
          <w:szCs w:val="24"/>
        </w:rPr>
        <w:t xml:space="preserve"> </w:t>
      </w:r>
      <w:r w:rsidR="002C4234" w:rsidRPr="00D17BDC">
        <w:rPr>
          <w:rFonts w:ascii="Times New Roman" w:hAnsi="Times New Roman"/>
          <w:sz w:val="24"/>
          <w:szCs w:val="24"/>
        </w:rPr>
        <w:t xml:space="preserve">and </w:t>
      </w:r>
      <w:r w:rsidR="000E24AB" w:rsidRPr="00D17BDC">
        <w:rPr>
          <w:rFonts w:ascii="Times New Roman" w:hAnsi="Times New Roman"/>
          <w:sz w:val="24"/>
          <w:szCs w:val="24"/>
        </w:rPr>
        <w:t xml:space="preserve">GoK priorities. </w:t>
      </w:r>
    </w:p>
    <w:p w:rsidR="008D2C98" w:rsidRPr="00D17BDC" w:rsidRDefault="00562339"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GoK acknowledged and appreciates Australia’s </w:t>
      </w:r>
      <w:r w:rsidR="008D2C98" w:rsidRPr="00D17BDC">
        <w:rPr>
          <w:rFonts w:ascii="Times New Roman" w:hAnsi="Times New Roman"/>
          <w:sz w:val="24"/>
          <w:szCs w:val="24"/>
        </w:rPr>
        <w:t>support to Kiribati in climate change adap</w:t>
      </w:r>
      <w:r w:rsidR="00477DB1" w:rsidRPr="00D17BDC">
        <w:rPr>
          <w:rFonts w:ascii="Times New Roman" w:hAnsi="Times New Roman"/>
          <w:sz w:val="24"/>
          <w:szCs w:val="24"/>
        </w:rPr>
        <w:t>t</w:t>
      </w:r>
      <w:r w:rsidR="008D2C98" w:rsidRPr="00D17BDC">
        <w:rPr>
          <w:rFonts w:ascii="Times New Roman" w:hAnsi="Times New Roman"/>
          <w:sz w:val="24"/>
          <w:szCs w:val="24"/>
        </w:rPr>
        <w:t>ation. Non</w:t>
      </w:r>
      <w:r w:rsidR="00E07FE7" w:rsidRPr="00D17BDC">
        <w:rPr>
          <w:rFonts w:ascii="Times New Roman" w:hAnsi="Times New Roman"/>
          <w:sz w:val="24"/>
          <w:szCs w:val="24"/>
        </w:rPr>
        <w:t>e</w:t>
      </w:r>
      <w:r w:rsidR="008D2C98" w:rsidRPr="00D17BDC">
        <w:rPr>
          <w:rFonts w:ascii="Times New Roman" w:hAnsi="Times New Roman"/>
          <w:sz w:val="24"/>
          <w:szCs w:val="24"/>
        </w:rPr>
        <w:t xml:space="preserve">theless, </w:t>
      </w:r>
      <w:r w:rsidR="00E07FE7" w:rsidRPr="00D17BDC">
        <w:rPr>
          <w:rFonts w:ascii="Times New Roman" w:hAnsi="Times New Roman"/>
          <w:sz w:val="24"/>
          <w:szCs w:val="24"/>
        </w:rPr>
        <w:t>GoK</w:t>
      </w:r>
      <w:r w:rsidR="00477DB1" w:rsidRPr="00D17BDC">
        <w:rPr>
          <w:rFonts w:ascii="Times New Roman" w:hAnsi="Times New Roman"/>
          <w:sz w:val="24"/>
          <w:szCs w:val="24"/>
        </w:rPr>
        <w:t xml:space="preserve"> remains frustrated at the inability to directly access promised international climate change financing. </w:t>
      </w:r>
      <w:r w:rsidR="005F236A" w:rsidRPr="00D17BDC">
        <w:rPr>
          <w:rFonts w:ascii="Times New Roman" w:hAnsi="Times New Roman"/>
          <w:sz w:val="24"/>
          <w:szCs w:val="24"/>
        </w:rPr>
        <w:t xml:space="preserve">Improvements to </w:t>
      </w:r>
      <w:r w:rsidR="00C64177" w:rsidRPr="00D17BDC">
        <w:rPr>
          <w:rFonts w:ascii="Times New Roman" w:hAnsi="Times New Roman"/>
          <w:sz w:val="24"/>
          <w:szCs w:val="24"/>
        </w:rPr>
        <w:t>PFM</w:t>
      </w:r>
      <w:r w:rsidR="005F236A" w:rsidRPr="00D17BDC">
        <w:rPr>
          <w:rFonts w:ascii="Times New Roman" w:hAnsi="Times New Roman"/>
          <w:sz w:val="24"/>
          <w:szCs w:val="24"/>
        </w:rPr>
        <w:t xml:space="preserve"> and development of a Joint Action Plan on Climate Change Adaptation and Disaster Risk Management should help to address this. </w:t>
      </w:r>
    </w:p>
    <w:p w:rsidR="00E07FE7" w:rsidRPr="00D17BDC" w:rsidRDefault="00562339" w:rsidP="006A5382">
      <w:pPr>
        <w:spacing w:before="240" w:after="0" w:line="240" w:lineRule="auto"/>
        <w:rPr>
          <w:rFonts w:ascii="Times New Roman" w:hAnsi="Times New Roman"/>
          <w:sz w:val="24"/>
          <w:szCs w:val="24"/>
        </w:rPr>
      </w:pPr>
      <w:r w:rsidRPr="00D17BDC">
        <w:rPr>
          <w:rFonts w:ascii="Times New Roman" w:hAnsi="Times New Roman"/>
          <w:sz w:val="24"/>
          <w:szCs w:val="24"/>
        </w:rPr>
        <w:t>Australia</w:t>
      </w:r>
      <w:r w:rsidR="005F236A" w:rsidRPr="00D17BDC">
        <w:rPr>
          <w:rFonts w:ascii="Times New Roman" w:hAnsi="Times New Roman"/>
          <w:sz w:val="24"/>
          <w:szCs w:val="24"/>
        </w:rPr>
        <w:t xml:space="preserve"> has front-loaded its total contribution to KAP Phase III. T</w:t>
      </w:r>
      <w:r w:rsidR="00E07FE7" w:rsidRPr="00D17BDC">
        <w:rPr>
          <w:rFonts w:ascii="Times New Roman" w:hAnsi="Times New Roman"/>
          <w:sz w:val="24"/>
          <w:szCs w:val="24"/>
        </w:rPr>
        <w:t xml:space="preserve">here is a need to identify new programs </w:t>
      </w:r>
      <w:r w:rsidR="005F236A" w:rsidRPr="00D17BDC">
        <w:rPr>
          <w:rFonts w:ascii="Times New Roman" w:hAnsi="Times New Roman"/>
          <w:sz w:val="24"/>
          <w:szCs w:val="24"/>
        </w:rPr>
        <w:t xml:space="preserve">in Kiribati that AusAID </w:t>
      </w:r>
      <w:r w:rsidRPr="00D17BDC">
        <w:rPr>
          <w:rFonts w:ascii="Times New Roman" w:hAnsi="Times New Roman"/>
          <w:sz w:val="24"/>
          <w:szCs w:val="24"/>
        </w:rPr>
        <w:t xml:space="preserve">can </w:t>
      </w:r>
      <w:r w:rsidR="005F236A" w:rsidRPr="00D17BDC">
        <w:rPr>
          <w:rFonts w:ascii="Times New Roman" w:hAnsi="Times New Roman"/>
          <w:sz w:val="24"/>
          <w:szCs w:val="24"/>
        </w:rPr>
        <w:t xml:space="preserve">support in addition to KAP. </w:t>
      </w:r>
      <w:r w:rsidR="00E07FE7" w:rsidRPr="00D17BDC">
        <w:rPr>
          <w:rFonts w:ascii="Times New Roman" w:hAnsi="Times New Roman"/>
          <w:sz w:val="24"/>
          <w:szCs w:val="24"/>
        </w:rPr>
        <w:t xml:space="preserve">In the short-term, this is likely to be through other regional and multilateral organisations, and in the medium to longer-term channelled </w:t>
      </w:r>
      <w:r w:rsidR="00902FA9" w:rsidRPr="00D17BDC">
        <w:rPr>
          <w:rFonts w:ascii="Times New Roman" w:hAnsi="Times New Roman"/>
          <w:sz w:val="24"/>
          <w:szCs w:val="24"/>
        </w:rPr>
        <w:t xml:space="preserve">directly to GoK. Regardless of </w:t>
      </w:r>
      <w:r w:rsidR="00270151" w:rsidRPr="00D17BDC">
        <w:rPr>
          <w:rFonts w:ascii="Times New Roman" w:hAnsi="Times New Roman"/>
          <w:sz w:val="24"/>
          <w:szCs w:val="24"/>
        </w:rPr>
        <w:t xml:space="preserve">the delivery </w:t>
      </w:r>
      <w:r w:rsidRPr="00D17BDC">
        <w:rPr>
          <w:rFonts w:ascii="Times New Roman" w:hAnsi="Times New Roman"/>
          <w:sz w:val="24"/>
          <w:szCs w:val="24"/>
        </w:rPr>
        <w:t>method</w:t>
      </w:r>
      <w:r w:rsidR="00270151" w:rsidRPr="00D17BDC">
        <w:rPr>
          <w:rFonts w:ascii="Times New Roman" w:hAnsi="Times New Roman"/>
          <w:sz w:val="24"/>
          <w:szCs w:val="24"/>
        </w:rPr>
        <w:t>, Australian aid should help support the implementation of</w:t>
      </w:r>
      <w:r w:rsidR="00902FA9" w:rsidRPr="00D17BDC">
        <w:rPr>
          <w:rFonts w:ascii="Times New Roman" w:hAnsi="Times New Roman"/>
          <w:sz w:val="24"/>
          <w:szCs w:val="24"/>
        </w:rPr>
        <w:t xml:space="preserve"> the </w:t>
      </w:r>
      <w:r w:rsidR="00154BC4" w:rsidRPr="00D17BDC">
        <w:rPr>
          <w:rFonts w:ascii="Times New Roman" w:hAnsi="Times New Roman"/>
          <w:sz w:val="24"/>
          <w:szCs w:val="24"/>
        </w:rPr>
        <w:t>J</w:t>
      </w:r>
      <w:r w:rsidR="00902FA9" w:rsidRPr="00D17BDC">
        <w:rPr>
          <w:rFonts w:ascii="Times New Roman" w:hAnsi="Times New Roman"/>
          <w:sz w:val="24"/>
          <w:szCs w:val="24"/>
        </w:rPr>
        <w:t xml:space="preserve">oint Action Plan on Climate Change Adaptation and Disaster Risk Management. </w:t>
      </w:r>
    </w:p>
    <w:p w:rsidR="00270151" w:rsidRPr="00D17BDC" w:rsidRDefault="00270151"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GoK noted </w:t>
      </w:r>
      <w:r w:rsidR="00562339" w:rsidRPr="00D17BDC">
        <w:rPr>
          <w:rFonts w:ascii="Times New Roman" w:hAnsi="Times New Roman"/>
          <w:sz w:val="24"/>
          <w:szCs w:val="24"/>
        </w:rPr>
        <w:t xml:space="preserve">Australia’s </w:t>
      </w:r>
      <w:r w:rsidRPr="00D17BDC">
        <w:rPr>
          <w:rFonts w:ascii="Times New Roman" w:hAnsi="Times New Roman"/>
          <w:sz w:val="24"/>
          <w:szCs w:val="24"/>
        </w:rPr>
        <w:t>concerns about vandalism of infrastructure, and agreed to increase the focus on community engagement</w:t>
      </w:r>
      <w:r w:rsidR="009E05D4" w:rsidRPr="00D17BDC">
        <w:rPr>
          <w:rFonts w:ascii="Times New Roman" w:hAnsi="Times New Roman"/>
          <w:sz w:val="24"/>
          <w:szCs w:val="24"/>
        </w:rPr>
        <w:t xml:space="preserve">. </w:t>
      </w:r>
    </w:p>
    <w:p w:rsidR="001F69B3" w:rsidRDefault="000C42DD" w:rsidP="006A5382">
      <w:pPr>
        <w:spacing w:before="240" w:after="0" w:line="240" w:lineRule="auto"/>
        <w:rPr>
          <w:rFonts w:ascii="Times New Roman" w:hAnsi="Times New Roman"/>
          <w:b/>
          <w:sz w:val="24"/>
          <w:szCs w:val="24"/>
        </w:rPr>
      </w:pPr>
      <w:r>
        <w:rPr>
          <w:rFonts w:ascii="Times New Roman" w:hAnsi="Times New Roman"/>
          <w:noProof/>
          <w:sz w:val="24"/>
          <w:szCs w:val="24"/>
          <w:lang w:val="en-US" w:eastAsia="en-US"/>
        </w:rPr>
        <mc:AlternateContent>
          <mc:Choice Requires="wps">
            <w:drawing>
              <wp:inline distT="0" distB="0" distL="0" distR="0">
                <wp:extent cx="5943600" cy="1489075"/>
                <wp:effectExtent l="7620" t="5080" r="11430" b="10795"/>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9075"/>
                        </a:xfrm>
                        <a:prstGeom prst="rect">
                          <a:avLst/>
                        </a:prstGeom>
                        <a:solidFill>
                          <a:srgbClr val="C0C0C0">
                            <a:alpha val="28000"/>
                          </a:srgbClr>
                        </a:solidFill>
                        <a:ln w="9525">
                          <a:solidFill>
                            <a:srgbClr val="000000"/>
                          </a:solidFill>
                          <a:miter lim="800000"/>
                          <a:headEnd/>
                          <a:tailEnd/>
                        </a:ln>
                      </wps:spPr>
                      <wps:txbx>
                        <w:txbxContent>
                          <w:p w:rsidR="00807794" w:rsidRPr="00D17BDC"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1F69B3" w:rsidRDefault="00807794" w:rsidP="008D2C98">
                            <w:pPr>
                              <w:numPr>
                                <w:ilvl w:val="0"/>
                                <w:numId w:val="34"/>
                              </w:numPr>
                              <w:spacing w:after="0" w:line="240" w:lineRule="auto"/>
                              <w:rPr>
                                <w:rFonts w:ascii="Times New Roman" w:hAnsi="Times New Roman"/>
                                <w:sz w:val="24"/>
                                <w:szCs w:val="24"/>
                              </w:rPr>
                            </w:pPr>
                            <w:r w:rsidRPr="00E07FE7">
                              <w:rPr>
                                <w:rFonts w:ascii="Times New Roman" w:hAnsi="Times New Roman"/>
                                <w:sz w:val="24"/>
                                <w:szCs w:val="24"/>
                              </w:rPr>
                              <w:t xml:space="preserve">GoK to </w:t>
                            </w:r>
                            <w:r w:rsidRPr="001F69B3">
                              <w:rPr>
                                <w:rFonts w:ascii="Times New Roman" w:hAnsi="Times New Roman"/>
                                <w:sz w:val="24"/>
                                <w:szCs w:val="24"/>
                              </w:rPr>
                              <w:t>develop the Joint Action Plan on Climate Change Adaptation and Disaster Risk Management, and to integrate climate change into the next KDP 2012–15.</w:t>
                            </w:r>
                          </w:p>
                          <w:p w:rsidR="00807794" w:rsidRPr="001F69B3" w:rsidRDefault="00807794" w:rsidP="008D2C98">
                            <w:pPr>
                              <w:numPr>
                                <w:ilvl w:val="0"/>
                                <w:numId w:val="34"/>
                              </w:numPr>
                              <w:spacing w:after="0" w:line="240" w:lineRule="auto"/>
                              <w:rPr>
                                <w:rFonts w:ascii="Times New Roman" w:hAnsi="Times New Roman"/>
                                <w:sz w:val="24"/>
                                <w:szCs w:val="24"/>
                              </w:rPr>
                            </w:pPr>
                            <w:r w:rsidRPr="001F69B3">
                              <w:rPr>
                                <w:rFonts w:ascii="Times New Roman" w:hAnsi="Times New Roman"/>
                                <w:sz w:val="24"/>
                                <w:szCs w:val="24"/>
                              </w:rPr>
                              <w:t xml:space="preserve">Government of Australia to provide future assistance to Kiribati to support implementation of this Joint Action Plan. </w:t>
                            </w:r>
                          </w:p>
                          <w:p w:rsidR="00807794" w:rsidRPr="00E07FE7" w:rsidRDefault="00807794" w:rsidP="008D2C98">
                            <w:pPr>
                              <w:numPr>
                                <w:ilvl w:val="0"/>
                                <w:numId w:val="34"/>
                              </w:numPr>
                              <w:spacing w:after="0" w:line="240" w:lineRule="auto"/>
                              <w:rPr>
                                <w:rFonts w:ascii="Times New Roman" w:hAnsi="Times New Roman"/>
                                <w:sz w:val="24"/>
                                <w:szCs w:val="24"/>
                              </w:rPr>
                            </w:pPr>
                            <w:r w:rsidRPr="001F69B3">
                              <w:rPr>
                                <w:rFonts w:ascii="Times New Roman" w:hAnsi="Times New Roman"/>
                                <w:sz w:val="24"/>
                                <w:szCs w:val="24"/>
                              </w:rPr>
                              <w:t>GoK (through KAP III) to improve community engagement processes</w:t>
                            </w:r>
                            <w:r w:rsidRPr="00E07FE7">
                              <w:rPr>
                                <w:rFonts w:ascii="Times New Roman" w:hAnsi="Times New Roman"/>
                                <w:sz w:val="24"/>
                                <w:szCs w:val="24"/>
                              </w:rPr>
                              <w:t xml:space="preserve"> to </w:t>
                            </w:r>
                            <w:r>
                              <w:rPr>
                                <w:rFonts w:ascii="Times New Roman" w:hAnsi="Times New Roman"/>
                                <w:sz w:val="24"/>
                                <w:szCs w:val="24"/>
                              </w:rPr>
                              <w:t>improve</w:t>
                            </w:r>
                            <w:r w:rsidRPr="00E07FE7">
                              <w:rPr>
                                <w:rFonts w:ascii="Times New Roman" w:hAnsi="Times New Roman"/>
                                <w:sz w:val="24"/>
                                <w:szCs w:val="24"/>
                              </w:rPr>
                              <w:t xml:space="preserve"> communi</w:t>
                            </w:r>
                            <w:r>
                              <w:rPr>
                                <w:rFonts w:ascii="Times New Roman" w:hAnsi="Times New Roman"/>
                                <w:sz w:val="24"/>
                                <w:szCs w:val="24"/>
                              </w:rPr>
                              <w:t xml:space="preserve">ty ownership of climate change infrastructure and prevent vandalism. </w:t>
                            </w:r>
                          </w:p>
                          <w:p w:rsidR="00807794" w:rsidRPr="00840E4C" w:rsidRDefault="00807794" w:rsidP="008D2C98">
                            <w:pPr>
                              <w:spacing w:after="0" w:line="240" w:lineRule="auto"/>
                              <w:rPr>
                                <w:rFonts w:ascii="Calibri" w:hAnsi="Calibri"/>
                              </w:rPr>
                            </w:pPr>
                          </w:p>
                        </w:txbxContent>
                      </wps:txbx>
                      <wps:bodyPr rot="0" vert="horz" wrap="square" lIns="91440" tIns="45720" rIns="91440" bIns="45720" anchor="t" anchorCtr="0" upright="1">
                        <a:noAutofit/>
                      </wps:bodyPr>
                    </wps:wsp>
                  </a:graphicData>
                </a:graphic>
              </wp:inline>
            </w:drawing>
          </mc:Choice>
          <mc:Fallback>
            <w:pict>
              <v:shape id="Text Box 8" o:spid="_x0000_s1029" type="#_x0000_t202" style="width:468pt;height:1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" fillcolor="silver">
                <v:fill opacity="18247f"/>
                <v:textbox>
                  <w:txbxContent>
                    <w:p w:rsidR="00807794" w:rsidRPr="00D17BDC"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1F69B3" w:rsidRDefault="00807794" w:rsidP="008D2C98">
                      <w:pPr>
                        <w:numPr>
                          <w:ilvl w:val="0"/>
                          <w:numId w:val="34"/>
                        </w:numPr>
                        <w:spacing w:after="0" w:line="240" w:lineRule="auto"/>
                        <w:rPr>
                          <w:rFonts w:ascii="Times New Roman" w:hAnsi="Times New Roman"/>
                          <w:sz w:val="24"/>
                          <w:szCs w:val="24"/>
                        </w:rPr>
                      </w:pPr>
                      <w:r w:rsidRPr="00E07FE7">
                        <w:rPr>
                          <w:rFonts w:ascii="Times New Roman" w:hAnsi="Times New Roman"/>
                          <w:sz w:val="24"/>
                          <w:szCs w:val="24"/>
                        </w:rPr>
                        <w:t xml:space="preserve">GoK to </w:t>
                      </w:r>
                      <w:r w:rsidRPr="001F69B3">
                        <w:rPr>
                          <w:rFonts w:ascii="Times New Roman" w:hAnsi="Times New Roman"/>
                          <w:sz w:val="24"/>
                          <w:szCs w:val="24"/>
                        </w:rPr>
                        <w:t>develop the Joint Action Plan on Climate Change Adaptation and Disaster Risk Management, and to integrate climate change into the next KDP 2012–15.</w:t>
                      </w:r>
                    </w:p>
                    <w:p w:rsidR="00807794" w:rsidRPr="001F69B3" w:rsidRDefault="00807794" w:rsidP="008D2C98">
                      <w:pPr>
                        <w:numPr>
                          <w:ilvl w:val="0"/>
                          <w:numId w:val="34"/>
                        </w:numPr>
                        <w:spacing w:after="0" w:line="240" w:lineRule="auto"/>
                        <w:rPr>
                          <w:rFonts w:ascii="Times New Roman" w:hAnsi="Times New Roman"/>
                          <w:sz w:val="24"/>
                          <w:szCs w:val="24"/>
                        </w:rPr>
                      </w:pPr>
                      <w:r w:rsidRPr="001F69B3">
                        <w:rPr>
                          <w:rFonts w:ascii="Times New Roman" w:hAnsi="Times New Roman"/>
                          <w:sz w:val="24"/>
                          <w:szCs w:val="24"/>
                        </w:rPr>
                        <w:t xml:space="preserve">Government of Australia to provide future assistance to Kiribati to support implementation of this Joint Action Plan. </w:t>
                      </w:r>
                    </w:p>
                    <w:p w:rsidR="00807794" w:rsidRPr="00E07FE7" w:rsidRDefault="00807794" w:rsidP="008D2C98">
                      <w:pPr>
                        <w:numPr>
                          <w:ilvl w:val="0"/>
                          <w:numId w:val="34"/>
                        </w:numPr>
                        <w:spacing w:after="0" w:line="240" w:lineRule="auto"/>
                        <w:rPr>
                          <w:rFonts w:ascii="Times New Roman" w:hAnsi="Times New Roman"/>
                          <w:sz w:val="24"/>
                          <w:szCs w:val="24"/>
                        </w:rPr>
                      </w:pPr>
                      <w:r w:rsidRPr="001F69B3">
                        <w:rPr>
                          <w:rFonts w:ascii="Times New Roman" w:hAnsi="Times New Roman"/>
                          <w:sz w:val="24"/>
                          <w:szCs w:val="24"/>
                        </w:rPr>
                        <w:t>GoK (through KAP III) to improve community engagement processes</w:t>
                      </w:r>
                      <w:r w:rsidRPr="00E07FE7">
                        <w:rPr>
                          <w:rFonts w:ascii="Times New Roman" w:hAnsi="Times New Roman"/>
                          <w:sz w:val="24"/>
                          <w:szCs w:val="24"/>
                        </w:rPr>
                        <w:t xml:space="preserve"> to </w:t>
                      </w:r>
                      <w:r>
                        <w:rPr>
                          <w:rFonts w:ascii="Times New Roman" w:hAnsi="Times New Roman"/>
                          <w:sz w:val="24"/>
                          <w:szCs w:val="24"/>
                        </w:rPr>
                        <w:t>improve</w:t>
                      </w:r>
                      <w:r w:rsidRPr="00E07FE7">
                        <w:rPr>
                          <w:rFonts w:ascii="Times New Roman" w:hAnsi="Times New Roman"/>
                          <w:sz w:val="24"/>
                          <w:szCs w:val="24"/>
                        </w:rPr>
                        <w:t xml:space="preserve"> communi</w:t>
                      </w:r>
                      <w:r>
                        <w:rPr>
                          <w:rFonts w:ascii="Times New Roman" w:hAnsi="Times New Roman"/>
                          <w:sz w:val="24"/>
                          <w:szCs w:val="24"/>
                        </w:rPr>
                        <w:t xml:space="preserve">ty ownership of climate change infrastructure and prevent vandalism. </w:t>
                      </w:r>
                    </w:p>
                    <w:p w:rsidR="00807794" w:rsidRPr="00840E4C" w:rsidRDefault="00807794" w:rsidP="008D2C98">
                      <w:pPr>
                        <w:spacing w:after="0" w:line="240" w:lineRule="auto"/>
                        <w:rPr>
                          <w:rFonts w:ascii="Calibri" w:hAnsi="Calibri"/>
                        </w:rPr>
                      </w:pPr>
                    </w:p>
                  </w:txbxContent>
                </v:textbox>
                <w10:wrap anchorx="page"/>
                <w10:anchorlock/>
              </v:shape>
            </w:pict>
          </mc:Fallback>
        </mc:AlternateContent>
      </w:r>
    </w:p>
    <w:p w:rsidR="00461BA8" w:rsidRPr="00D17BDC" w:rsidRDefault="000E24AB" w:rsidP="00177DB4">
      <w:pPr>
        <w:pStyle w:val="H3A"/>
      </w:pPr>
      <w:r w:rsidRPr="00D17BDC">
        <w:lastRenderedPageBreak/>
        <w:t>Health</w:t>
      </w:r>
    </w:p>
    <w:p w:rsidR="00461BA8" w:rsidRPr="00D17BDC" w:rsidRDefault="00461BA8" w:rsidP="006A5382">
      <w:pPr>
        <w:spacing w:before="240" w:after="0" w:line="240" w:lineRule="auto"/>
        <w:rPr>
          <w:rFonts w:ascii="Times New Roman" w:hAnsi="Times New Roman"/>
          <w:sz w:val="24"/>
          <w:szCs w:val="24"/>
        </w:rPr>
      </w:pPr>
      <w:r w:rsidRPr="00D17BDC">
        <w:rPr>
          <w:rFonts w:ascii="Times New Roman" w:hAnsi="Times New Roman"/>
          <w:sz w:val="24"/>
          <w:szCs w:val="24"/>
        </w:rPr>
        <w:t>Australia’s support to the hea</w:t>
      </w:r>
      <w:r w:rsidR="0040536C" w:rsidRPr="00D17BDC">
        <w:rPr>
          <w:rFonts w:ascii="Times New Roman" w:hAnsi="Times New Roman"/>
          <w:sz w:val="24"/>
          <w:szCs w:val="24"/>
        </w:rPr>
        <w:t>lth sector is relatively small, and is channelled through regional and international specialist health organisations; namely, S</w:t>
      </w:r>
      <w:r w:rsidR="009D4AAA" w:rsidRPr="00D17BDC">
        <w:rPr>
          <w:rFonts w:ascii="Times New Roman" w:hAnsi="Times New Roman"/>
          <w:sz w:val="24"/>
          <w:szCs w:val="24"/>
        </w:rPr>
        <w:t>ecretariat of the Pacific Community</w:t>
      </w:r>
      <w:r w:rsidR="00C64177" w:rsidRPr="00D17BDC">
        <w:rPr>
          <w:rFonts w:ascii="Times New Roman" w:hAnsi="Times New Roman"/>
          <w:sz w:val="24"/>
          <w:szCs w:val="24"/>
        </w:rPr>
        <w:t xml:space="preserve"> and </w:t>
      </w:r>
      <w:r w:rsidR="0040536C" w:rsidRPr="00D17BDC">
        <w:rPr>
          <w:rFonts w:ascii="Times New Roman" w:hAnsi="Times New Roman"/>
          <w:sz w:val="24"/>
          <w:szCs w:val="24"/>
        </w:rPr>
        <w:t>WHO. Australia supports</w:t>
      </w:r>
      <w:r w:rsidR="004338A2" w:rsidRPr="00D17BDC">
        <w:rPr>
          <w:rFonts w:ascii="Times New Roman" w:hAnsi="Times New Roman"/>
          <w:sz w:val="24"/>
          <w:szCs w:val="24"/>
        </w:rPr>
        <w:t xml:space="preserve"> two programs that work with</w:t>
      </w:r>
      <w:r w:rsidR="0040536C" w:rsidRPr="00D17BDC">
        <w:rPr>
          <w:rFonts w:ascii="Times New Roman" w:hAnsi="Times New Roman"/>
          <w:sz w:val="24"/>
          <w:szCs w:val="24"/>
        </w:rPr>
        <w:t xml:space="preserve"> MHMS: the </w:t>
      </w:r>
      <w:r w:rsidR="00D155FD" w:rsidRPr="00D17BDC">
        <w:rPr>
          <w:rFonts w:ascii="Times New Roman" w:hAnsi="Times New Roman"/>
          <w:sz w:val="24"/>
          <w:szCs w:val="24"/>
        </w:rPr>
        <w:t xml:space="preserve">Tuberculosis </w:t>
      </w:r>
      <w:r w:rsidR="0040536C" w:rsidRPr="00D17BDC">
        <w:rPr>
          <w:rFonts w:ascii="Times New Roman" w:hAnsi="Times New Roman"/>
          <w:sz w:val="24"/>
          <w:szCs w:val="24"/>
        </w:rPr>
        <w:t>Epidemic Control Program (</w:t>
      </w:r>
      <w:r w:rsidR="008B10D6" w:rsidRPr="00D17BDC">
        <w:rPr>
          <w:rFonts w:ascii="Times New Roman" w:hAnsi="Times New Roman"/>
          <w:sz w:val="24"/>
          <w:szCs w:val="24"/>
        </w:rPr>
        <w:t xml:space="preserve">implemented </w:t>
      </w:r>
      <w:r w:rsidR="0040536C" w:rsidRPr="00D17BDC">
        <w:rPr>
          <w:rFonts w:ascii="Times New Roman" w:hAnsi="Times New Roman"/>
          <w:sz w:val="24"/>
          <w:szCs w:val="24"/>
        </w:rPr>
        <w:t>by S</w:t>
      </w:r>
      <w:r w:rsidR="009D4AAA" w:rsidRPr="00D17BDC">
        <w:rPr>
          <w:rFonts w:ascii="Times New Roman" w:hAnsi="Times New Roman"/>
          <w:sz w:val="24"/>
          <w:szCs w:val="24"/>
        </w:rPr>
        <w:t>ecretariat of the Pacific Community</w:t>
      </w:r>
      <w:r w:rsidR="0040536C" w:rsidRPr="00D17BDC">
        <w:rPr>
          <w:rFonts w:ascii="Times New Roman" w:hAnsi="Times New Roman"/>
          <w:sz w:val="24"/>
          <w:szCs w:val="24"/>
        </w:rPr>
        <w:t>) and the N</w:t>
      </w:r>
      <w:r w:rsidR="00270151" w:rsidRPr="00D17BDC">
        <w:rPr>
          <w:rFonts w:ascii="Times New Roman" w:hAnsi="Times New Roman"/>
          <w:sz w:val="24"/>
          <w:szCs w:val="24"/>
        </w:rPr>
        <w:t xml:space="preserve">on </w:t>
      </w:r>
      <w:r w:rsidR="0040536C" w:rsidRPr="00D17BDC">
        <w:rPr>
          <w:rFonts w:ascii="Times New Roman" w:hAnsi="Times New Roman"/>
          <w:sz w:val="24"/>
          <w:szCs w:val="24"/>
        </w:rPr>
        <w:t>C</w:t>
      </w:r>
      <w:r w:rsidR="00270151" w:rsidRPr="00D17BDC">
        <w:rPr>
          <w:rFonts w:ascii="Times New Roman" w:hAnsi="Times New Roman"/>
          <w:sz w:val="24"/>
          <w:szCs w:val="24"/>
        </w:rPr>
        <w:t xml:space="preserve">ommunicable </w:t>
      </w:r>
      <w:r w:rsidR="0040536C" w:rsidRPr="00D17BDC">
        <w:rPr>
          <w:rFonts w:ascii="Times New Roman" w:hAnsi="Times New Roman"/>
          <w:sz w:val="24"/>
          <w:szCs w:val="24"/>
        </w:rPr>
        <w:t>D</w:t>
      </w:r>
      <w:r w:rsidR="00270151" w:rsidRPr="00D17BDC">
        <w:rPr>
          <w:rFonts w:ascii="Times New Roman" w:hAnsi="Times New Roman"/>
          <w:sz w:val="24"/>
          <w:szCs w:val="24"/>
        </w:rPr>
        <w:t>isease</w:t>
      </w:r>
      <w:r w:rsidR="0040536C" w:rsidRPr="00D17BDC">
        <w:rPr>
          <w:rFonts w:ascii="Times New Roman" w:hAnsi="Times New Roman"/>
          <w:sz w:val="24"/>
          <w:szCs w:val="24"/>
        </w:rPr>
        <w:t xml:space="preserve"> program (</w:t>
      </w:r>
      <w:r w:rsidR="008B10D6" w:rsidRPr="00D17BDC">
        <w:rPr>
          <w:rFonts w:ascii="Times New Roman" w:hAnsi="Times New Roman"/>
          <w:sz w:val="24"/>
          <w:szCs w:val="24"/>
        </w:rPr>
        <w:t xml:space="preserve">implemented </w:t>
      </w:r>
      <w:r w:rsidR="009D4AAA" w:rsidRPr="00D17BDC">
        <w:rPr>
          <w:rFonts w:ascii="Times New Roman" w:hAnsi="Times New Roman"/>
          <w:sz w:val="24"/>
          <w:szCs w:val="24"/>
        </w:rPr>
        <w:t>b</w:t>
      </w:r>
      <w:r w:rsidR="0040536C" w:rsidRPr="00D17BDC">
        <w:rPr>
          <w:rFonts w:ascii="Times New Roman" w:hAnsi="Times New Roman"/>
          <w:sz w:val="24"/>
          <w:szCs w:val="24"/>
        </w:rPr>
        <w:t>y</w:t>
      </w:r>
      <w:r w:rsidR="009D4AAA" w:rsidRPr="00D17BDC">
        <w:rPr>
          <w:rFonts w:ascii="Times New Roman" w:hAnsi="Times New Roman"/>
          <w:sz w:val="24"/>
          <w:szCs w:val="24"/>
        </w:rPr>
        <w:t xml:space="preserve"> the Secretariat</w:t>
      </w:r>
      <w:r w:rsidR="00D87B33" w:rsidRPr="00D17BDC">
        <w:rPr>
          <w:rFonts w:ascii="Times New Roman" w:hAnsi="Times New Roman"/>
          <w:sz w:val="24"/>
          <w:szCs w:val="24"/>
        </w:rPr>
        <w:t xml:space="preserve"> and </w:t>
      </w:r>
      <w:r w:rsidR="0040536C" w:rsidRPr="00D17BDC">
        <w:rPr>
          <w:rFonts w:ascii="Times New Roman" w:hAnsi="Times New Roman"/>
          <w:sz w:val="24"/>
          <w:szCs w:val="24"/>
        </w:rPr>
        <w:t xml:space="preserve">WHO). </w:t>
      </w:r>
      <w:r w:rsidR="00856064" w:rsidRPr="00D17BDC">
        <w:rPr>
          <w:rFonts w:ascii="Times New Roman" w:hAnsi="Times New Roman"/>
          <w:sz w:val="24"/>
          <w:szCs w:val="24"/>
        </w:rPr>
        <w:t xml:space="preserve">In addition to these programs, </w:t>
      </w:r>
      <w:r w:rsidR="00D87B33" w:rsidRPr="00D17BDC">
        <w:rPr>
          <w:rFonts w:ascii="Times New Roman" w:hAnsi="Times New Roman"/>
          <w:sz w:val="24"/>
          <w:szCs w:val="24"/>
        </w:rPr>
        <w:t>the Government of Australia</w:t>
      </w:r>
      <w:r w:rsidR="00856064" w:rsidRPr="00D17BDC">
        <w:rPr>
          <w:rFonts w:ascii="Times New Roman" w:hAnsi="Times New Roman"/>
          <w:sz w:val="24"/>
          <w:szCs w:val="24"/>
        </w:rPr>
        <w:t xml:space="preserve"> has provided direct support to the MHMS to </w:t>
      </w:r>
      <w:r w:rsidR="00D87B33" w:rsidRPr="00D17BDC">
        <w:rPr>
          <w:rFonts w:ascii="Times New Roman" w:hAnsi="Times New Roman"/>
          <w:sz w:val="24"/>
          <w:szCs w:val="24"/>
        </w:rPr>
        <w:t xml:space="preserve">buy </w:t>
      </w:r>
      <w:r w:rsidR="00856064" w:rsidRPr="00D17BDC">
        <w:rPr>
          <w:rFonts w:ascii="Times New Roman" w:hAnsi="Times New Roman"/>
          <w:sz w:val="24"/>
          <w:szCs w:val="24"/>
        </w:rPr>
        <w:t>a satellite</w:t>
      </w:r>
      <w:r w:rsidR="00460856" w:rsidRPr="00D17BDC">
        <w:rPr>
          <w:rFonts w:ascii="Times New Roman" w:hAnsi="Times New Roman"/>
          <w:sz w:val="24"/>
          <w:szCs w:val="24"/>
        </w:rPr>
        <w:t xml:space="preserve"> dish</w:t>
      </w:r>
      <w:r w:rsidR="00856064" w:rsidRPr="00D17BDC">
        <w:rPr>
          <w:rFonts w:ascii="Times New Roman" w:hAnsi="Times New Roman"/>
          <w:sz w:val="24"/>
          <w:szCs w:val="24"/>
        </w:rPr>
        <w:t xml:space="preserve"> and undertake design works to rehabilitate the Kiribati School of Nursing and the </w:t>
      </w:r>
      <w:proofErr w:type="spellStart"/>
      <w:r w:rsidR="00856064" w:rsidRPr="00D17BDC">
        <w:rPr>
          <w:rFonts w:ascii="Times New Roman" w:hAnsi="Times New Roman"/>
          <w:sz w:val="24"/>
          <w:szCs w:val="24"/>
        </w:rPr>
        <w:t>Betio</w:t>
      </w:r>
      <w:proofErr w:type="spellEnd"/>
      <w:r w:rsidR="00856064" w:rsidRPr="00D17BDC">
        <w:rPr>
          <w:rFonts w:ascii="Times New Roman" w:hAnsi="Times New Roman"/>
          <w:sz w:val="24"/>
          <w:szCs w:val="24"/>
        </w:rPr>
        <w:t xml:space="preserve"> Maternity Ward. </w:t>
      </w:r>
    </w:p>
    <w:p w:rsidR="00461BA8" w:rsidRPr="00D17BDC" w:rsidRDefault="00461BA8" w:rsidP="00461BA8">
      <w:pPr>
        <w:spacing w:before="240" w:after="0" w:line="240" w:lineRule="auto"/>
        <w:rPr>
          <w:rFonts w:ascii="Times New Roman" w:hAnsi="Times New Roman"/>
          <w:sz w:val="24"/>
          <w:szCs w:val="24"/>
        </w:rPr>
      </w:pPr>
      <w:r w:rsidRPr="00D17BDC">
        <w:rPr>
          <w:rFonts w:ascii="Times New Roman" w:hAnsi="Times New Roman"/>
          <w:sz w:val="24"/>
          <w:szCs w:val="24"/>
        </w:rPr>
        <w:t xml:space="preserve">At the Partnership Talks, both </w:t>
      </w:r>
      <w:r w:rsidR="00D87B33" w:rsidRPr="00D17BDC">
        <w:rPr>
          <w:rFonts w:ascii="Times New Roman" w:hAnsi="Times New Roman"/>
          <w:sz w:val="24"/>
          <w:szCs w:val="24"/>
        </w:rPr>
        <w:t>g</w:t>
      </w:r>
      <w:r w:rsidRPr="00D17BDC">
        <w:rPr>
          <w:rFonts w:ascii="Times New Roman" w:hAnsi="Times New Roman"/>
          <w:sz w:val="24"/>
          <w:szCs w:val="24"/>
        </w:rPr>
        <w:t xml:space="preserve">overnments agreed that </w:t>
      </w:r>
      <w:r w:rsidR="00D87B33" w:rsidRPr="00D17BDC">
        <w:rPr>
          <w:rFonts w:ascii="Times New Roman" w:hAnsi="Times New Roman"/>
          <w:sz w:val="24"/>
          <w:szCs w:val="24"/>
        </w:rPr>
        <w:t xml:space="preserve">Partnership </w:t>
      </w:r>
      <w:r w:rsidRPr="00D17BDC">
        <w:rPr>
          <w:rFonts w:ascii="Times New Roman" w:hAnsi="Times New Roman"/>
          <w:sz w:val="24"/>
          <w:szCs w:val="24"/>
        </w:rPr>
        <w:t xml:space="preserve">priorities </w:t>
      </w:r>
      <w:r w:rsidR="0040536C" w:rsidRPr="00D17BDC">
        <w:rPr>
          <w:rFonts w:ascii="Times New Roman" w:hAnsi="Times New Roman"/>
          <w:sz w:val="24"/>
          <w:szCs w:val="24"/>
        </w:rPr>
        <w:t>in the health sector</w:t>
      </w:r>
      <w:r w:rsidRPr="00D17BDC">
        <w:rPr>
          <w:rFonts w:ascii="Times New Roman" w:hAnsi="Times New Roman"/>
          <w:sz w:val="24"/>
          <w:szCs w:val="24"/>
        </w:rPr>
        <w:t xml:space="preserve"> </w:t>
      </w:r>
      <w:r w:rsidR="00D87B33" w:rsidRPr="00D17BDC">
        <w:rPr>
          <w:rFonts w:ascii="Times New Roman" w:hAnsi="Times New Roman"/>
          <w:sz w:val="24"/>
          <w:szCs w:val="24"/>
        </w:rPr>
        <w:t>(</w:t>
      </w:r>
      <w:r w:rsidRPr="00D17BDC">
        <w:rPr>
          <w:rFonts w:ascii="Times New Roman" w:hAnsi="Times New Roman"/>
          <w:sz w:val="24"/>
          <w:szCs w:val="24"/>
        </w:rPr>
        <w:t>short to medium</w:t>
      </w:r>
      <w:r w:rsidR="00D87B33" w:rsidRPr="00D17BDC">
        <w:rPr>
          <w:rFonts w:ascii="Times New Roman" w:hAnsi="Times New Roman"/>
          <w:sz w:val="24"/>
          <w:szCs w:val="24"/>
        </w:rPr>
        <w:t xml:space="preserve"> </w:t>
      </w:r>
      <w:r w:rsidRPr="00D17BDC">
        <w:rPr>
          <w:rFonts w:ascii="Times New Roman" w:hAnsi="Times New Roman"/>
          <w:sz w:val="24"/>
          <w:szCs w:val="24"/>
        </w:rPr>
        <w:t>term</w:t>
      </w:r>
      <w:r w:rsidR="00D87B33" w:rsidRPr="00D17BDC">
        <w:rPr>
          <w:rFonts w:ascii="Times New Roman" w:hAnsi="Times New Roman"/>
          <w:sz w:val="24"/>
          <w:szCs w:val="24"/>
        </w:rPr>
        <w:t>)</w:t>
      </w:r>
      <w:r w:rsidRPr="00D17BDC">
        <w:rPr>
          <w:rFonts w:ascii="Times New Roman" w:hAnsi="Times New Roman"/>
          <w:sz w:val="24"/>
          <w:szCs w:val="24"/>
        </w:rPr>
        <w:t xml:space="preserve"> are to continue</w:t>
      </w:r>
      <w:r w:rsidR="00D87B33" w:rsidRPr="00D17BDC">
        <w:rPr>
          <w:rFonts w:ascii="Times New Roman" w:hAnsi="Times New Roman"/>
          <w:sz w:val="24"/>
          <w:szCs w:val="24"/>
        </w:rPr>
        <w:t>—</w:t>
      </w:r>
      <w:r w:rsidR="0040536C" w:rsidRPr="00D17BDC">
        <w:rPr>
          <w:rFonts w:ascii="Times New Roman" w:hAnsi="Times New Roman"/>
          <w:sz w:val="24"/>
          <w:szCs w:val="24"/>
        </w:rPr>
        <w:t xml:space="preserve">with existing programs </w:t>
      </w:r>
      <w:r w:rsidRPr="00D17BDC">
        <w:rPr>
          <w:rFonts w:ascii="Times New Roman" w:hAnsi="Times New Roman"/>
          <w:sz w:val="24"/>
          <w:szCs w:val="24"/>
        </w:rPr>
        <w:t xml:space="preserve">and </w:t>
      </w:r>
      <w:r w:rsidR="00D87B33" w:rsidRPr="00D17BDC">
        <w:rPr>
          <w:rFonts w:ascii="Times New Roman" w:hAnsi="Times New Roman"/>
          <w:sz w:val="24"/>
          <w:szCs w:val="24"/>
        </w:rPr>
        <w:t xml:space="preserve">the start of </w:t>
      </w:r>
      <w:r w:rsidR="0079689F" w:rsidRPr="00D17BDC">
        <w:rPr>
          <w:rFonts w:ascii="Times New Roman" w:hAnsi="Times New Roman"/>
          <w:sz w:val="24"/>
          <w:szCs w:val="24"/>
        </w:rPr>
        <w:t>the</w:t>
      </w:r>
      <w:r w:rsidRPr="00D17BDC">
        <w:rPr>
          <w:rFonts w:ascii="Times New Roman" w:hAnsi="Times New Roman"/>
          <w:sz w:val="24"/>
          <w:szCs w:val="24"/>
        </w:rPr>
        <w:t xml:space="preserve"> WHO</w:t>
      </w:r>
      <w:r w:rsidR="00D87B33" w:rsidRPr="00D17BDC">
        <w:rPr>
          <w:rFonts w:ascii="Times New Roman" w:hAnsi="Times New Roman"/>
          <w:sz w:val="24"/>
          <w:szCs w:val="24"/>
        </w:rPr>
        <w:t>-</w:t>
      </w:r>
      <w:r w:rsidR="0079689F" w:rsidRPr="00D17BDC">
        <w:rPr>
          <w:rFonts w:ascii="Times New Roman" w:hAnsi="Times New Roman"/>
          <w:sz w:val="24"/>
          <w:szCs w:val="24"/>
        </w:rPr>
        <w:t xml:space="preserve">supported program </w:t>
      </w:r>
      <w:r w:rsidRPr="00D17BDC">
        <w:rPr>
          <w:rFonts w:ascii="Times New Roman" w:hAnsi="Times New Roman"/>
          <w:sz w:val="24"/>
          <w:szCs w:val="24"/>
        </w:rPr>
        <w:t>to improve</w:t>
      </w:r>
      <w:r w:rsidR="008B10D6" w:rsidRPr="00D17BDC">
        <w:rPr>
          <w:rFonts w:ascii="Times New Roman" w:hAnsi="Times New Roman"/>
          <w:sz w:val="24"/>
          <w:szCs w:val="24"/>
        </w:rPr>
        <w:t xml:space="preserve"> teaching standards at</w:t>
      </w:r>
      <w:r w:rsidRPr="00D17BDC">
        <w:rPr>
          <w:rFonts w:ascii="Times New Roman" w:hAnsi="Times New Roman"/>
          <w:sz w:val="24"/>
          <w:szCs w:val="24"/>
        </w:rPr>
        <w:t xml:space="preserve"> the Kiribati School of Nursing. This will provide benefits to Kiribati’s health sector and</w:t>
      </w:r>
      <w:r w:rsidR="0079689F" w:rsidRPr="00D17BDC">
        <w:rPr>
          <w:rFonts w:ascii="Times New Roman" w:hAnsi="Times New Roman"/>
          <w:sz w:val="24"/>
          <w:szCs w:val="24"/>
        </w:rPr>
        <w:t xml:space="preserve"> may also</w:t>
      </w:r>
      <w:r w:rsidRPr="00D17BDC">
        <w:rPr>
          <w:rFonts w:ascii="Times New Roman" w:hAnsi="Times New Roman"/>
          <w:sz w:val="24"/>
          <w:szCs w:val="24"/>
        </w:rPr>
        <w:t xml:space="preserve"> improve long-term viability of the KANI program. </w:t>
      </w:r>
      <w:r w:rsidR="00924B80" w:rsidRPr="00D17BDC">
        <w:rPr>
          <w:rFonts w:ascii="Times New Roman" w:hAnsi="Times New Roman"/>
          <w:sz w:val="24"/>
          <w:szCs w:val="24"/>
        </w:rPr>
        <w:t>B</w:t>
      </w:r>
      <w:r w:rsidRPr="00D17BDC">
        <w:rPr>
          <w:rFonts w:ascii="Times New Roman" w:hAnsi="Times New Roman"/>
          <w:sz w:val="24"/>
          <w:szCs w:val="24"/>
        </w:rPr>
        <w:t>roader and comprehensive support to the health sector, for instance to mother and child health, will be considered in the medium to longer term</w:t>
      </w:r>
      <w:r w:rsidR="00856064" w:rsidRPr="00D17BDC">
        <w:rPr>
          <w:rFonts w:ascii="Times New Roman" w:hAnsi="Times New Roman"/>
          <w:sz w:val="24"/>
          <w:szCs w:val="24"/>
        </w:rPr>
        <w:t xml:space="preserve"> and aligned </w:t>
      </w:r>
      <w:r w:rsidR="00D87B33" w:rsidRPr="00D17BDC">
        <w:rPr>
          <w:rFonts w:ascii="Times New Roman" w:hAnsi="Times New Roman"/>
          <w:sz w:val="24"/>
          <w:szCs w:val="24"/>
        </w:rPr>
        <w:t xml:space="preserve">with </w:t>
      </w:r>
      <w:r w:rsidR="00856064" w:rsidRPr="00D17BDC">
        <w:rPr>
          <w:rFonts w:ascii="Times New Roman" w:hAnsi="Times New Roman"/>
          <w:sz w:val="24"/>
          <w:szCs w:val="24"/>
        </w:rPr>
        <w:t>the needs identified in the next Health Sector Strategic Plan</w:t>
      </w:r>
      <w:r w:rsidR="00D87B33" w:rsidRPr="00D17BDC">
        <w:rPr>
          <w:rFonts w:ascii="Times New Roman" w:hAnsi="Times New Roman"/>
          <w:sz w:val="24"/>
          <w:szCs w:val="24"/>
        </w:rPr>
        <w:t>,</w:t>
      </w:r>
      <w:r w:rsidR="00856064" w:rsidRPr="00D17BDC">
        <w:rPr>
          <w:rFonts w:ascii="Times New Roman" w:hAnsi="Times New Roman"/>
          <w:sz w:val="24"/>
          <w:szCs w:val="24"/>
        </w:rPr>
        <w:t xml:space="preserve"> currently </w:t>
      </w:r>
      <w:r w:rsidR="00D87B33" w:rsidRPr="00D17BDC">
        <w:rPr>
          <w:rFonts w:ascii="Times New Roman" w:hAnsi="Times New Roman"/>
          <w:sz w:val="24"/>
          <w:szCs w:val="24"/>
        </w:rPr>
        <w:t>being developed</w:t>
      </w:r>
      <w:r w:rsidR="009E05D4" w:rsidRPr="00D17BDC">
        <w:rPr>
          <w:rFonts w:ascii="Times New Roman" w:hAnsi="Times New Roman"/>
          <w:sz w:val="24"/>
          <w:szCs w:val="24"/>
        </w:rPr>
        <w:t xml:space="preserve">. </w:t>
      </w:r>
    </w:p>
    <w:p w:rsidR="00856064" w:rsidRPr="00D17BDC" w:rsidRDefault="000C42DD" w:rsidP="00461BA8">
      <w:pPr>
        <w:spacing w:before="240" w:after="0"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702310"/>
                <wp:effectExtent l="7620" t="5715" r="11430" b="635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231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856064">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that </w:t>
                            </w:r>
                            <w:r>
                              <w:rPr>
                                <w:rFonts w:ascii="Times New Roman" w:hAnsi="Times New Roman"/>
                                <w:sz w:val="24"/>
                                <w:szCs w:val="24"/>
                              </w:rPr>
                              <w:t>the priority for 2011–</w:t>
                            </w:r>
                            <w:r w:rsidRPr="00DF2714">
                              <w:rPr>
                                <w:rFonts w:ascii="Times New Roman" w:hAnsi="Times New Roman"/>
                                <w:sz w:val="24"/>
                                <w:szCs w:val="24"/>
                              </w:rPr>
                              <w:t>12 is to</w:t>
                            </w:r>
                            <w:r>
                              <w:rPr>
                                <w:rFonts w:ascii="Times New Roman" w:hAnsi="Times New Roman"/>
                                <w:sz w:val="24"/>
                                <w:szCs w:val="24"/>
                              </w:rPr>
                              <w:t xml:space="preserve"> finalise and</w:t>
                            </w:r>
                            <w:r w:rsidRPr="00DF2714">
                              <w:rPr>
                                <w:rFonts w:ascii="Times New Roman" w:hAnsi="Times New Roman"/>
                                <w:sz w:val="24"/>
                                <w:szCs w:val="24"/>
                              </w:rPr>
                              <w:t xml:space="preserve"> start implementation of the </w:t>
                            </w:r>
                            <w:r>
                              <w:rPr>
                                <w:rFonts w:ascii="Times New Roman" w:hAnsi="Times New Roman"/>
                                <w:sz w:val="24"/>
                                <w:szCs w:val="24"/>
                              </w:rPr>
                              <w:t>program to upgrade the Kiribati School of Nursing.</w:t>
                            </w:r>
                          </w:p>
                        </w:txbxContent>
                      </wps:txbx>
                      <wps:bodyPr rot="0" vert="horz" wrap="square" lIns="91440" tIns="45720" rIns="91440" bIns="45720" anchor="t" anchorCtr="0" upright="1">
                        <a:noAutofit/>
                      </wps:bodyPr>
                    </wps:wsp>
                  </a:graphicData>
                </a:graphic>
              </wp:inline>
            </w:drawing>
          </mc:Choice>
          <mc:Fallback>
            <w:pict>
              <v:shape id="Text Box 13" o:spid="_x0000_s1030" type="#_x0000_t202" style="width:468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856064">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that </w:t>
                      </w:r>
                      <w:r>
                        <w:rPr>
                          <w:rFonts w:ascii="Times New Roman" w:hAnsi="Times New Roman"/>
                          <w:sz w:val="24"/>
                          <w:szCs w:val="24"/>
                        </w:rPr>
                        <w:t>the priority for 2011–</w:t>
                      </w:r>
                      <w:r w:rsidRPr="00DF2714">
                        <w:rPr>
                          <w:rFonts w:ascii="Times New Roman" w:hAnsi="Times New Roman"/>
                          <w:sz w:val="24"/>
                          <w:szCs w:val="24"/>
                        </w:rPr>
                        <w:t>12 is to</w:t>
                      </w:r>
                      <w:r>
                        <w:rPr>
                          <w:rFonts w:ascii="Times New Roman" w:hAnsi="Times New Roman"/>
                          <w:sz w:val="24"/>
                          <w:szCs w:val="24"/>
                        </w:rPr>
                        <w:t xml:space="preserve"> finalise and</w:t>
                      </w:r>
                      <w:r w:rsidRPr="00DF2714">
                        <w:rPr>
                          <w:rFonts w:ascii="Times New Roman" w:hAnsi="Times New Roman"/>
                          <w:sz w:val="24"/>
                          <w:szCs w:val="24"/>
                        </w:rPr>
                        <w:t xml:space="preserve"> start implementation of the </w:t>
                      </w:r>
                      <w:r>
                        <w:rPr>
                          <w:rFonts w:ascii="Times New Roman" w:hAnsi="Times New Roman"/>
                          <w:sz w:val="24"/>
                          <w:szCs w:val="24"/>
                        </w:rPr>
                        <w:t>program to upgrade the Kiribati School of Nursing.</w:t>
                      </w:r>
                    </w:p>
                  </w:txbxContent>
                </v:textbox>
                <w10:wrap anchorx="page"/>
                <w10:anchorlock/>
              </v:shape>
            </w:pict>
          </mc:Fallback>
        </mc:AlternateContent>
      </w:r>
    </w:p>
    <w:p w:rsidR="003C5F2E" w:rsidRPr="00D17BDC" w:rsidRDefault="000E24AB" w:rsidP="00177DB4">
      <w:pPr>
        <w:pStyle w:val="H3A"/>
      </w:pPr>
      <w:r w:rsidRPr="00D17BDC">
        <w:t xml:space="preserve">Eliminating </w:t>
      </w:r>
      <w:r w:rsidR="00672C46" w:rsidRPr="00D17BDC">
        <w:t>gender-b</w:t>
      </w:r>
      <w:r w:rsidRPr="00D17BDC">
        <w:t xml:space="preserve">ased </w:t>
      </w:r>
      <w:r w:rsidR="00672C46" w:rsidRPr="00D17BDC">
        <w:t>v</w:t>
      </w:r>
      <w:r w:rsidRPr="00D17BDC">
        <w:t>iolence</w:t>
      </w:r>
    </w:p>
    <w:p w:rsidR="003C5F2E" w:rsidRPr="00D17BDC" w:rsidRDefault="003C5F2E" w:rsidP="003C5F2E">
      <w:pPr>
        <w:spacing w:before="240" w:after="0" w:line="240" w:lineRule="auto"/>
        <w:rPr>
          <w:rFonts w:ascii="Times New Roman" w:hAnsi="Times New Roman"/>
          <w:sz w:val="24"/>
          <w:szCs w:val="24"/>
        </w:rPr>
      </w:pPr>
      <w:r w:rsidRPr="00D17BDC">
        <w:rPr>
          <w:rFonts w:ascii="Times New Roman" w:hAnsi="Times New Roman"/>
          <w:sz w:val="24"/>
          <w:szCs w:val="24"/>
        </w:rPr>
        <w:t>Kiribati has among the highest rates of domestic violence in the Pacific, affecting 68</w:t>
      </w:r>
      <w:r w:rsidR="002F005A" w:rsidRPr="00D17BDC">
        <w:rPr>
          <w:rFonts w:ascii="Times New Roman" w:hAnsi="Times New Roman"/>
          <w:sz w:val="24"/>
          <w:szCs w:val="24"/>
        </w:rPr>
        <w:t xml:space="preserve"> per cent</w:t>
      </w:r>
      <w:r w:rsidRPr="00D17BDC">
        <w:rPr>
          <w:rFonts w:ascii="Times New Roman" w:hAnsi="Times New Roman"/>
          <w:sz w:val="24"/>
          <w:szCs w:val="24"/>
        </w:rPr>
        <w:t xml:space="preserve"> of women between 15</w:t>
      </w:r>
      <w:r w:rsidR="00FC2101" w:rsidRPr="00D17BDC">
        <w:rPr>
          <w:rFonts w:ascii="Times New Roman" w:hAnsi="Times New Roman"/>
          <w:sz w:val="24"/>
          <w:szCs w:val="24"/>
        </w:rPr>
        <w:t xml:space="preserve"> to </w:t>
      </w:r>
      <w:r w:rsidRPr="00D17BDC">
        <w:rPr>
          <w:rFonts w:ascii="Times New Roman" w:hAnsi="Times New Roman"/>
          <w:sz w:val="24"/>
          <w:szCs w:val="24"/>
        </w:rPr>
        <w:t>49 year</w:t>
      </w:r>
      <w:r w:rsidR="00D87B33" w:rsidRPr="00D17BDC">
        <w:rPr>
          <w:rFonts w:ascii="Times New Roman" w:hAnsi="Times New Roman"/>
          <w:sz w:val="24"/>
          <w:szCs w:val="24"/>
        </w:rPr>
        <w:t>s of age</w:t>
      </w:r>
      <w:r w:rsidRPr="00D17BDC">
        <w:rPr>
          <w:rFonts w:ascii="Times New Roman" w:hAnsi="Times New Roman"/>
          <w:sz w:val="24"/>
          <w:szCs w:val="24"/>
        </w:rPr>
        <w:t xml:space="preserve">. In 2010 </w:t>
      </w:r>
      <w:proofErr w:type="spellStart"/>
      <w:r w:rsidRPr="00D17BDC">
        <w:rPr>
          <w:rFonts w:ascii="Times New Roman" w:hAnsi="Times New Roman"/>
          <w:sz w:val="24"/>
          <w:szCs w:val="24"/>
        </w:rPr>
        <w:t>AusAID</w:t>
      </w:r>
      <w:proofErr w:type="spellEnd"/>
      <w:r w:rsidRPr="00D17BDC">
        <w:rPr>
          <w:rFonts w:ascii="Times New Roman" w:hAnsi="Times New Roman"/>
          <w:sz w:val="24"/>
          <w:szCs w:val="24"/>
        </w:rPr>
        <w:t xml:space="preserve"> worked with the Women’s Development Unit in the MISA to start implementing recommendations from the SPC study on gender-based violence and child abuse. This involved the development of a Policy and National Action Plan to End Violence </w:t>
      </w:r>
      <w:r w:rsidR="001F69B3">
        <w:rPr>
          <w:rFonts w:ascii="Times New Roman" w:hAnsi="Times New Roman"/>
          <w:sz w:val="24"/>
          <w:szCs w:val="24"/>
        </w:rPr>
        <w:t>a</w:t>
      </w:r>
      <w:r w:rsidRPr="00D17BDC">
        <w:rPr>
          <w:rFonts w:ascii="Times New Roman" w:hAnsi="Times New Roman"/>
          <w:sz w:val="24"/>
          <w:szCs w:val="24"/>
        </w:rPr>
        <w:t>gainst Women</w:t>
      </w:r>
      <w:r w:rsidR="00D87B33" w:rsidRPr="00D17BDC">
        <w:rPr>
          <w:rFonts w:ascii="Times New Roman" w:hAnsi="Times New Roman"/>
          <w:sz w:val="24"/>
          <w:szCs w:val="24"/>
        </w:rPr>
        <w:t>, which was</w:t>
      </w:r>
      <w:r w:rsidRPr="00D17BDC">
        <w:rPr>
          <w:rFonts w:ascii="Times New Roman" w:hAnsi="Times New Roman"/>
          <w:sz w:val="24"/>
          <w:szCs w:val="24"/>
        </w:rPr>
        <w:t xml:space="preserve"> endorsed by Cabinet in April 2011. As well, </w:t>
      </w:r>
      <w:proofErr w:type="spellStart"/>
      <w:r w:rsidRPr="00D17BDC">
        <w:rPr>
          <w:rFonts w:ascii="Times New Roman" w:hAnsi="Times New Roman"/>
          <w:sz w:val="24"/>
          <w:szCs w:val="24"/>
        </w:rPr>
        <w:t>AusAID</w:t>
      </w:r>
      <w:proofErr w:type="spellEnd"/>
      <w:r w:rsidRPr="00D17BDC">
        <w:rPr>
          <w:rFonts w:ascii="Times New Roman" w:hAnsi="Times New Roman"/>
          <w:sz w:val="24"/>
          <w:szCs w:val="24"/>
        </w:rPr>
        <w:t xml:space="preserve"> funded some early interventions by MISA to </w:t>
      </w:r>
      <w:r w:rsidR="00D87B33" w:rsidRPr="00D17BDC">
        <w:rPr>
          <w:rFonts w:ascii="Times New Roman" w:hAnsi="Times New Roman"/>
          <w:sz w:val="24"/>
          <w:szCs w:val="24"/>
        </w:rPr>
        <w:t xml:space="preserve">help </w:t>
      </w:r>
      <w:r w:rsidRPr="00D17BDC">
        <w:rPr>
          <w:rFonts w:ascii="Times New Roman" w:hAnsi="Times New Roman"/>
          <w:sz w:val="24"/>
          <w:szCs w:val="24"/>
        </w:rPr>
        <w:t>women at risk</w:t>
      </w:r>
      <w:r w:rsidR="00D87B33" w:rsidRPr="00D17BDC">
        <w:rPr>
          <w:rFonts w:ascii="Times New Roman" w:hAnsi="Times New Roman"/>
          <w:sz w:val="24"/>
          <w:szCs w:val="24"/>
        </w:rPr>
        <w:t>. This included</w:t>
      </w:r>
      <w:r w:rsidRPr="00D17BDC">
        <w:rPr>
          <w:rFonts w:ascii="Times New Roman" w:hAnsi="Times New Roman"/>
          <w:sz w:val="24"/>
          <w:szCs w:val="24"/>
        </w:rPr>
        <w:t xml:space="preserve"> establishing </w:t>
      </w:r>
      <w:r w:rsidR="00D87B33" w:rsidRPr="00D17BDC">
        <w:rPr>
          <w:rFonts w:ascii="Times New Roman" w:hAnsi="Times New Roman"/>
          <w:sz w:val="24"/>
          <w:szCs w:val="24"/>
        </w:rPr>
        <w:t>the</w:t>
      </w:r>
      <w:r w:rsidRPr="00D17BDC">
        <w:rPr>
          <w:rFonts w:ascii="Times New Roman" w:hAnsi="Times New Roman"/>
          <w:sz w:val="24"/>
          <w:szCs w:val="24"/>
        </w:rPr>
        <w:t xml:space="preserve"> SAFENET hotline and</w:t>
      </w:r>
      <w:r w:rsidR="00D87B33" w:rsidRPr="00D17BDC">
        <w:rPr>
          <w:rFonts w:ascii="Times New Roman" w:hAnsi="Times New Roman"/>
          <w:sz w:val="24"/>
          <w:szCs w:val="24"/>
        </w:rPr>
        <w:t xml:space="preserve"> providing</w:t>
      </w:r>
      <w:r w:rsidRPr="00D17BDC">
        <w:rPr>
          <w:rFonts w:ascii="Times New Roman" w:hAnsi="Times New Roman"/>
          <w:sz w:val="24"/>
          <w:szCs w:val="24"/>
        </w:rPr>
        <w:t xml:space="preserve"> training for the judiciary, police and health and social welfare workers. </w:t>
      </w:r>
    </w:p>
    <w:p w:rsidR="003C5F2E" w:rsidRPr="00D17BDC" w:rsidRDefault="003C5F2E" w:rsidP="00DF2714">
      <w:pPr>
        <w:spacing w:before="240" w:after="0" w:line="240" w:lineRule="auto"/>
        <w:rPr>
          <w:rFonts w:ascii="Times New Roman" w:hAnsi="Times New Roman"/>
          <w:sz w:val="24"/>
          <w:szCs w:val="24"/>
        </w:rPr>
      </w:pPr>
      <w:r w:rsidRPr="00D17BDC">
        <w:rPr>
          <w:rFonts w:ascii="Times New Roman" w:hAnsi="Times New Roman"/>
          <w:sz w:val="24"/>
          <w:szCs w:val="24"/>
        </w:rPr>
        <w:t>At the Partnership Talks, the Go</w:t>
      </w:r>
      <w:r w:rsidR="00D87B33" w:rsidRPr="00D17BDC">
        <w:rPr>
          <w:rFonts w:ascii="Times New Roman" w:hAnsi="Times New Roman"/>
          <w:sz w:val="24"/>
          <w:szCs w:val="24"/>
        </w:rPr>
        <w:t>vernment of Australia</w:t>
      </w:r>
      <w:r w:rsidRPr="00D17BDC">
        <w:rPr>
          <w:rFonts w:ascii="Times New Roman" w:hAnsi="Times New Roman"/>
          <w:sz w:val="24"/>
          <w:szCs w:val="24"/>
        </w:rPr>
        <w:t xml:space="preserve"> congratulated </w:t>
      </w:r>
      <w:r w:rsidR="00D87B33" w:rsidRPr="00D17BDC">
        <w:rPr>
          <w:rFonts w:ascii="Times New Roman" w:hAnsi="Times New Roman"/>
          <w:sz w:val="24"/>
          <w:szCs w:val="24"/>
        </w:rPr>
        <w:t>GoK</w:t>
      </w:r>
      <w:r w:rsidRPr="00D17BDC">
        <w:rPr>
          <w:rFonts w:ascii="Times New Roman" w:hAnsi="Times New Roman"/>
          <w:sz w:val="24"/>
          <w:szCs w:val="24"/>
        </w:rPr>
        <w:t xml:space="preserve"> on preparing and endorsing the National Action Plan to End Violence </w:t>
      </w:r>
      <w:r w:rsidR="001F69B3">
        <w:rPr>
          <w:rFonts w:ascii="Times New Roman" w:hAnsi="Times New Roman"/>
          <w:sz w:val="24"/>
          <w:szCs w:val="24"/>
        </w:rPr>
        <w:t>a</w:t>
      </w:r>
      <w:r w:rsidRPr="00D17BDC">
        <w:rPr>
          <w:rFonts w:ascii="Times New Roman" w:hAnsi="Times New Roman"/>
          <w:sz w:val="24"/>
          <w:szCs w:val="24"/>
        </w:rPr>
        <w:t xml:space="preserve">gainst Women. </w:t>
      </w:r>
      <w:r w:rsidR="00D87B33" w:rsidRPr="00D17BDC">
        <w:rPr>
          <w:rFonts w:ascii="Times New Roman" w:hAnsi="Times New Roman"/>
          <w:sz w:val="24"/>
          <w:szCs w:val="24"/>
        </w:rPr>
        <w:t>Australia</w:t>
      </w:r>
      <w:r w:rsidR="00DB4E4A" w:rsidRPr="00D17BDC">
        <w:rPr>
          <w:rFonts w:ascii="Times New Roman" w:hAnsi="Times New Roman"/>
          <w:sz w:val="24"/>
          <w:szCs w:val="24"/>
        </w:rPr>
        <w:t xml:space="preserve"> </w:t>
      </w:r>
      <w:r w:rsidRPr="00D17BDC">
        <w:rPr>
          <w:rFonts w:ascii="Times New Roman" w:hAnsi="Times New Roman"/>
          <w:sz w:val="24"/>
          <w:szCs w:val="24"/>
        </w:rPr>
        <w:t xml:space="preserve">noted that helping Pacific island countries address domestic violence is </w:t>
      </w:r>
      <w:r w:rsidR="00D87B33" w:rsidRPr="00D17BDC">
        <w:rPr>
          <w:rFonts w:ascii="Times New Roman" w:hAnsi="Times New Roman"/>
          <w:sz w:val="24"/>
          <w:szCs w:val="24"/>
        </w:rPr>
        <w:t xml:space="preserve">a </w:t>
      </w:r>
      <w:r w:rsidRPr="00D17BDC">
        <w:rPr>
          <w:rFonts w:ascii="Times New Roman" w:hAnsi="Times New Roman"/>
          <w:sz w:val="24"/>
          <w:szCs w:val="24"/>
        </w:rPr>
        <w:t xml:space="preserve">priority for </w:t>
      </w:r>
      <w:r w:rsidR="00D87B33" w:rsidRPr="00D17BDC">
        <w:rPr>
          <w:rFonts w:ascii="Times New Roman" w:hAnsi="Times New Roman"/>
          <w:sz w:val="24"/>
          <w:szCs w:val="24"/>
        </w:rPr>
        <w:t xml:space="preserve">its </w:t>
      </w:r>
      <w:r w:rsidRPr="00D17BDC">
        <w:rPr>
          <w:rFonts w:ascii="Times New Roman" w:hAnsi="Times New Roman"/>
          <w:sz w:val="24"/>
          <w:szCs w:val="24"/>
        </w:rPr>
        <w:t xml:space="preserve">aid program in the Pacific, and would like this topic to </w:t>
      </w:r>
      <w:r w:rsidR="00D87B33" w:rsidRPr="00D17BDC">
        <w:rPr>
          <w:rFonts w:ascii="Times New Roman" w:hAnsi="Times New Roman"/>
          <w:sz w:val="24"/>
          <w:szCs w:val="24"/>
        </w:rPr>
        <w:t xml:space="preserve">become </w:t>
      </w:r>
      <w:r w:rsidRPr="00D17BDC">
        <w:rPr>
          <w:rFonts w:ascii="Times New Roman" w:hAnsi="Times New Roman"/>
          <w:sz w:val="24"/>
          <w:szCs w:val="24"/>
        </w:rPr>
        <w:t>a standing agenda at future Talks.</w:t>
      </w:r>
    </w:p>
    <w:p w:rsidR="00DF2714" w:rsidRPr="00D17BDC" w:rsidRDefault="00DF2714"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Both </w:t>
      </w:r>
      <w:r w:rsidR="00D87B33" w:rsidRPr="00D17BDC">
        <w:rPr>
          <w:rFonts w:ascii="Times New Roman" w:hAnsi="Times New Roman"/>
          <w:sz w:val="24"/>
          <w:szCs w:val="24"/>
        </w:rPr>
        <w:t>g</w:t>
      </w:r>
      <w:r w:rsidRPr="00D17BDC">
        <w:rPr>
          <w:rFonts w:ascii="Times New Roman" w:hAnsi="Times New Roman"/>
          <w:sz w:val="24"/>
          <w:szCs w:val="24"/>
        </w:rPr>
        <w:t xml:space="preserve">overnments agreed that </w:t>
      </w:r>
      <w:r w:rsidR="003C5F2E" w:rsidRPr="00D17BDC">
        <w:rPr>
          <w:rFonts w:ascii="Times New Roman" w:hAnsi="Times New Roman"/>
          <w:sz w:val="24"/>
          <w:szCs w:val="24"/>
        </w:rPr>
        <w:t xml:space="preserve">the priority </w:t>
      </w:r>
      <w:r w:rsidRPr="00D17BDC">
        <w:rPr>
          <w:rFonts w:ascii="Times New Roman" w:hAnsi="Times New Roman"/>
          <w:sz w:val="24"/>
          <w:szCs w:val="24"/>
        </w:rPr>
        <w:t>for 2011</w:t>
      </w:r>
      <w:r w:rsidR="00FC2101" w:rsidRPr="00D17BDC">
        <w:rPr>
          <w:rFonts w:ascii="Times New Roman" w:hAnsi="Times New Roman"/>
          <w:sz w:val="24"/>
          <w:szCs w:val="24"/>
        </w:rPr>
        <w:t>–</w:t>
      </w:r>
      <w:r w:rsidRPr="00D17BDC">
        <w:rPr>
          <w:rFonts w:ascii="Times New Roman" w:hAnsi="Times New Roman"/>
          <w:sz w:val="24"/>
          <w:szCs w:val="24"/>
        </w:rPr>
        <w:t>12 is to start implement</w:t>
      </w:r>
      <w:r w:rsidR="00D87B33" w:rsidRPr="00D17BDC">
        <w:rPr>
          <w:rFonts w:ascii="Times New Roman" w:hAnsi="Times New Roman"/>
          <w:sz w:val="24"/>
          <w:szCs w:val="24"/>
        </w:rPr>
        <w:t>ing</w:t>
      </w:r>
      <w:r w:rsidRPr="00D17BDC">
        <w:rPr>
          <w:rFonts w:ascii="Times New Roman" w:hAnsi="Times New Roman"/>
          <w:sz w:val="24"/>
          <w:szCs w:val="24"/>
        </w:rPr>
        <w:t xml:space="preserve"> the recently endorsed </w:t>
      </w:r>
      <w:r w:rsidR="00D87B33" w:rsidRPr="00D17BDC">
        <w:rPr>
          <w:rFonts w:ascii="Times New Roman" w:hAnsi="Times New Roman"/>
          <w:sz w:val="24"/>
          <w:szCs w:val="24"/>
        </w:rPr>
        <w:t>n</w:t>
      </w:r>
      <w:r w:rsidR="003C5F2E" w:rsidRPr="00D17BDC">
        <w:rPr>
          <w:rFonts w:ascii="Times New Roman" w:hAnsi="Times New Roman"/>
          <w:sz w:val="24"/>
          <w:szCs w:val="24"/>
        </w:rPr>
        <w:t xml:space="preserve">ational </w:t>
      </w:r>
      <w:r w:rsidR="00D87B33" w:rsidRPr="00D17BDC">
        <w:rPr>
          <w:rFonts w:ascii="Times New Roman" w:hAnsi="Times New Roman"/>
          <w:sz w:val="24"/>
          <w:szCs w:val="24"/>
        </w:rPr>
        <w:t>a</w:t>
      </w:r>
      <w:r w:rsidR="003C5F2E" w:rsidRPr="00D17BDC">
        <w:rPr>
          <w:rFonts w:ascii="Times New Roman" w:hAnsi="Times New Roman"/>
          <w:sz w:val="24"/>
          <w:szCs w:val="24"/>
        </w:rPr>
        <w:t xml:space="preserve">ction </w:t>
      </w:r>
      <w:r w:rsidR="00D87B33" w:rsidRPr="00D17BDC">
        <w:rPr>
          <w:rFonts w:ascii="Times New Roman" w:hAnsi="Times New Roman"/>
          <w:sz w:val="24"/>
          <w:szCs w:val="24"/>
        </w:rPr>
        <w:t>p</w:t>
      </w:r>
      <w:r w:rsidR="003C5F2E" w:rsidRPr="00D17BDC">
        <w:rPr>
          <w:rFonts w:ascii="Times New Roman" w:hAnsi="Times New Roman"/>
          <w:sz w:val="24"/>
          <w:szCs w:val="24"/>
        </w:rPr>
        <w:t xml:space="preserve">lan. </w:t>
      </w:r>
      <w:r w:rsidR="00D87B33" w:rsidRPr="00D17BDC">
        <w:rPr>
          <w:rFonts w:ascii="Times New Roman" w:hAnsi="Times New Roman"/>
          <w:sz w:val="24"/>
          <w:szCs w:val="24"/>
        </w:rPr>
        <w:t>Australia</w:t>
      </w:r>
      <w:r w:rsidR="003C5F2E" w:rsidRPr="00D17BDC">
        <w:rPr>
          <w:rFonts w:ascii="Times New Roman" w:hAnsi="Times New Roman"/>
          <w:sz w:val="24"/>
          <w:szCs w:val="24"/>
        </w:rPr>
        <w:t xml:space="preserve"> noted it will look to U</w:t>
      </w:r>
      <w:r w:rsidR="00D155FD" w:rsidRPr="00D17BDC">
        <w:rPr>
          <w:rFonts w:ascii="Times New Roman" w:hAnsi="Times New Roman"/>
          <w:sz w:val="24"/>
          <w:szCs w:val="24"/>
        </w:rPr>
        <w:t xml:space="preserve">nited </w:t>
      </w:r>
      <w:r w:rsidR="003C5F2E" w:rsidRPr="00D17BDC">
        <w:rPr>
          <w:rFonts w:ascii="Times New Roman" w:hAnsi="Times New Roman"/>
          <w:sz w:val="24"/>
          <w:szCs w:val="24"/>
        </w:rPr>
        <w:t>N</w:t>
      </w:r>
      <w:r w:rsidR="00D155FD" w:rsidRPr="00D17BDC">
        <w:rPr>
          <w:rFonts w:ascii="Times New Roman" w:hAnsi="Times New Roman"/>
          <w:sz w:val="24"/>
          <w:szCs w:val="24"/>
        </w:rPr>
        <w:t>ations</w:t>
      </w:r>
      <w:r w:rsidR="003C5F2E" w:rsidRPr="00D17BDC">
        <w:rPr>
          <w:rFonts w:ascii="Times New Roman" w:hAnsi="Times New Roman"/>
          <w:sz w:val="24"/>
          <w:szCs w:val="24"/>
        </w:rPr>
        <w:t xml:space="preserve"> Women to play a lead role in supporting MISA in </w:t>
      </w:r>
      <w:r w:rsidR="00924B80" w:rsidRPr="00D17BDC">
        <w:rPr>
          <w:rFonts w:ascii="Times New Roman" w:hAnsi="Times New Roman"/>
          <w:sz w:val="24"/>
          <w:szCs w:val="24"/>
        </w:rPr>
        <w:t>this</w:t>
      </w:r>
      <w:r w:rsidR="003C5F2E" w:rsidRPr="00D17BDC">
        <w:rPr>
          <w:rFonts w:ascii="Times New Roman" w:hAnsi="Times New Roman"/>
          <w:sz w:val="24"/>
          <w:szCs w:val="24"/>
        </w:rPr>
        <w:t xml:space="preserve"> and that AusAID could fund programs</w:t>
      </w:r>
      <w:r w:rsidR="00924B80" w:rsidRPr="00D17BDC">
        <w:rPr>
          <w:rFonts w:ascii="Times New Roman" w:hAnsi="Times New Roman"/>
          <w:sz w:val="24"/>
          <w:szCs w:val="24"/>
        </w:rPr>
        <w:t xml:space="preserve"> developed under the </w:t>
      </w:r>
      <w:r w:rsidR="00D87B33" w:rsidRPr="00D17BDC">
        <w:rPr>
          <w:rFonts w:ascii="Times New Roman" w:hAnsi="Times New Roman"/>
          <w:sz w:val="24"/>
          <w:szCs w:val="24"/>
        </w:rPr>
        <w:t>p</w:t>
      </w:r>
      <w:r w:rsidR="00924B80" w:rsidRPr="00D17BDC">
        <w:rPr>
          <w:rFonts w:ascii="Times New Roman" w:hAnsi="Times New Roman"/>
          <w:sz w:val="24"/>
          <w:szCs w:val="24"/>
        </w:rPr>
        <w:t>lan</w:t>
      </w:r>
      <w:r w:rsidR="003C5F2E" w:rsidRPr="00D17BDC">
        <w:rPr>
          <w:rFonts w:ascii="Times New Roman" w:hAnsi="Times New Roman"/>
          <w:sz w:val="24"/>
          <w:szCs w:val="24"/>
        </w:rPr>
        <w:t xml:space="preserve">. </w:t>
      </w:r>
      <w:r w:rsidRPr="00D17BDC">
        <w:rPr>
          <w:rFonts w:ascii="Times New Roman" w:hAnsi="Times New Roman"/>
          <w:sz w:val="24"/>
          <w:szCs w:val="24"/>
        </w:rPr>
        <w:t xml:space="preserve">GoK </w:t>
      </w:r>
      <w:r w:rsidR="003C5F2E" w:rsidRPr="00D17BDC">
        <w:rPr>
          <w:rFonts w:ascii="Times New Roman" w:hAnsi="Times New Roman"/>
          <w:sz w:val="24"/>
          <w:szCs w:val="24"/>
        </w:rPr>
        <w:t xml:space="preserve">(MISA) </w:t>
      </w:r>
      <w:r w:rsidRPr="00D17BDC">
        <w:rPr>
          <w:rFonts w:ascii="Times New Roman" w:hAnsi="Times New Roman"/>
          <w:sz w:val="24"/>
          <w:szCs w:val="24"/>
        </w:rPr>
        <w:t>noted that efforts to address domestic violence need to be designed in</w:t>
      </w:r>
      <w:r w:rsidR="00D87B33" w:rsidRPr="00D17BDC">
        <w:rPr>
          <w:rFonts w:ascii="Times New Roman" w:hAnsi="Times New Roman"/>
          <w:sz w:val="24"/>
          <w:szCs w:val="24"/>
        </w:rPr>
        <w:t xml:space="preserve"> a</w:t>
      </w:r>
      <w:r w:rsidRPr="00D17BDC">
        <w:rPr>
          <w:rFonts w:ascii="Times New Roman" w:hAnsi="Times New Roman"/>
          <w:sz w:val="24"/>
          <w:szCs w:val="24"/>
        </w:rPr>
        <w:t xml:space="preserve"> culturally appropriate way</w:t>
      </w:r>
      <w:r w:rsidR="003C5F2E" w:rsidRPr="00D17BDC">
        <w:rPr>
          <w:rFonts w:ascii="Times New Roman" w:hAnsi="Times New Roman"/>
          <w:sz w:val="24"/>
          <w:szCs w:val="24"/>
        </w:rPr>
        <w:t xml:space="preserve">. GoK also stated it would be keen to examine opportunities with </w:t>
      </w:r>
      <w:r w:rsidR="00D87B33" w:rsidRPr="00D17BDC">
        <w:rPr>
          <w:rFonts w:ascii="Times New Roman" w:hAnsi="Times New Roman"/>
          <w:sz w:val="24"/>
          <w:szCs w:val="24"/>
        </w:rPr>
        <w:t xml:space="preserve">Australia </w:t>
      </w:r>
      <w:r w:rsidR="003C5F2E" w:rsidRPr="00D17BDC">
        <w:rPr>
          <w:rFonts w:ascii="Times New Roman" w:hAnsi="Times New Roman"/>
          <w:sz w:val="24"/>
          <w:szCs w:val="24"/>
        </w:rPr>
        <w:t>for strengthening</w:t>
      </w:r>
      <w:r w:rsidR="00D87B33" w:rsidRPr="00D17BDC">
        <w:rPr>
          <w:rFonts w:ascii="Times New Roman" w:hAnsi="Times New Roman"/>
          <w:sz w:val="24"/>
          <w:szCs w:val="24"/>
        </w:rPr>
        <w:t xml:space="preserve"> development through</w:t>
      </w:r>
      <w:r w:rsidR="003C5F2E" w:rsidRPr="00D17BDC">
        <w:rPr>
          <w:rFonts w:ascii="Times New Roman" w:hAnsi="Times New Roman"/>
          <w:sz w:val="24"/>
          <w:szCs w:val="24"/>
        </w:rPr>
        <w:t xml:space="preserve"> sport in Kiribati</w:t>
      </w:r>
      <w:r w:rsidR="009E05D4" w:rsidRPr="00D17BDC">
        <w:rPr>
          <w:rFonts w:ascii="Times New Roman" w:hAnsi="Times New Roman"/>
          <w:sz w:val="24"/>
          <w:szCs w:val="24"/>
        </w:rPr>
        <w:t xml:space="preserve">. </w:t>
      </w:r>
    </w:p>
    <w:p w:rsidR="008D2C98" w:rsidRPr="00D17BDC" w:rsidRDefault="000C42DD" w:rsidP="006A5382">
      <w:pPr>
        <w:spacing w:before="240" w:after="0"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716280"/>
                <wp:effectExtent l="7620" t="12065" r="11430" b="5080"/>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628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8D2C98">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w:t>
                            </w:r>
                            <w:r>
                              <w:rPr>
                                <w:rFonts w:ascii="Times New Roman" w:hAnsi="Times New Roman"/>
                                <w:sz w:val="24"/>
                                <w:szCs w:val="24"/>
                              </w:rPr>
                              <w:t xml:space="preserve">the priority </w:t>
                            </w:r>
                            <w:r w:rsidRPr="00DF2714">
                              <w:rPr>
                                <w:rFonts w:ascii="Times New Roman" w:hAnsi="Times New Roman"/>
                                <w:sz w:val="24"/>
                                <w:szCs w:val="24"/>
                              </w:rPr>
                              <w:t>for 2011</w:t>
                            </w:r>
                            <w:r>
                              <w:rPr>
                                <w:rFonts w:ascii="Times New Roman" w:hAnsi="Times New Roman"/>
                                <w:sz w:val="24"/>
                                <w:szCs w:val="24"/>
                              </w:rPr>
                              <w:t>–</w:t>
                            </w:r>
                            <w:r w:rsidRPr="00DF2714">
                              <w:rPr>
                                <w:rFonts w:ascii="Times New Roman" w:hAnsi="Times New Roman"/>
                                <w:sz w:val="24"/>
                                <w:szCs w:val="24"/>
                              </w:rPr>
                              <w:t xml:space="preserve">12 is to start implementation of the recently endorsed </w:t>
                            </w:r>
                            <w:r>
                              <w:rPr>
                                <w:rFonts w:ascii="Times New Roman" w:hAnsi="Times New Roman"/>
                                <w:sz w:val="24"/>
                                <w:szCs w:val="24"/>
                              </w:rPr>
                              <w:t xml:space="preserve">National Action Plan to End Violence against Women. </w:t>
                            </w:r>
                          </w:p>
                        </w:txbxContent>
                      </wps:txbx>
                      <wps:bodyPr rot="0" vert="horz" wrap="square" lIns="91440" tIns="45720" rIns="91440" bIns="45720" anchor="t" anchorCtr="0" upright="1">
                        <a:noAutofit/>
                      </wps:bodyPr>
                    </wps:wsp>
                  </a:graphicData>
                </a:graphic>
              </wp:inline>
            </w:drawing>
          </mc:Choice>
          <mc:Fallback>
            <w:pict>
              <v:shape id="Text Box 12" o:spid="_x0000_s1031" type="#_x0000_t202" style="width:468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8D2C98">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w:t>
                      </w:r>
                      <w:r>
                        <w:rPr>
                          <w:rFonts w:ascii="Times New Roman" w:hAnsi="Times New Roman"/>
                          <w:sz w:val="24"/>
                          <w:szCs w:val="24"/>
                        </w:rPr>
                        <w:t xml:space="preserve">the priority </w:t>
                      </w:r>
                      <w:r w:rsidRPr="00DF2714">
                        <w:rPr>
                          <w:rFonts w:ascii="Times New Roman" w:hAnsi="Times New Roman"/>
                          <w:sz w:val="24"/>
                          <w:szCs w:val="24"/>
                        </w:rPr>
                        <w:t>for 2011</w:t>
                      </w:r>
                      <w:r>
                        <w:rPr>
                          <w:rFonts w:ascii="Times New Roman" w:hAnsi="Times New Roman"/>
                          <w:sz w:val="24"/>
                          <w:szCs w:val="24"/>
                        </w:rPr>
                        <w:t>–</w:t>
                      </w:r>
                      <w:r w:rsidRPr="00DF2714">
                        <w:rPr>
                          <w:rFonts w:ascii="Times New Roman" w:hAnsi="Times New Roman"/>
                          <w:sz w:val="24"/>
                          <w:szCs w:val="24"/>
                        </w:rPr>
                        <w:t xml:space="preserve">12 is to start implementation of the recently endorsed </w:t>
                      </w:r>
                      <w:r>
                        <w:rPr>
                          <w:rFonts w:ascii="Times New Roman" w:hAnsi="Times New Roman"/>
                          <w:sz w:val="24"/>
                          <w:szCs w:val="24"/>
                        </w:rPr>
                        <w:t xml:space="preserve">National Action Plan to End Violence against Women. </w:t>
                      </w:r>
                    </w:p>
                  </w:txbxContent>
                </v:textbox>
                <w10:wrap anchorx="page"/>
                <w10:anchorlock/>
              </v:shape>
            </w:pict>
          </mc:Fallback>
        </mc:AlternateContent>
      </w:r>
    </w:p>
    <w:p w:rsidR="00757BE8" w:rsidRDefault="00757BE8" w:rsidP="00757BE8">
      <w:pPr>
        <w:pStyle w:val="H4"/>
      </w:pPr>
    </w:p>
    <w:p w:rsidR="000710BE" w:rsidRPr="00D17BDC" w:rsidRDefault="000710BE" w:rsidP="00177DB4">
      <w:pPr>
        <w:pStyle w:val="H3A"/>
      </w:pPr>
      <w:r w:rsidRPr="00D17BDC">
        <w:lastRenderedPageBreak/>
        <w:t xml:space="preserve">Infrastructure </w:t>
      </w:r>
    </w:p>
    <w:p w:rsidR="00856064" w:rsidRPr="00D17BDC" w:rsidRDefault="00856064" w:rsidP="006A5382">
      <w:pPr>
        <w:spacing w:before="240" w:after="0" w:line="240" w:lineRule="auto"/>
        <w:rPr>
          <w:rFonts w:ascii="Times New Roman" w:hAnsi="Times New Roman"/>
          <w:sz w:val="24"/>
          <w:szCs w:val="24"/>
        </w:rPr>
      </w:pPr>
      <w:r w:rsidRPr="00D17BDC">
        <w:rPr>
          <w:rFonts w:ascii="Times New Roman" w:hAnsi="Times New Roman"/>
          <w:sz w:val="24"/>
          <w:szCs w:val="24"/>
        </w:rPr>
        <w:t>Improving infrastructure</w:t>
      </w:r>
      <w:r w:rsidR="0083522E" w:rsidRPr="00D17BDC">
        <w:rPr>
          <w:rFonts w:ascii="Times New Roman" w:hAnsi="Times New Roman"/>
          <w:sz w:val="24"/>
          <w:szCs w:val="24"/>
        </w:rPr>
        <w:t xml:space="preserve"> services </w:t>
      </w:r>
      <w:r w:rsidRPr="00D17BDC">
        <w:rPr>
          <w:rFonts w:ascii="Times New Roman" w:hAnsi="Times New Roman"/>
          <w:sz w:val="24"/>
          <w:szCs w:val="24"/>
        </w:rPr>
        <w:t xml:space="preserve">is a priority of </w:t>
      </w:r>
      <w:proofErr w:type="spellStart"/>
      <w:r w:rsidRPr="00D17BDC">
        <w:rPr>
          <w:rFonts w:ascii="Times New Roman" w:hAnsi="Times New Roman"/>
          <w:sz w:val="24"/>
          <w:szCs w:val="24"/>
        </w:rPr>
        <w:t>GoK</w:t>
      </w:r>
      <w:proofErr w:type="spellEnd"/>
      <w:r w:rsidR="0083522E" w:rsidRPr="00D17BDC">
        <w:rPr>
          <w:rFonts w:ascii="Times New Roman" w:hAnsi="Times New Roman"/>
          <w:sz w:val="24"/>
          <w:szCs w:val="24"/>
        </w:rPr>
        <w:t xml:space="preserve"> as it support</w:t>
      </w:r>
      <w:r w:rsidR="00442ADD" w:rsidRPr="00D17BDC">
        <w:rPr>
          <w:rFonts w:ascii="Times New Roman" w:hAnsi="Times New Roman"/>
          <w:sz w:val="24"/>
          <w:szCs w:val="24"/>
        </w:rPr>
        <w:t>s</w:t>
      </w:r>
      <w:r w:rsidR="0083522E" w:rsidRPr="00D17BDC">
        <w:rPr>
          <w:rFonts w:ascii="Times New Roman" w:hAnsi="Times New Roman"/>
          <w:sz w:val="24"/>
          <w:szCs w:val="24"/>
        </w:rPr>
        <w:t xml:space="preserve"> economic growth and broader social outcomes, and improve</w:t>
      </w:r>
      <w:r w:rsidR="00442ADD" w:rsidRPr="00D17BDC">
        <w:rPr>
          <w:rFonts w:ascii="Times New Roman" w:hAnsi="Times New Roman"/>
          <w:sz w:val="24"/>
          <w:szCs w:val="24"/>
        </w:rPr>
        <w:t>s</w:t>
      </w:r>
      <w:r w:rsidR="0083522E" w:rsidRPr="00D17BDC">
        <w:rPr>
          <w:rFonts w:ascii="Times New Roman" w:hAnsi="Times New Roman"/>
          <w:sz w:val="24"/>
          <w:szCs w:val="24"/>
        </w:rPr>
        <w:t xml:space="preserve"> public sector capacity</w:t>
      </w:r>
      <w:r w:rsidRPr="00D17BDC">
        <w:rPr>
          <w:rFonts w:ascii="Times New Roman" w:hAnsi="Times New Roman"/>
          <w:sz w:val="24"/>
          <w:szCs w:val="24"/>
        </w:rPr>
        <w:t>. In recent years,</w:t>
      </w:r>
      <w:r w:rsidR="009D4E73" w:rsidRPr="00D17BDC">
        <w:rPr>
          <w:rFonts w:ascii="Times New Roman" w:hAnsi="Times New Roman"/>
          <w:sz w:val="24"/>
          <w:szCs w:val="24"/>
        </w:rPr>
        <w:t xml:space="preserve"> </w:t>
      </w:r>
      <w:proofErr w:type="spellStart"/>
      <w:r w:rsidRPr="00D17BDC">
        <w:rPr>
          <w:rFonts w:ascii="Times New Roman" w:hAnsi="Times New Roman"/>
          <w:sz w:val="24"/>
          <w:szCs w:val="24"/>
        </w:rPr>
        <w:t>GoK</w:t>
      </w:r>
      <w:proofErr w:type="spellEnd"/>
      <w:r w:rsidRPr="00D17BDC">
        <w:rPr>
          <w:rFonts w:ascii="Times New Roman" w:hAnsi="Times New Roman"/>
          <w:sz w:val="24"/>
          <w:szCs w:val="24"/>
        </w:rPr>
        <w:t xml:space="preserve"> has committed to </w:t>
      </w:r>
      <w:r w:rsidR="004F358F" w:rsidRPr="00D17BDC">
        <w:rPr>
          <w:rFonts w:ascii="Times New Roman" w:hAnsi="Times New Roman"/>
          <w:sz w:val="24"/>
          <w:szCs w:val="24"/>
        </w:rPr>
        <w:t xml:space="preserve">an ambitious agenda of </w:t>
      </w:r>
      <w:r w:rsidRPr="00D17BDC">
        <w:rPr>
          <w:rFonts w:ascii="Times New Roman" w:hAnsi="Times New Roman"/>
          <w:sz w:val="24"/>
          <w:szCs w:val="24"/>
        </w:rPr>
        <w:t>improving road infrastructure, airports, telecommunications, energy, and water and san</w:t>
      </w:r>
      <w:r w:rsidR="004F358F" w:rsidRPr="00D17BDC">
        <w:rPr>
          <w:rFonts w:ascii="Times New Roman" w:hAnsi="Times New Roman"/>
          <w:sz w:val="24"/>
          <w:szCs w:val="24"/>
        </w:rPr>
        <w:t>itation.</w:t>
      </w:r>
      <w:r w:rsidR="00270151" w:rsidRPr="00D17BDC">
        <w:rPr>
          <w:rFonts w:ascii="Times New Roman" w:hAnsi="Times New Roman"/>
          <w:sz w:val="24"/>
          <w:szCs w:val="24"/>
        </w:rPr>
        <w:t xml:space="preserve"> T</w:t>
      </w:r>
      <w:r w:rsidR="004F358F" w:rsidRPr="00D17BDC">
        <w:rPr>
          <w:rFonts w:ascii="Times New Roman" w:hAnsi="Times New Roman"/>
          <w:sz w:val="24"/>
          <w:szCs w:val="24"/>
        </w:rPr>
        <w:t xml:space="preserve">hese infrastructure projects are being supported by the </w:t>
      </w:r>
      <w:r w:rsidR="00270151" w:rsidRPr="00D17BDC">
        <w:rPr>
          <w:rFonts w:ascii="Times New Roman" w:hAnsi="Times New Roman"/>
          <w:sz w:val="24"/>
          <w:szCs w:val="24"/>
        </w:rPr>
        <w:t>W</w:t>
      </w:r>
      <w:r w:rsidR="00442ADD" w:rsidRPr="00D17BDC">
        <w:rPr>
          <w:rFonts w:ascii="Times New Roman" w:hAnsi="Times New Roman"/>
          <w:sz w:val="24"/>
          <w:szCs w:val="24"/>
        </w:rPr>
        <w:t xml:space="preserve">orld </w:t>
      </w:r>
      <w:r w:rsidR="004338A2" w:rsidRPr="00D17BDC">
        <w:rPr>
          <w:rFonts w:ascii="Times New Roman" w:hAnsi="Times New Roman"/>
          <w:sz w:val="24"/>
          <w:szCs w:val="24"/>
        </w:rPr>
        <w:t>B</w:t>
      </w:r>
      <w:r w:rsidR="00442ADD" w:rsidRPr="00D17BDC">
        <w:rPr>
          <w:rFonts w:ascii="Times New Roman" w:hAnsi="Times New Roman"/>
          <w:sz w:val="24"/>
          <w:szCs w:val="24"/>
        </w:rPr>
        <w:t>ank</w:t>
      </w:r>
      <w:r w:rsidR="00270151" w:rsidRPr="00D17BDC">
        <w:rPr>
          <w:rFonts w:ascii="Times New Roman" w:hAnsi="Times New Roman"/>
          <w:sz w:val="24"/>
          <w:szCs w:val="24"/>
        </w:rPr>
        <w:t xml:space="preserve"> and the A</w:t>
      </w:r>
      <w:r w:rsidR="002A256D" w:rsidRPr="00D17BDC">
        <w:rPr>
          <w:rFonts w:ascii="Times New Roman" w:hAnsi="Times New Roman"/>
          <w:sz w:val="24"/>
          <w:szCs w:val="24"/>
        </w:rPr>
        <w:t>DB</w:t>
      </w:r>
      <w:r w:rsidR="00442ADD" w:rsidRPr="00D17BDC">
        <w:rPr>
          <w:rFonts w:ascii="Times New Roman" w:hAnsi="Times New Roman"/>
          <w:sz w:val="24"/>
          <w:szCs w:val="24"/>
        </w:rPr>
        <w:t>, as well as</w:t>
      </w:r>
      <w:r w:rsidR="004F358F" w:rsidRPr="00D17BDC">
        <w:rPr>
          <w:rFonts w:ascii="Times New Roman" w:hAnsi="Times New Roman"/>
          <w:sz w:val="24"/>
          <w:szCs w:val="24"/>
        </w:rPr>
        <w:t xml:space="preserve"> a number of bilateral donors (N</w:t>
      </w:r>
      <w:r w:rsidR="00D155FD" w:rsidRPr="00D17BDC">
        <w:rPr>
          <w:rFonts w:ascii="Times New Roman" w:hAnsi="Times New Roman"/>
          <w:sz w:val="24"/>
          <w:szCs w:val="24"/>
        </w:rPr>
        <w:t xml:space="preserve">ew </w:t>
      </w:r>
      <w:r w:rsidR="004F358F" w:rsidRPr="00D17BDC">
        <w:rPr>
          <w:rFonts w:ascii="Times New Roman" w:hAnsi="Times New Roman"/>
          <w:sz w:val="24"/>
          <w:szCs w:val="24"/>
        </w:rPr>
        <w:t>Z</w:t>
      </w:r>
      <w:r w:rsidR="00D155FD" w:rsidRPr="00D17BDC">
        <w:rPr>
          <w:rFonts w:ascii="Times New Roman" w:hAnsi="Times New Roman"/>
          <w:sz w:val="24"/>
          <w:szCs w:val="24"/>
        </w:rPr>
        <w:t>ealand</w:t>
      </w:r>
      <w:r w:rsidR="004F358F" w:rsidRPr="00D17BDC">
        <w:rPr>
          <w:rFonts w:ascii="Times New Roman" w:hAnsi="Times New Roman"/>
          <w:sz w:val="24"/>
          <w:szCs w:val="24"/>
        </w:rPr>
        <w:t xml:space="preserve"> and Taiwan)</w:t>
      </w:r>
      <w:r w:rsidR="00442ADD" w:rsidRPr="00D17BDC">
        <w:rPr>
          <w:rFonts w:ascii="Times New Roman" w:hAnsi="Times New Roman"/>
          <w:sz w:val="24"/>
          <w:szCs w:val="24"/>
        </w:rPr>
        <w:t>,</w:t>
      </w:r>
      <w:r w:rsidR="004F358F" w:rsidRPr="00D17BDC">
        <w:rPr>
          <w:rFonts w:ascii="Times New Roman" w:hAnsi="Times New Roman"/>
          <w:sz w:val="24"/>
          <w:szCs w:val="24"/>
        </w:rPr>
        <w:t xml:space="preserve"> through grant and loan financing. Most</w:t>
      </w:r>
      <w:r w:rsidR="00442ADD" w:rsidRPr="00D17BDC">
        <w:rPr>
          <w:rFonts w:ascii="Times New Roman" w:hAnsi="Times New Roman"/>
          <w:sz w:val="24"/>
          <w:szCs w:val="24"/>
        </w:rPr>
        <w:t xml:space="preserve"> projects</w:t>
      </w:r>
      <w:r w:rsidR="004F358F" w:rsidRPr="00D17BDC">
        <w:rPr>
          <w:rFonts w:ascii="Times New Roman" w:hAnsi="Times New Roman"/>
          <w:sz w:val="24"/>
          <w:szCs w:val="24"/>
        </w:rPr>
        <w:t xml:space="preserve"> are in early implementation or design phase</w:t>
      </w:r>
      <w:r w:rsidR="009E05D4" w:rsidRPr="00D17BDC">
        <w:rPr>
          <w:rFonts w:ascii="Times New Roman" w:hAnsi="Times New Roman"/>
          <w:sz w:val="24"/>
          <w:szCs w:val="24"/>
        </w:rPr>
        <w:t>.</w:t>
      </w:r>
      <w:r w:rsidR="009D4E73" w:rsidRPr="00D17BDC">
        <w:rPr>
          <w:rFonts w:ascii="Times New Roman" w:hAnsi="Times New Roman"/>
          <w:sz w:val="24"/>
          <w:szCs w:val="24"/>
        </w:rPr>
        <w:t xml:space="preserve"> </w:t>
      </w:r>
    </w:p>
    <w:p w:rsidR="00877AA9" w:rsidRPr="00D17BDC" w:rsidRDefault="00856064"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While not a </w:t>
      </w:r>
      <w:r w:rsidR="00442ADD" w:rsidRPr="00D17BDC">
        <w:rPr>
          <w:rFonts w:ascii="Times New Roman" w:hAnsi="Times New Roman"/>
          <w:sz w:val="24"/>
          <w:szCs w:val="24"/>
        </w:rPr>
        <w:t>p</w:t>
      </w:r>
      <w:r w:rsidRPr="00D17BDC">
        <w:rPr>
          <w:rFonts w:ascii="Times New Roman" w:hAnsi="Times New Roman"/>
          <w:sz w:val="24"/>
          <w:szCs w:val="24"/>
        </w:rPr>
        <w:t xml:space="preserve">riority </w:t>
      </w:r>
      <w:r w:rsidR="00442ADD" w:rsidRPr="00D17BDC">
        <w:rPr>
          <w:rFonts w:ascii="Times New Roman" w:hAnsi="Times New Roman"/>
          <w:sz w:val="24"/>
          <w:szCs w:val="24"/>
        </w:rPr>
        <w:t>o</w:t>
      </w:r>
      <w:r w:rsidRPr="00D17BDC">
        <w:rPr>
          <w:rFonts w:ascii="Times New Roman" w:hAnsi="Times New Roman"/>
          <w:sz w:val="24"/>
          <w:szCs w:val="24"/>
        </w:rPr>
        <w:t xml:space="preserve">utcome </w:t>
      </w:r>
      <w:r w:rsidR="00442ADD" w:rsidRPr="00D17BDC">
        <w:rPr>
          <w:rFonts w:ascii="Times New Roman" w:hAnsi="Times New Roman"/>
          <w:sz w:val="24"/>
          <w:szCs w:val="24"/>
        </w:rPr>
        <w:t>a</w:t>
      </w:r>
      <w:r w:rsidRPr="00D17BDC">
        <w:rPr>
          <w:rFonts w:ascii="Times New Roman" w:hAnsi="Times New Roman"/>
          <w:sz w:val="24"/>
          <w:szCs w:val="24"/>
        </w:rPr>
        <w:t>rea</w:t>
      </w:r>
      <w:r w:rsidR="004E7019" w:rsidRPr="00D17BDC">
        <w:rPr>
          <w:rFonts w:ascii="Times New Roman" w:hAnsi="Times New Roman"/>
          <w:sz w:val="24"/>
          <w:szCs w:val="24"/>
        </w:rPr>
        <w:t xml:space="preserve"> of the Partnership</w:t>
      </w:r>
      <w:r w:rsidRPr="00D17BDC">
        <w:rPr>
          <w:rFonts w:ascii="Times New Roman" w:hAnsi="Times New Roman"/>
          <w:sz w:val="24"/>
          <w:szCs w:val="24"/>
        </w:rPr>
        <w:t xml:space="preserve">, </w:t>
      </w:r>
      <w:r w:rsidR="004F358F" w:rsidRPr="00D17BDC">
        <w:rPr>
          <w:rFonts w:ascii="Times New Roman" w:hAnsi="Times New Roman"/>
          <w:sz w:val="24"/>
          <w:szCs w:val="24"/>
        </w:rPr>
        <w:t xml:space="preserve">AusAID has agreed to </w:t>
      </w:r>
      <w:r w:rsidR="009C335F" w:rsidRPr="00D17BDC">
        <w:rPr>
          <w:rFonts w:ascii="Times New Roman" w:hAnsi="Times New Roman"/>
          <w:sz w:val="24"/>
          <w:szCs w:val="24"/>
        </w:rPr>
        <w:t xml:space="preserve">contribute to funding </w:t>
      </w:r>
      <w:r w:rsidR="0083522E" w:rsidRPr="00D17BDC">
        <w:rPr>
          <w:rFonts w:ascii="Times New Roman" w:hAnsi="Times New Roman"/>
          <w:sz w:val="24"/>
          <w:szCs w:val="24"/>
        </w:rPr>
        <w:t xml:space="preserve">all of these </w:t>
      </w:r>
      <w:r w:rsidR="004F358F" w:rsidRPr="00D17BDC">
        <w:rPr>
          <w:rFonts w:ascii="Times New Roman" w:hAnsi="Times New Roman"/>
          <w:sz w:val="24"/>
          <w:szCs w:val="24"/>
        </w:rPr>
        <w:t>projects</w:t>
      </w:r>
      <w:r w:rsidR="00442ADD" w:rsidRPr="00D17BDC">
        <w:rPr>
          <w:rFonts w:ascii="Times New Roman" w:hAnsi="Times New Roman"/>
          <w:sz w:val="24"/>
          <w:szCs w:val="24"/>
        </w:rPr>
        <w:t>,</w:t>
      </w:r>
      <w:r w:rsidR="0083522E" w:rsidRPr="00D17BDC">
        <w:rPr>
          <w:rFonts w:ascii="Times New Roman" w:hAnsi="Times New Roman"/>
          <w:sz w:val="24"/>
          <w:szCs w:val="24"/>
        </w:rPr>
        <w:t xml:space="preserve"> except the airport redevelopments. </w:t>
      </w:r>
      <w:r w:rsidR="00442ADD" w:rsidRPr="00D17BDC">
        <w:rPr>
          <w:rFonts w:ascii="Times New Roman" w:hAnsi="Times New Roman"/>
          <w:sz w:val="24"/>
          <w:szCs w:val="24"/>
        </w:rPr>
        <w:t xml:space="preserve">Infrastructure </w:t>
      </w:r>
      <w:r w:rsidR="009C335F" w:rsidRPr="00D17BDC">
        <w:rPr>
          <w:rFonts w:ascii="Times New Roman" w:hAnsi="Times New Roman"/>
          <w:sz w:val="24"/>
          <w:szCs w:val="24"/>
        </w:rPr>
        <w:t xml:space="preserve">is a relatively new sector of support for AusAID in Kiribati. </w:t>
      </w:r>
      <w:r w:rsidR="00C40133" w:rsidRPr="00D17BDC">
        <w:rPr>
          <w:rFonts w:ascii="Times New Roman" w:hAnsi="Times New Roman"/>
          <w:sz w:val="24"/>
          <w:szCs w:val="24"/>
        </w:rPr>
        <w:t>To date,</w:t>
      </w:r>
      <w:r w:rsidR="009717B0" w:rsidRPr="00D17BDC">
        <w:rPr>
          <w:rFonts w:ascii="Times New Roman" w:hAnsi="Times New Roman"/>
          <w:sz w:val="24"/>
          <w:szCs w:val="24"/>
        </w:rPr>
        <w:t xml:space="preserve"> </w:t>
      </w:r>
      <w:r w:rsidR="00C40133" w:rsidRPr="00D17BDC">
        <w:rPr>
          <w:rFonts w:ascii="Times New Roman" w:hAnsi="Times New Roman"/>
          <w:sz w:val="24"/>
          <w:szCs w:val="24"/>
        </w:rPr>
        <w:t xml:space="preserve">AusAID has delegated responsibility for these programs to </w:t>
      </w:r>
      <w:r w:rsidR="00442ADD" w:rsidRPr="00D17BDC">
        <w:rPr>
          <w:rFonts w:ascii="Times New Roman" w:hAnsi="Times New Roman"/>
          <w:sz w:val="24"/>
          <w:szCs w:val="24"/>
        </w:rPr>
        <w:t xml:space="preserve">its </w:t>
      </w:r>
      <w:r w:rsidR="00C40133" w:rsidRPr="00D17BDC">
        <w:rPr>
          <w:rFonts w:ascii="Times New Roman" w:hAnsi="Times New Roman"/>
          <w:sz w:val="24"/>
          <w:szCs w:val="24"/>
        </w:rPr>
        <w:t>partners, consistent with</w:t>
      </w:r>
      <w:r w:rsidR="00442ADD" w:rsidRPr="00D17BDC">
        <w:rPr>
          <w:rFonts w:ascii="Times New Roman" w:hAnsi="Times New Roman"/>
          <w:sz w:val="24"/>
          <w:szCs w:val="24"/>
        </w:rPr>
        <w:t xml:space="preserve"> the</w:t>
      </w:r>
      <w:r w:rsidR="00C40133" w:rsidRPr="00D17BDC">
        <w:rPr>
          <w:rFonts w:ascii="Times New Roman" w:hAnsi="Times New Roman"/>
          <w:sz w:val="24"/>
          <w:szCs w:val="24"/>
        </w:rPr>
        <w:t xml:space="preserve"> principles of ‘lead donor’ outlined in the Cairns Compact.</w:t>
      </w:r>
      <w:r w:rsidR="004E7019" w:rsidRPr="00D17BDC">
        <w:rPr>
          <w:rFonts w:ascii="Times New Roman" w:hAnsi="Times New Roman"/>
          <w:sz w:val="24"/>
          <w:szCs w:val="24"/>
        </w:rPr>
        <w:t xml:space="preserve"> </w:t>
      </w:r>
    </w:p>
    <w:p w:rsidR="00877AA9" w:rsidRPr="00D17BDC" w:rsidRDefault="004E7019" w:rsidP="006A5382">
      <w:pPr>
        <w:spacing w:before="240" w:after="0" w:line="240" w:lineRule="auto"/>
        <w:rPr>
          <w:rFonts w:ascii="Times New Roman" w:hAnsi="Times New Roman"/>
          <w:sz w:val="24"/>
          <w:szCs w:val="24"/>
        </w:rPr>
      </w:pPr>
      <w:r w:rsidRPr="00D17BDC">
        <w:rPr>
          <w:rFonts w:ascii="Times New Roman" w:hAnsi="Times New Roman"/>
          <w:sz w:val="24"/>
          <w:szCs w:val="24"/>
        </w:rPr>
        <w:t xml:space="preserve">At the Partnership Talks it was agreed AusAID </w:t>
      </w:r>
      <w:r w:rsidR="00877AA9" w:rsidRPr="00D17BDC">
        <w:rPr>
          <w:rFonts w:ascii="Times New Roman" w:hAnsi="Times New Roman"/>
          <w:sz w:val="24"/>
          <w:szCs w:val="24"/>
        </w:rPr>
        <w:t xml:space="preserve">should increase its engagement with GoK and donor partners in the water and sanitation sector, relative to </w:t>
      </w:r>
      <w:r w:rsidR="00442ADD" w:rsidRPr="00D17BDC">
        <w:rPr>
          <w:rFonts w:ascii="Times New Roman" w:hAnsi="Times New Roman"/>
          <w:sz w:val="24"/>
          <w:szCs w:val="24"/>
        </w:rPr>
        <w:t xml:space="preserve">its support for </w:t>
      </w:r>
      <w:r w:rsidR="00877AA9" w:rsidRPr="00D17BDC">
        <w:rPr>
          <w:rFonts w:ascii="Times New Roman" w:hAnsi="Times New Roman"/>
          <w:sz w:val="24"/>
          <w:szCs w:val="24"/>
        </w:rPr>
        <w:t xml:space="preserve">other sectors, given the cross-over with the Kiribati Adaption Program and overall importance of the sector to improving health outcomes and the environment in South Tarawa. </w:t>
      </w:r>
    </w:p>
    <w:p w:rsidR="00DF2714" w:rsidRPr="00D17BDC" w:rsidRDefault="000C42DD" w:rsidP="006A5382">
      <w:pPr>
        <w:spacing w:before="240" w:after="0"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678180"/>
                <wp:effectExtent l="7620" t="11430" r="11430" b="5715"/>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818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4E7019" w:rsidRDefault="00807794" w:rsidP="00877AA9">
                            <w:pPr>
                              <w:numPr>
                                <w:ilvl w:val="0"/>
                                <w:numId w:val="36"/>
                              </w:numPr>
                              <w:spacing w:after="0" w:line="240" w:lineRule="auto"/>
                              <w:ind w:left="357" w:hanging="357"/>
                              <w:rPr>
                                <w:rFonts w:ascii="Times New Roman" w:hAnsi="Times New Roman"/>
                                <w:sz w:val="24"/>
                                <w:szCs w:val="24"/>
                              </w:rPr>
                            </w:pPr>
                            <w:r>
                              <w:rPr>
                                <w:rFonts w:ascii="Times New Roman" w:hAnsi="Times New Roman"/>
                                <w:sz w:val="24"/>
                                <w:szCs w:val="24"/>
                              </w:rPr>
                              <w:t>Both governments agreed that AusAID should increase its engagement with GOK and donor partners in the water and sanitation sector</w:t>
                            </w:r>
                          </w:p>
                        </w:txbxContent>
                      </wps:txbx>
                      <wps:bodyPr rot="0" vert="horz" wrap="square" lIns="91440" tIns="45720" rIns="91440" bIns="45720" anchor="t" anchorCtr="0" upright="1">
                        <a:noAutofit/>
                      </wps:bodyPr>
                    </wps:wsp>
                  </a:graphicData>
                </a:graphic>
              </wp:inline>
            </w:drawing>
          </mc:Choice>
          <mc:Fallback>
            <w:pict>
              <v:shape id="Text Box 11" o:spid="_x0000_s1032" type="#_x0000_t202" style="width:468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4E7019" w:rsidRDefault="00807794" w:rsidP="00877AA9">
                      <w:pPr>
                        <w:numPr>
                          <w:ilvl w:val="0"/>
                          <w:numId w:val="36"/>
                        </w:numPr>
                        <w:spacing w:after="0" w:line="240" w:lineRule="auto"/>
                        <w:ind w:left="357" w:hanging="357"/>
                        <w:rPr>
                          <w:rFonts w:ascii="Times New Roman" w:hAnsi="Times New Roman"/>
                          <w:sz w:val="24"/>
                          <w:szCs w:val="24"/>
                        </w:rPr>
                      </w:pPr>
                      <w:r>
                        <w:rPr>
                          <w:rFonts w:ascii="Times New Roman" w:hAnsi="Times New Roman"/>
                          <w:sz w:val="24"/>
                          <w:szCs w:val="24"/>
                        </w:rPr>
                        <w:t>Both governments agreed that AusAID should increase its engagement with GOK and donor partners in the water and sanitation sector</w:t>
                      </w:r>
                    </w:p>
                  </w:txbxContent>
                </v:textbox>
                <w10:wrap anchorx="page"/>
                <w10:anchorlock/>
              </v:shape>
            </w:pict>
          </mc:Fallback>
        </mc:AlternateContent>
      </w:r>
    </w:p>
    <w:p w:rsidR="006A5382" w:rsidRPr="00D17BDC" w:rsidRDefault="006A5382" w:rsidP="006A5382">
      <w:pPr>
        <w:spacing w:before="240" w:after="0" w:line="240" w:lineRule="auto"/>
        <w:rPr>
          <w:rFonts w:ascii="Times New Roman" w:hAnsi="Times New Roman"/>
          <w:b/>
          <w:sz w:val="24"/>
          <w:szCs w:val="24"/>
        </w:rPr>
      </w:pPr>
    </w:p>
    <w:p w:rsidR="00937714" w:rsidRPr="00D17BDC" w:rsidRDefault="00010DF9" w:rsidP="006A5382">
      <w:pPr>
        <w:pStyle w:val="Heading1"/>
        <w:rPr>
          <w:kern w:val="28"/>
        </w:rPr>
      </w:pPr>
      <w:bookmarkStart w:id="15" w:name="_Toc307062917"/>
      <w:r w:rsidRPr="00D17BDC">
        <w:rPr>
          <w:kern w:val="28"/>
        </w:rPr>
        <w:t>3. Crossc</w:t>
      </w:r>
      <w:r w:rsidR="006A5382" w:rsidRPr="00D17BDC">
        <w:rPr>
          <w:kern w:val="28"/>
        </w:rPr>
        <w:t xml:space="preserve">utting </w:t>
      </w:r>
      <w:bookmarkStart w:id="16" w:name="Issues"/>
      <w:bookmarkEnd w:id="16"/>
      <w:r w:rsidRPr="00D17BDC">
        <w:rPr>
          <w:kern w:val="28"/>
        </w:rPr>
        <w:t>t</w:t>
      </w:r>
      <w:r w:rsidR="00DF2714" w:rsidRPr="00D17BDC">
        <w:rPr>
          <w:kern w:val="28"/>
        </w:rPr>
        <w:t>hemes</w:t>
      </w:r>
      <w:bookmarkEnd w:id="15"/>
    </w:p>
    <w:p w:rsidR="005274FC" w:rsidRPr="00D17BDC" w:rsidRDefault="00916EFF" w:rsidP="006A5382">
      <w:pPr>
        <w:spacing w:before="240" w:after="0" w:line="240" w:lineRule="auto"/>
        <w:rPr>
          <w:rFonts w:ascii="Times New Roman" w:hAnsi="Times New Roman"/>
          <w:sz w:val="24"/>
          <w:szCs w:val="24"/>
        </w:rPr>
      </w:pPr>
      <w:r w:rsidRPr="00D17BDC">
        <w:rPr>
          <w:rFonts w:ascii="Times New Roman" w:hAnsi="Times New Roman"/>
          <w:sz w:val="24"/>
          <w:szCs w:val="24"/>
        </w:rPr>
        <w:t>This section highlights</w:t>
      </w:r>
      <w:r w:rsidR="00442ADD" w:rsidRPr="00D17BDC">
        <w:rPr>
          <w:rFonts w:ascii="Times New Roman" w:hAnsi="Times New Roman"/>
          <w:sz w:val="24"/>
          <w:szCs w:val="24"/>
        </w:rPr>
        <w:t xml:space="preserve"> the</w:t>
      </w:r>
      <w:r w:rsidRPr="00D17BDC">
        <w:rPr>
          <w:rFonts w:ascii="Times New Roman" w:hAnsi="Times New Roman"/>
          <w:sz w:val="24"/>
          <w:szCs w:val="24"/>
        </w:rPr>
        <w:t xml:space="preserve"> </w:t>
      </w:r>
      <w:r w:rsidR="005274FC" w:rsidRPr="00D17BDC">
        <w:rPr>
          <w:rFonts w:ascii="Times New Roman" w:hAnsi="Times New Roman"/>
          <w:sz w:val="24"/>
          <w:szCs w:val="24"/>
        </w:rPr>
        <w:t>important and often recurrent</w:t>
      </w:r>
      <w:r w:rsidR="00442ADD" w:rsidRPr="00D17BDC">
        <w:rPr>
          <w:rFonts w:ascii="Times New Roman" w:hAnsi="Times New Roman"/>
          <w:sz w:val="24"/>
          <w:szCs w:val="24"/>
        </w:rPr>
        <w:t xml:space="preserve"> crosscutting</w:t>
      </w:r>
      <w:r w:rsidR="005274FC" w:rsidRPr="00D17BDC">
        <w:rPr>
          <w:rFonts w:ascii="Times New Roman" w:hAnsi="Times New Roman"/>
          <w:sz w:val="24"/>
          <w:szCs w:val="24"/>
        </w:rPr>
        <w:t xml:space="preserve"> themes emerging from reports, pre-talk discussions and the Partnership Talks. </w:t>
      </w:r>
    </w:p>
    <w:p w:rsidR="00DF2714" w:rsidRPr="00D17BDC" w:rsidRDefault="009D4E73" w:rsidP="00807794">
      <w:pPr>
        <w:pStyle w:val="Heading2"/>
        <w:tabs>
          <w:tab w:val="left" w:pos="8130"/>
        </w:tabs>
        <w:rPr>
          <w:kern w:val="28"/>
        </w:rPr>
      </w:pPr>
      <w:bookmarkStart w:id="17" w:name="_Toc307062918"/>
      <w:r w:rsidRPr="00D17BDC">
        <w:rPr>
          <w:kern w:val="28"/>
        </w:rPr>
        <w:t>Keeping the Partnership</w:t>
      </w:r>
      <w:r w:rsidR="00D104B0" w:rsidRPr="00D17BDC">
        <w:rPr>
          <w:kern w:val="28"/>
        </w:rPr>
        <w:t xml:space="preserve"> for Development</w:t>
      </w:r>
      <w:r w:rsidRPr="00D17BDC">
        <w:rPr>
          <w:kern w:val="28"/>
        </w:rPr>
        <w:t xml:space="preserve"> t</w:t>
      </w:r>
      <w:r w:rsidR="00DF2714" w:rsidRPr="00D17BDC">
        <w:rPr>
          <w:kern w:val="28"/>
        </w:rPr>
        <w:t>ight</w:t>
      </w:r>
      <w:r w:rsidRPr="00D17BDC">
        <w:rPr>
          <w:kern w:val="28"/>
        </w:rPr>
        <w:t>ly f</w:t>
      </w:r>
      <w:r w:rsidR="00DF2714" w:rsidRPr="00D17BDC">
        <w:rPr>
          <w:kern w:val="28"/>
        </w:rPr>
        <w:t>ocus</w:t>
      </w:r>
      <w:r w:rsidRPr="00D17BDC">
        <w:rPr>
          <w:kern w:val="28"/>
        </w:rPr>
        <w:t>ed</w:t>
      </w:r>
      <w:bookmarkEnd w:id="17"/>
      <w:r w:rsidRPr="00D17BDC">
        <w:rPr>
          <w:kern w:val="28"/>
        </w:rPr>
        <w:t xml:space="preserve"> </w:t>
      </w:r>
      <w:r w:rsidR="00807794">
        <w:rPr>
          <w:kern w:val="28"/>
        </w:rPr>
        <w:tab/>
      </w:r>
    </w:p>
    <w:p w:rsidR="00477DB1" w:rsidRPr="00D17BDC" w:rsidRDefault="00477DB1" w:rsidP="00DF2714">
      <w:pPr>
        <w:spacing w:line="240" w:lineRule="auto"/>
        <w:rPr>
          <w:rFonts w:ascii="Times New Roman" w:hAnsi="Times New Roman"/>
          <w:sz w:val="24"/>
          <w:szCs w:val="24"/>
        </w:rPr>
      </w:pPr>
      <w:r w:rsidRPr="00D17BDC">
        <w:rPr>
          <w:rFonts w:ascii="Times New Roman" w:hAnsi="Times New Roman"/>
          <w:sz w:val="24"/>
          <w:szCs w:val="24"/>
        </w:rPr>
        <w:t xml:space="preserve">GoK confirmed that the three </w:t>
      </w:r>
      <w:r w:rsidR="00442ADD" w:rsidRPr="00D17BDC">
        <w:rPr>
          <w:rFonts w:ascii="Times New Roman" w:hAnsi="Times New Roman"/>
          <w:sz w:val="24"/>
          <w:szCs w:val="24"/>
        </w:rPr>
        <w:t>p</w:t>
      </w:r>
      <w:r w:rsidRPr="00D17BDC">
        <w:rPr>
          <w:rFonts w:ascii="Times New Roman" w:hAnsi="Times New Roman"/>
          <w:sz w:val="24"/>
          <w:szCs w:val="24"/>
        </w:rPr>
        <w:t xml:space="preserve">riority </w:t>
      </w:r>
      <w:r w:rsidR="00442ADD" w:rsidRPr="00D17BDC">
        <w:rPr>
          <w:rFonts w:ascii="Times New Roman" w:hAnsi="Times New Roman"/>
          <w:sz w:val="24"/>
          <w:szCs w:val="24"/>
        </w:rPr>
        <w:t>o</w:t>
      </w:r>
      <w:r w:rsidRPr="00D17BDC">
        <w:rPr>
          <w:rFonts w:ascii="Times New Roman" w:hAnsi="Times New Roman"/>
          <w:sz w:val="24"/>
          <w:szCs w:val="24"/>
        </w:rPr>
        <w:t xml:space="preserve">utcome </w:t>
      </w:r>
      <w:r w:rsidR="00442ADD" w:rsidRPr="00D17BDC">
        <w:rPr>
          <w:rFonts w:ascii="Times New Roman" w:hAnsi="Times New Roman"/>
          <w:sz w:val="24"/>
          <w:szCs w:val="24"/>
        </w:rPr>
        <w:t>a</w:t>
      </w:r>
      <w:r w:rsidRPr="00D17BDC">
        <w:rPr>
          <w:rFonts w:ascii="Times New Roman" w:hAnsi="Times New Roman"/>
          <w:sz w:val="24"/>
          <w:szCs w:val="24"/>
        </w:rPr>
        <w:t>reas</w:t>
      </w:r>
      <w:r w:rsidR="00442ADD" w:rsidRPr="00D17BDC">
        <w:rPr>
          <w:rFonts w:ascii="Times New Roman" w:hAnsi="Times New Roman"/>
          <w:sz w:val="24"/>
          <w:szCs w:val="24"/>
        </w:rPr>
        <w:t xml:space="preserve"> are</w:t>
      </w:r>
      <w:r w:rsidRPr="00D17BDC">
        <w:rPr>
          <w:rFonts w:ascii="Times New Roman" w:hAnsi="Times New Roman"/>
          <w:sz w:val="24"/>
          <w:szCs w:val="24"/>
        </w:rPr>
        <w:t xml:space="preserve"> basic education, workforce skills development</w:t>
      </w:r>
      <w:r w:rsidR="00280C5A" w:rsidRPr="00D17BDC">
        <w:rPr>
          <w:rFonts w:ascii="Times New Roman" w:hAnsi="Times New Roman"/>
          <w:sz w:val="24"/>
          <w:szCs w:val="24"/>
        </w:rPr>
        <w:t xml:space="preserve">, </w:t>
      </w:r>
      <w:r w:rsidRPr="00D17BDC">
        <w:rPr>
          <w:rFonts w:ascii="Times New Roman" w:hAnsi="Times New Roman"/>
          <w:sz w:val="24"/>
          <w:szCs w:val="24"/>
        </w:rPr>
        <w:t>and economic management and growth</w:t>
      </w:r>
      <w:r w:rsidR="00442ADD" w:rsidRPr="00D17BDC">
        <w:rPr>
          <w:rFonts w:ascii="Times New Roman" w:hAnsi="Times New Roman"/>
          <w:sz w:val="24"/>
          <w:szCs w:val="24"/>
        </w:rPr>
        <w:t>. These are all</w:t>
      </w:r>
      <w:r w:rsidRPr="00D17BDC">
        <w:rPr>
          <w:rFonts w:ascii="Times New Roman" w:hAnsi="Times New Roman"/>
          <w:sz w:val="24"/>
          <w:szCs w:val="24"/>
        </w:rPr>
        <w:t xml:space="preserve"> important for Kiribati’s long-term prosperity and remain the right ones for the Partnership to focus on.</w:t>
      </w:r>
    </w:p>
    <w:p w:rsidR="00DF2714" w:rsidRDefault="00DF2714" w:rsidP="00807794">
      <w:pPr>
        <w:spacing w:after="0" w:line="240" w:lineRule="auto"/>
        <w:rPr>
          <w:rFonts w:ascii="Times New Roman" w:hAnsi="Times New Roman"/>
          <w:sz w:val="24"/>
          <w:szCs w:val="24"/>
        </w:rPr>
      </w:pPr>
      <w:r w:rsidRPr="00D17BDC">
        <w:rPr>
          <w:rFonts w:ascii="Times New Roman" w:hAnsi="Times New Roman"/>
          <w:sz w:val="24"/>
          <w:szCs w:val="24"/>
        </w:rPr>
        <w:t xml:space="preserve">Both </w:t>
      </w:r>
      <w:r w:rsidR="00442ADD" w:rsidRPr="00D17BDC">
        <w:rPr>
          <w:rFonts w:ascii="Times New Roman" w:hAnsi="Times New Roman"/>
          <w:sz w:val="24"/>
          <w:szCs w:val="24"/>
        </w:rPr>
        <w:t>g</w:t>
      </w:r>
      <w:r w:rsidRPr="00D17BDC">
        <w:rPr>
          <w:rFonts w:ascii="Times New Roman" w:hAnsi="Times New Roman"/>
          <w:sz w:val="24"/>
          <w:szCs w:val="24"/>
        </w:rPr>
        <w:t xml:space="preserve">overnments acknowledged that the Partnership </w:t>
      </w:r>
      <w:r w:rsidR="00AB1281" w:rsidRPr="00D17BDC">
        <w:rPr>
          <w:rFonts w:ascii="Times New Roman" w:hAnsi="Times New Roman"/>
          <w:sz w:val="24"/>
          <w:szCs w:val="24"/>
        </w:rPr>
        <w:t xml:space="preserve">has expanded into new areas since it was established in 2009. </w:t>
      </w:r>
      <w:r w:rsidR="00442ADD" w:rsidRPr="00D17BDC">
        <w:rPr>
          <w:rFonts w:ascii="Times New Roman" w:hAnsi="Times New Roman"/>
          <w:sz w:val="24"/>
          <w:szCs w:val="24"/>
        </w:rPr>
        <w:t>While s</w:t>
      </w:r>
      <w:r w:rsidRPr="00D17BDC">
        <w:rPr>
          <w:rFonts w:ascii="Times New Roman" w:hAnsi="Times New Roman"/>
          <w:sz w:val="24"/>
          <w:szCs w:val="24"/>
        </w:rPr>
        <w:t>upport to these areas is</w:t>
      </w:r>
      <w:r w:rsidR="00AB1281" w:rsidRPr="00D17BDC">
        <w:rPr>
          <w:rFonts w:ascii="Times New Roman" w:hAnsi="Times New Roman"/>
          <w:sz w:val="24"/>
          <w:szCs w:val="24"/>
        </w:rPr>
        <w:t xml:space="preserve"> regarded positively by both </w:t>
      </w:r>
      <w:r w:rsidR="00442ADD" w:rsidRPr="00D17BDC">
        <w:rPr>
          <w:rFonts w:ascii="Times New Roman" w:hAnsi="Times New Roman"/>
          <w:sz w:val="24"/>
          <w:szCs w:val="24"/>
        </w:rPr>
        <w:t>g</w:t>
      </w:r>
      <w:r w:rsidR="00AB1281" w:rsidRPr="00D17BDC">
        <w:rPr>
          <w:rFonts w:ascii="Times New Roman" w:hAnsi="Times New Roman"/>
          <w:sz w:val="24"/>
          <w:szCs w:val="24"/>
        </w:rPr>
        <w:t>overnments</w:t>
      </w:r>
      <w:r w:rsidR="00442ADD" w:rsidRPr="00D17BDC">
        <w:rPr>
          <w:rFonts w:ascii="Times New Roman" w:hAnsi="Times New Roman"/>
          <w:sz w:val="24"/>
          <w:szCs w:val="24"/>
        </w:rPr>
        <w:t xml:space="preserve">, it was </w:t>
      </w:r>
      <w:r w:rsidRPr="00D17BDC">
        <w:rPr>
          <w:rFonts w:ascii="Times New Roman" w:hAnsi="Times New Roman"/>
          <w:sz w:val="24"/>
          <w:szCs w:val="24"/>
        </w:rPr>
        <w:t>agreed that efforts should focus on improving the existing impact of programs</w:t>
      </w:r>
      <w:r w:rsidR="00FC2101" w:rsidRPr="00D17BDC">
        <w:rPr>
          <w:rFonts w:ascii="Times New Roman" w:hAnsi="Times New Roman"/>
          <w:sz w:val="24"/>
          <w:szCs w:val="24"/>
        </w:rPr>
        <w:t>—</w:t>
      </w:r>
      <w:r w:rsidRPr="00D17BDC">
        <w:rPr>
          <w:rFonts w:ascii="Times New Roman" w:hAnsi="Times New Roman"/>
          <w:sz w:val="24"/>
          <w:szCs w:val="24"/>
        </w:rPr>
        <w:t>many of which have just started</w:t>
      </w:r>
      <w:r w:rsidR="00FC2101" w:rsidRPr="00D17BDC">
        <w:rPr>
          <w:rFonts w:ascii="Times New Roman" w:hAnsi="Times New Roman"/>
          <w:sz w:val="24"/>
          <w:szCs w:val="24"/>
        </w:rPr>
        <w:t>—</w:t>
      </w:r>
      <w:r w:rsidRPr="00D17BDC">
        <w:rPr>
          <w:rFonts w:ascii="Times New Roman" w:hAnsi="Times New Roman"/>
          <w:sz w:val="24"/>
          <w:szCs w:val="24"/>
        </w:rPr>
        <w:t>and not</w:t>
      </w:r>
      <w:r w:rsidR="00442ADD" w:rsidRPr="00D17BDC">
        <w:rPr>
          <w:rFonts w:ascii="Times New Roman" w:hAnsi="Times New Roman"/>
          <w:sz w:val="24"/>
          <w:szCs w:val="24"/>
        </w:rPr>
        <w:t xml:space="preserve"> on</w:t>
      </w:r>
      <w:r w:rsidRPr="00D17BDC">
        <w:rPr>
          <w:rFonts w:ascii="Times New Roman" w:hAnsi="Times New Roman"/>
          <w:sz w:val="24"/>
          <w:szCs w:val="24"/>
        </w:rPr>
        <w:t xml:space="preserve"> expand</w:t>
      </w:r>
      <w:r w:rsidR="00442ADD" w:rsidRPr="00D17BDC">
        <w:rPr>
          <w:rFonts w:ascii="Times New Roman" w:hAnsi="Times New Roman"/>
          <w:sz w:val="24"/>
          <w:szCs w:val="24"/>
        </w:rPr>
        <w:t>ing</w:t>
      </w:r>
      <w:r w:rsidRPr="00D17BDC">
        <w:rPr>
          <w:rFonts w:ascii="Times New Roman" w:hAnsi="Times New Roman"/>
          <w:sz w:val="24"/>
          <w:szCs w:val="24"/>
        </w:rPr>
        <w:t xml:space="preserve"> into new areas. Particularly from GoK</w:t>
      </w:r>
      <w:r w:rsidR="00C56CEE" w:rsidRPr="00D17BDC">
        <w:rPr>
          <w:rFonts w:ascii="Times New Roman" w:hAnsi="Times New Roman"/>
          <w:sz w:val="24"/>
          <w:szCs w:val="24"/>
        </w:rPr>
        <w:t>’s</w:t>
      </w:r>
      <w:r w:rsidRPr="00D17BDC">
        <w:rPr>
          <w:rFonts w:ascii="Times New Roman" w:hAnsi="Times New Roman"/>
          <w:sz w:val="24"/>
          <w:szCs w:val="24"/>
        </w:rPr>
        <w:t xml:space="preserve"> side, there was a strong sentiment that the Partnership still needs to prove itself, and not risk its overall effectiveness by spreading itself too thin</w:t>
      </w:r>
      <w:r w:rsidR="009E05D4" w:rsidRPr="00D17BDC">
        <w:rPr>
          <w:rFonts w:ascii="Times New Roman" w:hAnsi="Times New Roman"/>
          <w:sz w:val="24"/>
          <w:szCs w:val="24"/>
        </w:rPr>
        <w:t xml:space="preserve">. </w:t>
      </w:r>
    </w:p>
    <w:p w:rsidR="00807794" w:rsidRPr="00D17BDC" w:rsidRDefault="00807794" w:rsidP="00807794">
      <w:pPr>
        <w:spacing w:after="0" w:line="240" w:lineRule="auto"/>
        <w:rPr>
          <w:rFonts w:ascii="Times New Roman" w:hAnsi="Times New Roman"/>
          <w:sz w:val="24"/>
          <w:szCs w:val="24"/>
        </w:rPr>
      </w:pPr>
    </w:p>
    <w:p w:rsidR="009D4E73" w:rsidRPr="00D17BDC" w:rsidRDefault="000C42DD" w:rsidP="00DF2714">
      <w:pPr>
        <w:spacing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690880"/>
                <wp:effectExtent l="11430" t="11430" r="7620" b="12065"/>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088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9D4E73">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that </w:t>
                            </w:r>
                            <w:r>
                              <w:rPr>
                                <w:rFonts w:ascii="Times New Roman" w:hAnsi="Times New Roman"/>
                                <w:sz w:val="24"/>
                                <w:szCs w:val="24"/>
                              </w:rPr>
                              <w:t xml:space="preserve">there should be no new priority outcome areas or other sectors added to the Partnership in the short-term. </w:t>
                            </w:r>
                          </w:p>
                        </w:txbxContent>
                      </wps:txbx>
                      <wps:bodyPr rot="0" vert="horz" wrap="square" lIns="91440" tIns="45720" rIns="91440" bIns="45720" anchor="t" anchorCtr="0" upright="1">
                        <a:noAutofit/>
                      </wps:bodyPr>
                    </wps:wsp>
                  </a:graphicData>
                </a:graphic>
              </wp:inline>
            </w:drawing>
          </mc:Choice>
          <mc:Fallback>
            <w:pict>
              <v:shape id="Text Box 14" o:spid="_x0000_s1033" type="#_x0000_t202" style="width:468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0E4C" w:rsidRDefault="00807794" w:rsidP="009D4E73">
                      <w:pPr>
                        <w:numPr>
                          <w:ilvl w:val="0"/>
                          <w:numId w:val="34"/>
                        </w:numPr>
                        <w:spacing w:after="0" w:line="240" w:lineRule="auto"/>
                        <w:rPr>
                          <w:rFonts w:ascii="Calibri" w:hAnsi="Calibri"/>
                        </w:rPr>
                      </w:pPr>
                      <w:r w:rsidRPr="00DF2714">
                        <w:rPr>
                          <w:rFonts w:ascii="Times New Roman" w:hAnsi="Times New Roman"/>
                          <w:sz w:val="24"/>
                          <w:szCs w:val="24"/>
                        </w:rPr>
                        <w:t xml:space="preserve">Both </w:t>
                      </w:r>
                      <w:r>
                        <w:rPr>
                          <w:rFonts w:ascii="Times New Roman" w:hAnsi="Times New Roman"/>
                          <w:sz w:val="24"/>
                          <w:szCs w:val="24"/>
                        </w:rPr>
                        <w:t>g</w:t>
                      </w:r>
                      <w:r w:rsidRPr="00DF2714">
                        <w:rPr>
                          <w:rFonts w:ascii="Times New Roman" w:hAnsi="Times New Roman"/>
                          <w:sz w:val="24"/>
                          <w:szCs w:val="24"/>
                        </w:rPr>
                        <w:t xml:space="preserve">overnments agreed that </w:t>
                      </w:r>
                      <w:r>
                        <w:rPr>
                          <w:rFonts w:ascii="Times New Roman" w:hAnsi="Times New Roman"/>
                          <w:sz w:val="24"/>
                          <w:szCs w:val="24"/>
                        </w:rPr>
                        <w:t xml:space="preserve">there should be no new priority outcome areas or other sectors added to the Partnership in the short-term. </w:t>
                      </w:r>
                    </w:p>
                  </w:txbxContent>
                </v:textbox>
                <w10:wrap anchorx="page"/>
                <w10:anchorlock/>
              </v:shape>
            </w:pict>
          </mc:Fallback>
        </mc:AlternateContent>
      </w:r>
    </w:p>
    <w:p w:rsidR="00F01F28" w:rsidRPr="00D17BDC" w:rsidRDefault="00C60EDB" w:rsidP="00807794">
      <w:pPr>
        <w:pStyle w:val="Heading2"/>
        <w:tabs>
          <w:tab w:val="left" w:pos="8130"/>
        </w:tabs>
        <w:rPr>
          <w:kern w:val="28"/>
        </w:rPr>
      </w:pPr>
      <w:bookmarkStart w:id="18" w:name="_Toc307062919"/>
      <w:r w:rsidRPr="00D17BDC">
        <w:rPr>
          <w:kern w:val="28"/>
        </w:rPr>
        <w:lastRenderedPageBreak/>
        <w:t xml:space="preserve">Improving </w:t>
      </w:r>
      <w:r w:rsidR="00010DF9" w:rsidRPr="00D17BDC">
        <w:rPr>
          <w:kern w:val="28"/>
        </w:rPr>
        <w:t>d</w:t>
      </w:r>
      <w:r w:rsidRPr="00D17BDC">
        <w:rPr>
          <w:kern w:val="28"/>
        </w:rPr>
        <w:t xml:space="preserve">evelopment </w:t>
      </w:r>
      <w:r w:rsidR="00010DF9" w:rsidRPr="00D17BDC">
        <w:rPr>
          <w:kern w:val="28"/>
        </w:rPr>
        <w:t>e</w:t>
      </w:r>
      <w:r w:rsidRPr="00D17BDC">
        <w:rPr>
          <w:kern w:val="28"/>
        </w:rPr>
        <w:t>ffectiveness</w:t>
      </w:r>
      <w:r w:rsidR="00484387" w:rsidRPr="00D17BDC">
        <w:rPr>
          <w:kern w:val="28"/>
        </w:rPr>
        <w:t xml:space="preserve"> by </w:t>
      </w:r>
      <w:r w:rsidR="00010DF9" w:rsidRPr="00D17BDC">
        <w:rPr>
          <w:kern w:val="28"/>
        </w:rPr>
        <w:t>s</w:t>
      </w:r>
      <w:r w:rsidR="00484387" w:rsidRPr="00D17BDC">
        <w:rPr>
          <w:kern w:val="28"/>
        </w:rPr>
        <w:t xml:space="preserve">upporting GoK </w:t>
      </w:r>
      <w:r w:rsidR="00010DF9" w:rsidRPr="00D17BDC">
        <w:rPr>
          <w:kern w:val="28"/>
        </w:rPr>
        <w:t>s</w:t>
      </w:r>
      <w:r w:rsidR="00484387" w:rsidRPr="00D17BDC">
        <w:rPr>
          <w:kern w:val="28"/>
        </w:rPr>
        <w:t xml:space="preserve">trategic </w:t>
      </w:r>
      <w:r w:rsidR="00010DF9" w:rsidRPr="00D17BDC">
        <w:rPr>
          <w:kern w:val="28"/>
        </w:rPr>
        <w:t>p</w:t>
      </w:r>
      <w:r w:rsidR="00484387" w:rsidRPr="00D17BDC">
        <w:rPr>
          <w:kern w:val="28"/>
        </w:rPr>
        <w:t xml:space="preserve">lanning and </w:t>
      </w:r>
      <w:r w:rsidR="00010DF9" w:rsidRPr="00D17BDC">
        <w:rPr>
          <w:kern w:val="28"/>
        </w:rPr>
        <w:t>i</w:t>
      </w:r>
      <w:r w:rsidR="00484387" w:rsidRPr="00D17BDC">
        <w:rPr>
          <w:kern w:val="28"/>
        </w:rPr>
        <w:t>mplementation capacity</w:t>
      </w:r>
      <w:bookmarkEnd w:id="18"/>
      <w:r w:rsidR="00484387" w:rsidRPr="00D17BDC">
        <w:rPr>
          <w:kern w:val="28"/>
        </w:rPr>
        <w:t xml:space="preserve"> </w:t>
      </w:r>
    </w:p>
    <w:p w:rsidR="00FC39B2" w:rsidRPr="00D17BDC" w:rsidRDefault="00D104B0" w:rsidP="00FC39B2">
      <w:pPr>
        <w:spacing w:before="240" w:after="0" w:line="240" w:lineRule="auto"/>
        <w:rPr>
          <w:rFonts w:ascii="Times New Roman" w:hAnsi="Times New Roman"/>
          <w:sz w:val="24"/>
          <w:szCs w:val="24"/>
        </w:rPr>
      </w:pPr>
      <w:r w:rsidRPr="00D17BDC">
        <w:rPr>
          <w:rFonts w:ascii="Times New Roman" w:hAnsi="Times New Roman"/>
          <w:sz w:val="24"/>
          <w:szCs w:val="24"/>
        </w:rPr>
        <w:t xml:space="preserve">Improving development effectiveness </w:t>
      </w:r>
      <w:r w:rsidR="00FC39B2" w:rsidRPr="00D17BDC">
        <w:rPr>
          <w:rFonts w:ascii="Times New Roman" w:hAnsi="Times New Roman"/>
          <w:sz w:val="24"/>
          <w:szCs w:val="24"/>
        </w:rPr>
        <w:t xml:space="preserve">was a crosscutting theme </w:t>
      </w:r>
      <w:r w:rsidR="00280C5A" w:rsidRPr="00D17BDC">
        <w:rPr>
          <w:rFonts w:ascii="Times New Roman" w:hAnsi="Times New Roman"/>
          <w:sz w:val="24"/>
          <w:szCs w:val="24"/>
        </w:rPr>
        <w:t>at</w:t>
      </w:r>
      <w:r w:rsidR="00FC39B2" w:rsidRPr="00D17BDC">
        <w:rPr>
          <w:rFonts w:ascii="Times New Roman" w:hAnsi="Times New Roman"/>
          <w:sz w:val="24"/>
          <w:szCs w:val="24"/>
        </w:rPr>
        <w:t xml:space="preserve"> this year’s Partnership</w:t>
      </w:r>
      <w:r w:rsidRPr="00D17BDC">
        <w:rPr>
          <w:rFonts w:ascii="Times New Roman" w:hAnsi="Times New Roman"/>
          <w:sz w:val="24"/>
          <w:szCs w:val="24"/>
        </w:rPr>
        <w:t xml:space="preserve"> Talks</w:t>
      </w:r>
      <w:r w:rsidR="009E05D4" w:rsidRPr="00D17BDC">
        <w:rPr>
          <w:rFonts w:ascii="Times New Roman" w:hAnsi="Times New Roman"/>
          <w:sz w:val="24"/>
          <w:szCs w:val="24"/>
        </w:rPr>
        <w:t xml:space="preserve">. </w:t>
      </w:r>
      <w:r w:rsidR="00FC39B2" w:rsidRPr="00D17BDC">
        <w:rPr>
          <w:rFonts w:ascii="Times New Roman" w:hAnsi="Times New Roman"/>
          <w:sz w:val="24"/>
          <w:szCs w:val="24"/>
        </w:rPr>
        <w:t>The need to maximise the efficiency and effectiveness of aid flows to Kiribati is irrefutable. Even though Kiribati enjoys high levels of aid per capita</w:t>
      </w:r>
      <w:r w:rsidR="00771723">
        <w:rPr>
          <w:rFonts w:ascii="Times New Roman" w:hAnsi="Times New Roman"/>
          <w:sz w:val="24"/>
          <w:szCs w:val="24"/>
        </w:rPr>
        <w:t>,</w:t>
      </w:r>
      <w:r w:rsidR="00AB5DBB" w:rsidRPr="00D17BDC">
        <w:rPr>
          <w:rFonts w:ascii="Times New Roman" w:hAnsi="Times New Roman"/>
          <w:sz w:val="24"/>
          <w:szCs w:val="24"/>
        </w:rPr>
        <w:t xml:space="preserve"> compared to many other countries in the Pacific</w:t>
      </w:r>
      <w:r w:rsidR="00FC39B2" w:rsidRPr="00D17BDC">
        <w:rPr>
          <w:rFonts w:ascii="Times New Roman" w:hAnsi="Times New Roman"/>
          <w:sz w:val="24"/>
          <w:szCs w:val="24"/>
        </w:rPr>
        <w:t xml:space="preserve">, the pace and scale of development is not enough. </w:t>
      </w:r>
    </w:p>
    <w:p w:rsidR="00FC39B2" w:rsidRPr="00D17BDC" w:rsidRDefault="00D104B0" w:rsidP="00D104B0">
      <w:pPr>
        <w:spacing w:before="240" w:after="0" w:line="240" w:lineRule="auto"/>
        <w:rPr>
          <w:rFonts w:ascii="Times New Roman" w:hAnsi="Times New Roman"/>
          <w:sz w:val="24"/>
          <w:szCs w:val="24"/>
        </w:rPr>
      </w:pPr>
      <w:r w:rsidRPr="00D17BDC">
        <w:rPr>
          <w:rFonts w:ascii="Times New Roman" w:hAnsi="Times New Roman"/>
          <w:sz w:val="24"/>
          <w:szCs w:val="24"/>
        </w:rPr>
        <w:t>For Kiribati to improve development outcomes in the long</w:t>
      </w:r>
      <w:r w:rsidR="00442ADD" w:rsidRPr="00D17BDC">
        <w:rPr>
          <w:rFonts w:ascii="Times New Roman" w:hAnsi="Times New Roman"/>
          <w:sz w:val="24"/>
          <w:szCs w:val="24"/>
        </w:rPr>
        <w:t xml:space="preserve"> </w:t>
      </w:r>
      <w:r w:rsidRPr="00D17BDC">
        <w:rPr>
          <w:rFonts w:ascii="Times New Roman" w:hAnsi="Times New Roman"/>
          <w:sz w:val="24"/>
          <w:szCs w:val="24"/>
        </w:rPr>
        <w:t>term,</w:t>
      </w:r>
      <w:r w:rsidR="00FC39B2" w:rsidRPr="00D17BDC">
        <w:rPr>
          <w:rFonts w:ascii="Times New Roman" w:hAnsi="Times New Roman"/>
          <w:sz w:val="24"/>
          <w:szCs w:val="24"/>
        </w:rPr>
        <w:t xml:space="preserve"> it needs to have more autonomy over all </w:t>
      </w:r>
      <w:r w:rsidR="00442ADD" w:rsidRPr="00D17BDC">
        <w:rPr>
          <w:rFonts w:ascii="Times New Roman" w:hAnsi="Times New Roman"/>
          <w:sz w:val="24"/>
          <w:szCs w:val="24"/>
        </w:rPr>
        <w:t xml:space="preserve">of </w:t>
      </w:r>
      <w:r w:rsidR="00FC39B2" w:rsidRPr="00D17BDC">
        <w:rPr>
          <w:rFonts w:ascii="Times New Roman" w:hAnsi="Times New Roman"/>
          <w:sz w:val="24"/>
          <w:szCs w:val="24"/>
        </w:rPr>
        <w:t>its development resources and have the capacity to manage these</w:t>
      </w:r>
      <w:r w:rsidR="00442ADD" w:rsidRPr="00D17BDC">
        <w:rPr>
          <w:rFonts w:ascii="Times New Roman" w:hAnsi="Times New Roman"/>
          <w:sz w:val="24"/>
          <w:szCs w:val="24"/>
        </w:rPr>
        <w:t xml:space="preserve"> </w:t>
      </w:r>
      <w:r w:rsidR="00FC39B2" w:rsidRPr="00D17BDC">
        <w:rPr>
          <w:rFonts w:ascii="Times New Roman" w:hAnsi="Times New Roman"/>
          <w:sz w:val="24"/>
          <w:szCs w:val="24"/>
        </w:rPr>
        <w:t>for development outcomes.</w:t>
      </w:r>
    </w:p>
    <w:p w:rsidR="00B213C6" w:rsidRPr="00D17BDC" w:rsidRDefault="00B213C6" w:rsidP="006A5382">
      <w:pPr>
        <w:spacing w:before="240" w:after="0" w:line="240" w:lineRule="auto"/>
        <w:rPr>
          <w:rFonts w:ascii="Times New Roman" w:hAnsi="Times New Roman"/>
          <w:sz w:val="24"/>
          <w:szCs w:val="24"/>
        </w:rPr>
      </w:pPr>
      <w:r w:rsidRPr="00D17BDC">
        <w:rPr>
          <w:rFonts w:ascii="Times New Roman" w:hAnsi="Times New Roman"/>
          <w:sz w:val="24"/>
          <w:szCs w:val="24"/>
        </w:rPr>
        <w:t>Yet the donor paradigm is typically still one of stand</w:t>
      </w:r>
      <w:r w:rsidR="00442ADD" w:rsidRPr="00D17BDC">
        <w:rPr>
          <w:rFonts w:ascii="Times New Roman" w:hAnsi="Times New Roman"/>
          <w:sz w:val="24"/>
          <w:szCs w:val="24"/>
        </w:rPr>
        <w:t>-</w:t>
      </w:r>
      <w:r w:rsidRPr="00D17BDC">
        <w:rPr>
          <w:rFonts w:ascii="Times New Roman" w:hAnsi="Times New Roman"/>
          <w:sz w:val="24"/>
          <w:szCs w:val="24"/>
        </w:rPr>
        <w:t>alone, separately-managed, projects and programs with</w:t>
      </w:r>
      <w:r w:rsidR="00FC2101" w:rsidRPr="00D17BDC">
        <w:rPr>
          <w:rFonts w:ascii="Times New Roman" w:hAnsi="Times New Roman"/>
          <w:sz w:val="24"/>
          <w:szCs w:val="24"/>
        </w:rPr>
        <w:t>—</w:t>
      </w:r>
      <w:r w:rsidRPr="00D17BDC">
        <w:rPr>
          <w:rFonts w:ascii="Times New Roman" w:hAnsi="Times New Roman"/>
          <w:sz w:val="24"/>
          <w:szCs w:val="24"/>
        </w:rPr>
        <w:t>in some key sectors such as health</w:t>
      </w:r>
      <w:r w:rsidR="00FC2101" w:rsidRPr="00D17BDC">
        <w:rPr>
          <w:rFonts w:ascii="Times New Roman" w:hAnsi="Times New Roman"/>
          <w:sz w:val="24"/>
          <w:szCs w:val="24"/>
        </w:rPr>
        <w:t>—</w:t>
      </w:r>
      <w:r w:rsidRPr="00D17BDC">
        <w:rPr>
          <w:rFonts w:ascii="Times New Roman" w:hAnsi="Times New Roman"/>
          <w:sz w:val="24"/>
          <w:szCs w:val="24"/>
        </w:rPr>
        <w:t>clearly h</w:t>
      </w:r>
      <w:r w:rsidR="00841934" w:rsidRPr="00D17BDC">
        <w:rPr>
          <w:rFonts w:ascii="Times New Roman" w:hAnsi="Times New Roman"/>
          <w:sz w:val="24"/>
          <w:szCs w:val="24"/>
        </w:rPr>
        <w:t>eavil</w:t>
      </w:r>
      <w:r w:rsidRPr="00D17BDC">
        <w:rPr>
          <w:rFonts w:ascii="Times New Roman" w:hAnsi="Times New Roman"/>
          <w:sz w:val="24"/>
          <w:szCs w:val="24"/>
        </w:rPr>
        <w:t>y fra</w:t>
      </w:r>
      <w:r w:rsidR="005274FC" w:rsidRPr="00D17BDC">
        <w:rPr>
          <w:rFonts w:ascii="Times New Roman" w:hAnsi="Times New Roman"/>
          <w:sz w:val="24"/>
          <w:szCs w:val="24"/>
        </w:rPr>
        <w:t>gmented development assistance.</w:t>
      </w:r>
      <w:r w:rsidR="00FC39B2" w:rsidRPr="00D17BDC">
        <w:rPr>
          <w:rFonts w:ascii="Times New Roman" w:hAnsi="Times New Roman"/>
          <w:sz w:val="24"/>
          <w:szCs w:val="24"/>
        </w:rPr>
        <w:t xml:space="preserve"> </w:t>
      </w:r>
      <w:r w:rsidR="009939CC" w:rsidRPr="00D17BDC">
        <w:rPr>
          <w:rFonts w:ascii="Times New Roman" w:hAnsi="Times New Roman"/>
          <w:sz w:val="24"/>
          <w:szCs w:val="24"/>
        </w:rPr>
        <w:t>While projects always aim to strengthen GoK capacity</w:t>
      </w:r>
      <w:r w:rsidR="00C0349A" w:rsidRPr="00D17BDC">
        <w:rPr>
          <w:rFonts w:ascii="Times New Roman" w:hAnsi="Times New Roman"/>
          <w:sz w:val="24"/>
          <w:szCs w:val="24"/>
        </w:rPr>
        <w:t xml:space="preserve">, if there is no genuine attempt to use </w:t>
      </w:r>
      <w:r w:rsidR="007A3108" w:rsidRPr="00D17BDC">
        <w:rPr>
          <w:rFonts w:ascii="Times New Roman" w:hAnsi="Times New Roman"/>
          <w:sz w:val="24"/>
          <w:szCs w:val="24"/>
        </w:rPr>
        <w:t>G</w:t>
      </w:r>
      <w:r w:rsidR="00442ADD" w:rsidRPr="00D17BDC">
        <w:rPr>
          <w:rFonts w:ascii="Times New Roman" w:hAnsi="Times New Roman"/>
          <w:sz w:val="24"/>
          <w:szCs w:val="24"/>
        </w:rPr>
        <w:t>o</w:t>
      </w:r>
      <w:r w:rsidR="007A3108" w:rsidRPr="00D17BDC">
        <w:rPr>
          <w:rFonts w:ascii="Times New Roman" w:hAnsi="Times New Roman"/>
          <w:sz w:val="24"/>
          <w:szCs w:val="24"/>
        </w:rPr>
        <w:t xml:space="preserve">K institutions and systems </w:t>
      </w:r>
      <w:r w:rsidR="00C0349A" w:rsidRPr="00D17BDC">
        <w:rPr>
          <w:rFonts w:ascii="Times New Roman" w:hAnsi="Times New Roman"/>
          <w:sz w:val="24"/>
          <w:szCs w:val="24"/>
        </w:rPr>
        <w:t xml:space="preserve">to deliver the project and achieve results, there is a risk that capacity development </w:t>
      </w:r>
      <w:r w:rsidR="00442ADD" w:rsidRPr="00D17BDC">
        <w:rPr>
          <w:rFonts w:ascii="Times New Roman" w:hAnsi="Times New Roman"/>
          <w:sz w:val="24"/>
          <w:szCs w:val="24"/>
        </w:rPr>
        <w:t xml:space="preserve">will </w:t>
      </w:r>
      <w:r w:rsidR="00C0349A" w:rsidRPr="00D17BDC">
        <w:rPr>
          <w:rFonts w:ascii="Times New Roman" w:hAnsi="Times New Roman"/>
          <w:sz w:val="24"/>
          <w:szCs w:val="24"/>
        </w:rPr>
        <w:t>become a side activity not r</w:t>
      </w:r>
      <w:r w:rsidR="007A3108" w:rsidRPr="00D17BDC">
        <w:rPr>
          <w:rFonts w:ascii="Times New Roman" w:hAnsi="Times New Roman"/>
          <w:sz w:val="24"/>
          <w:szCs w:val="24"/>
        </w:rPr>
        <w:t>eceiving</w:t>
      </w:r>
      <w:r w:rsidR="00C0349A" w:rsidRPr="00D17BDC">
        <w:rPr>
          <w:rFonts w:ascii="Times New Roman" w:hAnsi="Times New Roman"/>
          <w:sz w:val="24"/>
          <w:szCs w:val="24"/>
        </w:rPr>
        <w:t xml:space="preserve"> the emphasis it requires.</w:t>
      </w:r>
      <w:r w:rsidR="007A3108" w:rsidRPr="00D17BDC">
        <w:rPr>
          <w:rFonts w:ascii="Times New Roman" w:hAnsi="Times New Roman"/>
          <w:sz w:val="24"/>
          <w:szCs w:val="24"/>
        </w:rPr>
        <w:t xml:space="preserve"> </w:t>
      </w:r>
      <w:r w:rsidR="00C0349A" w:rsidRPr="00D17BDC">
        <w:rPr>
          <w:rFonts w:ascii="Times New Roman" w:hAnsi="Times New Roman"/>
          <w:sz w:val="24"/>
          <w:szCs w:val="24"/>
        </w:rPr>
        <w:t>This is not to say that the current model is completely hands</w:t>
      </w:r>
      <w:r w:rsidR="00442ADD" w:rsidRPr="00D17BDC">
        <w:rPr>
          <w:rFonts w:ascii="Times New Roman" w:hAnsi="Times New Roman"/>
          <w:sz w:val="24"/>
          <w:szCs w:val="24"/>
        </w:rPr>
        <w:t>-</w:t>
      </w:r>
      <w:r w:rsidR="00C0349A" w:rsidRPr="00D17BDC">
        <w:rPr>
          <w:rFonts w:ascii="Times New Roman" w:hAnsi="Times New Roman"/>
          <w:sz w:val="24"/>
          <w:szCs w:val="24"/>
        </w:rPr>
        <w:t>off for GoK</w:t>
      </w:r>
      <w:r w:rsidR="00442ADD" w:rsidRPr="00D17BDC">
        <w:rPr>
          <w:rFonts w:ascii="Times New Roman" w:hAnsi="Times New Roman"/>
          <w:sz w:val="24"/>
          <w:szCs w:val="24"/>
        </w:rPr>
        <w:t>—i</w:t>
      </w:r>
      <w:r w:rsidR="00C0349A" w:rsidRPr="00D17BDC">
        <w:rPr>
          <w:rFonts w:ascii="Times New Roman" w:hAnsi="Times New Roman"/>
          <w:sz w:val="24"/>
          <w:szCs w:val="24"/>
        </w:rPr>
        <w:t>t</w:t>
      </w:r>
      <w:r w:rsidR="00442ADD" w:rsidRPr="00D17BDC">
        <w:rPr>
          <w:rFonts w:ascii="Times New Roman" w:hAnsi="Times New Roman"/>
          <w:sz w:val="24"/>
          <w:szCs w:val="24"/>
        </w:rPr>
        <w:t xml:space="preserve"> is</w:t>
      </w:r>
      <w:r w:rsidR="00C0349A" w:rsidRPr="00D17BDC">
        <w:rPr>
          <w:rFonts w:ascii="Times New Roman" w:hAnsi="Times New Roman"/>
          <w:sz w:val="24"/>
          <w:szCs w:val="24"/>
        </w:rPr>
        <w:t xml:space="preserve"> not. </w:t>
      </w:r>
      <w:r w:rsidR="007A3108" w:rsidRPr="00D17BDC">
        <w:rPr>
          <w:rFonts w:ascii="Times New Roman" w:hAnsi="Times New Roman"/>
          <w:sz w:val="24"/>
          <w:szCs w:val="24"/>
        </w:rPr>
        <w:t>The project-based approach preoccupies</w:t>
      </w:r>
      <w:r w:rsidR="009939CC" w:rsidRPr="00D17BDC">
        <w:rPr>
          <w:rFonts w:ascii="Times New Roman" w:hAnsi="Times New Roman"/>
          <w:sz w:val="24"/>
          <w:szCs w:val="24"/>
        </w:rPr>
        <w:t xml:space="preserve"> already</w:t>
      </w:r>
      <w:r w:rsidR="00DB4E4A" w:rsidRPr="00D17BDC">
        <w:rPr>
          <w:rFonts w:ascii="Times New Roman" w:hAnsi="Times New Roman"/>
          <w:sz w:val="24"/>
          <w:szCs w:val="24"/>
        </w:rPr>
        <w:t>-</w:t>
      </w:r>
      <w:r w:rsidR="009939CC" w:rsidRPr="00D17BDC">
        <w:rPr>
          <w:rFonts w:ascii="Times New Roman" w:hAnsi="Times New Roman"/>
          <w:sz w:val="24"/>
          <w:szCs w:val="24"/>
        </w:rPr>
        <w:t>thin GoK resources with multiple program oversight responsibilities</w:t>
      </w:r>
      <w:r w:rsidR="007A3108" w:rsidRPr="00D17BDC">
        <w:rPr>
          <w:rFonts w:ascii="Times New Roman" w:hAnsi="Times New Roman"/>
          <w:sz w:val="24"/>
          <w:szCs w:val="24"/>
        </w:rPr>
        <w:t xml:space="preserve">. </w:t>
      </w:r>
    </w:p>
    <w:p w:rsidR="006358F2" w:rsidRPr="00D17BDC" w:rsidRDefault="00FC39B2" w:rsidP="006358F2">
      <w:pPr>
        <w:spacing w:before="240" w:after="0" w:line="240" w:lineRule="auto"/>
        <w:rPr>
          <w:rFonts w:ascii="Times New Roman" w:hAnsi="Times New Roman"/>
          <w:sz w:val="24"/>
          <w:szCs w:val="24"/>
        </w:rPr>
      </w:pPr>
      <w:r w:rsidRPr="00D17BDC">
        <w:rPr>
          <w:rFonts w:ascii="Times New Roman" w:hAnsi="Times New Roman"/>
          <w:sz w:val="24"/>
          <w:szCs w:val="24"/>
        </w:rPr>
        <w:t>A structural shift from implementing aid through stand</w:t>
      </w:r>
      <w:r w:rsidR="00442ADD" w:rsidRPr="00D17BDC">
        <w:rPr>
          <w:rFonts w:ascii="Times New Roman" w:hAnsi="Times New Roman"/>
          <w:sz w:val="24"/>
          <w:szCs w:val="24"/>
        </w:rPr>
        <w:t>-</w:t>
      </w:r>
      <w:r w:rsidRPr="00D17BDC">
        <w:rPr>
          <w:rFonts w:ascii="Times New Roman" w:hAnsi="Times New Roman"/>
          <w:sz w:val="24"/>
          <w:szCs w:val="24"/>
        </w:rPr>
        <w:t xml:space="preserve">alone projects to a more integrated program-based approach using GoK systems, coupled with other </w:t>
      </w:r>
      <w:r w:rsidR="00442ADD" w:rsidRPr="00D17BDC">
        <w:rPr>
          <w:rFonts w:ascii="Times New Roman" w:hAnsi="Times New Roman"/>
          <w:sz w:val="24"/>
          <w:szCs w:val="24"/>
        </w:rPr>
        <w:t>ways of delivering</w:t>
      </w:r>
      <w:r w:rsidR="00771723" w:rsidRPr="00D17BDC">
        <w:rPr>
          <w:rFonts w:ascii="Times New Roman" w:hAnsi="Times New Roman"/>
          <w:sz w:val="24"/>
          <w:szCs w:val="24"/>
        </w:rPr>
        <w:t>—</w:t>
      </w:r>
      <w:r w:rsidRPr="00D17BDC">
        <w:rPr>
          <w:rFonts w:ascii="Times New Roman" w:hAnsi="Times New Roman"/>
          <w:sz w:val="24"/>
          <w:szCs w:val="24"/>
        </w:rPr>
        <w:t xml:space="preserve">such as </w:t>
      </w:r>
      <w:r w:rsidR="00070BE9">
        <w:rPr>
          <w:rFonts w:ascii="Times New Roman" w:hAnsi="Times New Roman"/>
          <w:sz w:val="24"/>
          <w:szCs w:val="24"/>
        </w:rPr>
        <w:t>PLA</w:t>
      </w:r>
      <w:r w:rsidR="00771723" w:rsidRPr="00D17BDC">
        <w:rPr>
          <w:rFonts w:ascii="Times New Roman" w:hAnsi="Times New Roman"/>
          <w:sz w:val="24"/>
          <w:szCs w:val="24"/>
        </w:rPr>
        <w:t>—</w:t>
      </w:r>
      <w:r w:rsidRPr="00D17BDC">
        <w:rPr>
          <w:rFonts w:ascii="Times New Roman" w:hAnsi="Times New Roman"/>
          <w:sz w:val="24"/>
          <w:szCs w:val="24"/>
        </w:rPr>
        <w:t>is required</w:t>
      </w:r>
      <w:r w:rsidR="009E05D4" w:rsidRPr="00D17BDC">
        <w:rPr>
          <w:rFonts w:ascii="Times New Roman" w:hAnsi="Times New Roman"/>
          <w:sz w:val="24"/>
          <w:szCs w:val="24"/>
        </w:rPr>
        <w:t xml:space="preserve">. </w:t>
      </w:r>
      <w:r w:rsidR="006358F2" w:rsidRPr="00D17BDC">
        <w:rPr>
          <w:rFonts w:ascii="Times New Roman" w:hAnsi="Times New Roman"/>
          <w:sz w:val="24"/>
          <w:szCs w:val="24"/>
        </w:rPr>
        <w:t>To do this</w:t>
      </w:r>
      <w:r w:rsidR="00FC2101" w:rsidRPr="00D17BDC">
        <w:rPr>
          <w:rFonts w:ascii="Times New Roman" w:hAnsi="Times New Roman"/>
          <w:sz w:val="24"/>
          <w:szCs w:val="24"/>
        </w:rPr>
        <w:t>,</w:t>
      </w:r>
      <w:r w:rsidR="006358F2" w:rsidRPr="00D17BDC">
        <w:rPr>
          <w:rFonts w:ascii="Times New Roman" w:hAnsi="Times New Roman"/>
          <w:sz w:val="24"/>
          <w:szCs w:val="24"/>
        </w:rPr>
        <w:t xml:space="preserve"> t</w:t>
      </w:r>
      <w:r w:rsidR="004701E6" w:rsidRPr="00D17BDC">
        <w:rPr>
          <w:rFonts w:ascii="Times New Roman" w:hAnsi="Times New Roman"/>
          <w:sz w:val="24"/>
          <w:szCs w:val="24"/>
        </w:rPr>
        <w:t>hree</w:t>
      </w:r>
      <w:r w:rsidR="006358F2" w:rsidRPr="00D17BDC">
        <w:rPr>
          <w:rFonts w:ascii="Times New Roman" w:hAnsi="Times New Roman"/>
          <w:sz w:val="24"/>
          <w:szCs w:val="24"/>
        </w:rPr>
        <w:t xml:space="preserve"> things need to be focused on: </w:t>
      </w:r>
    </w:p>
    <w:p w:rsidR="006358F2" w:rsidRPr="00D17BDC" w:rsidRDefault="00442ADD" w:rsidP="00807794">
      <w:pPr>
        <w:numPr>
          <w:ilvl w:val="0"/>
          <w:numId w:val="39"/>
        </w:numPr>
        <w:spacing w:before="120" w:after="0" w:line="240" w:lineRule="auto"/>
        <w:ind w:left="1077" w:hanging="357"/>
        <w:rPr>
          <w:rFonts w:ascii="Times New Roman" w:hAnsi="Times New Roman"/>
          <w:sz w:val="24"/>
          <w:szCs w:val="24"/>
        </w:rPr>
      </w:pPr>
      <w:r w:rsidRPr="00D17BDC">
        <w:rPr>
          <w:rFonts w:ascii="Times New Roman" w:hAnsi="Times New Roman"/>
          <w:sz w:val="24"/>
          <w:szCs w:val="24"/>
        </w:rPr>
        <w:t>d</w:t>
      </w:r>
      <w:r w:rsidR="006358F2" w:rsidRPr="00D17BDC">
        <w:rPr>
          <w:rFonts w:ascii="Times New Roman" w:hAnsi="Times New Roman"/>
          <w:sz w:val="24"/>
          <w:szCs w:val="24"/>
        </w:rPr>
        <w:t xml:space="preserve">eveloping coherent sector strategies that define </w:t>
      </w:r>
      <w:r w:rsidR="009E05D4" w:rsidRPr="00D17BDC">
        <w:rPr>
          <w:rFonts w:ascii="Times New Roman" w:hAnsi="Times New Roman"/>
          <w:sz w:val="24"/>
          <w:szCs w:val="24"/>
        </w:rPr>
        <w:t>‘</w:t>
      </w:r>
      <w:r w:rsidR="006358F2" w:rsidRPr="00D17BDC">
        <w:rPr>
          <w:rFonts w:ascii="Times New Roman" w:hAnsi="Times New Roman"/>
          <w:sz w:val="24"/>
          <w:szCs w:val="24"/>
        </w:rPr>
        <w:t>what success looks like</w:t>
      </w:r>
      <w:r w:rsidR="00A805AD" w:rsidRPr="00D17BDC">
        <w:rPr>
          <w:rFonts w:ascii="Times New Roman" w:hAnsi="Times New Roman"/>
          <w:sz w:val="24"/>
          <w:szCs w:val="24"/>
        </w:rPr>
        <w:t xml:space="preserve"> and costs</w:t>
      </w:r>
      <w:r w:rsidR="009E05D4" w:rsidRPr="00D17BDC">
        <w:rPr>
          <w:rFonts w:ascii="Times New Roman" w:hAnsi="Times New Roman"/>
          <w:sz w:val="24"/>
          <w:szCs w:val="24"/>
        </w:rPr>
        <w:t>’</w:t>
      </w:r>
      <w:r w:rsidR="004701E6" w:rsidRPr="00D17BDC">
        <w:rPr>
          <w:rFonts w:ascii="Times New Roman" w:hAnsi="Times New Roman"/>
          <w:sz w:val="24"/>
          <w:szCs w:val="24"/>
        </w:rPr>
        <w:t>;</w:t>
      </w:r>
      <w:r w:rsidR="006358F2" w:rsidRPr="00D17BDC">
        <w:rPr>
          <w:rFonts w:ascii="Times New Roman" w:hAnsi="Times New Roman"/>
          <w:sz w:val="24"/>
          <w:szCs w:val="24"/>
        </w:rPr>
        <w:t xml:space="preserve"> </w:t>
      </w:r>
    </w:p>
    <w:p w:rsidR="006358F2" w:rsidRPr="00D17BDC" w:rsidRDefault="00442ADD" w:rsidP="00807794">
      <w:pPr>
        <w:numPr>
          <w:ilvl w:val="0"/>
          <w:numId w:val="39"/>
        </w:numPr>
        <w:spacing w:before="120" w:after="0" w:line="240" w:lineRule="auto"/>
        <w:ind w:left="1077" w:hanging="357"/>
        <w:rPr>
          <w:rFonts w:ascii="Times New Roman" w:hAnsi="Times New Roman"/>
          <w:sz w:val="24"/>
          <w:szCs w:val="24"/>
        </w:rPr>
      </w:pPr>
      <w:r w:rsidRPr="00D17BDC">
        <w:rPr>
          <w:rFonts w:ascii="Times New Roman" w:hAnsi="Times New Roman"/>
          <w:sz w:val="24"/>
          <w:szCs w:val="24"/>
        </w:rPr>
        <w:t>s</w:t>
      </w:r>
      <w:r w:rsidR="006358F2" w:rsidRPr="00D17BDC">
        <w:rPr>
          <w:rFonts w:ascii="Times New Roman" w:hAnsi="Times New Roman"/>
          <w:sz w:val="24"/>
          <w:szCs w:val="24"/>
        </w:rPr>
        <w:t xml:space="preserve">trengthening institutional capacity to deliver development results, which includes improving </w:t>
      </w:r>
      <w:r w:rsidR="00C64177" w:rsidRPr="00D17BDC">
        <w:rPr>
          <w:rFonts w:ascii="Times New Roman" w:hAnsi="Times New Roman"/>
          <w:sz w:val="24"/>
          <w:szCs w:val="24"/>
        </w:rPr>
        <w:t>PFM</w:t>
      </w:r>
      <w:r w:rsidR="006358F2" w:rsidRPr="00D17BDC">
        <w:rPr>
          <w:rFonts w:ascii="Times New Roman" w:hAnsi="Times New Roman"/>
          <w:sz w:val="24"/>
          <w:szCs w:val="24"/>
        </w:rPr>
        <w:t xml:space="preserve"> and monitoring and evaluation</w:t>
      </w:r>
      <w:r w:rsidR="00D155FD" w:rsidRPr="00D17BDC">
        <w:rPr>
          <w:rFonts w:ascii="Times New Roman" w:hAnsi="Times New Roman"/>
          <w:sz w:val="24"/>
          <w:szCs w:val="24"/>
        </w:rPr>
        <w:t xml:space="preserve"> </w:t>
      </w:r>
      <w:r w:rsidR="006358F2" w:rsidRPr="00D17BDC">
        <w:rPr>
          <w:rFonts w:ascii="Times New Roman" w:hAnsi="Times New Roman"/>
          <w:sz w:val="24"/>
          <w:szCs w:val="24"/>
        </w:rPr>
        <w:t>systems</w:t>
      </w:r>
      <w:r w:rsidR="004701E6" w:rsidRPr="00D17BDC">
        <w:rPr>
          <w:rFonts w:ascii="Times New Roman" w:hAnsi="Times New Roman"/>
          <w:sz w:val="24"/>
          <w:szCs w:val="24"/>
        </w:rPr>
        <w:t>; and</w:t>
      </w:r>
      <w:r w:rsidR="009E05D4" w:rsidRPr="00D17BDC">
        <w:rPr>
          <w:rFonts w:ascii="Times New Roman" w:hAnsi="Times New Roman"/>
          <w:sz w:val="24"/>
          <w:szCs w:val="24"/>
        </w:rPr>
        <w:t xml:space="preserve"> </w:t>
      </w:r>
    </w:p>
    <w:p w:rsidR="00FC2098" w:rsidRPr="00D17BDC" w:rsidRDefault="001B7E92" w:rsidP="00807794">
      <w:pPr>
        <w:numPr>
          <w:ilvl w:val="0"/>
          <w:numId w:val="39"/>
        </w:numPr>
        <w:spacing w:before="120" w:after="0" w:line="240" w:lineRule="auto"/>
        <w:ind w:left="1077" w:hanging="357"/>
        <w:rPr>
          <w:rFonts w:ascii="Times New Roman" w:hAnsi="Times New Roman"/>
          <w:sz w:val="24"/>
          <w:szCs w:val="24"/>
        </w:rPr>
      </w:pPr>
      <w:proofErr w:type="gramStart"/>
      <w:r>
        <w:rPr>
          <w:rFonts w:ascii="Times New Roman" w:hAnsi="Times New Roman"/>
          <w:sz w:val="24"/>
          <w:szCs w:val="24"/>
        </w:rPr>
        <w:t>d</w:t>
      </w:r>
      <w:r w:rsidR="00FC2098" w:rsidRPr="00D17BDC">
        <w:rPr>
          <w:rFonts w:ascii="Times New Roman" w:hAnsi="Times New Roman"/>
          <w:sz w:val="24"/>
          <w:szCs w:val="24"/>
        </w:rPr>
        <w:t>onors</w:t>
      </w:r>
      <w:proofErr w:type="gramEnd"/>
      <w:r w:rsidR="00FC2098" w:rsidRPr="00D17BDC">
        <w:rPr>
          <w:rFonts w:ascii="Times New Roman" w:hAnsi="Times New Roman"/>
          <w:sz w:val="24"/>
          <w:szCs w:val="24"/>
        </w:rPr>
        <w:t xml:space="preserve"> commit</w:t>
      </w:r>
      <w:r w:rsidR="004701E6" w:rsidRPr="00D17BDC">
        <w:rPr>
          <w:rFonts w:ascii="Times New Roman" w:hAnsi="Times New Roman"/>
          <w:sz w:val="24"/>
          <w:szCs w:val="24"/>
        </w:rPr>
        <w:t>ting</w:t>
      </w:r>
      <w:r w:rsidR="00FC2098" w:rsidRPr="00D17BDC">
        <w:rPr>
          <w:rFonts w:ascii="Times New Roman" w:hAnsi="Times New Roman"/>
          <w:sz w:val="24"/>
          <w:szCs w:val="24"/>
        </w:rPr>
        <w:t xml:space="preserve"> to working though GoK institutions and systems and therefore </w:t>
      </w:r>
      <w:r w:rsidR="009E05D4" w:rsidRPr="00D17BDC">
        <w:rPr>
          <w:rFonts w:ascii="Times New Roman" w:hAnsi="Times New Roman"/>
          <w:sz w:val="24"/>
          <w:szCs w:val="24"/>
        </w:rPr>
        <w:t>‘</w:t>
      </w:r>
      <w:r w:rsidR="00FC2098" w:rsidRPr="00D17BDC">
        <w:rPr>
          <w:rFonts w:ascii="Times New Roman" w:hAnsi="Times New Roman"/>
          <w:sz w:val="24"/>
          <w:szCs w:val="24"/>
        </w:rPr>
        <w:t>strengthen by doing</w:t>
      </w:r>
      <w:r w:rsidR="009E05D4" w:rsidRPr="00D17BDC">
        <w:rPr>
          <w:rFonts w:ascii="Times New Roman" w:hAnsi="Times New Roman"/>
          <w:sz w:val="24"/>
          <w:szCs w:val="24"/>
        </w:rPr>
        <w:t>’</w:t>
      </w:r>
      <w:r w:rsidR="00442ADD" w:rsidRPr="00D17BDC">
        <w:rPr>
          <w:rFonts w:ascii="Times New Roman" w:hAnsi="Times New Roman"/>
          <w:sz w:val="24"/>
          <w:szCs w:val="24"/>
        </w:rPr>
        <w:t>.</w:t>
      </w:r>
    </w:p>
    <w:p w:rsidR="00FC2098" w:rsidRPr="00D17BDC" w:rsidRDefault="00A805AD" w:rsidP="00FC2098">
      <w:pPr>
        <w:spacing w:before="240" w:after="0" w:line="240" w:lineRule="auto"/>
        <w:rPr>
          <w:rFonts w:ascii="Times New Roman" w:hAnsi="Times New Roman"/>
          <w:sz w:val="24"/>
          <w:szCs w:val="24"/>
        </w:rPr>
      </w:pPr>
      <w:r w:rsidRPr="00D17BDC">
        <w:rPr>
          <w:rFonts w:ascii="Times New Roman" w:hAnsi="Times New Roman"/>
          <w:sz w:val="24"/>
          <w:szCs w:val="24"/>
        </w:rPr>
        <w:t xml:space="preserve">The </w:t>
      </w:r>
      <w:r w:rsidR="008C2D20" w:rsidRPr="00D17BDC">
        <w:rPr>
          <w:rFonts w:ascii="Times New Roman" w:hAnsi="Times New Roman"/>
          <w:sz w:val="24"/>
          <w:szCs w:val="24"/>
        </w:rPr>
        <w:t>Go</w:t>
      </w:r>
      <w:r w:rsidR="00442ADD" w:rsidRPr="00D17BDC">
        <w:rPr>
          <w:rFonts w:ascii="Times New Roman" w:hAnsi="Times New Roman"/>
          <w:sz w:val="24"/>
          <w:szCs w:val="24"/>
        </w:rPr>
        <w:t>vernment of Australia</w:t>
      </w:r>
      <w:r w:rsidR="008C2D20" w:rsidRPr="00D17BDC">
        <w:rPr>
          <w:rFonts w:ascii="Times New Roman" w:hAnsi="Times New Roman"/>
          <w:sz w:val="24"/>
          <w:szCs w:val="24"/>
        </w:rPr>
        <w:t xml:space="preserve"> reiterated its commitment to increase the share of aid directly managed by GoK (currently estimated at 7 per cent) and explained this will be subject to conducting an assessment of national systems. </w:t>
      </w:r>
      <w:r w:rsidRPr="00D17BDC">
        <w:rPr>
          <w:rFonts w:ascii="Times New Roman" w:hAnsi="Times New Roman"/>
          <w:sz w:val="24"/>
          <w:szCs w:val="24"/>
        </w:rPr>
        <w:t xml:space="preserve">One main objective under </w:t>
      </w:r>
      <w:r w:rsidR="00797BD1" w:rsidRPr="00D17BDC">
        <w:rPr>
          <w:rFonts w:ascii="Times New Roman" w:hAnsi="Times New Roman"/>
          <w:sz w:val="24"/>
          <w:szCs w:val="24"/>
        </w:rPr>
        <w:t xml:space="preserve">KEIP </w:t>
      </w:r>
      <w:r w:rsidRPr="00D17BDC">
        <w:rPr>
          <w:rFonts w:ascii="Times New Roman" w:hAnsi="Times New Roman"/>
          <w:sz w:val="24"/>
          <w:szCs w:val="24"/>
        </w:rPr>
        <w:t>and the TVET</w:t>
      </w:r>
      <w:r w:rsidR="00797BD1" w:rsidRPr="00D17BDC">
        <w:rPr>
          <w:rFonts w:ascii="Times New Roman" w:hAnsi="Times New Roman"/>
          <w:sz w:val="24"/>
          <w:szCs w:val="24"/>
        </w:rPr>
        <w:t>SSP</w:t>
      </w:r>
      <w:r w:rsidRPr="00D17BDC">
        <w:rPr>
          <w:rFonts w:ascii="Times New Roman" w:hAnsi="Times New Roman"/>
          <w:sz w:val="24"/>
          <w:szCs w:val="24"/>
        </w:rPr>
        <w:t xml:space="preserve"> is to </w:t>
      </w:r>
      <w:r w:rsidR="00FC2098" w:rsidRPr="00D17BDC">
        <w:rPr>
          <w:rFonts w:ascii="Times New Roman" w:hAnsi="Times New Roman"/>
          <w:sz w:val="24"/>
          <w:szCs w:val="24"/>
        </w:rPr>
        <w:t xml:space="preserve">transition from having </w:t>
      </w:r>
      <w:r w:rsidR="00442ADD" w:rsidRPr="00D17BDC">
        <w:rPr>
          <w:rFonts w:ascii="Times New Roman" w:hAnsi="Times New Roman"/>
          <w:sz w:val="24"/>
          <w:szCs w:val="24"/>
        </w:rPr>
        <w:t>m</w:t>
      </w:r>
      <w:r w:rsidR="00FC2098" w:rsidRPr="00D17BDC">
        <w:rPr>
          <w:rFonts w:ascii="Times New Roman" w:hAnsi="Times New Roman"/>
          <w:sz w:val="24"/>
          <w:szCs w:val="24"/>
        </w:rPr>
        <w:t xml:space="preserve">anaging </w:t>
      </w:r>
      <w:r w:rsidR="00442ADD" w:rsidRPr="00D17BDC">
        <w:rPr>
          <w:rFonts w:ascii="Times New Roman" w:hAnsi="Times New Roman"/>
          <w:sz w:val="24"/>
          <w:szCs w:val="24"/>
        </w:rPr>
        <w:t>c</w:t>
      </w:r>
      <w:r w:rsidR="00FC2098" w:rsidRPr="00D17BDC">
        <w:rPr>
          <w:rFonts w:ascii="Times New Roman" w:hAnsi="Times New Roman"/>
          <w:sz w:val="24"/>
          <w:szCs w:val="24"/>
        </w:rPr>
        <w:t>ontractors manage the implementation of programs to GoK having direct implementation responsibilities. This is being achieved in a phased approach, and could be a model to be replicated by other line ministries with other donors</w:t>
      </w:r>
      <w:r w:rsidR="009E05D4" w:rsidRPr="00D17BDC">
        <w:rPr>
          <w:rFonts w:ascii="Times New Roman" w:hAnsi="Times New Roman"/>
          <w:sz w:val="24"/>
          <w:szCs w:val="24"/>
        </w:rPr>
        <w:t xml:space="preserve">. </w:t>
      </w:r>
    </w:p>
    <w:p w:rsidR="006358F2" w:rsidRPr="00D17BDC" w:rsidRDefault="006358F2" w:rsidP="00FC2098">
      <w:pPr>
        <w:spacing w:before="240" w:after="0" w:line="240" w:lineRule="auto"/>
        <w:rPr>
          <w:rFonts w:ascii="Times New Roman" w:hAnsi="Times New Roman"/>
          <w:sz w:val="24"/>
          <w:szCs w:val="24"/>
        </w:rPr>
      </w:pPr>
      <w:r w:rsidRPr="00D17BDC">
        <w:rPr>
          <w:rFonts w:ascii="Times New Roman" w:hAnsi="Times New Roman"/>
          <w:sz w:val="24"/>
          <w:szCs w:val="24"/>
        </w:rPr>
        <w:t xml:space="preserve">GoK has placed high priority on improving </w:t>
      </w:r>
      <w:r w:rsidR="00C64177" w:rsidRPr="00D17BDC">
        <w:rPr>
          <w:rFonts w:ascii="Times New Roman" w:hAnsi="Times New Roman"/>
          <w:sz w:val="24"/>
          <w:szCs w:val="24"/>
        </w:rPr>
        <w:t>PFM</w:t>
      </w:r>
      <w:r w:rsidRPr="00D17BDC">
        <w:rPr>
          <w:rFonts w:ascii="Times New Roman" w:hAnsi="Times New Roman"/>
          <w:sz w:val="24"/>
          <w:szCs w:val="24"/>
        </w:rPr>
        <w:t xml:space="preserve"> systems. </w:t>
      </w:r>
      <w:r w:rsidR="00A805AD" w:rsidRPr="00D17BDC">
        <w:rPr>
          <w:rFonts w:ascii="Times New Roman" w:hAnsi="Times New Roman"/>
          <w:sz w:val="24"/>
          <w:szCs w:val="24"/>
        </w:rPr>
        <w:t>In the lead</w:t>
      </w:r>
      <w:r w:rsidR="00442ADD" w:rsidRPr="00D17BDC">
        <w:rPr>
          <w:rFonts w:ascii="Times New Roman" w:hAnsi="Times New Roman"/>
          <w:sz w:val="24"/>
          <w:szCs w:val="24"/>
        </w:rPr>
        <w:t>-</w:t>
      </w:r>
      <w:r w:rsidR="00A805AD" w:rsidRPr="00D17BDC">
        <w:rPr>
          <w:rFonts w:ascii="Times New Roman" w:hAnsi="Times New Roman"/>
          <w:sz w:val="24"/>
          <w:szCs w:val="24"/>
        </w:rPr>
        <w:t xml:space="preserve">up to the </w:t>
      </w:r>
      <w:r w:rsidR="00C97384" w:rsidRPr="00D17BDC">
        <w:rPr>
          <w:rFonts w:ascii="Times New Roman" w:hAnsi="Times New Roman"/>
          <w:sz w:val="24"/>
          <w:szCs w:val="24"/>
        </w:rPr>
        <w:t xml:space="preserve">Partnership </w:t>
      </w:r>
      <w:r w:rsidR="00A805AD" w:rsidRPr="00D17BDC">
        <w:rPr>
          <w:rFonts w:ascii="Times New Roman" w:hAnsi="Times New Roman"/>
          <w:sz w:val="24"/>
          <w:szCs w:val="24"/>
        </w:rPr>
        <w:t xml:space="preserve">Talks, discussions were </w:t>
      </w:r>
      <w:r w:rsidR="00442ADD" w:rsidRPr="00D17BDC">
        <w:rPr>
          <w:rFonts w:ascii="Times New Roman" w:hAnsi="Times New Roman"/>
          <w:sz w:val="24"/>
          <w:szCs w:val="24"/>
        </w:rPr>
        <w:t>held on</w:t>
      </w:r>
      <w:r w:rsidRPr="00D17BDC">
        <w:rPr>
          <w:rFonts w:ascii="Times New Roman" w:hAnsi="Times New Roman"/>
          <w:sz w:val="24"/>
          <w:szCs w:val="24"/>
        </w:rPr>
        <w:t xml:space="preserve"> </w:t>
      </w:r>
      <w:r w:rsidR="009E05D4" w:rsidRPr="00D17BDC">
        <w:rPr>
          <w:rFonts w:ascii="Times New Roman" w:hAnsi="Times New Roman"/>
          <w:sz w:val="24"/>
          <w:szCs w:val="24"/>
        </w:rPr>
        <w:t>‘</w:t>
      </w:r>
      <w:r w:rsidRPr="00D17BDC">
        <w:rPr>
          <w:rFonts w:ascii="Times New Roman" w:hAnsi="Times New Roman"/>
          <w:sz w:val="24"/>
          <w:szCs w:val="24"/>
        </w:rPr>
        <w:t>when is enough, good enough</w:t>
      </w:r>
      <w:r w:rsidR="009E05D4" w:rsidRPr="00D17BDC">
        <w:rPr>
          <w:rFonts w:ascii="Times New Roman" w:hAnsi="Times New Roman"/>
          <w:sz w:val="24"/>
          <w:szCs w:val="24"/>
        </w:rPr>
        <w:t>’</w:t>
      </w:r>
      <w:r w:rsidRPr="00D17BDC">
        <w:rPr>
          <w:rFonts w:ascii="Times New Roman" w:hAnsi="Times New Roman"/>
          <w:sz w:val="24"/>
          <w:szCs w:val="24"/>
        </w:rPr>
        <w:t xml:space="preserve"> </w:t>
      </w:r>
      <w:r w:rsidR="00442ADD" w:rsidRPr="00D17BDC">
        <w:rPr>
          <w:rFonts w:ascii="Times New Roman" w:hAnsi="Times New Roman"/>
          <w:sz w:val="24"/>
          <w:szCs w:val="24"/>
        </w:rPr>
        <w:t xml:space="preserve">with </w:t>
      </w:r>
      <w:r w:rsidRPr="00D17BDC">
        <w:rPr>
          <w:rFonts w:ascii="Times New Roman" w:hAnsi="Times New Roman"/>
          <w:sz w:val="24"/>
          <w:szCs w:val="24"/>
        </w:rPr>
        <w:t xml:space="preserve">respect </w:t>
      </w:r>
      <w:r w:rsidR="00442ADD" w:rsidRPr="00D17BDC">
        <w:rPr>
          <w:rFonts w:ascii="Times New Roman" w:hAnsi="Times New Roman"/>
          <w:sz w:val="24"/>
          <w:szCs w:val="24"/>
        </w:rPr>
        <w:t xml:space="preserve">to </w:t>
      </w:r>
      <w:r w:rsidRPr="00D17BDC">
        <w:rPr>
          <w:rFonts w:ascii="Times New Roman" w:hAnsi="Times New Roman"/>
          <w:sz w:val="24"/>
          <w:szCs w:val="24"/>
        </w:rPr>
        <w:t>PFM reforms</w:t>
      </w:r>
      <w:r w:rsidR="00442ADD" w:rsidRPr="00D17BDC">
        <w:rPr>
          <w:rFonts w:ascii="Times New Roman" w:hAnsi="Times New Roman"/>
          <w:sz w:val="24"/>
          <w:szCs w:val="24"/>
        </w:rPr>
        <w:t>; whether</w:t>
      </w:r>
      <w:r w:rsidRPr="00D17BDC">
        <w:rPr>
          <w:rFonts w:ascii="Times New Roman" w:hAnsi="Times New Roman"/>
          <w:sz w:val="24"/>
          <w:szCs w:val="24"/>
        </w:rPr>
        <w:t xml:space="preserve"> AusAID </w:t>
      </w:r>
      <w:r w:rsidR="00442ADD" w:rsidRPr="00D17BDC">
        <w:rPr>
          <w:rFonts w:ascii="Times New Roman" w:hAnsi="Times New Roman"/>
          <w:sz w:val="24"/>
          <w:szCs w:val="24"/>
        </w:rPr>
        <w:t xml:space="preserve">is </w:t>
      </w:r>
      <w:r w:rsidRPr="00D17BDC">
        <w:rPr>
          <w:rFonts w:ascii="Times New Roman" w:hAnsi="Times New Roman"/>
          <w:sz w:val="24"/>
          <w:szCs w:val="24"/>
        </w:rPr>
        <w:t xml:space="preserve">clear on </w:t>
      </w:r>
      <w:r w:rsidR="00442ADD" w:rsidRPr="00D17BDC">
        <w:rPr>
          <w:rFonts w:ascii="Times New Roman" w:hAnsi="Times New Roman"/>
          <w:sz w:val="24"/>
          <w:szCs w:val="24"/>
        </w:rPr>
        <w:t>this; and</w:t>
      </w:r>
      <w:r w:rsidRPr="00D17BDC">
        <w:rPr>
          <w:rFonts w:ascii="Times New Roman" w:hAnsi="Times New Roman"/>
          <w:sz w:val="24"/>
          <w:szCs w:val="24"/>
        </w:rPr>
        <w:t xml:space="preserve"> what the standards</w:t>
      </w:r>
      <w:r w:rsidR="00442ADD" w:rsidRPr="00D17BDC">
        <w:rPr>
          <w:rFonts w:ascii="Times New Roman" w:hAnsi="Times New Roman"/>
          <w:sz w:val="24"/>
          <w:szCs w:val="24"/>
        </w:rPr>
        <w:t xml:space="preserve"> are.</w:t>
      </w:r>
    </w:p>
    <w:p w:rsidR="00A805AD" w:rsidRPr="00D17BDC" w:rsidRDefault="00A805AD" w:rsidP="00A805AD">
      <w:pPr>
        <w:spacing w:after="0" w:line="240" w:lineRule="auto"/>
        <w:rPr>
          <w:rFonts w:ascii="Times New Roman" w:hAnsi="Times New Roman"/>
          <w:sz w:val="24"/>
          <w:szCs w:val="24"/>
        </w:rPr>
      </w:pPr>
    </w:p>
    <w:p w:rsidR="00A805AD" w:rsidRPr="00807794" w:rsidRDefault="000C42DD" w:rsidP="00807794">
      <w:pPr>
        <w:spacing w:after="0" w:line="240" w:lineRule="auto"/>
        <w:rPr>
          <w:rFonts w:ascii="Calibri" w:hAnsi="Calibri"/>
        </w:rPr>
      </w:pPr>
      <w:r>
        <w:rPr>
          <w:rFonts w:ascii="Calibri" w:hAnsi="Calibri"/>
          <w:noProof/>
          <w:lang w:val="en-US" w:eastAsia="en-US"/>
        </w:rPr>
        <mc:AlternateContent>
          <mc:Choice Requires="wps">
            <w:drawing>
              <wp:inline distT="0" distB="0" distL="0" distR="0">
                <wp:extent cx="5943600" cy="1936750"/>
                <wp:effectExtent l="11430" t="10795" r="7620" b="5080"/>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3675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1E32" w:rsidRDefault="00807794" w:rsidP="00841E32">
                            <w:pPr>
                              <w:numPr>
                                <w:ilvl w:val="0"/>
                                <w:numId w:val="34"/>
                              </w:numPr>
                              <w:spacing w:after="0" w:line="240" w:lineRule="auto"/>
                              <w:rPr>
                                <w:rFonts w:ascii="Times New Roman" w:hAnsi="Times New Roman"/>
                                <w:sz w:val="24"/>
                                <w:szCs w:val="24"/>
                              </w:rPr>
                            </w:pPr>
                            <w:r w:rsidRPr="00841E32">
                              <w:rPr>
                                <w:rFonts w:ascii="Times New Roman" w:hAnsi="Times New Roman"/>
                                <w:sz w:val="24"/>
                                <w:szCs w:val="24"/>
                              </w:rPr>
                              <w:t>G</w:t>
                            </w:r>
                            <w:r>
                              <w:rPr>
                                <w:rFonts w:ascii="Times New Roman" w:hAnsi="Times New Roman"/>
                                <w:sz w:val="24"/>
                                <w:szCs w:val="24"/>
                              </w:rPr>
                              <w:t>overnment of Australia</w:t>
                            </w:r>
                            <w:r w:rsidRPr="00841E32">
                              <w:rPr>
                                <w:rFonts w:ascii="Times New Roman" w:hAnsi="Times New Roman"/>
                                <w:sz w:val="24"/>
                                <w:szCs w:val="24"/>
                              </w:rPr>
                              <w:t xml:space="preserve"> reiterated its commitment to increase share </w:t>
                            </w:r>
                            <w:r>
                              <w:rPr>
                                <w:rFonts w:ascii="Times New Roman" w:hAnsi="Times New Roman"/>
                                <w:sz w:val="24"/>
                                <w:szCs w:val="24"/>
                              </w:rPr>
                              <w:t>the amount of its</w:t>
                            </w:r>
                            <w:r w:rsidRPr="00841E32">
                              <w:rPr>
                                <w:rFonts w:ascii="Times New Roman" w:hAnsi="Times New Roman"/>
                                <w:sz w:val="24"/>
                                <w:szCs w:val="24"/>
                              </w:rPr>
                              <w:t xml:space="preserve"> </w:t>
                            </w:r>
                            <w:r w:rsidRPr="00D155FD">
                              <w:rPr>
                                <w:rFonts w:ascii="Times New Roman" w:hAnsi="Times New Roman"/>
                                <w:sz w:val="24"/>
                                <w:szCs w:val="24"/>
                              </w:rPr>
                              <w:t xml:space="preserve">official development assistance </w:t>
                            </w:r>
                            <w:r w:rsidRPr="00841E32">
                              <w:rPr>
                                <w:rFonts w:ascii="Times New Roman" w:hAnsi="Times New Roman"/>
                                <w:sz w:val="24"/>
                                <w:szCs w:val="24"/>
                              </w:rPr>
                              <w:t>directly managed by GoK (above 7</w:t>
                            </w:r>
                            <w:r>
                              <w:rPr>
                                <w:rFonts w:ascii="Times New Roman" w:hAnsi="Times New Roman"/>
                                <w:sz w:val="24"/>
                                <w:szCs w:val="24"/>
                              </w:rPr>
                              <w:t xml:space="preserve"> per cent</w:t>
                            </w:r>
                            <w:r w:rsidRPr="00841E32">
                              <w:rPr>
                                <w:rFonts w:ascii="Times New Roman" w:hAnsi="Times New Roman"/>
                                <w:sz w:val="24"/>
                                <w:szCs w:val="24"/>
                              </w:rPr>
                              <w:t>)</w:t>
                            </w:r>
                            <w:r>
                              <w:rPr>
                                <w:rFonts w:ascii="Times New Roman" w:hAnsi="Times New Roman"/>
                                <w:sz w:val="24"/>
                                <w:szCs w:val="24"/>
                              </w:rPr>
                              <w:t xml:space="preserve">, </w:t>
                            </w:r>
                            <w:r w:rsidRPr="00841E32">
                              <w:rPr>
                                <w:rFonts w:ascii="Times New Roman" w:hAnsi="Times New Roman"/>
                                <w:sz w:val="24"/>
                                <w:szCs w:val="24"/>
                              </w:rPr>
                              <w:t>subject to:</w:t>
                            </w:r>
                          </w:p>
                          <w:p w:rsidR="00807794" w:rsidRPr="00841E32" w:rsidRDefault="00807794" w:rsidP="00841E32">
                            <w:pPr>
                              <w:numPr>
                                <w:ilvl w:val="1"/>
                                <w:numId w:val="34"/>
                              </w:numPr>
                              <w:spacing w:after="0" w:line="240" w:lineRule="auto"/>
                              <w:rPr>
                                <w:rFonts w:ascii="Times New Roman" w:hAnsi="Times New Roman"/>
                                <w:sz w:val="24"/>
                                <w:szCs w:val="24"/>
                              </w:rPr>
                            </w:pPr>
                            <w:r w:rsidRPr="00841E32">
                              <w:rPr>
                                <w:rFonts w:ascii="Times New Roman" w:hAnsi="Times New Roman"/>
                                <w:sz w:val="24"/>
                                <w:szCs w:val="24"/>
                              </w:rPr>
                              <w:t>Go</w:t>
                            </w:r>
                            <w:r>
                              <w:rPr>
                                <w:rFonts w:ascii="Times New Roman" w:hAnsi="Times New Roman"/>
                                <w:sz w:val="24"/>
                                <w:szCs w:val="24"/>
                              </w:rPr>
                              <w:t>vernment of Australia</w:t>
                            </w:r>
                            <w:r w:rsidRPr="00841E32">
                              <w:rPr>
                                <w:rFonts w:ascii="Times New Roman" w:hAnsi="Times New Roman"/>
                                <w:sz w:val="24"/>
                                <w:szCs w:val="24"/>
                              </w:rPr>
                              <w:t xml:space="preserve"> to work with GoK in conducting </w:t>
                            </w:r>
                            <w:r>
                              <w:rPr>
                                <w:rFonts w:ascii="Times New Roman" w:hAnsi="Times New Roman"/>
                                <w:sz w:val="24"/>
                                <w:szCs w:val="24"/>
                              </w:rPr>
                              <w:t>an a</w:t>
                            </w:r>
                            <w:r w:rsidRPr="00841E32">
                              <w:rPr>
                                <w:rFonts w:ascii="Times New Roman" w:hAnsi="Times New Roman"/>
                                <w:sz w:val="24"/>
                                <w:szCs w:val="24"/>
                              </w:rPr>
                              <w:t xml:space="preserve">ssessment of </w:t>
                            </w:r>
                            <w:r>
                              <w:rPr>
                                <w:rFonts w:ascii="Times New Roman" w:hAnsi="Times New Roman"/>
                                <w:sz w:val="24"/>
                                <w:szCs w:val="24"/>
                              </w:rPr>
                              <w:t>n</w:t>
                            </w:r>
                            <w:r w:rsidRPr="00841E32">
                              <w:rPr>
                                <w:rFonts w:ascii="Times New Roman" w:hAnsi="Times New Roman"/>
                                <w:sz w:val="24"/>
                                <w:szCs w:val="24"/>
                              </w:rPr>
                              <w:t xml:space="preserve">ational </w:t>
                            </w:r>
                            <w:r>
                              <w:rPr>
                                <w:rFonts w:ascii="Times New Roman" w:hAnsi="Times New Roman"/>
                                <w:sz w:val="24"/>
                                <w:szCs w:val="24"/>
                              </w:rPr>
                              <w:t>s</w:t>
                            </w:r>
                            <w:r w:rsidRPr="00841E32">
                              <w:rPr>
                                <w:rFonts w:ascii="Times New Roman" w:hAnsi="Times New Roman"/>
                                <w:sz w:val="24"/>
                                <w:szCs w:val="24"/>
                              </w:rPr>
                              <w:t>ystems</w:t>
                            </w:r>
                          </w:p>
                          <w:p w:rsidR="00807794" w:rsidRPr="00841E32" w:rsidRDefault="00807794" w:rsidP="00841E32">
                            <w:pPr>
                              <w:numPr>
                                <w:ilvl w:val="1"/>
                                <w:numId w:val="34"/>
                              </w:numPr>
                              <w:spacing w:after="0" w:line="240" w:lineRule="auto"/>
                              <w:rPr>
                                <w:rFonts w:ascii="Times New Roman" w:hAnsi="Times New Roman"/>
                                <w:sz w:val="24"/>
                                <w:szCs w:val="24"/>
                              </w:rPr>
                            </w:pPr>
                            <w:r w:rsidRPr="00841E32">
                              <w:rPr>
                                <w:rFonts w:ascii="Times New Roman" w:hAnsi="Times New Roman"/>
                                <w:sz w:val="24"/>
                                <w:szCs w:val="24"/>
                              </w:rPr>
                              <w:t xml:space="preserve">GoK to continue to lead on PFM reforms and improving </w:t>
                            </w:r>
                            <w:r>
                              <w:rPr>
                                <w:rFonts w:ascii="Times New Roman" w:hAnsi="Times New Roman"/>
                                <w:sz w:val="24"/>
                                <w:szCs w:val="24"/>
                              </w:rPr>
                              <w:t xml:space="preserve">monitoring and evaluation </w:t>
                            </w:r>
                            <w:r w:rsidRPr="00841E32">
                              <w:rPr>
                                <w:rFonts w:ascii="Times New Roman" w:hAnsi="Times New Roman"/>
                                <w:sz w:val="24"/>
                                <w:szCs w:val="24"/>
                              </w:rPr>
                              <w:t>data</w:t>
                            </w:r>
                            <w:r>
                              <w:rPr>
                                <w:rFonts w:ascii="Times New Roman" w:hAnsi="Times New Roman"/>
                                <w:sz w:val="24"/>
                                <w:szCs w:val="24"/>
                              </w:rPr>
                              <w:t>.</w:t>
                            </w:r>
                          </w:p>
                          <w:p w:rsidR="00807794" w:rsidRPr="00841E32" w:rsidRDefault="00807794" w:rsidP="00841E32">
                            <w:pPr>
                              <w:numPr>
                                <w:ilvl w:val="0"/>
                                <w:numId w:val="34"/>
                              </w:numPr>
                              <w:spacing w:after="0" w:line="240" w:lineRule="auto"/>
                              <w:rPr>
                                <w:rFonts w:ascii="Times New Roman" w:hAnsi="Times New Roman"/>
                                <w:sz w:val="24"/>
                                <w:szCs w:val="24"/>
                              </w:rPr>
                            </w:pPr>
                            <w:r w:rsidRPr="00841E32">
                              <w:rPr>
                                <w:rFonts w:ascii="Times New Roman" w:hAnsi="Times New Roman"/>
                                <w:sz w:val="24"/>
                                <w:szCs w:val="24"/>
                              </w:rPr>
                              <w:t>GoK and Go</w:t>
                            </w:r>
                            <w:r>
                              <w:rPr>
                                <w:rFonts w:ascii="Times New Roman" w:hAnsi="Times New Roman"/>
                                <w:sz w:val="24"/>
                                <w:szCs w:val="24"/>
                              </w:rPr>
                              <w:t>vernment of Australia</w:t>
                            </w:r>
                            <w:r w:rsidRPr="00841E32">
                              <w:rPr>
                                <w:rFonts w:ascii="Times New Roman" w:hAnsi="Times New Roman"/>
                                <w:sz w:val="24"/>
                                <w:szCs w:val="24"/>
                              </w:rPr>
                              <w:t xml:space="preserve"> agree to strengthen capacity of M</w:t>
                            </w:r>
                            <w:r>
                              <w:rPr>
                                <w:rFonts w:ascii="Times New Roman" w:hAnsi="Times New Roman"/>
                                <w:sz w:val="24"/>
                                <w:szCs w:val="24"/>
                              </w:rPr>
                              <w:t>inistry of Education and</w:t>
                            </w:r>
                            <w:r w:rsidRPr="00841E32">
                              <w:rPr>
                                <w:rFonts w:ascii="Times New Roman" w:hAnsi="Times New Roman"/>
                                <w:sz w:val="24"/>
                                <w:szCs w:val="24"/>
                              </w:rPr>
                              <w:t xml:space="preserve"> MLHRD particularly in context of designing and implementing next phases of KEIP and TVETSSP.</w:t>
                            </w:r>
                          </w:p>
                          <w:p w:rsidR="00807794" w:rsidRDefault="00807794" w:rsidP="00841E32">
                            <w:pPr>
                              <w:spacing w:after="0" w:line="240" w:lineRule="auto"/>
                              <w:rPr>
                                <w:rFonts w:ascii="Calibri" w:hAnsi="Calibri"/>
                              </w:rPr>
                            </w:pPr>
                          </w:p>
                          <w:p w:rsidR="00807794" w:rsidRPr="00A805AD" w:rsidRDefault="00807794" w:rsidP="00FC2098">
                            <w:pPr>
                              <w:spacing w:after="0" w:line="240" w:lineRule="auto"/>
                              <w:rPr>
                                <w:rFonts w:ascii="Calibri" w:hAnsi="Calibri"/>
                              </w:rPr>
                            </w:pPr>
                          </w:p>
                        </w:txbxContent>
                      </wps:txbx>
                      <wps:bodyPr rot="0" vert="horz" wrap="square" lIns="91440" tIns="45720" rIns="91440" bIns="45720" anchor="t" anchorCtr="0" upright="1">
                        <a:noAutofit/>
                      </wps:bodyPr>
                    </wps:wsp>
                  </a:graphicData>
                </a:graphic>
              </wp:inline>
            </w:drawing>
          </mc:Choice>
          <mc:Fallback>
            <w:pict>
              <v:shape id="Text Box 26" o:spid="_x0000_s1034" type="#_x0000_t202" style="width:46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841E32" w:rsidRDefault="00807794" w:rsidP="00841E32">
                      <w:pPr>
                        <w:numPr>
                          <w:ilvl w:val="0"/>
                          <w:numId w:val="34"/>
                        </w:numPr>
                        <w:spacing w:after="0" w:line="240" w:lineRule="auto"/>
                        <w:rPr>
                          <w:rFonts w:ascii="Times New Roman" w:hAnsi="Times New Roman"/>
                          <w:sz w:val="24"/>
                          <w:szCs w:val="24"/>
                        </w:rPr>
                      </w:pPr>
                      <w:r w:rsidRPr="00841E32">
                        <w:rPr>
                          <w:rFonts w:ascii="Times New Roman" w:hAnsi="Times New Roman"/>
                          <w:sz w:val="24"/>
                          <w:szCs w:val="24"/>
                        </w:rPr>
                        <w:t>G</w:t>
                      </w:r>
                      <w:r>
                        <w:rPr>
                          <w:rFonts w:ascii="Times New Roman" w:hAnsi="Times New Roman"/>
                          <w:sz w:val="24"/>
                          <w:szCs w:val="24"/>
                        </w:rPr>
                        <w:t>overnment of Australia</w:t>
                      </w:r>
                      <w:r w:rsidRPr="00841E32">
                        <w:rPr>
                          <w:rFonts w:ascii="Times New Roman" w:hAnsi="Times New Roman"/>
                          <w:sz w:val="24"/>
                          <w:szCs w:val="24"/>
                        </w:rPr>
                        <w:t xml:space="preserve"> reiterated its commitment to increase share </w:t>
                      </w:r>
                      <w:r>
                        <w:rPr>
                          <w:rFonts w:ascii="Times New Roman" w:hAnsi="Times New Roman"/>
                          <w:sz w:val="24"/>
                          <w:szCs w:val="24"/>
                        </w:rPr>
                        <w:t>the amount of its</w:t>
                      </w:r>
                      <w:r w:rsidRPr="00841E32">
                        <w:rPr>
                          <w:rFonts w:ascii="Times New Roman" w:hAnsi="Times New Roman"/>
                          <w:sz w:val="24"/>
                          <w:szCs w:val="24"/>
                        </w:rPr>
                        <w:t xml:space="preserve"> </w:t>
                      </w:r>
                      <w:r w:rsidRPr="00D155FD">
                        <w:rPr>
                          <w:rFonts w:ascii="Times New Roman" w:hAnsi="Times New Roman"/>
                          <w:sz w:val="24"/>
                          <w:szCs w:val="24"/>
                        </w:rPr>
                        <w:t xml:space="preserve">official development assistance </w:t>
                      </w:r>
                      <w:r w:rsidRPr="00841E32">
                        <w:rPr>
                          <w:rFonts w:ascii="Times New Roman" w:hAnsi="Times New Roman"/>
                          <w:sz w:val="24"/>
                          <w:szCs w:val="24"/>
                        </w:rPr>
                        <w:t>directly managed by GoK (above 7</w:t>
                      </w:r>
                      <w:r>
                        <w:rPr>
                          <w:rFonts w:ascii="Times New Roman" w:hAnsi="Times New Roman"/>
                          <w:sz w:val="24"/>
                          <w:szCs w:val="24"/>
                        </w:rPr>
                        <w:t xml:space="preserve"> per cent</w:t>
                      </w:r>
                      <w:r w:rsidRPr="00841E32">
                        <w:rPr>
                          <w:rFonts w:ascii="Times New Roman" w:hAnsi="Times New Roman"/>
                          <w:sz w:val="24"/>
                          <w:szCs w:val="24"/>
                        </w:rPr>
                        <w:t>)</w:t>
                      </w:r>
                      <w:r>
                        <w:rPr>
                          <w:rFonts w:ascii="Times New Roman" w:hAnsi="Times New Roman"/>
                          <w:sz w:val="24"/>
                          <w:szCs w:val="24"/>
                        </w:rPr>
                        <w:t xml:space="preserve">, </w:t>
                      </w:r>
                      <w:r w:rsidRPr="00841E32">
                        <w:rPr>
                          <w:rFonts w:ascii="Times New Roman" w:hAnsi="Times New Roman"/>
                          <w:sz w:val="24"/>
                          <w:szCs w:val="24"/>
                        </w:rPr>
                        <w:t>subject to:</w:t>
                      </w:r>
                    </w:p>
                    <w:p w:rsidR="00807794" w:rsidRPr="00841E32" w:rsidRDefault="00807794" w:rsidP="00841E32">
                      <w:pPr>
                        <w:numPr>
                          <w:ilvl w:val="1"/>
                          <w:numId w:val="34"/>
                        </w:numPr>
                        <w:spacing w:after="0" w:line="240" w:lineRule="auto"/>
                        <w:rPr>
                          <w:rFonts w:ascii="Times New Roman" w:hAnsi="Times New Roman"/>
                          <w:sz w:val="24"/>
                          <w:szCs w:val="24"/>
                        </w:rPr>
                      </w:pPr>
                      <w:r w:rsidRPr="00841E32">
                        <w:rPr>
                          <w:rFonts w:ascii="Times New Roman" w:hAnsi="Times New Roman"/>
                          <w:sz w:val="24"/>
                          <w:szCs w:val="24"/>
                        </w:rPr>
                        <w:t>Go</w:t>
                      </w:r>
                      <w:r>
                        <w:rPr>
                          <w:rFonts w:ascii="Times New Roman" w:hAnsi="Times New Roman"/>
                          <w:sz w:val="24"/>
                          <w:szCs w:val="24"/>
                        </w:rPr>
                        <w:t>vernment of Australia</w:t>
                      </w:r>
                      <w:r w:rsidRPr="00841E32">
                        <w:rPr>
                          <w:rFonts w:ascii="Times New Roman" w:hAnsi="Times New Roman"/>
                          <w:sz w:val="24"/>
                          <w:szCs w:val="24"/>
                        </w:rPr>
                        <w:t xml:space="preserve"> to work with GoK in conducting </w:t>
                      </w:r>
                      <w:r>
                        <w:rPr>
                          <w:rFonts w:ascii="Times New Roman" w:hAnsi="Times New Roman"/>
                          <w:sz w:val="24"/>
                          <w:szCs w:val="24"/>
                        </w:rPr>
                        <w:t>an a</w:t>
                      </w:r>
                      <w:r w:rsidRPr="00841E32">
                        <w:rPr>
                          <w:rFonts w:ascii="Times New Roman" w:hAnsi="Times New Roman"/>
                          <w:sz w:val="24"/>
                          <w:szCs w:val="24"/>
                        </w:rPr>
                        <w:t xml:space="preserve">ssessment of </w:t>
                      </w:r>
                      <w:r>
                        <w:rPr>
                          <w:rFonts w:ascii="Times New Roman" w:hAnsi="Times New Roman"/>
                          <w:sz w:val="24"/>
                          <w:szCs w:val="24"/>
                        </w:rPr>
                        <w:t>n</w:t>
                      </w:r>
                      <w:r w:rsidRPr="00841E32">
                        <w:rPr>
                          <w:rFonts w:ascii="Times New Roman" w:hAnsi="Times New Roman"/>
                          <w:sz w:val="24"/>
                          <w:szCs w:val="24"/>
                        </w:rPr>
                        <w:t xml:space="preserve">ational </w:t>
                      </w:r>
                      <w:r>
                        <w:rPr>
                          <w:rFonts w:ascii="Times New Roman" w:hAnsi="Times New Roman"/>
                          <w:sz w:val="24"/>
                          <w:szCs w:val="24"/>
                        </w:rPr>
                        <w:t>s</w:t>
                      </w:r>
                      <w:r w:rsidRPr="00841E32">
                        <w:rPr>
                          <w:rFonts w:ascii="Times New Roman" w:hAnsi="Times New Roman"/>
                          <w:sz w:val="24"/>
                          <w:szCs w:val="24"/>
                        </w:rPr>
                        <w:t>ystems</w:t>
                      </w:r>
                    </w:p>
                    <w:p w:rsidR="00807794" w:rsidRPr="00841E32" w:rsidRDefault="00807794" w:rsidP="00841E32">
                      <w:pPr>
                        <w:numPr>
                          <w:ilvl w:val="1"/>
                          <w:numId w:val="34"/>
                        </w:numPr>
                        <w:spacing w:after="0" w:line="240" w:lineRule="auto"/>
                        <w:rPr>
                          <w:rFonts w:ascii="Times New Roman" w:hAnsi="Times New Roman"/>
                          <w:sz w:val="24"/>
                          <w:szCs w:val="24"/>
                        </w:rPr>
                      </w:pPr>
                      <w:r w:rsidRPr="00841E32">
                        <w:rPr>
                          <w:rFonts w:ascii="Times New Roman" w:hAnsi="Times New Roman"/>
                          <w:sz w:val="24"/>
                          <w:szCs w:val="24"/>
                        </w:rPr>
                        <w:t xml:space="preserve">GoK to continue to lead on PFM reforms and improving </w:t>
                      </w:r>
                      <w:r>
                        <w:rPr>
                          <w:rFonts w:ascii="Times New Roman" w:hAnsi="Times New Roman"/>
                          <w:sz w:val="24"/>
                          <w:szCs w:val="24"/>
                        </w:rPr>
                        <w:t xml:space="preserve">monitoring and evaluation </w:t>
                      </w:r>
                      <w:r w:rsidRPr="00841E32">
                        <w:rPr>
                          <w:rFonts w:ascii="Times New Roman" w:hAnsi="Times New Roman"/>
                          <w:sz w:val="24"/>
                          <w:szCs w:val="24"/>
                        </w:rPr>
                        <w:t>data</w:t>
                      </w:r>
                      <w:r>
                        <w:rPr>
                          <w:rFonts w:ascii="Times New Roman" w:hAnsi="Times New Roman"/>
                          <w:sz w:val="24"/>
                          <w:szCs w:val="24"/>
                        </w:rPr>
                        <w:t>.</w:t>
                      </w:r>
                    </w:p>
                    <w:p w:rsidR="00807794" w:rsidRPr="00841E32" w:rsidRDefault="00807794" w:rsidP="00841E32">
                      <w:pPr>
                        <w:numPr>
                          <w:ilvl w:val="0"/>
                          <w:numId w:val="34"/>
                        </w:numPr>
                        <w:spacing w:after="0" w:line="240" w:lineRule="auto"/>
                        <w:rPr>
                          <w:rFonts w:ascii="Times New Roman" w:hAnsi="Times New Roman"/>
                          <w:sz w:val="24"/>
                          <w:szCs w:val="24"/>
                        </w:rPr>
                      </w:pPr>
                      <w:r w:rsidRPr="00841E32">
                        <w:rPr>
                          <w:rFonts w:ascii="Times New Roman" w:hAnsi="Times New Roman"/>
                          <w:sz w:val="24"/>
                          <w:szCs w:val="24"/>
                        </w:rPr>
                        <w:t>GoK and Go</w:t>
                      </w:r>
                      <w:r>
                        <w:rPr>
                          <w:rFonts w:ascii="Times New Roman" w:hAnsi="Times New Roman"/>
                          <w:sz w:val="24"/>
                          <w:szCs w:val="24"/>
                        </w:rPr>
                        <w:t>vernment of Australia</w:t>
                      </w:r>
                      <w:r w:rsidRPr="00841E32">
                        <w:rPr>
                          <w:rFonts w:ascii="Times New Roman" w:hAnsi="Times New Roman"/>
                          <w:sz w:val="24"/>
                          <w:szCs w:val="24"/>
                        </w:rPr>
                        <w:t xml:space="preserve"> agree to strengthen capacity of M</w:t>
                      </w:r>
                      <w:r>
                        <w:rPr>
                          <w:rFonts w:ascii="Times New Roman" w:hAnsi="Times New Roman"/>
                          <w:sz w:val="24"/>
                          <w:szCs w:val="24"/>
                        </w:rPr>
                        <w:t>inistry of Education and</w:t>
                      </w:r>
                      <w:r w:rsidRPr="00841E32">
                        <w:rPr>
                          <w:rFonts w:ascii="Times New Roman" w:hAnsi="Times New Roman"/>
                          <w:sz w:val="24"/>
                          <w:szCs w:val="24"/>
                        </w:rPr>
                        <w:t xml:space="preserve"> MLHRD particularly in context of designing and implementing next phases of KEIP and TVETSSP.</w:t>
                      </w:r>
                    </w:p>
                    <w:p w:rsidR="00807794" w:rsidRDefault="00807794" w:rsidP="00841E32">
                      <w:pPr>
                        <w:spacing w:after="0" w:line="240" w:lineRule="auto"/>
                        <w:rPr>
                          <w:rFonts w:ascii="Calibri" w:hAnsi="Calibri"/>
                        </w:rPr>
                      </w:pPr>
                    </w:p>
                    <w:p w:rsidR="00807794" w:rsidRPr="00A805AD" w:rsidRDefault="00807794" w:rsidP="00FC2098">
                      <w:pPr>
                        <w:spacing w:after="0" w:line="240" w:lineRule="auto"/>
                        <w:rPr>
                          <w:rFonts w:ascii="Calibri" w:hAnsi="Calibri"/>
                        </w:rPr>
                      </w:pPr>
                    </w:p>
                  </w:txbxContent>
                </v:textbox>
                <w10:wrap anchorx="page"/>
                <w10:anchorlock/>
              </v:shape>
            </w:pict>
          </mc:Fallback>
        </mc:AlternateContent>
      </w:r>
    </w:p>
    <w:p w:rsidR="007A3108" w:rsidRPr="00807794" w:rsidRDefault="00BE57D5" w:rsidP="00807794">
      <w:pPr>
        <w:pStyle w:val="Heading2"/>
        <w:tabs>
          <w:tab w:val="left" w:pos="8130"/>
        </w:tabs>
        <w:rPr>
          <w:kern w:val="28"/>
        </w:rPr>
      </w:pPr>
      <w:bookmarkStart w:id="19" w:name="_Toc307062920"/>
      <w:r w:rsidRPr="00807794">
        <w:rPr>
          <w:kern w:val="28"/>
        </w:rPr>
        <w:lastRenderedPageBreak/>
        <w:t>D</w:t>
      </w:r>
      <w:r w:rsidR="00D808D8" w:rsidRPr="00807794">
        <w:rPr>
          <w:kern w:val="28"/>
        </w:rPr>
        <w:t xml:space="preserve">eveloping new </w:t>
      </w:r>
      <w:r w:rsidR="00010DF9" w:rsidRPr="00807794">
        <w:rPr>
          <w:kern w:val="28"/>
        </w:rPr>
        <w:t>p</w:t>
      </w:r>
      <w:r w:rsidR="006D463E" w:rsidRPr="00807794">
        <w:rPr>
          <w:kern w:val="28"/>
        </w:rPr>
        <w:t>erformance</w:t>
      </w:r>
      <w:r w:rsidR="00E57E39" w:rsidRPr="00807794">
        <w:rPr>
          <w:kern w:val="28"/>
        </w:rPr>
        <w:t>-</w:t>
      </w:r>
      <w:r w:rsidR="00010DF9" w:rsidRPr="00807794">
        <w:rPr>
          <w:kern w:val="28"/>
        </w:rPr>
        <w:t>linked a</w:t>
      </w:r>
      <w:r w:rsidR="006D463E" w:rsidRPr="00807794">
        <w:rPr>
          <w:kern w:val="28"/>
        </w:rPr>
        <w:t>id</w:t>
      </w:r>
      <w:r w:rsidR="00D808D8" w:rsidRPr="00807794">
        <w:rPr>
          <w:kern w:val="28"/>
        </w:rPr>
        <w:t xml:space="preserve"> </w:t>
      </w:r>
      <w:bookmarkEnd w:id="19"/>
      <w:r w:rsidR="00070BE9" w:rsidRPr="00807794">
        <w:rPr>
          <w:kern w:val="28"/>
        </w:rPr>
        <w:t>initiatives</w:t>
      </w:r>
    </w:p>
    <w:p w:rsidR="006D463E" w:rsidRPr="00D17BDC" w:rsidRDefault="00E57E39" w:rsidP="00C60EDB">
      <w:pPr>
        <w:spacing w:line="240" w:lineRule="auto"/>
        <w:rPr>
          <w:rFonts w:ascii="Times New Roman" w:hAnsi="Times New Roman"/>
          <w:sz w:val="24"/>
          <w:szCs w:val="24"/>
        </w:rPr>
      </w:pPr>
      <w:r w:rsidRPr="00D17BDC">
        <w:rPr>
          <w:rFonts w:ascii="Times New Roman" w:hAnsi="Times New Roman"/>
          <w:sz w:val="24"/>
          <w:szCs w:val="24"/>
        </w:rPr>
        <w:t xml:space="preserve">The </w:t>
      </w:r>
      <w:r w:rsidR="00477DB1" w:rsidRPr="00D17BDC">
        <w:rPr>
          <w:rFonts w:ascii="Times New Roman" w:hAnsi="Times New Roman"/>
          <w:sz w:val="24"/>
          <w:szCs w:val="24"/>
        </w:rPr>
        <w:t>Go</w:t>
      </w:r>
      <w:r w:rsidR="00C86D69" w:rsidRPr="00D17BDC">
        <w:rPr>
          <w:rFonts w:ascii="Times New Roman" w:hAnsi="Times New Roman"/>
          <w:sz w:val="24"/>
          <w:szCs w:val="24"/>
        </w:rPr>
        <w:t>vernment of Australia</w:t>
      </w:r>
      <w:r w:rsidR="00477DB1" w:rsidRPr="00D17BDC">
        <w:rPr>
          <w:rFonts w:ascii="Times New Roman" w:hAnsi="Times New Roman"/>
          <w:sz w:val="24"/>
          <w:szCs w:val="24"/>
        </w:rPr>
        <w:t xml:space="preserve"> informed </w:t>
      </w:r>
      <w:r w:rsidR="006D463E" w:rsidRPr="00D17BDC">
        <w:rPr>
          <w:rFonts w:ascii="Times New Roman" w:hAnsi="Times New Roman"/>
          <w:sz w:val="24"/>
          <w:szCs w:val="24"/>
        </w:rPr>
        <w:t>it is</w:t>
      </w:r>
      <w:r w:rsidR="00477DB1" w:rsidRPr="00D17BDC">
        <w:rPr>
          <w:rFonts w:ascii="Times New Roman" w:hAnsi="Times New Roman"/>
          <w:sz w:val="24"/>
          <w:szCs w:val="24"/>
        </w:rPr>
        <w:t xml:space="preserve"> committed to expanding the use of </w:t>
      </w:r>
      <w:r w:rsidR="00C97384" w:rsidRPr="00D17BDC">
        <w:rPr>
          <w:rFonts w:ascii="Times New Roman" w:hAnsi="Times New Roman"/>
          <w:sz w:val="24"/>
          <w:szCs w:val="24"/>
        </w:rPr>
        <w:t>PLA</w:t>
      </w:r>
      <w:r w:rsidR="00477DB1" w:rsidRPr="00D17BDC">
        <w:rPr>
          <w:rFonts w:ascii="Times New Roman" w:hAnsi="Times New Roman"/>
          <w:sz w:val="24"/>
          <w:szCs w:val="24"/>
        </w:rPr>
        <w:t xml:space="preserve"> to support </w:t>
      </w:r>
      <w:r w:rsidRPr="00D17BDC">
        <w:rPr>
          <w:rFonts w:ascii="Times New Roman" w:hAnsi="Times New Roman"/>
          <w:sz w:val="24"/>
          <w:szCs w:val="24"/>
        </w:rPr>
        <w:t xml:space="preserve">Partnership </w:t>
      </w:r>
      <w:r w:rsidR="00477DB1" w:rsidRPr="00D17BDC">
        <w:rPr>
          <w:rFonts w:ascii="Times New Roman" w:hAnsi="Times New Roman"/>
          <w:sz w:val="24"/>
          <w:szCs w:val="24"/>
        </w:rPr>
        <w:t>implem</w:t>
      </w:r>
      <w:r w:rsidR="006D463E" w:rsidRPr="00D17BDC">
        <w:rPr>
          <w:rFonts w:ascii="Times New Roman" w:hAnsi="Times New Roman"/>
          <w:sz w:val="24"/>
          <w:szCs w:val="24"/>
        </w:rPr>
        <w:t xml:space="preserve">entation. </w:t>
      </w:r>
      <w:r w:rsidR="00C86D69" w:rsidRPr="00D17BDC">
        <w:rPr>
          <w:rFonts w:ascii="Times New Roman" w:hAnsi="Times New Roman"/>
          <w:sz w:val="24"/>
          <w:szCs w:val="24"/>
        </w:rPr>
        <w:t>Australia</w:t>
      </w:r>
      <w:r w:rsidR="006D463E" w:rsidRPr="00D17BDC">
        <w:rPr>
          <w:rFonts w:ascii="Times New Roman" w:hAnsi="Times New Roman"/>
          <w:sz w:val="24"/>
          <w:szCs w:val="24"/>
        </w:rPr>
        <w:t xml:space="preserve"> advised that the PLA </w:t>
      </w:r>
      <w:r w:rsidR="00C97384" w:rsidRPr="00D17BDC">
        <w:rPr>
          <w:rFonts w:ascii="Times New Roman" w:hAnsi="Times New Roman"/>
          <w:sz w:val="24"/>
          <w:szCs w:val="24"/>
        </w:rPr>
        <w:t>initiative</w:t>
      </w:r>
      <w:r w:rsidRPr="00D17BDC">
        <w:rPr>
          <w:rFonts w:ascii="Times New Roman" w:hAnsi="Times New Roman"/>
          <w:sz w:val="24"/>
          <w:szCs w:val="24"/>
        </w:rPr>
        <w:t>, implemented</w:t>
      </w:r>
      <w:r w:rsidR="006D463E" w:rsidRPr="00D17BDC">
        <w:rPr>
          <w:rFonts w:ascii="Times New Roman" w:hAnsi="Times New Roman"/>
          <w:sz w:val="24"/>
          <w:szCs w:val="24"/>
        </w:rPr>
        <w:t xml:space="preserve"> with the </w:t>
      </w:r>
      <w:r w:rsidR="00E90481" w:rsidRPr="00D17BDC">
        <w:rPr>
          <w:rFonts w:ascii="Times New Roman" w:hAnsi="Times New Roman"/>
          <w:bCs/>
          <w:color w:val="auto"/>
          <w:sz w:val="24"/>
          <w:szCs w:val="24"/>
          <w:lang w:val="en-GB"/>
        </w:rPr>
        <w:t>Ministry of Fisheries and Marine Resources Development</w:t>
      </w:r>
      <w:r w:rsidRPr="00D17BDC">
        <w:rPr>
          <w:rFonts w:ascii="Times New Roman" w:hAnsi="Times New Roman"/>
          <w:bCs/>
          <w:color w:val="auto"/>
          <w:sz w:val="24"/>
          <w:szCs w:val="24"/>
          <w:lang w:val="en-GB"/>
        </w:rPr>
        <w:t>,</w:t>
      </w:r>
      <w:r w:rsidR="00E90481" w:rsidRPr="00D17BDC">
        <w:rPr>
          <w:rFonts w:ascii="Times New Roman" w:hAnsi="Times New Roman"/>
          <w:bCs/>
          <w:color w:val="auto"/>
          <w:sz w:val="24"/>
          <w:szCs w:val="24"/>
          <w:lang w:val="en-GB"/>
        </w:rPr>
        <w:t xml:space="preserve"> </w:t>
      </w:r>
      <w:r w:rsidR="006D463E" w:rsidRPr="00D17BDC">
        <w:rPr>
          <w:rFonts w:ascii="Times New Roman" w:hAnsi="Times New Roman"/>
          <w:sz w:val="24"/>
          <w:szCs w:val="24"/>
        </w:rPr>
        <w:t xml:space="preserve">had </w:t>
      </w:r>
      <w:r w:rsidR="00D808D8" w:rsidRPr="00D17BDC">
        <w:rPr>
          <w:rFonts w:ascii="Times New Roman" w:hAnsi="Times New Roman"/>
          <w:sz w:val="24"/>
          <w:szCs w:val="24"/>
        </w:rPr>
        <w:t xml:space="preserve">successfully </w:t>
      </w:r>
      <w:r w:rsidR="006D463E" w:rsidRPr="00D17BDC">
        <w:rPr>
          <w:rFonts w:ascii="Times New Roman" w:hAnsi="Times New Roman"/>
          <w:sz w:val="24"/>
          <w:szCs w:val="24"/>
        </w:rPr>
        <w:t>completed and that new</w:t>
      </w:r>
      <w:r w:rsidR="00477DB1" w:rsidRPr="00D17BDC">
        <w:rPr>
          <w:rFonts w:ascii="Times New Roman" w:hAnsi="Times New Roman"/>
          <w:sz w:val="24"/>
          <w:szCs w:val="24"/>
        </w:rPr>
        <w:t xml:space="preserve"> </w:t>
      </w:r>
      <w:r w:rsidR="006D463E" w:rsidRPr="00D17BDC">
        <w:rPr>
          <w:rFonts w:ascii="Times New Roman" w:hAnsi="Times New Roman"/>
          <w:sz w:val="24"/>
          <w:szCs w:val="24"/>
        </w:rPr>
        <w:t xml:space="preserve">PLA </w:t>
      </w:r>
      <w:r w:rsidR="00D17BDC" w:rsidRPr="00D17BDC">
        <w:rPr>
          <w:rFonts w:ascii="Times New Roman" w:hAnsi="Times New Roman"/>
          <w:sz w:val="24"/>
          <w:szCs w:val="24"/>
        </w:rPr>
        <w:t>initiative</w:t>
      </w:r>
      <w:r w:rsidR="00070BE9">
        <w:rPr>
          <w:rFonts w:ascii="Times New Roman" w:hAnsi="Times New Roman"/>
          <w:sz w:val="24"/>
          <w:szCs w:val="24"/>
        </w:rPr>
        <w:t>s</w:t>
      </w:r>
      <w:r w:rsidR="006D463E" w:rsidRPr="00D17BDC">
        <w:rPr>
          <w:rFonts w:ascii="Times New Roman" w:hAnsi="Times New Roman"/>
          <w:sz w:val="24"/>
          <w:szCs w:val="24"/>
        </w:rPr>
        <w:t xml:space="preserve"> </w:t>
      </w:r>
      <w:r w:rsidR="00477DB1" w:rsidRPr="00D17BDC">
        <w:rPr>
          <w:rFonts w:ascii="Times New Roman" w:hAnsi="Times New Roman"/>
          <w:sz w:val="24"/>
          <w:szCs w:val="24"/>
        </w:rPr>
        <w:t xml:space="preserve">in fisheries </w:t>
      </w:r>
      <w:r w:rsidRPr="00D17BDC">
        <w:rPr>
          <w:rFonts w:ascii="Times New Roman" w:hAnsi="Times New Roman"/>
          <w:sz w:val="24"/>
          <w:szCs w:val="24"/>
        </w:rPr>
        <w:t xml:space="preserve">would </w:t>
      </w:r>
      <w:r w:rsidR="00477DB1" w:rsidRPr="00D17BDC">
        <w:rPr>
          <w:rFonts w:ascii="Times New Roman" w:hAnsi="Times New Roman"/>
          <w:sz w:val="24"/>
          <w:szCs w:val="24"/>
        </w:rPr>
        <w:t xml:space="preserve">be informed by broader sector analysis and planning currently underway by </w:t>
      </w:r>
      <w:r w:rsidRPr="00D17BDC">
        <w:rPr>
          <w:rFonts w:ascii="Times New Roman" w:hAnsi="Times New Roman"/>
          <w:sz w:val="24"/>
          <w:szCs w:val="24"/>
        </w:rPr>
        <w:t>the m</w:t>
      </w:r>
      <w:r w:rsidR="00477DB1" w:rsidRPr="00D17BDC">
        <w:rPr>
          <w:rFonts w:ascii="Times New Roman" w:hAnsi="Times New Roman"/>
          <w:sz w:val="24"/>
          <w:szCs w:val="24"/>
        </w:rPr>
        <w:t xml:space="preserve">inistry with support from </w:t>
      </w:r>
      <w:r w:rsidRPr="00D17BDC">
        <w:rPr>
          <w:rFonts w:ascii="Times New Roman" w:hAnsi="Times New Roman"/>
          <w:sz w:val="24"/>
          <w:szCs w:val="24"/>
        </w:rPr>
        <w:t xml:space="preserve">the </w:t>
      </w:r>
      <w:r w:rsidR="00477DB1" w:rsidRPr="00D17BDC">
        <w:rPr>
          <w:rFonts w:ascii="Times New Roman" w:hAnsi="Times New Roman"/>
          <w:sz w:val="24"/>
          <w:szCs w:val="24"/>
        </w:rPr>
        <w:t xml:space="preserve">Forum Fisheries Agency. </w:t>
      </w:r>
    </w:p>
    <w:p w:rsidR="00477DB1" w:rsidRPr="001F69B3" w:rsidRDefault="006D463E" w:rsidP="001F69B3">
      <w:pPr>
        <w:spacing w:after="0" w:line="240" w:lineRule="auto"/>
        <w:rPr>
          <w:rFonts w:ascii="Calibri" w:hAnsi="Calibri"/>
        </w:rPr>
      </w:pPr>
      <w:r w:rsidRPr="00D17BDC">
        <w:rPr>
          <w:rFonts w:ascii="Times New Roman" w:hAnsi="Times New Roman"/>
          <w:sz w:val="24"/>
          <w:szCs w:val="24"/>
        </w:rPr>
        <w:t xml:space="preserve">GoK </w:t>
      </w:r>
      <w:r w:rsidR="00D808D8" w:rsidRPr="00D17BDC">
        <w:rPr>
          <w:rFonts w:ascii="Times New Roman" w:hAnsi="Times New Roman"/>
          <w:sz w:val="24"/>
          <w:szCs w:val="24"/>
        </w:rPr>
        <w:t xml:space="preserve">welcomed this update, </w:t>
      </w:r>
      <w:r w:rsidRPr="00D17BDC">
        <w:rPr>
          <w:rFonts w:ascii="Times New Roman" w:hAnsi="Times New Roman"/>
          <w:sz w:val="24"/>
          <w:szCs w:val="24"/>
        </w:rPr>
        <w:t xml:space="preserve">and advised that </w:t>
      </w:r>
      <w:r w:rsidR="00E57E39" w:rsidRPr="00D17BDC">
        <w:rPr>
          <w:rFonts w:ascii="Times New Roman" w:hAnsi="Times New Roman"/>
          <w:sz w:val="24"/>
          <w:szCs w:val="24"/>
        </w:rPr>
        <w:t xml:space="preserve">its </w:t>
      </w:r>
      <w:r w:rsidRPr="00D17BDC">
        <w:rPr>
          <w:rFonts w:ascii="Times New Roman" w:hAnsi="Times New Roman"/>
          <w:sz w:val="24"/>
          <w:szCs w:val="24"/>
        </w:rPr>
        <w:t xml:space="preserve">priority is to first </w:t>
      </w:r>
      <w:r w:rsidR="00477DB1" w:rsidRPr="00D17BDC">
        <w:rPr>
          <w:rFonts w:ascii="Times New Roman" w:hAnsi="Times New Roman"/>
          <w:sz w:val="24"/>
          <w:szCs w:val="24"/>
        </w:rPr>
        <w:t xml:space="preserve">improve </w:t>
      </w:r>
      <w:r w:rsidR="00E57E39" w:rsidRPr="00D17BDC">
        <w:rPr>
          <w:rFonts w:ascii="Times New Roman" w:hAnsi="Times New Roman"/>
          <w:sz w:val="24"/>
          <w:szCs w:val="24"/>
        </w:rPr>
        <w:t xml:space="preserve">its </w:t>
      </w:r>
      <w:r w:rsidR="00C64177" w:rsidRPr="00D17BDC">
        <w:rPr>
          <w:rFonts w:ascii="Times New Roman" w:hAnsi="Times New Roman"/>
          <w:sz w:val="24"/>
          <w:szCs w:val="24"/>
        </w:rPr>
        <w:t>PFM</w:t>
      </w:r>
      <w:r w:rsidR="00477DB1" w:rsidRPr="00D17BDC">
        <w:rPr>
          <w:rFonts w:ascii="Times New Roman" w:hAnsi="Times New Roman"/>
          <w:sz w:val="24"/>
          <w:szCs w:val="24"/>
        </w:rPr>
        <w:t xml:space="preserve"> and </w:t>
      </w:r>
      <w:r w:rsidR="00E57E39" w:rsidRPr="00D17BDC">
        <w:rPr>
          <w:rFonts w:ascii="Times New Roman" w:hAnsi="Times New Roman"/>
          <w:sz w:val="24"/>
          <w:szCs w:val="24"/>
        </w:rPr>
        <w:t>monitoring and evaluation</w:t>
      </w:r>
      <w:r w:rsidRPr="00D17BDC">
        <w:rPr>
          <w:rFonts w:ascii="Times New Roman" w:hAnsi="Times New Roman"/>
          <w:sz w:val="24"/>
          <w:szCs w:val="24"/>
        </w:rPr>
        <w:t xml:space="preserve"> systems</w:t>
      </w:r>
      <w:r w:rsidR="00477DB1" w:rsidRPr="00D17BDC">
        <w:rPr>
          <w:rFonts w:ascii="Times New Roman" w:hAnsi="Times New Roman"/>
          <w:sz w:val="24"/>
          <w:szCs w:val="24"/>
        </w:rPr>
        <w:t xml:space="preserve">, otherwise </w:t>
      </w:r>
      <w:r w:rsidR="009E05D4" w:rsidRPr="00D17BDC">
        <w:rPr>
          <w:rFonts w:ascii="Times New Roman" w:hAnsi="Times New Roman"/>
          <w:sz w:val="24"/>
          <w:szCs w:val="24"/>
        </w:rPr>
        <w:t>‘</w:t>
      </w:r>
      <w:r w:rsidR="00477DB1" w:rsidRPr="00D17BDC">
        <w:rPr>
          <w:rFonts w:ascii="Times New Roman" w:hAnsi="Times New Roman"/>
          <w:sz w:val="24"/>
          <w:szCs w:val="24"/>
        </w:rPr>
        <w:t>the money can come in but if we’re not able to account for it, and monitor it, there will be more problems for us</w:t>
      </w:r>
      <w:r w:rsidR="009E05D4" w:rsidRPr="00D17BDC">
        <w:rPr>
          <w:rFonts w:ascii="Times New Roman" w:hAnsi="Times New Roman"/>
          <w:sz w:val="24"/>
          <w:szCs w:val="24"/>
        </w:rPr>
        <w:t xml:space="preserve">’. </w:t>
      </w:r>
      <w:r w:rsidR="00A805AD" w:rsidRPr="00D17BDC">
        <w:rPr>
          <w:rFonts w:ascii="Times New Roman" w:hAnsi="Times New Roman"/>
          <w:sz w:val="24"/>
          <w:szCs w:val="24"/>
        </w:rPr>
        <w:t xml:space="preserve">It was agreed that no new </w:t>
      </w:r>
      <w:r w:rsidR="00C97384" w:rsidRPr="00D17BDC">
        <w:rPr>
          <w:rFonts w:ascii="Times New Roman" w:hAnsi="Times New Roman"/>
          <w:sz w:val="24"/>
          <w:szCs w:val="24"/>
        </w:rPr>
        <w:t>PLA initiative</w:t>
      </w:r>
      <w:r w:rsidR="00070BE9">
        <w:rPr>
          <w:rFonts w:ascii="Times New Roman" w:hAnsi="Times New Roman"/>
          <w:sz w:val="24"/>
          <w:szCs w:val="24"/>
        </w:rPr>
        <w:t>s</w:t>
      </w:r>
      <w:r w:rsidR="00A805AD" w:rsidRPr="00D17BDC">
        <w:rPr>
          <w:rFonts w:ascii="Times New Roman" w:hAnsi="Times New Roman"/>
          <w:sz w:val="24"/>
          <w:szCs w:val="24"/>
        </w:rPr>
        <w:t xml:space="preserve"> </w:t>
      </w:r>
      <w:r w:rsidR="00E57E39" w:rsidRPr="00D17BDC">
        <w:rPr>
          <w:rFonts w:ascii="Times New Roman" w:hAnsi="Times New Roman"/>
          <w:sz w:val="24"/>
          <w:szCs w:val="24"/>
        </w:rPr>
        <w:t xml:space="preserve">would </w:t>
      </w:r>
      <w:r w:rsidR="00A805AD" w:rsidRPr="00D17BDC">
        <w:rPr>
          <w:rFonts w:ascii="Times New Roman" w:hAnsi="Times New Roman"/>
          <w:sz w:val="24"/>
          <w:szCs w:val="24"/>
        </w:rPr>
        <w:t xml:space="preserve">be developed in the immediate term, until after </w:t>
      </w:r>
      <w:r w:rsidR="00E57E39" w:rsidRPr="00D17BDC">
        <w:rPr>
          <w:rFonts w:ascii="Times New Roman" w:hAnsi="Times New Roman"/>
          <w:sz w:val="24"/>
          <w:szCs w:val="24"/>
        </w:rPr>
        <w:t xml:space="preserve">the </w:t>
      </w:r>
      <w:r w:rsidR="00C56CEE" w:rsidRPr="00D17BDC">
        <w:rPr>
          <w:rFonts w:ascii="Times New Roman" w:hAnsi="Times New Roman"/>
          <w:sz w:val="24"/>
          <w:szCs w:val="24"/>
        </w:rPr>
        <w:t>a</w:t>
      </w:r>
      <w:r w:rsidR="00A805AD" w:rsidRPr="00D17BDC">
        <w:rPr>
          <w:rFonts w:ascii="Times New Roman" w:hAnsi="Times New Roman"/>
          <w:sz w:val="24"/>
          <w:szCs w:val="24"/>
        </w:rPr>
        <w:t xml:space="preserve">ssessment of </w:t>
      </w:r>
      <w:r w:rsidR="00C56CEE" w:rsidRPr="00D17BDC">
        <w:rPr>
          <w:rFonts w:ascii="Times New Roman" w:hAnsi="Times New Roman"/>
          <w:sz w:val="24"/>
          <w:szCs w:val="24"/>
        </w:rPr>
        <w:t>n</w:t>
      </w:r>
      <w:r w:rsidR="00DB4E4A" w:rsidRPr="00D17BDC">
        <w:rPr>
          <w:rFonts w:ascii="Times New Roman" w:hAnsi="Times New Roman"/>
          <w:sz w:val="24"/>
          <w:szCs w:val="24"/>
        </w:rPr>
        <w:t>a</w:t>
      </w:r>
      <w:r w:rsidR="00A805AD" w:rsidRPr="00D17BDC">
        <w:rPr>
          <w:rFonts w:ascii="Times New Roman" w:hAnsi="Times New Roman"/>
          <w:sz w:val="24"/>
          <w:szCs w:val="24"/>
        </w:rPr>
        <w:t xml:space="preserve">tional </w:t>
      </w:r>
      <w:r w:rsidR="00C56CEE" w:rsidRPr="00D17BDC">
        <w:rPr>
          <w:rFonts w:ascii="Times New Roman" w:hAnsi="Times New Roman"/>
          <w:sz w:val="24"/>
          <w:szCs w:val="24"/>
        </w:rPr>
        <w:t>s</w:t>
      </w:r>
      <w:r w:rsidR="00A805AD" w:rsidRPr="00D17BDC">
        <w:rPr>
          <w:rFonts w:ascii="Times New Roman" w:hAnsi="Times New Roman"/>
          <w:sz w:val="24"/>
          <w:szCs w:val="24"/>
        </w:rPr>
        <w:t xml:space="preserve">ystems has been conducted and improvements </w:t>
      </w:r>
      <w:r w:rsidR="00E57E39" w:rsidRPr="00D17BDC">
        <w:rPr>
          <w:rFonts w:ascii="Times New Roman" w:hAnsi="Times New Roman"/>
          <w:sz w:val="24"/>
          <w:szCs w:val="24"/>
        </w:rPr>
        <w:t>made</w:t>
      </w:r>
      <w:r w:rsidR="00A805AD" w:rsidRPr="00D17BDC">
        <w:rPr>
          <w:rFonts w:ascii="Times New Roman" w:hAnsi="Times New Roman"/>
          <w:sz w:val="24"/>
          <w:szCs w:val="24"/>
        </w:rPr>
        <w:t xml:space="preserve"> in improving </w:t>
      </w:r>
      <w:r w:rsidR="00C64177" w:rsidRPr="00D17BDC">
        <w:rPr>
          <w:rFonts w:ascii="Times New Roman" w:hAnsi="Times New Roman"/>
          <w:sz w:val="24"/>
          <w:szCs w:val="24"/>
        </w:rPr>
        <w:t>PFM</w:t>
      </w:r>
      <w:r w:rsidR="00A805AD" w:rsidRPr="00D17BDC">
        <w:rPr>
          <w:rFonts w:ascii="Times New Roman" w:hAnsi="Times New Roman"/>
          <w:sz w:val="24"/>
          <w:szCs w:val="24"/>
        </w:rPr>
        <w:t xml:space="preserve"> and </w:t>
      </w:r>
      <w:r w:rsidR="00E57E39" w:rsidRPr="00D17BDC">
        <w:rPr>
          <w:rFonts w:ascii="Times New Roman" w:hAnsi="Times New Roman"/>
          <w:sz w:val="24"/>
          <w:szCs w:val="24"/>
        </w:rPr>
        <w:t>monitoring and evaluation</w:t>
      </w:r>
      <w:r w:rsidR="00A805AD" w:rsidRPr="00D17BDC">
        <w:rPr>
          <w:rFonts w:ascii="Times New Roman" w:hAnsi="Times New Roman"/>
          <w:sz w:val="24"/>
          <w:szCs w:val="24"/>
        </w:rPr>
        <w:t xml:space="preserve"> systems. </w:t>
      </w:r>
    </w:p>
    <w:p w:rsidR="00AB1281" w:rsidRPr="00D17BDC" w:rsidRDefault="000C42DD" w:rsidP="00AB1281">
      <w:pPr>
        <w:spacing w:before="240" w:after="0"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687705"/>
                <wp:effectExtent l="11430" t="12700" r="7620" b="13970"/>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7705"/>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A805AD" w:rsidRDefault="00807794" w:rsidP="001A25F4">
                            <w:pPr>
                              <w:numPr>
                                <w:ilvl w:val="0"/>
                                <w:numId w:val="34"/>
                              </w:numPr>
                              <w:spacing w:after="0" w:line="240" w:lineRule="auto"/>
                              <w:rPr>
                                <w:rFonts w:ascii="Calibri" w:hAnsi="Calibri"/>
                              </w:rPr>
                            </w:pPr>
                            <w:r>
                              <w:rPr>
                                <w:rFonts w:ascii="Times New Roman" w:hAnsi="Times New Roman"/>
                                <w:sz w:val="24"/>
                                <w:szCs w:val="24"/>
                              </w:rPr>
                              <w:t>Both governments agreed that no new PLA initiatives will be developed in the immediate term.</w:t>
                            </w:r>
                          </w:p>
                        </w:txbxContent>
                      </wps:txbx>
                      <wps:bodyPr rot="0" vert="horz" wrap="square" lIns="91440" tIns="45720" rIns="91440" bIns="45720" anchor="t" anchorCtr="0" upright="1">
                        <a:noAutofit/>
                      </wps:bodyPr>
                    </wps:wsp>
                  </a:graphicData>
                </a:graphic>
              </wp:inline>
            </w:drawing>
          </mc:Choice>
          <mc:Fallback>
            <w:pict>
              <v:shape id="Text Box 18" o:spid="_x0000_s1035" type="#_x0000_t202" style="width:468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A805AD" w:rsidRDefault="00807794" w:rsidP="001A25F4">
                      <w:pPr>
                        <w:numPr>
                          <w:ilvl w:val="0"/>
                          <w:numId w:val="34"/>
                        </w:numPr>
                        <w:spacing w:after="0" w:line="240" w:lineRule="auto"/>
                        <w:rPr>
                          <w:rFonts w:ascii="Calibri" w:hAnsi="Calibri"/>
                        </w:rPr>
                      </w:pPr>
                      <w:r>
                        <w:rPr>
                          <w:rFonts w:ascii="Times New Roman" w:hAnsi="Times New Roman"/>
                          <w:sz w:val="24"/>
                          <w:szCs w:val="24"/>
                        </w:rPr>
                        <w:t>Both governments agreed that no new PLA initiatives will be developed in the immediate term.</w:t>
                      </w:r>
                    </w:p>
                  </w:txbxContent>
                </v:textbox>
                <w10:wrap anchorx="page"/>
                <w10:anchorlock/>
              </v:shape>
            </w:pict>
          </mc:Fallback>
        </mc:AlternateContent>
      </w:r>
    </w:p>
    <w:p w:rsidR="001F69B3" w:rsidRDefault="001F69B3" w:rsidP="00070BE9">
      <w:pPr>
        <w:pStyle w:val="Heading2"/>
        <w:spacing w:before="120"/>
        <w:rPr>
          <w:kern w:val="28"/>
        </w:rPr>
      </w:pPr>
      <w:bookmarkStart w:id="20" w:name="_Toc307062921"/>
    </w:p>
    <w:p w:rsidR="004D437A" w:rsidRPr="00D17BDC" w:rsidRDefault="00AB5DBB" w:rsidP="00807794">
      <w:pPr>
        <w:pStyle w:val="Heading2"/>
        <w:tabs>
          <w:tab w:val="left" w:pos="8130"/>
        </w:tabs>
        <w:rPr>
          <w:kern w:val="28"/>
        </w:rPr>
      </w:pPr>
      <w:r w:rsidRPr="00D17BDC">
        <w:rPr>
          <w:kern w:val="28"/>
        </w:rPr>
        <w:t>AusAID’s</w:t>
      </w:r>
      <w:r w:rsidR="004D437A" w:rsidRPr="00D17BDC">
        <w:rPr>
          <w:kern w:val="28"/>
        </w:rPr>
        <w:t xml:space="preserve"> role where multilateral</w:t>
      </w:r>
      <w:r w:rsidR="00E57E39" w:rsidRPr="00D17BDC">
        <w:rPr>
          <w:kern w:val="28"/>
        </w:rPr>
        <w:t xml:space="preserve"> organisations </w:t>
      </w:r>
      <w:r w:rsidR="004D437A" w:rsidRPr="00D17BDC">
        <w:rPr>
          <w:kern w:val="28"/>
        </w:rPr>
        <w:t>lead</w:t>
      </w:r>
      <w:bookmarkEnd w:id="20"/>
      <w:r w:rsidR="005274FC" w:rsidRPr="00D17BDC">
        <w:rPr>
          <w:kern w:val="28"/>
        </w:rPr>
        <w:t xml:space="preserve"> </w:t>
      </w:r>
      <w:r w:rsidRPr="00D17BDC">
        <w:rPr>
          <w:kern w:val="28"/>
        </w:rPr>
        <w:t>on implementation</w:t>
      </w:r>
    </w:p>
    <w:p w:rsidR="009D4E73" w:rsidRPr="00D17BDC" w:rsidRDefault="009D4E73" w:rsidP="009D4E73">
      <w:pPr>
        <w:spacing w:line="240" w:lineRule="auto"/>
        <w:rPr>
          <w:rFonts w:ascii="Times New Roman" w:hAnsi="Times New Roman"/>
          <w:sz w:val="24"/>
          <w:szCs w:val="24"/>
        </w:rPr>
      </w:pPr>
      <w:r w:rsidRPr="00D17BDC">
        <w:rPr>
          <w:rFonts w:ascii="Times New Roman" w:hAnsi="Times New Roman"/>
          <w:sz w:val="24"/>
          <w:szCs w:val="24"/>
        </w:rPr>
        <w:t>In 2010</w:t>
      </w:r>
      <w:r w:rsidR="00FC2101" w:rsidRPr="00D17BDC">
        <w:rPr>
          <w:rFonts w:ascii="Times New Roman" w:hAnsi="Times New Roman"/>
          <w:sz w:val="24"/>
          <w:szCs w:val="24"/>
        </w:rPr>
        <w:t>–</w:t>
      </w:r>
      <w:r w:rsidRPr="00D17BDC">
        <w:rPr>
          <w:rFonts w:ascii="Times New Roman" w:hAnsi="Times New Roman"/>
          <w:sz w:val="24"/>
          <w:szCs w:val="24"/>
        </w:rPr>
        <w:t xml:space="preserve">11, </w:t>
      </w:r>
      <w:r w:rsidR="009E05D4" w:rsidRPr="00D17BDC">
        <w:rPr>
          <w:rFonts w:ascii="Times New Roman" w:hAnsi="Times New Roman"/>
          <w:sz w:val="24"/>
          <w:szCs w:val="24"/>
        </w:rPr>
        <w:t>more than</w:t>
      </w:r>
      <w:r w:rsidRPr="00D17BDC">
        <w:rPr>
          <w:rFonts w:ascii="Times New Roman" w:hAnsi="Times New Roman"/>
          <w:sz w:val="24"/>
          <w:szCs w:val="24"/>
        </w:rPr>
        <w:t xml:space="preserve"> half of the Australian </w:t>
      </w:r>
      <w:r w:rsidR="00AB1281" w:rsidRPr="00D17BDC">
        <w:rPr>
          <w:rFonts w:ascii="Times New Roman" w:hAnsi="Times New Roman"/>
          <w:sz w:val="24"/>
          <w:szCs w:val="24"/>
        </w:rPr>
        <w:t xml:space="preserve">aid budget </w:t>
      </w:r>
      <w:r w:rsidR="005C6B09" w:rsidRPr="00D17BDC">
        <w:rPr>
          <w:rFonts w:ascii="Times New Roman" w:hAnsi="Times New Roman"/>
          <w:sz w:val="24"/>
          <w:szCs w:val="24"/>
        </w:rPr>
        <w:t xml:space="preserve">to Kiribati </w:t>
      </w:r>
      <w:r w:rsidR="00AB1281" w:rsidRPr="00D17BDC">
        <w:rPr>
          <w:rFonts w:ascii="Times New Roman" w:hAnsi="Times New Roman"/>
          <w:sz w:val="24"/>
          <w:szCs w:val="24"/>
        </w:rPr>
        <w:t>was</w:t>
      </w:r>
      <w:r w:rsidRPr="00D17BDC">
        <w:rPr>
          <w:rFonts w:ascii="Times New Roman" w:hAnsi="Times New Roman"/>
          <w:sz w:val="24"/>
          <w:szCs w:val="24"/>
        </w:rPr>
        <w:t xml:space="preserve"> delivered through regional and </w:t>
      </w:r>
      <w:r w:rsidR="00E57E39" w:rsidRPr="00D17BDC">
        <w:rPr>
          <w:rFonts w:ascii="Times New Roman" w:hAnsi="Times New Roman"/>
          <w:sz w:val="24"/>
          <w:szCs w:val="24"/>
        </w:rPr>
        <w:t xml:space="preserve">multilateral </w:t>
      </w:r>
      <w:r w:rsidRPr="00D17BDC">
        <w:rPr>
          <w:rFonts w:ascii="Times New Roman" w:hAnsi="Times New Roman"/>
          <w:sz w:val="24"/>
          <w:szCs w:val="24"/>
        </w:rPr>
        <w:t>organi</w:t>
      </w:r>
      <w:r w:rsidR="002F005A" w:rsidRPr="00D17BDC">
        <w:rPr>
          <w:rFonts w:ascii="Times New Roman" w:hAnsi="Times New Roman"/>
          <w:sz w:val="24"/>
          <w:szCs w:val="24"/>
        </w:rPr>
        <w:t>s</w:t>
      </w:r>
      <w:r w:rsidRPr="00D17BDC">
        <w:rPr>
          <w:rFonts w:ascii="Times New Roman" w:hAnsi="Times New Roman"/>
          <w:sz w:val="24"/>
          <w:szCs w:val="24"/>
        </w:rPr>
        <w:t>ations. In pre-Talk discussions and at the Partnership Talks, GoK expressed concerns about the effectiveness of some of the programs</w:t>
      </w:r>
      <w:r w:rsidR="00E57E39" w:rsidRPr="00D17BDC">
        <w:rPr>
          <w:rFonts w:ascii="Times New Roman" w:hAnsi="Times New Roman"/>
          <w:sz w:val="24"/>
          <w:szCs w:val="24"/>
        </w:rPr>
        <w:t xml:space="preserve"> delivered this way</w:t>
      </w:r>
      <w:r w:rsidRPr="00D17BDC">
        <w:rPr>
          <w:rFonts w:ascii="Times New Roman" w:hAnsi="Times New Roman"/>
          <w:sz w:val="24"/>
          <w:szCs w:val="24"/>
        </w:rPr>
        <w:t>, noting</w:t>
      </w:r>
      <w:r w:rsidR="00252186" w:rsidRPr="00D17BDC">
        <w:rPr>
          <w:rFonts w:ascii="Times New Roman" w:hAnsi="Times New Roman"/>
          <w:sz w:val="24"/>
          <w:szCs w:val="24"/>
        </w:rPr>
        <w:t xml:space="preserve"> they are often characteris</w:t>
      </w:r>
      <w:r w:rsidRPr="00D17BDC">
        <w:rPr>
          <w:rFonts w:ascii="Times New Roman" w:hAnsi="Times New Roman"/>
          <w:sz w:val="24"/>
          <w:szCs w:val="24"/>
        </w:rPr>
        <w:t>ed by short-term</w:t>
      </w:r>
      <w:r w:rsidR="00E57E39" w:rsidRPr="00D17BDC">
        <w:rPr>
          <w:rFonts w:ascii="Times New Roman" w:hAnsi="Times New Roman"/>
          <w:sz w:val="24"/>
          <w:szCs w:val="24"/>
        </w:rPr>
        <w:t>,</w:t>
      </w:r>
      <w:r w:rsidRPr="00D17BDC">
        <w:rPr>
          <w:rFonts w:ascii="Times New Roman" w:hAnsi="Times New Roman"/>
          <w:sz w:val="24"/>
          <w:szCs w:val="24"/>
        </w:rPr>
        <w:t xml:space="preserve"> </w:t>
      </w:r>
      <w:r w:rsidR="009E05D4" w:rsidRPr="00D17BDC">
        <w:rPr>
          <w:rFonts w:ascii="Times New Roman" w:hAnsi="Times New Roman"/>
          <w:sz w:val="24"/>
          <w:szCs w:val="24"/>
        </w:rPr>
        <w:t>‘</w:t>
      </w:r>
      <w:r w:rsidR="00AB1281" w:rsidRPr="00D17BDC">
        <w:rPr>
          <w:rFonts w:ascii="Times New Roman" w:hAnsi="Times New Roman"/>
          <w:sz w:val="24"/>
          <w:szCs w:val="24"/>
        </w:rPr>
        <w:t>fly-in fly out</w:t>
      </w:r>
      <w:r w:rsidR="009E05D4" w:rsidRPr="00D17BDC">
        <w:rPr>
          <w:rFonts w:ascii="Times New Roman" w:hAnsi="Times New Roman"/>
          <w:sz w:val="24"/>
          <w:szCs w:val="24"/>
        </w:rPr>
        <w:t>’</w:t>
      </w:r>
      <w:r w:rsidR="00AB1281" w:rsidRPr="00D17BDC">
        <w:rPr>
          <w:rFonts w:ascii="Times New Roman" w:hAnsi="Times New Roman"/>
          <w:sz w:val="24"/>
          <w:szCs w:val="24"/>
        </w:rPr>
        <w:t xml:space="preserve"> </w:t>
      </w:r>
      <w:r w:rsidRPr="00D17BDC">
        <w:rPr>
          <w:rFonts w:ascii="Times New Roman" w:hAnsi="Times New Roman"/>
          <w:sz w:val="24"/>
          <w:szCs w:val="24"/>
        </w:rPr>
        <w:t>technical advisors</w:t>
      </w:r>
      <w:r w:rsidR="00E57E39" w:rsidRPr="00D17BDC">
        <w:rPr>
          <w:rFonts w:ascii="Times New Roman" w:hAnsi="Times New Roman"/>
          <w:sz w:val="24"/>
          <w:szCs w:val="24"/>
        </w:rPr>
        <w:t xml:space="preserve">. The GoK pointed out that </w:t>
      </w:r>
      <w:r w:rsidRPr="00D17BDC">
        <w:rPr>
          <w:rFonts w:ascii="Times New Roman" w:hAnsi="Times New Roman"/>
          <w:sz w:val="24"/>
          <w:szCs w:val="24"/>
        </w:rPr>
        <w:t xml:space="preserve">the challenges associated with </w:t>
      </w:r>
      <w:r w:rsidR="00E57E39" w:rsidRPr="00D17BDC">
        <w:rPr>
          <w:rFonts w:ascii="Times New Roman" w:hAnsi="Times New Roman"/>
          <w:sz w:val="24"/>
          <w:szCs w:val="24"/>
        </w:rPr>
        <w:t>this approach related in part to delivery by</w:t>
      </w:r>
      <w:r w:rsidR="002F005A" w:rsidRPr="00D17BDC">
        <w:rPr>
          <w:rFonts w:ascii="Times New Roman" w:hAnsi="Times New Roman"/>
          <w:sz w:val="24"/>
          <w:szCs w:val="24"/>
        </w:rPr>
        <w:t xml:space="preserve"> organis</w:t>
      </w:r>
      <w:r w:rsidR="00AB1281" w:rsidRPr="00D17BDC">
        <w:rPr>
          <w:rFonts w:ascii="Times New Roman" w:hAnsi="Times New Roman"/>
          <w:sz w:val="24"/>
          <w:szCs w:val="24"/>
        </w:rPr>
        <w:t xml:space="preserve">ations </w:t>
      </w:r>
      <w:r w:rsidR="00E57E39" w:rsidRPr="00D17BDC">
        <w:rPr>
          <w:rFonts w:ascii="Times New Roman" w:hAnsi="Times New Roman"/>
          <w:sz w:val="24"/>
          <w:szCs w:val="24"/>
        </w:rPr>
        <w:t xml:space="preserve">that </w:t>
      </w:r>
      <w:r w:rsidR="00AB1281" w:rsidRPr="00D17BDC">
        <w:rPr>
          <w:rFonts w:ascii="Times New Roman" w:hAnsi="Times New Roman"/>
          <w:sz w:val="24"/>
          <w:szCs w:val="24"/>
        </w:rPr>
        <w:t>do not have an</w:t>
      </w:r>
      <w:r w:rsidRPr="00D17BDC">
        <w:rPr>
          <w:rFonts w:ascii="Times New Roman" w:hAnsi="Times New Roman"/>
          <w:sz w:val="24"/>
          <w:szCs w:val="24"/>
        </w:rPr>
        <w:t xml:space="preserve"> in-country presence</w:t>
      </w:r>
      <w:r w:rsidR="00E57E39" w:rsidRPr="00D17BDC">
        <w:rPr>
          <w:rFonts w:ascii="Times New Roman" w:hAnsi="Times New Roman"/>
          <w:sz w:val="24"/>
          <w:szCs w:val="24"/>
        </w:rPr>
        <w:t>,</w:t>
      </w:r>
      <w:r w:rsidRPr="00D17BDC">
        <w:rPr>
          <w:rFonts w:ascii="Times New Roman" w:hAnsi="Times New Roman"/>
          <w:sz w:val="24"/>
          <w:szCs w:val="24"/>
        </w:rPr>
        <w:t xml:space="preserve"> which hampers good communication with GoK and </w:t>
      </w:r>
      <w:r w:rsidR="00E57E39" w:rsidRPr="00D17BDC">
        <w:rPr>
          <w:rFonts w:ascii="Times New Roman" w:hAnsi="Times New Roman"/>
          <w:sz w:val="24"/>
          <w:szCs w:val="24"/>
        </w:rPr>
        <w:t xml:space="preserve">its </w:t>
      </w:r>
      <w:r w:rsidRPr="00D17BDC">
        <w:rPr>
          <w:rFonts w:ascii="Times New Roman" w:hAnsi="Times New Roman"/>
          <w:sz w:val="24"/>
          <w:szCs w:val="24"/>
        </w:rPr>
        <w:t xml:space="preserve">oversight of programs. </w:t>
      </w:r>
    </w:p>
    <w:p w:rsidR="00AB1281" w:rsidRPr="00D17BDC" w:rsidRDefault="009D4E73" w:rsidP="009D4E73">
      <w:pPr>
        <w:spacing w:line="240" w:lineRule="auto"/>
        <w:rPr>
          <w:rFonts w:ascii="Times New Roman" w:hAnsi="Times New Roman"/>
          <w:sz w:val="24"/>
          <w:szCs w:val="24"/>
        </w:rPr>
      </w:pPr>
      <w:r w:rsidRPr="00D17BDC">
        <w:rPr>
          <w:rFonts w:ascii="Times New Roman" w:hAnsi="Times New Roman"/>
          <w:sz w:val="24"/>
          <w:szCs w:val="24"/>
        </w:rPr>
        <w:t>The Go</w:t>
      </w:r>
      <w:r w:rsidR="00E57E39" w:rsidRPr="00D17BDC">
        <w:rPr>
          <w:rFonts w:ascii="Times New Roman" w:hAnsi="Times New Roman"/>
          <w:sz w:val="24"/>
          <w:szCs w:val="24"/>
        </w:rPr>
        <w:t>vernment of Australia</w:t>
      </w:r>
      <w:r w:rsidRPr="00D17BDC">
        <w:rPr>
          <w:rFonts w:ascii="Times New Roman" w:hAnsi="Times New Roman"/>
          <w:sz w:val="24"/>
          <w:szCs w:val="24"/>
        </w:rPr>
        <w:t xml:space="preserve"> explained that it leads on education and workforce skills development, but that AusAID </w:t>
      </w:r>
      <w:r w:rsidR="00AB1281" w:rsidRPr="00D17BDC">
        <w:rPr>
          <w:rFonts w:ascii="Times New Roman" w:hAnsi="Times New Roman"/>
          <w:sz w:val="24"/>
          <w:szCs w:val="24"/>
        </w:rPr>
        <w:t xml:space="preserve">does not have the technical or implementation capacity </w:t>
      </w:r>
      <w:r w:rsidRPr="00D17BDC">
        <w:rPr>
          <w:rFonts w:ascii="Times New Roman" w:hAnsi="Times New Roman"/>
          <w:sz w:val="24"/>
          <w:szCs w:val="24"/>
        </w:rPr>
        <w:t xml:space="preserve">to support GoK </w:t>
      </w:r>
      <w:r w:rsidR="00AB1281" w:rsidRPr="00D17BDC">
        <w:rPr>
          <w:rFonts w:ascii="Times New Roman" w:hAnsi="Times New Roman"/>
          <w:sz w:val="24"/>
          <w:szCs w:val="24"/>
        </w:rPr>
        <w:t xml:space="preserve">effectively </w:t>
      </w:r>
      <w:r w:rsidRPr="00D17BDC">
        <w:rPr>
          <w:rFonts w:ascii="Times New Roman" w:hAnsi="Times New Roman"/>
          <w:sz w:val="24"/>
          <w:szCs w:val="24"/>
        </w:rPr>
        <w:t xml:space="preserve">in other sectors (economic governance, climate change, infrastructure, health and gender). </w:t>
      </w:r>
      <w:r w:rsidR="00AB1281" w:rsidRPr="00D17BDC">
        <w:rPr>
          <w:rFonts w:ascii="Times New Roman" w:hAnsi="Times New Roman"/>
          <w:sz w:val="24"/>
          <w:szCs w:val="24"/>
        </w:rPr>
        <w:t>In the longer term it is</w:t>
      </w:r>
      <w:r w:rsidR="00E57E39" w:rsidRPr="00D17BDC">
        <w:rPr>
          <w:rFonts w:ascii="Times New Roman" w:hAnsi="Times New Roman"/>
          <w:sz w:val="24"/>
          <w:szCs w:val="24"/>
        </w:rPr>
        <w:t xml:space="preserve"> therefore</w:t>
      </w:r>
      <w:r w:rsidR="00AB1281" w:rsidRPr="00D17BDC">
        <w:rPr>
          <w:rFonts w:ascii="Times New Roman" w:hAnsi="Times New Roman"/>
          <w:sz w:val="24"/>
          <w:szCs w:val="24"/>
        </w:rPr>
        <w:t xml:space="preserve"> better for Kiribati to have more development partners working effectively in</w:t>
      </w:r>
      <w:r w:rsidR="00E57E39" w:rsidRPr="00D17BDC">
        <w:rPr>
          <w:rFonts w:ascii="Times New Roman" w:hAnsi="Times New Roman"/>
          <w:sz w:val="24"/>
          <w:szCs w:val="24"/>
        </w:rPr>
        <w:t>-country</w:t>
      </w:r>
      <w:r w:rsidR="00AB1281" w:rsidRPr="00D17BDC">
        <w:rPr>
          <w:rFonts w:ascii="Times New Roman" w:hAnsi="Times New Roman"/>
          <w:sz w:val="24"/>
          <w:szCs w:val="24"/>
        </w:rPr>
        <w:t>, than</w:t>
      </w:r>
      <w:r w:rsidR="00E57E39" w:rsidRPr="00D17BDC">
        <w:rPr>
          <w:rFonts w:ascii="Times New Roman" w:hAnsi="Times New Roman"/>
          <w:sz w:val="24"/>
          <w:szCs w:val="24"/>
        </w:rPr>
        <w:t xml:space="preserve"> it would be to just rely</w:t>
      </w:r>
      <w:r w:rsidR="00AB1281" w:rsidRPr="00D17BDC">
        <w:rPr>
          <w:rFonts w:ascii="Times New Roman" w:hAnsi="Times New Roman"/>
          <w:sz w:val="24"/>
          <w:szCs w:val="24"/>
        </w:rPr>
        <w:t xml:space="preserve"> on AusAID. </w:t>
      </w:r>
    </w:p>
    <w:p w:rsidR="009D4E73" w:rsidRPr="00D17BDC" w:rsidRDefault="00E57E39" w:rsidP="009D4E73">
      <w:pPr>
        <w:spacing w:line="240" w:lineRule="auto"/>
        <w:rPr>
          <w:rFonts w:ascii="Times New Roman" w:hAnsi="Times New Roman"/>
          <w:sz w:val="24"/>
          <w:szCs w:val="24"/>
        </w:rPr>
      </w:pPr>
      <w:r w:rsidRPr="00D17BDC">
        <w:rPr>
          <w:rFonts w:ascii="Times New Roman" w:hAnsi="Times New Roman"/>
          <w:sz w:val="24"/>
          <w:szCs w:val="24"/>
        </w:rPr>
        <w:t>The Government of Australia</w:t>
      </w:r>
      <w:r w:rsidR="009D4E73" w:rsidRPr="00D17BDC">
        <w:rPr>
          <w:rFonts w:ascii="Times New Roman" w:hAnsi="Times New Roman"/>
          <w:sz w:val="24"/>
          <w:szCs w:val="24"/>
        </w:rPr>
        <w:t xml:space="preserve"> emphasi</w:t>
      </w:r>
      <w:r w:rsidR="00252186" w:rsidRPr="00D17BDC">
        <w:rPr>
          <w:rFonts w:ascii="Times New Roman" w:hAnsi="Times New Roman"/>
          <w:sz w:val="24"/>
          <w:szCs w:val="24"/>
        </w:rPr>
        <w:t>s</w:t>
      </w:r>
      <w:r w:rsidR="009D4E73" w:rsidRPr="00D17BDC">
        <w:rPr>
          <w:rFonts w:ascii="Times New Roman" w:hAnsi="Times New Roman"/>
          <w:sz w:val="24"/>
          <w:szCs w:val="24"/>
        </w:rPr>
        <w:t>ed th</w:t>
      </w:r>
      <w:r w:rsidR="002F005A" w:rsidRPr="00D17BDC">
        <w:rPr>
          <w:rFonts w:ascii="Times New Roman" w:hAnsi="Times New Roman"/>
          <w:sz w:val="24"/>
          <w:szCs w:val="24"/>
        </w:rPr>
        <w:t>at</w:t>
      </w:r>
      <w:r w:rsidRPr="00D17BDC">
        <w:rPr>
          <w:rFonts w:ascii="Times New Roman" w:hAnsi="Times New Roman"/>
          <w:sz w:val="24"/>
          <w:szCs w:val="24"/>
        </w:rPr>
        <w:t xml:space="preserve">, </w:t>
      </w:r>
      <w:r w:rsidR="002F005A" w:rsidRPr="00D17BDC">
        <w:rPr>
          <w:rFonts w:ascii="Times New Roman" w:hAnsi="Times New Roman"/>
          <w:sz w:val="24"/>
          <w:szCs w:val="24"/>
        </w:rPr>
        <w:t xml:space="preserve">as the donor to </w:t>
      </w:r>
      <w:r w:rsidRPr="00D17BDC">
        <w:rPr>
          <w:rFonts w:ascii="Times New Roman" w:hAnsi="Times New Roman"/>
          <w:sz w:val="24"/>
          <w:szCs w:val="24"/>
        </w:rPr>
        <w:t xml:space="preserve">regional and </w:t>
      </w:r>
      <w:r w:rsidR="001F69B3" w:rsidRPr="00D17BDC">
        <w:rPr>
          <w:rFonts w:ascii="Times New Roman" w:hAnsi="Times New Roman"/>
          <w:sz w:val="24"/>
          <w:szCs w:val="24"/>
        </w:rPr>
        <w:t>multilateral organisations</w:t>
      </w:r>
      <w:r w:rsidR="009D4E73" w:rsidRPr="00D17BDC">
        <w:rPr>
          <w:rFonts w:ascii="Times New Roman" w:hAnsi="Times New Roman"/>
          <w:sz w:val="24"/>
          <w:szCs w:val="24"/>
        </w:rPr>
        <w:t xml:space="preserve">, it </w:t>
      </w:r>
      <w:r w:rsidR="007D0FB0" w:rsidRPr="00D17BDC">
        <w:rPr>
          <w:rFonts w:ascii="Times New Roman" w:hAnsi="Times New Roman"/>
          <w:sz w:val="24"/>
          <w:szCs w:val="24"/>
        </w:rPr>
        <w:t>exerts significant</w:t>
      </w:r>
      <w:r w:rsidR="009D4E73" w:rsidRPr="00D17BDC">
        <w:rPr>
          <w:rFonts w:ascii="Times New Roman" w:hAnsi="Times New Roman"/>
          <w:sz w:val="24"/>
          <w:szCs w:val="24"/>
        </w:rPr>
        <w:t xml:space="preserve"> influence </w:t>
      </w:r>
      <w:r w:rsidR="007D0FB0" w:rsidRPr="00D17BDC">
        <w:rPr>
          <w:rFonts w:ascii="Times New Roman" w:hAnsi="Times New Roman"/>
          <w:sz w:val="24"/>
          <w:szCs w:val="24"/>
        </w:rPr>
        <w:t xml:space="preserve">over </w:t>
      </w:r>
      <w:r w:rsidR="009D4E73" w:rsidRPr="00D17BDC">
        <w:rPr>
          <w:rFonts w:ascii="Times New Roman" w:hAnsi="Times New Roman"/>
          <w:sz w:val="24"/>
          <w:szCs w:val="24"/>
        </w:rPr>
        <w:t>their behaviour</w:t>
      </w:r>
      <w:r w:rsidRPr="00D17BDC">
        <w:rPr>
          <w:rFonts w:ascii="Times New Roman" w:hAnsi="Times New Roman"/>
          <w:sz w:val="24"/>
          <w:szCs w:val="24"/>
        </w:rPr>
        <w:t xml:space="preserve">, regularly </w:t>
      </w:r>
      <w:r w:rsidR="001F69B3" w:rsidRPr="00D17BDC">
        <w:rPr>
          <w:rFonts w:ascii="Times New Roman" w:hAnsi="Times New Roman"/>
          <w:sz w:val="24"/>
          <w:szCs w:val="24"/>
        </w:rPr>
        <w:t>playing the</w:t>
      </w:r>
      <w:r w:rsidR="007D0FB0" w:rsidRPr="00D17BDC">
        <w:rPr>
          <w:rFonts w:ascii="Times New Roman" w:hAnsi="Times New Roman"/>
          <w:sz w:val="24"/>
          <w:szCs w:val="24"/>
        </w:rPr>
        <w:t xml:space="preserve"> role of quality broker</w:t>
      </w:r>
      <w:r w:rsidRPr="00D17BDC">
        <w:rPr>
          <w:rFonts w:ascii="Times New Roman" w:hAnsi="Times New Roman"/>
          <w:sz w:val="24"/>
          <w:szCs w:val="24"/>
        </w:rPr>
        <w:t>. Australia pointed out that</w:t>
      </w:r>
      <w:r w:rsidR="007D0FB0" w:rsidRPr="00D17BDC">
        <w:rPr>
          <w:rFonts w:ascii="Times New Roman" w:hAnsi="Times New Roman"/>
          <w:sz w:val="24"/>
          <w:szCs w:val="24"/>
        </w:rPr>
        <w:t xml:space="preserve"> GoK needs to be upfront and inform AusAID what issues </w:t>
      </w:r>
      <w:r w:rsidRPr="00D17BDC">
        <w:rPr>
          <w:rFonts w:ascii="Times New Roman" w:hAnsi="Times New Roman"/>
          <w:sz w:val="24"/>
          <w:szCs w:val="24"/>
        </w:rPr>
        <w:t>need to be looked at</w:t>
      </w:r>
      <w:r w:rsidR="007D0FB0" w:rsidRPr="00D17BDC">
        <w:rPr>
          <w:rFonts w:ascii="Times New Roman" w:hAnsi="Times New Roman"/>
          <w:sz w:val="24"/>
          <w:szCs w:val="24"/>
        </w:rPr>
        <w:t xml:space="preserve">. </w:t>
      </w:r>
      <w:r w:rsidR="009D4E73" w:rsidRPr="00D17BDC">
        <w:rPr>
          <w:rFonts w:ascii="Times New Roman" w:hAnsi="Times New Roman"/>
          <w:sz w:val="24"/>
          <w:szCs w:val="24"/>
        </w:rPr>
        <w:t xml:space="preserve">For its part GoK acknowledged it needs to learn to </w:t>
      </w:r>
      <w:r w:rsidR="002F005A" w:rsidRPr="00D17BDC">
        <w:rPr>
          <w:rFonts w:ascii="Times New Roman" w:hAnsi="Times New Roman"/>
          <w:sz w:val="24"/>
          <w:szCs w:val="24"/>
        </w:rPr>
        <w:t xml:space="preserve">‘play better’ with </w:t>
      </w:r>
      <w:r w:rsidRPr="00D17BDC">
        <w:rPr>
          <w:rFonts w:ascii="Times New Roman" w:hAnsi="Times New Roman"/>
          <w:sz w:val="24"/>
          <w:szCs w:val="24"/>
        </w:rPr>
        <w:t xml:space="preserve">regional and multilateral </w:t>
      </w:r>
      <w:r w:rsidR="002F005A" w:rsidRPr="00D17BDC">
        <w:rPr>
          <w:rFonts w:ascii="Times New Roman" w:hAnsi="Times New Roman"/>
          <w:sz w:val="24"/>
          <w:szCs w:val="24"/>
        </w:rPr>
        <w:t>organis</w:t>
      </w:r>
      <w:r w:rsidR="009D4E73" w:rsidRPr="00D17BDC">
        <w:rPr>
          <w:rFonts w:ascii="Times New Roman" w:hAnsi="Times New Roman"/>
          <w:sz w:val="24"/>
          <w:szCs w:val="24"/>
        </w:rPr>
        <w:t>ations, and welcome</w:t>
      </w:r>
      <w:r w:rsidRPr="00D17BDC">
        <w:rPr>
          <w:rFonts w:ascii="Times New Roman" w:hAnsi="Times New Roman"/>
          <w:sz w:val="24"/>
          <w:szCs w:val="24"/>
        </w:rPr>
        <w:t>d</w:t>
      </w:r>
      <w:r w:rsidR="009D4E73" w:rsidRPr="00D17BDC">
        <w:rPr>
          <w:rFonts w:ascii="Times New Roman" w:hAnsi="Times New Roman"/>
          <w:sz w:val="24"/>
          <w:szCs w:val="24"/>
        </w:rPr>
        <w:t xml:space="preserve"> AusAID’s role as ‘quality broker’</w:t>
      </w:r>
      <w:r w:rsidR="009E05D4" w:rsidRPr="00D17BDC">
        <w:rPr>
          <w:rFonts w:ascii="Times New Roman" w:hAnsi="Times New Roman"/>
          <w:sz w:val="24"/>
          <w:szCs w:val="24"/>
        </w:rPr>
        <w:t xml:space="preserve">. </w:t>
      </w:r>
    </w:p>
    <w:p w:rsidR="00D87101" w:rsidRPr="00D17BDC" w:rsidRDefault="000C42DD" w:rsidP="009D4E73">
      <w:pPr>
        <w:spacing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inline distT="0" distB="0" distL="0" distR="0">
                <wp:extent cx="5943600" cy="703580"/>
                <wp:effectExtent l="11430" t="6350" r="7620" b="1397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358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7D0FB0" w:rsidRDefault="00807794" w:rsidP="00D87101">
                            <w:pPr>
                              <w:numPr>
                                <w:ilvl w:val="0"/>
                                <w:numId w:val="34"/>
                              </w:numPr>
                              <w:spacing w:after="0" w:line="240" w:lineRule="auto"/>
                              <w:rPr>
                                <w:rFonts w:ascii="Calibri" w:hAnsi="Calibri"/>
                              </w:rPr>
                            </w:pPr>
                            <w:r>
                              <w:rPr>
                                <w:rFonts w:ascii="Times New Roman" w:hAnsi="Times New Roman"/>
                                <w:sz w:val="24"/>
                                <w:szCs w:val="24"/>
                              </w:rPr>
                              <w:t xml:space="preserve">AusAID agreed to inform GoK on upcoming meetings between AusAID and regional and multilateral organisations to see if there is anything GoK would like AusAID to raise. </w:t>
                            </w:r>
                          </w:p>
                        </w:txbxContent>
                      </wps:txbx>
                      <wps:bodyPr rot="0" vert="horz" wrap="square" lIns="91440" tIns="45720" rIns="91440" bIns="45720" anchor="t" anchorCtr="0" upright="1">
                        <a:noAutofit/>
                      </wps:bodyPr>
                    </wps:wsp>
                  </a:graphicData>
                </a:graphic>
              </wp:inline>
            </w:drawing>
          </mc:Choice>
          <mc:Fallback>
            <w:pict>
              <v:shape id="Text Box 25" o:spid="_x0000_s1036" type="#_x0000_t202" style="width:468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Pr="007D0FB0" w:rsidRDefault="00807794" w:rsidP="00D87101">
                      <w:pPr>
                        <w:numPr>
                          <w:ilvl w:val="0"/>
                          <w:numId w:val="34"/>
                        </w:numPr>
                        <w:spacing w:after="0" w:line="240" w:lineRule="auto"/>
                        <w:rPr>
                          <w:rFonts w:ascii="Calibri" w:hAnsi="Calibri"/>
                        </w:rPr>
                      </w:pPr>
                      <w:r>
                        <w:rPr>
                          <w:rFonts w:ascii="Times New Roman" w:hAnsi="Times New Roman"/>
                          <w:sz w:val="24"/>
                          <w:szCs w:val="24"/>
                        </w:rPr>
                        <w:t xml:space="preserve">AusAID agreed to inform GoK on upcoming meetings between AusAID and regional and multilateral organisations to see if there is anything GoK would like AusAID to raise. </w:t>
                      </w:r>
                    </w:p>
                  </w:txbxContent>
                </v:textbox>
                <w10:wrap anchorx="page"/>
                <w10:anchorlock/>
              </v:shape>
            </w:pict>
          </mc:Fallback>
        </mc:AlternateContent>
      </w:r>
    </w:p>
    <w:p w:rsidR="00D87101" w:rsidRPr="00D17BDC" w:rsidRDefault="00D87101" w:rsidP="00D87101">
      <w:pPr>
        <w:pStyle w:val="Heading2"/>
        <w:rPr>
          <w:kern w:val="28"/>
        </w:rPr>
      </w:pPr>
      <w:bookmarkStart w:id="21" w:name="_Toc307062922"/>
      <w:r w:rsidRPr="00D17BDC">
        <w:rPr>
          <w:kern w:val="28"/>
        </w:rPr>
        <w:lastRenderedPageBreak/>
        <w:t xml:space="preserve">Revisiting the </w:t>
      </w:r>
      <w:r w:rsidR="00771723">
        <w:rPr>
          <w:kern w:val="28"/>
        </w:rPr>
        <w:t>p</w:t>
      </w:r>
      <w:r w:rsidRPr="00D17BDC">
        <w:rPr>
          <w:kern w:val="28"/>
        </w:rPr>
        <w:t xml:space="preserve">artnership </w:t>
      </w:r>
      <w:r w:rsidR="00771723">
        <w:rPr>
          <w:kern w:val="28"/>
        </w:rPr>
        <w:t>t</w:t>
      </w:r>
      <w:r w:rsidRPr="00D17BDC">
        <w:rPr>
          <w:kern w:val="28"/>
        </w:rPr>
        <w:t xml:space="preserve">argets to </w:t>
      </w:r>
      <w:r w:rsidR="00010DF9" w:rsidRPr="00D17BDC">
        <w:rPr>
          <w:kern w:val="28"/>
        </w:rPr>
        <w:t>align b</w:t>
      </w:r>
      <w:r w:rsidRPr="00D17BDC">
        <w:rPr>
          <w:kern w:val="28"/>
        </w:rPr>
        <w:t>ehind KDP 2012</w:t>
      </w:r>
      <w:r w:rsidR="00FC2101" w:rsidRPr="00D17BDC">
        <w:rPr>
          <w:kern w:val="28"/>
        </w:rPr>
        <w:t>–</w:t>
      </w:r>
      <w:r w:rsidRPr="00D17BDC">
        <w:rPr>
          <w:kern w:val="28"/>
        </w:rPr>
        <w:t>15</w:t>
      </w:r>
      <w:bookmarkEnd w:id="21"/>
      <w:r w:rsidRPr="00D17BDC">
        <w:rPr>
          <w:kern w:val="28"/>
        </w:rPr>
        <w:t xml:space="preserve"> </w:t>
      </w:r>
    </w:p>
    <w:p w:rsidR="00D87101" w:rsidRPr="00D17BDC" w:rsidRDefault="00D87101" w:rsidP="00D87101">
      <w:pPr>
        <w:spacing w:line="240" w:lineRule="auto"/>
        <w:rPr>
          <w:rFonts w:ascii="Times New Roman" w:hAnsi="Times New Roman"/>
          <w:sz w:val="24"/>
          <w:szCs w:val="24"/>
        </w:rPr>
      </w:pPr>
      <w:r w:rsidRPr="00D17BDC">
        <w:rPr>
          <w:rFonts w:ascii="Times New Roman" w:hAnsi="Times New Roman"/>
          <w:sz w:val="24"/>
          <w:szCs w:val="24"/>
        </w:rPr>
        <w:t xml:space="preserve">In the second half of 2011 and </w:t>
      </w:r>
      <w:r w:rsidR="00E57E39" w:rsidRPr="00D17BDC">
        <w:rPr>
          <w:rFonts w:ascii="Times New Roman" w:hAnsi="Times New Roman"/>
          <w:sz w:val="24"/>
          <w:szCs w:val="24"/>
        </w:rPr>
        <w:t xml:space="preserve">in </w:t>
      </w:r>
      <w:r w:rsidRPr="00D17BDC">
        <w:rPr>
          <w:rFonts w:ascii="Times New Roman" w:hAnsi="Times New Roman"/>
          <w:sz w:val="24"/>
          <w:szCs w:val="24"/>
        </w:rPr>
        <w:t xml:space="preserve">early 2012, GoK will prepare the </w:t>
      </w:r>
      <w:r w:rsidR="00797BD1" w:rsidRPr="00D17BDC">
        <w:rPr>
          <w:rFonts w:ascii="Times New Roman" w:hAnsi="Times New Roman"/>
          <w:sz w:val="24"/>
          <w:szCs w:val="24"/>
        </w:rPr>
        <w:t>KDP</w:t>
      </w:r>
      <w:r w:rsidRPr="00D17BDC">
        <w:rPr>
          <w:rFonts w:ascii="Times New Roman" w:hAnsi="Times New Roman"/>
          <w:sz w:val="24"/>
          <w:szCs w:val="24"/>
        </w:rPr>
        <w:t xml:space="preserve"> for 2012</w:t>
      </w:r>
      <w:r w:rsidR="00FC2101" w:rsidRPr="00D17BDC">
        <w:rPr>
          <w:rFonts w:ascii="Times New Roman" w:hAnsi="Times New Roman"/>
          <w:sz w:val="24"/>
          <w:szCs w:val="24"/>
        </w:rPr>
        <w:t>–</w:t>
      </w:r>
      <w:r w:rsidRPr="00D17BDC">
        <w:rPr>
          <w:rFonts w:ascii="Times New Roman" w:hAnsi="Times New Roman"/>
          <w:sz w:val="24"/>
          <w:szCs w:val="24"/>
        </w:rPr>
        <w:t>15. The KDP will be informed by more detailed sector strategic plan</w:t>
      </w:r>
      <w:r w:rsidR="007F7827" w:rsidRPr="00D17BDC">
        <w:rPr>
          <w:rFonts w:ascii="Times New Roman" w:hAnsi="Times New Roman"/>
          <w:sz w:val="24"/>
          <w:szCs w:val="24"/>
        </w:rPr>
        <w:t xml:space="preserve">s, currently </w:t>
      </w:r>
      <w:r w:rsidR="00E57E39" w:rsidRPr="00D17BDC">
        <w:rPr>
          <w:rFonts w:ascii="Times New Roman" w:hAnsi="Times New Roman"/>
          <w:sz w:val="24"/>
          <w:szCs w:val="24"/>
        </w:rPr>
        <w:t>being prepared</w:t>
      </w:r>
      <w:r w:rsidR="007F7827" w:rsidRPr="00D17BDC">
        <w:rPr>
          <w:rFonts w:ascii="Times New Roman" w:hAnsi="Times New Roman"/>
          <w:sz w:val="24"/>
          <w:szCs w:val="24"/>
        </w:rPr>
        <w:t xml:space="preserve"> by line ministries.</w:t>
      </w:r>
      <w:r w:rsidR="001B7E92">
        <w:rPr>
          <w:rFonts w:ascii="Times New Roman" w:hAnsi="Times New Roman"/>
          <w:sz w:val="24"/>
          <w:szCs w:val="24"/>
        </w:rPr>
        <w:t xml:space="preserve"> </w:t>
      </w:r>
      <w:r w:rsidRPr="00D17BDC">
        <w:rPr>
          <w:rFonts w:ascii="Times New Roman" w:hAnsi="Times New Roman"/>
          <w:sz w:val="24"/>
          <w:szCs w:val="24"/>
        </w:rPr>
        <w:t>This presents an opportunity to review the</w:t>
      </w:r>
      <w:r w:rsidR="00E57E39" w:rsidRPr="00D17BDC">
        <w:rPr>
          <w:rFonts w:ascii="Times New Roman" w:hAnsi="Times New Roman"/>
          <w:sz w:val="24"/>
          <w:szCs w:val="24"/>
        </w:rPr>
        <w:t xml:space="preserve"> Partnership’s development objectives and</w:t>
      </w:r>
      <w:r w:rsidRPr="00D17BDC">
        <w:rPr>
          <w:rFonts w:ascii="Times New Roman" w:hAnsi="Times New Roman"/>
          <w:sz w:val="24"/>
          <w:szCs w:val="24"/>
        </w:rPr>
        <w:t xml:space="preserve"> targets</w:t>
      </w:r>
      <w:r w:rsidR="00385C8F" w:rsidRPr="00D17BDC">
        <w:rPr>
          <w:rFonts w:ascii="Times New Roman" w:hAnsi="Times New Roman"/>
          <w:sz w:val="24"/>
          <w:szCs w:val="24"/>
        </w:rPr>
        <w:t>.</w:t>
      </w:r>
      <w:r w:rsidR="009E05D4" w:rsidRPr="00D17BDC">
        <w:rPr>
          <w:rFonts w:ascii="Times New Roman" w:hAnsi="Times New Roman"/>
          <w:sz w:val="24"/>
          <w:szCs w:val="24"/>
        </w:rPr>
        <w:t xml:space="preserve"> </w:t>
      </w:r>
    </w:p>
    <w:p w:rsidR="004D44F5" w:rsidRPr="00D17BDC" w:rsidRDefault="00D87101" w:rsidP="001B7E92">
      <w:pPr>
        <w:spacing w:line="240" w:lineRule="auto"/>
        <w:rPr>
          <w:rFonts w:ascii="Times New Roman" w:hAnsi="Times New Roman"/>
          <w:sz w:val="24"/>
          <w:szCs w:val="24"/>
        </w:rPr>
      </w:pPr>
      <w:r w:rsidRPr="00D17BDC">
        <w:rPr>
          <w:rFonts w:ascii="Times New Roman" w:hAnsi="Times New Roman"/>
          <w:sz w:val="24"/>
          <w:szCs w:val="24"/>
        </w:rPr>
        <w:t xml:space="preserve">The decision to revise the Partnership </w:t>
      </w:r>
      <w:r w:rsidR="00E57E39" w:rsidRPr="00D17BDC">
        <w:rPr>
          <w:rFonts w:ascii="Times New Roman" w:hAnsi="Times New Roman"/>
          <w:sz w:val="24"/>
          <w:szCs w:val="24"/>
        </w:rPr>
        <w:t>t</w:t>
      </w:r>
      <w:r w:rsidRPr="00D17BDC">
        <w:rPr>
          <w:rFonts w:ascii="Times New Roman" w:hAnsi="Times New Roman"/>
          <w:sz w:val="24"/>
          <w:szCs w:val="24"/>
        </w:rPr>
        <w:t xml:space="preserve">argets and </w:t>
      </w:r>
      <w:r w:rsidR="00E57E39" w:rsidRPr="00D17BDC">
        <w:rPr>
          <w:rFonts w:ascii="Times New Roman" w:hAnsi="Times New Roman"/>
          <w:sz w:val="24"/>
          <w:szCs w:val="24"/>
        </w:rPr>
        <w:t>i</w:t>
      </w:r>
      <w:r w:rsidRPr="00D17BDC">
        <w:rPr>
          <w:rFonts w:ascii="Times New Roman" w:hAnsi="Times New Roman"/>
          <w:sz w:val="24"/>
          <w:szCs w:val="24"/>
        </w:rPr>
        <w:t>mplementation</w:t>
      </w:r>
      <w:r w:rsidR="007F7827" w:rsidRPr="00D17BDC">
        <w:rPr>
          <w:rFonts w:ascii="Times New Roman" w:hAnsi="Times New Roman"/>
          <w:sz w:val="24"/>
          <w:szCs w:val="24"/>
        </w:rPr>
        <w:t xml:space="preserve"> </w:t>
      </w:r>
      <w:r w:rsidR="00E57E39" w:rsidRPr="00D17BDC">
        <w:rPr>
          <w:rFonts w:ascii="Times New Roman" w:hAnsi="Times New Roman"/>
          <w:sz w:val="24"/>
          <w:szCs w:val="24"/>
        </w:rPr>
        <w:t>s</w:t>
      </w:r>
      <w:r w:rsidR="007F7827" w:rsidRPr="00D17BDC">
        <w:rPr>
          <w:rFonts w:ascii="Times New Roman" w:hAnsi="Times New Roman"/>
          <w:sz w:val="24"/>
          <w:szCs w:val="24"/>
        </w:rPr>
        <w:t>trategies should</w:t>
      </w:r>
      <w:r w:rsidRPr="00D17BDC">
        <w:rPr>
          <w:rFonts w:ascii="Times New Roman" w:hAnsi="Times New Roman"/>
          <w:sz w:val="24"/>
          <w:szCs w:val="24"/>
        </w:rPr>
        <w:t xml:space="preserve"> be made on a sector</w:t>
      </w:r>
      <w:r w:rsidR="00E57E39" w:rsidRPr="00D17BDC">
        <w:rPr>
          <w:rFonts w:ascii="Times New Roman" w:hAnsi="Times New Roman"/>
          <w:sz w:val="24"/>
          <w:szCs w:val="24"/>
        </w:rPr>
        <w:t>-</w:t>
      </w:r>
      <w:r w:rsidRPr="00D17BDC">
        <w:rPr>
          <w:rFonts w:ascii="Times New Roman" w:hAnsi="Times New Roman"/>
          <w:sz w:val="24"/>
          <w:szCs w:val="24"/>
        </w:rPr>
        <w:t>by</w:t>
      </w:r>
      <w:r w:rsidR="00E57E39" w:rsidRPr="00D17BDC">
        <w:rPr>
          <w:rFonts w:ascii="Times New Roman" w:hAnsi="Times New Roman"/>
          <w:sz w:val="24"/>
          <w:szCs w:val="24"/>
        </w:rPr>
        <w:t>-</w:t>
      </w:r>
      <w:r w:rsidRPr="00D17BDC">
        <w:rPr>
          <w:rFonts w:ascii="Times New Roman" w:hAnsi="Times New Roman"/>
          <w:sz w:val="24"/>
          <w:szCs w:val="24"/>
        </w:rPr>
        <w:t>sector basis</w:t>
      </w:r>
      <w:r w:rsidR="00E57E39" w:rsidRPr="00D17BDC">
        <w:rPr>
          <w:rFonts w:ascii="Times New Roman" w:hAnsi="Times New Roman"/>
          <w:sz w:val="24"/>
          <w:szCs w:val="24"/>
        </w:rPr>
        <w:t>, where</w:t>
      </w:r>
      <w:r w:rsidRPr="00D17BDC">
        <w:rPr>
          <w:rFonts w:ascii="Times New Roman" w:hAnsi="Times New Roman"/>
          <w:sz w:val="24"/>
          <w:szCs w:val="24"/>
        </w:rPr>
        <w:t xml:space="preserve"> necessary. </w:t>
      </w:r>
      <w:r w:rsidR="007F7827" w:rsidRPr="00D17BDC">
        <w:rPr>
          <w:rFonts w:ascii="Times New Roman" w:hAnsi="Times New Roman"/>
          <w:sz w:val="24"/>
          <w:szCs w:val="24"/>
        </w:rPr>
        <w:t>Any proposed revisions c</w:t>
      </w:r>
      <w:r w:rsidRPr="00D17BDC">
        <w:rPr>
          <w:rFonts w:ascii="Times New Roman" w:hAnsi="Times New Roman"/>
          <w:sz w:val="24"/>
          <w:szCs w:val="24"/>
        </w:rPr>
        <w:t xml:space="preserve">ould be presented at the 2012 Partnership Talks for endorsement. </w:t>
      </w:r>
      <w:r w:rsidR="004D44F5" w:rsidRPr="00D17BDC">
        <w:rPr>
          <w:rFonts w:ascii="Times New Roman" w:hAnsi="Times New Roman"/>
          <w:sz w:val="24"/>
          <w:szCs w:val="24"/>
        </w:rPr>
        <w:t xml:space="preserve">Both </w:t>
      </w:r>
      <w:r w:rsidR="00E57E39" w:rsidRPr="00D17BDC">
        <w:rPr>
          <w:rFonts w:ascii="Times New Roman" w:hAnsi="Times New Roman"/>
          <w:sz w:val="24"/>
          <w:szCs w:val="24"/>
        </w:rPr>
        <w:t>g</w:t>
      </w:r>
      <w:r w:rsidR="004D44F5" w:rsidRPr="00D17BDC">
        <w:rPr>
          <w:rFonts w:ascii="Times New Roman" w:hAnsi="Times New Roman"/>
          <w:sz w:val="24"/>
          <w:szCs w:val="24"/>
        </w:rPr>
        <w:t xml:space="preserve">overnments also agreed to investigate the possibility of holding next year’s Partnership Talks outside of South Tarawa. </w:t>
      </w:r>
    </w:p>
    <w:p w:rsidR="009D4E73" w:rsidRPr="004D44F5" w:rsidRDefault="000C42DD" w:rsidP="00771723">
      <w:pPr>
        <w:spacing w:before="240" w:after="0" w:line="240" w:lineRule="auto"/>
      </w:pPr>
      <w:r>
        <w:rPr>
          <w:rFonts w:ascii="Times New Roman" w:hAnsi="Times New Roman"/>
          <w:noProof/>
          <w:sz w:val="24"/>
          <w:szCs w:val="24"/>
          <w:lang w:val="en-US" w:eastAsia="en-US"/>
        </w:rPr>
        <mc:AlternateContent>
          <mc:Choice Requires="wps">
            <w:drawing>
              <wp:inline distT="0" distB="0" distL="0" distR="0">
                <wp:extent cx="5943600" cy="1074420"/>
                <wp:effectExtent l="11430" t="6985" r="7620" b="13970"/>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4420"/>
                        </a:xfrm>
                        <a:prstGeom prst="rect">
                          <a:avLst/>
                        </a:prstGeom>
                        <a:solidFill>
                          <a:srgbClr val="C0C0C0">
                            <a:alpha val="28000"/>
                          </a:srgbClr>
                        </a:solidFill>
                        <a:ln w="9525">
                          <a:solidFill>
                            <a:srgbClr val="000000"/>
                          </a:solidFill>
                          <a:miter lim="800000"/>
                          <a:headEnd/>
                          <a:tailEnd/>
                        </a:ln>
                      </wps:spPr>
                      <wps:txb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Default="00807794" w:rsidP="00D87101">
                            <w:pPr>
                              <w:numPr>
                                <w:ilvl w:val="0"/>
                                <w:numId w:val="34"/>
                              </w:numPr>
                              <w:spacing w:after="0" w:line="240" w:lineRule="auto"/>
                              <w:rPr>
                                <w:rFonts w:ascii="Times New Roman" w:hAnsi="Times New Roman"/>
                                <w:sz w:val="24"/>
                                <w:szCs w:val="24"/>
                              </w:rPr>
                            </w:pPr>
                            <w:r w:rsidRPr="00D87101">
                              <w:rPr>
                                <w:rFonts w:ascii="Times New Roman" w:hAnsi="Times New Roman"/>
                                <w:sz w:val="24"/>
                                <w:szCs w:val="24"/>
                              </w:rPr>
                              <w:t xml:space="preserve">Both </w:t>
                            </w:r>
                            <w:r>
                              <w:rPr>
                                <w:rFonts w:ascii="Times New Roman" w:hAnsi="Times New Roman"/>
                                <w:sz w:val="24"/>
                                <w:szCs w:val="24"/>
                              </w:rPr>
                              <w:t>g</w:t>
                            </w:r>
                            <w:r w:rsidRPr="00D87101">
                              <w:rPr>
                                <w:rFonts w:ascii="Times New Roman" w:hAnsi="Times New Roman"/>
                                <w:sz w:val="24"/>
                                <w:szCs w:val="24"/>
                              </w:rPr>
                              <w:t>overnments agreed to consider revising the Partnership Targets behind newly developed Sector Strategic Plans and/or KDP 2012</w:t>
                            </w:r>
                            <w:r>
                              <w:rPr>
                                <w:rFonts w:ascii="Times New Roman" w:hAnsi="Times New Roman"/>
                                <w:sz w:val="24"/>
                                <w:szCs w:val="24"/>
                              </w:rPr>
                              <w:t>–</w:t>
                            </w:r>
                            <w:r w:rsidRPr="00D87101">
                              <w:rPr>
                                <w:rFonts w:ascii="Times New Roman" w:hAnsi="Times New Roman"/>
                                <w:sz w:val="24"/>
                                <w:szCs w:val="24"/>
                              </w:rPr>
                              <w:t>15.</w:t>
                            </w:r>
                          </w:p>
                          <w:p w:rsidR="00807794" w:rsidRPr="00D87101" w:rsidRDefault="00807794" w:rsidP="004D44F5">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Both governments agreed to consider holding next year’s Partnership Talks outside of South Tarawa. </w:t>
                            </w:r>
                            <w:r w:rsidRPr="00D87101">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id="Text Box 24" o:spid="_x0000_s1037" type="#_x0000_t202" style="width:46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" fillcolor="silver">
                <v:fill opacity="18247f"/>
                <v:textbox>
                  <w:txbxContent>
                    <w:p w:rsidR="00807794" w:rsidRPr="00915CBF" w:rsidRDefault="00807794" w:rsidP="00807794">
                      <w:pPr>
                        <w:spacing w:after="120" w:line="240" w:lineRule="auto"/>
                        <w:rPr>
                          <w:rFonts w:ascii="Times New Roman" w:hAnsi="Times New Roman"/>
                          <w:b/>
                          <w:sz w:val="24"/>
                          <w:szCs w:val="24"/>
                        </w:rPr>
                      </w:pPr>
                      <w:r w:rsidRPr="00915CBF">
                        <w:rPr>
                          <w:rFonts w:ascii="Times New Roman" w:hAnsi="Times New Roman"/>
                          <w:b/>
                          <w:sz w:val="24"/>
                          <w:szCs w:val="24"/>
                        </w:rPr>
                        <w:t>Outcomes from the 2011 Partnership Talks</w:t>
                      </w:r>
                    </w:p>
                    <w:p w:rsidR="00807794" w:rsidRDefault="00807794" w:rsidP="00D87101">
                      <w:pPr>
                        <w:numPr>
                          <w:ilvl w:val="0"/>
                          <w:numId w:val="34"/>
                        </w:numPr>
                        <w:spacing w:after="0" w:line="240" w:lineRule="auto"/>
                        <w:rPr>
                          <w:rFonts w:ascii="Times New Roman" w:hAnsi="Times New Roman"/>
                          <w:sz w:val="24"/>
                          <w:szCs w:val="24"/>
                        </w:rPr>
                      </w:pPr>
                      <w:r w:rsidRPr="00D87101">
                        <w:rPr>
                          <w:rFonts w:ascii="Times New Roman" w:hAnsi="Times New Roman"/>
                          <w:sz w:val="24"/>
                          <w:szCs w:val="24"/>
                        </w:rPr>
                        <w:t xml:space="preserve">Both </w:t>
                      </w:r>
                      <w:r>
                        <w:rPr>
                          <w:rFonts w:ascii="Times New Roman" w:hAnsi="Times New Roman"/>
                          <w:sz w:val="24"/>
                          <w:szCs w:val="24"/>
                        </w:rPr>
                        <w:t>g</w:t>
                      </w:r>
                      <w:r w:rsidRPr="00D87101">
                        <w:rPr>
                          <w:rFonts w:ascii="Times New Roman" w:hAnsi="Times New Roman"/>
                          <w:sz w:val="24"/>
                          <w:szCs w:val="24"/>
                        </w:rPr>
                        <w:t>overnments agreed to consider revising the Partnership Targets behind newly developed Sector Strategic Plans and/or KDP 2012</w:t>
                      </w:r>
                      <w:r>
                        <w:rPr>
                          <w:rFonts w:ascii="Times New Roman" w:hAnsi="Times New Roman"/>
                          <w:sz w:val="24"/>
                          <w:szCs w:val="24"/>
                        </w:rPr>
                        <w:t>–</w:t>
                      </w:r>
                      <w:r w:rsidRPr="00D87101">
                        <w:rPr>
                          <w:rFonts w:ascii="Times New Roman" w:hAnsi="Times New Roman"/>
                          <w:sz w:val="24"/>
                          <w:szCs w:val="24"/>
                        </w:rPr>
                        <w:t>15.</w:t>
                      </w:r>
                    </w:p>
                    <w:p w:rsidR="00807794" w:rsidRPr="00D87101" w:rsidRDefault="00807794" w:rsidP="004D44F5">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Both governments agreed to consider holding next year’s Partnership Talks outside of South Tarawa. </w:t>
                      </w:r>
                      <w:r w:rsidRPr="00D87101">
                        <w:rPr>
                          <w:rFonts w:ascii="Times New Roman" w:hAnsi="Times New Roman"/>
                          <w:sz w:val="24"/>
                          <w:szCs w:val="24"/>
                        </w:rPr>
                        <w:t xml:space="preserve"> </w:t>
                      </w:r>
                    </w:p>
                  </w:txbxContent>
                </v:textbox>
                <w10:wrap anchorx="page"/>
                <w10:anchorlock/>
              </v:shape>
            </w:pict>
          </mc:Fallback>
        </mc:AlternateContent>
      </w:r>
    </w:p>
    <w:sectPr w:rsidR="009D4E73" w:rsidRPr="004D44F5" w:rsidSect="00610F2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A3" w:rsidRDefault="00D00AA3">
      <w:r>
        <w:separator/>
      </w:r>
    </w:p>
  </w:endnote>
  <w:endnote w:type="continuationSeparator" w:id="0">
    <w:p w:rsidR="00D00AA3" w:rsidRDefault="00D0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94" w:rsidRDefault="00807794" w:rsidP="008C5ED4">
    <w:pPr>
      <w:pStyle w:val="Footer"/>
      <w:jc w:val="center"/>
      <w:rPr>
        <w:rStyle w:val="PageNumber"/>
      </w:rPr>
    </w:pPr>
    <w:r w:rsidRPr="00DE0DFC">
      <w:rPr>
        <w:rStyle w:val="PageNumber"/>
      </w:rPr>
      <w:fldChar w:fldCharType="begin"/>
    </w:r>
    <w:r w:rsidRPr="00DE0DFC">
      <w:rPr>
        <w:rStyle w:val="PageNumber"/>
      </w:rPr>
      <w:instrText xml:space="preserve"> seq chapter \c </w:instrText>
    </w:r>
    <w:r w:rsidRPr="00DE0DFC">
      <w:rPr>
        <w:rStyle w:val="PageNumber"/>
      </w:rPr>
      <w:fldChar w:fldCharType="separate"/>
    </w:r>
    <w:r w:rsidR="00015E51">
      <w:rPr>
        <w:rStyle w:val="PageNumber"/>
        <w:noProof/>
      </w:rPr>
      <w:t>0</w:t>
    </w:r>
    <w:r w:rsidRPr="00DE0DFC">
      <w:rPr>
        <w:rStyle w:val="PageNumber"/>
      </w:rPr>
      <w:fldChar w:fldCharType="end"/>
    </w:r>
    <w:r w:rsidRPr="00DE0DFC">
      <w:rPr>
        <w:rStyle w:val="PageNumber"/>
      </w:rPr>
      <w:t>-</w:t>
    </w:r>
    <w:r>
      <w:rPr>
        <w:rStyle w:val="PageNumber"/>
      </w:rPr>
      <w:fldChar w:fldCharType="begin"/>
    </w:r>
    <w:r>
      <w:rPr>
        <w:rStyle w:val="PageNumber"/>
      </w:rPr>
      <w:instrText xml:space="preserve"> PAGE </w:instrText>
    </w:r>
    <w:r>
      <w:rPr>
        <w:rStyle w:val="PageNumber"/>
      </w:rPr>
      <w:fldChar w:fldCharType="separate"/>
    </w:r>
    <w:r w:rsidR="00015E51">
      <w:rPr>
        <w:rStyle w:val="PageNumber"/>
        <w:noProof/>
      </w:rPr>
      <w:t>15</w:t>
    </w:r>
    <w:r>
      <w:rPr>
        <w:rStyle w:val="PageNumber"/>
      </w:rPr>
      <w:fldChar w:fldCharType="end"/>
    </w:r>
  </w:p>
  <w:p w:rsidR="00807794" w:rsidRDefault="00807794" w:rsidP="008C5ED4">
    <w:pPr>
      <w:pStyle w:val="Classification"/>
    </w:pPr>
    <w:r>
      <w:t>PROTECTED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94" w:rsidRPr="002162AF" w:rsidRDefault="00807794">
    <w:pPr>
      <w:pStyle w:val="Footer"/>
      <w:jc w:val="right"/>
      <w:rPr>
        <w:rFonts w:ascii="Franklin Gothic Book" w:hAnsi="Franklin Gothic Book"/>
        <w:sz w:val="17"/>
        <w:szCs w:val="17"/>
      </w:rPr>
    </w:pPr>
    <w:r w:rsidRPr="002162AF">
      <w:rPr>
        <w:rFonts w:ascii="Franklin Gothic Book" w:hAnsi="Franklin Gothic Book"/>
        <w:sz w:val="17"/>
        <w:szCs w:val="17"/>
      </w:rPr>
      <w:fldChar w:fldCharType="begin"/>
    </w:r>
    <w:r w:rsidRPr="002162AF">
      <w:rPr>
        <w:rFonts w:ascii="Franklin Gothic Book" w:hAnsi="Franklin Gothic Book"/>
        <w:sz w:val="17"/>
        <w:szCs w:val="17"/>
      </w:rPr>
      <w:instrText xml:space="preserve"> PAGE   \* MERGEFORMAT </w:instrText>
    </w:r>
    <w:r w:rsidRPr="002162AF">
      <w:rPr>
        <w:rFonts w:ascii="Franklin Gothic Book" w:hAnsi="Franklin Gothic Book"/>
        <w:sz w:val="17"/>
        <w:szCs w:val="17"/>
      </w:rPr>
      <w:fldChar w:fldCharType="separate"/>
    </w:r>
    <w:r w:rsidR="00F314A3">
      <w:rPr>
        <w:rFonts w:ascii="Franklin Gothic Book" w:hAnsi="Franklin Gothic Book"/>
        <w:noProof/>
        <w:sz w:val="17"/>
        <w:szCs w:val="17"/>
      </w:rPr>
      <w:t>16</w:t>
    </w:r>
    <w:r w:rsidRPr="002162AF">
      <w:rPr>
        <w:rFonts w:ascii="Franklin Gothic Book" w:hAnsi="Franklin Gothic Book"/>
        <w:noProof/>
        <w:sz w:val="17"/>
        <w:szCs w:val="17"/>
      </w:rPr>
      <w:fldChar w:fldCharType="end"/>
    </w:r>
  </w:p>
  <w:p w:rsidR="00807794" w:rsidRPr="002162AF" w:rsidRDefault="00807794" w:rsidP="002162AF">
    <w:pPr>
      <w:pStyle w:val="Footer"/>
      <w:rPr>
        <w:rStyle w:val="PageNumbe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94" w:rsidRDefault="00807794" w:rsidP="008C5ED4">
    <w:pPr>
      <w:pStyle w:val="Footer"/>
      <w:jc w:val="center"/>
      <w:rPr>
        <w:rStyle w:val="PageNumber"/>
      </w:rPr>
    </w:pPr>
    <w:r w:rsidRPr="00DE0DFC">
      <w:rPr>
        <w:rStyle w:val="PageNumber"/>
      </w:rPr>
      <w:fldChar w:fldCharType="begin"/>
    </w:r>
    <w:r w:rsidRPr="00DE0DFC">
      <w:rPr>
        <w:rStyle w:val="PageNumber"/>
      </w:rPr>
      <w:instrText xml:space="preserve"> seq chapter \c </w:instrText>
    </w:r>
    <w:r w:rsidRPr="00DE0DFC">
      <w:rPr>
        <w:rStyle w:val="PageNumber"/>
      </w:rPr>
      <w:fldChar w:fldCharType="separate"/>
    </w:r>
    <w:r w:rsidR="00015E51">
      <w:rPr>
        <w:rStyle w:val="PageNumber"/>
        <w:noProof/>
      </w:rPr>
      <w:t>0</w:t>
    </w:r>
    <w:r w:rsidRPr="00DE0DFC">
      <w:rPr>
        <w:rStyle w:val="PageNumber"/>
      </w:rPr>
      <w:fldChar w:fldCharType="end"/>
    </w:r>
    <w:r w:rsidRPr="00DE0DFC">
      <w:rPr>
        <w:rStyle w:val="PageNumber"/>
      </w:rPr>
      <w:t>-</w:t>
    </w:r>
    <w:r>
      <w:rPr>
        <w:rStyle w:val="PageNumber"/>
      </w:rPr>
      <w:fldChar w:fldCharType="begin"/>
    </w:r>
    <w:r>
      <w:rPr>
        <w:rStyle w:val="PageNumber"/>
      </w:rPr>
      <w:instrText xml:space="preserve"> PAGE </w:instrText>
    </w:r>
    <w:r>
      <w:rPr>
        <w:rStyle w:val="PageNumber"/>
      </w:rPr>
      <w:fldChar w:fldCharType="separate"/>
    </w:r>
    <w:r w:rsidR="00015E51">
      <w:rPr>
        <w:rStyle w:val="PageNumber"/>
        <w:noProof/>
      </w:rPr>
      <w:t>15</w:t>
    </w:r>
    <w:r>
      <w:rPr>
        <w:rStyle w:val="PageNumber"/>
      </w:rPr>
      <w:fldChar w:fldCharType="end"/>
    </w:r>
  </w:p>
  <w:p w:rsidR="00807794" w:rsidRDefault="00807794" w:rsidP="008C5ED4">
    <w:pPr>
      <w:pStyle w:val="Classification"/>
    </w:pPr>
    <w:r>
      <w:t>PROTECTED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A3" w:rsidRDefault="00D00AA3">
      <w:r>
        <w:separator/>
      </w:r>
    </w:p>
  </w:footnote>
  <w:footnote w:type="continuationSeparator" w:id="0">
    <w:p w:rsidR="00D00AA3" w:rsidRDefault="00D00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94" w:rsidRDefault="00807794" w:rsidP="008C5ED4">
    <w:pPr>
      <w:pStyle w:val="Classification"/>
    </w:pPr>
    <w:r>
      <w:t>PROTECTED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94" w:rsidRDefault="00807794" w:rsidP="008C5ED4">
    <w:pPr>
      <w:pStyle w:val="Classification"/>
    </w:pPr>
    <w:r>
      <w:t>PROTECTED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40BB"/>
    <w:multiLevelType w:val="hybridMultilevel"/>
    <w:tmpl w:val="17E068E0"/>
    <w:lvl w:ilvl="0" w:tplc="0C09000B">
      <w:start w:val="1"/>
      <w:numFmt w:val="bullet"/>
      <w:lvlText w:val=""/>
      <w:lvlJc w:val="left"/>
      <w:pPr>
        <w:tabs>
          <w:tab w:val="num" w:pos="618"/>
        </w:tabs>
        <w:ind w:left="618" w:hanging="360"/>
      </w:pPr>
      <w:rPr>
        <w:rFonts w:ascii="Wingdings" w:hAnsi="Wingdings" w:hint="default"/>
      </w:rPr>
    </w:lvl>
    <w:lvl w:ilvl="1" w:tplc="0C090001">
      <w:start w:val="1"/>
      <w:numFmt w:val="bullet"/>
      <w:lvlText w:val=""/>
      <w:lvlJc w:val="left"/>
      <w:pPr>
        <w:tabs>
          <w:tab w:val="num" w:pos="1338"/>
        </w:tabs>
        <w:ind w:left="1338" w:hanging="360"/>
      </w:pPr>
      <w:rPr>
        <w:rFonts w:ascii="Symbol" w:hAnsi="Symbol"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1">
    <w:nsid w:val="0C570BE0"/>
    <w:multiLevelType w:val="hybridMultilevel"/>
    <w:tmpl w:val="9EACAA96"/>
    <w:lvl w:ilvl="0" w:tplc="0C090001">
      <w:start w:val="1"/>
      <w:numFmt w:val="bullet"/>
      <w:lvlText w:val=""/>
      <w:lvlJc w:val="left"/>
      <w:pPr>
        <w:tabs>
          <w:tab w:val="num" w:pos="647"/>
        </w:tabs>
        <w:ind w:left="647" w:hanging="360"/>
      </w:pPr>
      <w:rPr>
        <w:rFonts w:ascii="Symbol" w:hAnsi="Symbol" w:hint="default"/>
      </w:rPr>
    </w:lvl>
    <w:lvl w:ilvl="1" w:tplc="0C090003" w:tentative="1">
      <w:start w:val="1"/>
      <w:numFmt w:val="bullet"/>
      <w:lvlText w:val="o"/>
      <w:lvlJc w:val="left"/>
      <w:pPr>
        <w:tabs>
          <w:tab w:val="num" w:pos="1367"/>
        </w:tabs>
        <w:ind w:left="1367" w:hanging="360"/>
      </w:pPr>
      <w:rPr>
        <w:rFonts w:ascii="Courier New" w:hAnsi="Courier New" w:cs="Courier New" w:hint="default"/>
      </w:rPr>
    </w:lvl>
    <w:lvl w:ilvl="2" w:tplc="0C090005" w:tentative="1">
      <w:start w:val="1"/>
      <w:numFmt w:val="bullet"/>
      <w:lvlText w:val=""/>
      <w:lvlJc w:val="left"/>
      <w:pPr>
        <w:tabs>
          <w:tab w:val="num" w:pos="2087"/>
        </w:tabs>
        <w:ind w:left="2087" w:hanging="360"/>
      </w:pPr>
      <w:rPr>
        <w:rFonts w:ascii="Wingdings" w:hAnsi="Wingdings" w:hint="default"/>
      </w:rPr>
    </w:lvl>
    <w:lvl w:ilvl="3" w:tplc="0C090001" w:tentative="1">
      <w:start w:val="1"/>
      <w:numFmt w:val="bullet"/>
      <w:lvlText w:val=""/>
      <w:lvlJc w:val="left"/>
      <w:pPr>
        <w:tabs>
          <w:tab w:val="num" w:pos="2807"/>
        </w:tabs>
        <w:ind w:left="2807" w:hanging="360"/>
      </w:pPr>
      <w:rPr>
        <w:rFonts w:ascii="Symbol" w:hAnsi="Symbol" w:hint="default"/>
      </w:rPr>
    </w:lvl>
    <w:lvl w:ilvl="4" w:tplc="0C090003" w:tentative="1">
      <w:start w:val="1"/>
      <w:numFmt w:val="bullet"/>
      <w:lvlText w:val="o"/>
      <w:lvlJc w:val="left"/>
      <w:pPr>
        <w:tabs>
          <w:tab w:val="num" w:pos="3527"/>
        </w:tabs>
        <w:ind w:left="3527" w:hanging="360"/>
      </w:pPr>
      <w:rPr>
        <w:rFonts w:ascii="Courier New" w:hAnsi="Courier New" w:cs="Courier New" w:hint="default"/>
      </w:rPr>
    </w:lvl>
    <w:lvl w:ilvl="5" w:tplc="0C090005" w:tentative="1">
      <w:start w:val="1"/>
      <w:numFmt w:val="bullet"/>
      <w:lvlText w:val=""/>
      <w:lvlJc w:val="left"/>
      <w:pPr>
        <w:tabs>
          <w:tab w:val="num" w:pos="4247"/>
        </w:tabs>
        <w:ind w:left="4247" w:hanging="360"/>
      </w:pPr>
      <w:rPr>
        <w:rFonts w:ascii="Wingdings" w:hAnsi="Wingdings" w:hint="default"/>
      </w:rPr>
    </w:lvl>
    <w:lvl w:ilvl="6" w:tplc="0C090001" w:tentative="1">
      <w:start w:val="1"/>
      <w:numFmt w:val="bullet"/>
      <w:lvlText w:val=""/>
      <w:lvlJc w:val="left"/>
      <w:pPr>
        <w:tabs>
          <w:tab w:val="num" w:pos="4967"/>
        </w:tabs>
        <w:ind w:left="4967" w:hanging="360"/>
      </w:pPr>
      <w:rPr>
        <w:rFonts w:ascii="Symbol" w:hAnsi="Symbol" w:hint="default"/>
      </w:rPr>
    </w:lvl>
    <w:lvl w:ilvl="7" w:tplc="0C090003" w:tentative="1">
      <w:start w:val="1"/>
      <w:numFmt w:val="bullet"/>
      <w:lvlText w:val="o"/>
      <w:lvlJc w:val="left"/>
      <w:pPr>
        <w:tabs>
          <w:tab w:val="num" w:pos="5687"/>
        </w:tabs>
        <w:ind w:left="5687" w:hanging="360"/>
      </w:pPr>
      <w:rPr>
        <w:rFonts w:ascii="Courier New" w:hAnsi="Courier New" w:cs="Courier New" w:hint="default"/>
      </w:rPr>
    </w:lvl>
    <w:lvl w:ilvl="8" w:tplc="0C090005" w:tentative="1">
      <w:start w:val="1"/>
      <w:numFmt w:val="bullet"/>
      <w:lvlText w:val=""/>
      <w:lvlJc w:val="left"/>
      <w:pPr>
        <w:tabs>
          <w:tab w:val="num" w:pos="6407"/>
        </w:tabs>
        <w:ind w:left="6407" w:hanging="360"/>
      </w:pPr>
      <w:rPr>
        <w:rFonts w:ascii="Wingdings" w:hAnsi="Wingdings" w:hint="default"/>
      </w:rPr>
    </w:lvl>
  </w:abstractNum>
  <w:abstractNum w:abstractNumId="2">
    <w:nsid w:val="105F416D"/>
    <w:multiLevelType w:val="hybridMultilevel"/>
    <w:tmpl w:val="36665280"/>
    <w:lvl w:ilvl="0" w:tplc="07801564">
      <w:start w:val="1"/>
      <w:numFmt w:val="lowerLetter"/>
      <w:lvlText w:val="%1."/>
      <w:lvlJc w:val="left"/>
      <w:pPr>
        <w:tabs>
          <w:tab w:val="num" w:pos="720"/>
        </w:tabs>
        <w:ind w:left="720" w:hanging="360"/>
      </w:pPr>
      <w:rPr>
        <w:rFonts w:hint="default"/>
      </w:rPr>
    </w:lvl>
    <w:lvl w:ilvl="1" w:tplc="0C090017">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7D87FAE"/>
    <w:multiLevelType w:val="hybridMultilevel"/>
    <w:tmpl w:val="B492D404"/>
    <w:lvl w:ilvl="0" w:tplc="AC2A7D5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
    <w:nsid w:val="193C39C8"/>
    <w:multiLevelType w:val="hybridMultilevel"/>
    <w:tmpl w:val="C4CC7272"/>
    <w:name w:val="Agendaitems"/>
    <w:lvl w:ilvl="0" w:tplc="FFFFFFFF">
      <w:start w:val="1"/>
      <w:numFmt w:val="bullet"/>
      <w:lvlText w:val=""/>
      <w:lvlJc w:val="left"/>
      <w:pPr>
        <w:tabs>
          <w:tab w:val="num" w:pos="1155"/>
        </w:tabs>
        <w:ind w:left="1155" w:hanging="360"/>
      </w:pPr>
      <w:rPr>
        <w:rFonts w:ascii="Symbol" w:hAnsi="Symbol" w:hint="default"/>
      </w:rPr>
    </w:lvl>
    <w:lvl w:ilvl="1" w:tplc="FFFFFFFF">
      <w:start w:val="1"/>
      <w:numFmt w:val="bullet"/>
      <w:lvlText w:val="o"/>
      <w:lvlJc w:val="left"/>
      <w:pPr>
        <w:tabs>
          <w:tab w:val="num" w:pos="1875"/>
        </w:tabs>
        <w:ind w:left="1875" w:hanging="360"/>
      </w:pPr>
      <w:rPr>
        <w:rFonts w:ascii="Courier New" w:hAnsi="Courier New" w:cs="Courier New" w:hint="default"/>
      </w:rPr>
    </w:lvl>
    <w:lvl w:ilvl="2" w:tplc="FFFFFFFF" w:tentative="1">
      <w:start w:val="1"/>
      <w:numFmt w:val="bullet"/>
      <w:lvlText w:val=""/>
      <w:lvlJc w:val="left"/>
      <w:pPr>
        <w:tabs>
          <w:tab w:val="num" w:pos="2595"/>
        </w:tabs>
        <w:ind w:left="2595" w:hanging="360"/>
      </w:pPr>
      <w:rPr>
        <w:rFonts w:ascii="Wingdings" w:hAnsi="Wingdings" w:hint="default"/>
      </w:rPr>
    </w:lvl>
    <w:lvl w:ilvl="3" w:tplc="FFFFFFFF" w:tentative="1">
      <w:start w:val="1"/>
      <w:numFmt w:val="bullet"/>
      <w:lvlText w:val=""/>
      <w:lvlJc w:val="left"/>
      <w:pPr>
        <w:tabs>
          <w:tab w:val="num" w:pos="3315"/>
        </w:tabs>
        <w:ind w:left="3315" w:hanging="360"/>
      </w:pPr>
      <w:rPr>
        <w:rFonts w:ascii="Symbol" w:hAnsi="Symbol" w:hint="default"/>
      </w:rPr>
    </w:lvl>
    <w:lvl w:ilvl="4" w:tplc="FFFFFFFF" w:tentative="1">
      <w:start w:val="1"/>
      <w:numFmt w:val="bullet"/>
      <w:lvlText w:val="o"/>
      <w:lvlJc w:val="left"/>
      <w:pPr>
        <w:tabs>
          <w:tab w:val="num" w:pos="4035"/>
        </w:tabs>
        <w:ind w:left="4035" w:hanging="360"/>
      </w:pPr>
      <w:rPr>
        <w:rFonts w:ascii="Courier New" w:hAnsi="Courier New" w:cs="Courier New" w:hint="default"/>
      </w:rPr>
    </w:lvl>
    <w:lvl w:ilvl="5" w:tplc="FFFFFFFF" w:tentative="1">
      <w:start w:val="1"/>
      <w:numFmt w:val="bullet"/>
      <w:lvlText w:val=""/>
      <w:lvlJc w:val="left"/>
      <w:pPr>
        <w:tabs>
          <w:tab w:val="num" w:pos="4755"/>
        </w:tabs>
        <w:ind w:left="4755" w:hanging="360"/>
      </w:pPr>
      <w:rPr>
        <w:rFonts w:ascii="Wingdings" w:hAnsi="Wingdings" w:hint="default"/>
      </w:rPr>
    </w:lvl>
    <w:lvl w:ilvl="6" w:tplc="FFFFFFFF" w:tentative="1">
      <w:start w:val="1"/>
      <w:numFmt w:val="bullet"/>
      <w:lvlText w:val=""/>
      <w:lvlJc w:val="left"/>
      <w:pPr>
        <w:tabs>
          <w:tab w:val="num" w:pos="5475"/>
        </w:tabs>
        <w:ind w:left="5475" w:hanging="360"/>
      </w:pPr>
      <w:rPr>
        <w:rFonts w:ascii="Symbol" w:hAnsi="Symbol" w:hint="default"/>
      </w:rPr>
    </w:lvl>
    <w:lvl w:ilvl="7" w:tplc="FFFFFFFF" w:tentative="1">
      <w:start w:val="1"/>
      <w:numFmt w:val="bullet"/>
      <w:lvlText w:val="o"/>
      <w:lvlJc w:val="left"/>
      <w:pPr>
        <w:tabs>
          <w:tab w:val="num" w:pos="6195"/>
        </w:tabs>
        <w:ind w:left="6195" w:hanging="360"/>
      </w:pPr>
      <w:rPr>
        <w:rFonts w:ascii="Courier New" w:hAnsi="Courier New" w:cs="Courier New" w:hint="default"/>
      </w:rPr>
    </w:lvl>
    <w:lvl w:ilvl="8" w:tplc="FFFFFFFF" w:tentative="1">
      <w:start w:val="1"/>
      <w:numFmt w:val="bullet"/>
      <w:lvlText w:val=""/>
      <w:lvlJc w:val="left"/>
      <w:pPr>
        <w:tabs>
          <w:tab w:val="num" w:pos="6915"/>
        </w:tabs>
        <w:ind w:left="6915" w:hanging="360"/>
      </w:pPr>
      <w:rPr>
        <w:rFonts w:ascii="Wingdings" w:hAnsi="Wingdings" w:hint="default"/>
      </w:rPr>
    </w:lvl>
  </w:abstractNum>
  <w:abstractNum w:abstractNumId="5">
    <w:nsid w:val="1AE871F5"/>
    <w:multiLevelType w:val="hybridMultilevel"/>
    <w:tmpl w:val="4FC49D7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11CE7EB6">
      <w:start w:val="7"/>
      <w:numFmt w:val="bullet"/>
      <w:lvlText w:val="-"/>
      <w:lvlJc w:val="left"/>
      <w:pPr>
        <w:tabs>
          <w:tab w:val="num" w:pos="1800"/>
        </w:tabs>
        <w:ind w:left="1800" w:hanging="360"/>
      </w:pPr>
      <w:rPr>
        <w:rFonts w:ascii="Calibri" w:eastAsia="Times New Roman" w:hAnsi="Calibri" w:cs="Times New Roman"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1B1518B0"/>
    <w:multiLevelType w:val="hybridMultilevel"/>
    <w:tmpl w:val="DDCC93CE"/>
    <w:lvl w:ilvl="0" w:tplc="FD5080CE">
      <w:start w:val="5"/>
      <w:numFmt w:val="bullet"/>
      <w:lvlText w:val="-"/>
      <w:lvlJc w:val="left"/>
      <w:pPr>
        <w:ind w:left="360" w:hanging="360"/>
      </w:pPr>
      <w:rPr>
        <w:rFonts w:ascii="Georgia" w:eastAsia="Times New Roman" w:hAnsi="Georgi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3C6D45"/>
    <w:multiLevelType w:val="hybridMultilevel"/>
    <w:tmpl w:val="72160E64"/>
    <w:lvl w:ilvl="0" w:tplc="3ABA517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8">
    <w:nsid w:val="1CEA6280"/>
    <w:multiLevelType w:val="hybridMultilevel"/>
    <w:tmpl w:val="3F60A7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FEF53D4"/>
    <w:multiLevelType w:val="hybridMultilevel"/>
    <w:tmpl w:val="67A6BF6C"/>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07E3F06"/>
    <w:multiLevelType w:val="hybridMultilevel"/>
    <w:tmpl w:val="3152897E"/>
    <w:lvl w:ilvl="0" w:tplc="AC2A7D50">
      <w:start w:val="1"/>
      <w:numFmt w:val="bullet"/>
      <w:lvlText w:val=""/>
      <w:lvlJc w:val="left"/>
      <w:pPr>
        <w:tabs>
          <w:tab w:val="num" w:pos="1080"/>
        </w:tabs>
        <w:ind w:left="108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7440C8B"/>
    <w:multiLevelType w:val="multilevel"/>
    <w:tmpl w:val="692AFE76"/>
    <w:name w:val="StandardNumberedList"/>
    <w:lvl w:ilvl="0">
      <w:start w:val="1"/>
      <w:numFmt w:val="decimal"/>
      <w:pStyle w:val="Bullet"/>
      <w:lvlText w:val="%1."/>
      <w:lvlJc w:val="left"/>
      <w:pPr>
        <w:tabs>
          <w:tab w:val="num" w:pos="520"/>
        </w:tabs>
        <w:ind w:left="520" w:hanging="520"/>
      </w:pPr>
      <w:rPr>
        <w:rFonts w:ascii="Times New Roman" w:eastAsia="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616D39"/>
    <w:multiLevelType w:val="hybridMultilevel"/>
    <w:tmpl w:val="E3D2AC5A"/>
    <w:lvl w:ilvl="0" w:tplc="CFFCA728">
      <w:start w:val="1"/>
      <w:numFmt w:val="bullet"/>
      <w:lvlText w:val=""/>
      <w:lvlJc w:val="left"/>
      <w:pPr>
        <w:ind w:left="644" w:hanging="360"/>
      </w:pPr>
      <w:rPr>
        <w:rFonts w:ascii="Symbol" w:hAnsi="Symbol" w:hint="default"/>
        <w:color w:val="98480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286148D4"/>
    <w:multiLevelType w:val="hybridMultilevel"/>
    <w:tmpl w:val="9098A5B6"/>
    <w:lvl w:ilvl="0" w:tplc="6A56F81A">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A13A44"/>
    <w:multiLevelType w:val="hybridMultilevel"/>
    <w:tmpl w:val="EEB64F5E"/>
    <w:name w:val="OneLevelAlphaParagraphList"/>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A12FF4"/>
    <w:multiLevelType w:val="hybridMultilevel"/>
    <w:tmpl w:val="D044534A"/>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16">
    <w:nsid w:val="39801234"/>
    <w:multiLevelType w:val="hybridMultilevel"/>
    <w:tmpl w:val="47C6DB28"/>
    <w:lvl w:ilvl="0" w:tplc="0C090017">
      <w:start w:val="1"/>
      <w:numFmt w:val="lowerLetter"/>
      <w:lvlText w:val="%1)"/>
      <w:lvlJc w:val="left"/>
      <w:pPr>
        <w:tabs>
          <w:tab w:val="num" w:pos="900"/>
        </w:tabs>
        <w:ind w:left="90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BA60732"/>
    <w:multiLevelType w:val="multilevel"/>
    <w:tmpl w:val="6E0C4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C3751E2"/>
    <w:multiLevelType w:val="hybridMultilevel"/>
    <w:tmpl w:val="D750A7B0"/>
    <w:lvl w:ilvl="0" w:tplc="A75E599A">
      <w:start w:val="6"/>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DEB2C42"/>
    <w:multiLevelType w:val="hybridMultilevel"/>
    <w:tmpl w:val="2A4AAF26"/>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69E52C9"/>
    <w:multiLevelType w:val="hybridMultilevel"/>
    <w:tmpl w:val="6F40672E"/>
    <w:lvl w:ilvl="0" w:tplc="AC2A7D5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1">
    <w:nsid w:val="4CC67B27"/>
    <w:multiLevelType w:val="hybridMultilevel"/>
    <w:tmpl w:val="028AE50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02C5CA6"/>
    <w:multiLevelType w:val="hybridMultilevel"/>
    <w:tmpl w:val="1FA08B7E"/>
    <w:lvl w:ilvl="0" w:tplc="FD5080CE">
      <w:start w:val="5"/>
      <w:numFmt w:val="bullet"/>
      <w:lvlText w:val="-"/>
      <w:lvlJc w:val="left"/>
      <w:pPr>
        <w:ind w:left="360" w:hanging="360"/>
      </w:pPr>
      <w:rPr>
        <w:rFonts w:ascii="Georgia" w:eastAsia="Times New Roman" w:hAnsi="Georgia"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nsid w:val="50DD790E"/>
    <w:multiLevelType w:val="hybridMultilevel"/>
    <w:tmpl w:val="A4A843E8"/>
    <w:name w:val="ChartTableFootnoteAlpha"/>
    <w:lvl w:ilvl="0" w:tplc="FFFFFFFF">
      <w:start w:val="1"/>
      <w:numFmt w:val="bullet"/>
      <w:lvlText w:val=""/>
      <w:lvlJc w:val="left"/>
      <w:pPr>
        <w:tabs>
          <w:tab w:val="num" w:pos="1515"/>
        </w:tabs>
        <w:ind w:left="1515" w:hanging="360"/>
      </w:pPr>
      <w:rPr>
        <w:rFonts w:ascii="Symbol" w:hAnsi="Symbol" w:hint="default"/>
      </w:rPr>
    </w:lvl>
    <w:lvl w:ilvl="1" w:tplc="FFFFFFFF">
      <w:start w:val="1"/>
      <w:numFmt w:val="bullet"/>
      <w:lvlText w:val="o"/>
      <w:lvlJc w:val="left"/>
      <w:pPr>
        <w:tabs>
          <w:tab w:val="num" w:pos="2235"/>
        </w:tabs>
        <w:ind w:left="2235" w:hanging="360"/>
      </w:pPr>
      <w:rPr>
        <w:rFonts w:ascii="Courier New" w:hAnsi="Courier New" w:cs="Courier New" w:hint="default"/>
      </w:rPr>
    </w:lvl>
    <w:lvl w:ilvl="2" w:tplc="FFFFFFFF" w:tentative="1">
      <w:start w:val="1"/>
      <w:numFmt w:val="bullet"/>
      <w:lvlText w:val=""/>
      <w:lvlJc w:val="left"/>
      <w:pPr>
        <w:tabs>
          <w:tab w:val="num" w:pos="2955"/>
        </w:tabs>
        <w:ind w:left="2955" w:hanging="360"/>
      </w:pPr>
      <w:rPr>
        <w:rFonts w:ascii="Wingdings" w:hAnsi="Wingdings" w:hint="default"/>
      </w:rPr>
    </w:lvl>
    <w:lvl w:ilvl="3" w:tplc="FFFFFFFF" w:tentative="1">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cs="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cs="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24">
    <w:nsid w:val="5A5362F6"/>
    <w:multiLevelType w:val="hybridMultilevel"/>
    <w:tmpl w:val="AA08A942"/>
    <w:lvl w:ilvl="0" w:tplc="0C090001">
      <w:start w:val="1"/>
      <w:numFmt w:val="bullet"/>
      <w:lvlText w:val=""/>
      <w:lvlJc w:val="left"/>
      <w:pPr>
        <w:tabs>
          <w:tab w:val="num" w:pos="618"/>
        </w:tabs>
        <w:ind w:left="618" w:hanging="360"/>
      </w:pPr>
      <w:rPr>
        <w:rFonts w:ascii="Symbol" w:hAnsi="Symbol" w:hint="default"/>
      </w:rPr>
    </w:lvl>
    <w:lvl w:ilvl="1" w:tplc="0C09000B">
      <w:start w:val="1"/>
      <w:numFmt w:val="bullet"/>
      <w:lvlText w:val=""/>
      <w:lvlJc w:val="left"/>
      <w:pPr>
        <w:tabs>
          <w:tab w:val="num" w:pos="1338"/>
        </w:tabs>
        <w:ind w:left="1338" w:hanging="360"/>
      </w:pPr>
      <w:rPr>
        <w:rFonts w:ascii="Wingdings" w:hAnsi="Wingdings"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25">
    <w:nsid w:val="5D22218A"/>
    <w:multiLevelType w:val="hybridMultilevel"/>
    <w:tmpl w:val="CAA828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03761AC"/>
    <w:multiLevelType w:val="hybridMultilevel"/>
    <w:tmpl w:val="8D0C8310"/>
    <w:lvl w:ilvl="0" w:tplc="0C090001">
      <w:start w:val="1"/>
      <w:numFmt w:val="bullet"/>
      <w:lvlText w:val=""/>
      <w:lvlJc w:val="left"/>
      <w:pPr>
        <w:tabs>
          <w:tab w:val="num" w:pos="618"/>
        </w:tabs>
        <w:ind w:left="618" w:hanging="360"/>
      </w:pPr>
      <w:rPr>
        <w:rFonts w:ascii="Symbol" w:hAnsi="Symbol" w:hint="default"/>
      </w:rPr>
    </w:lvl>
    <w:lvl w:ilvl="1" w:tplc="0C09000B">
      <w:start w:val="1"/>
      <w:numFmt w:val="bullet"/>
      <w:lvlText w:val=""/>
      <w:lvlJc w:val="left"/>
      <w:pPr>
        <w:tabs>
          <w:tab w:val="num" w:pos="1338"/>
        </w:tabs>
        <w:ind w:left="1338" w:hanging="360"/>
      </w:pPr>
      <w:rPr>
        <w:rFonts w:ascii="Wingdings" w:hAnsi="Wingdings"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27">
    <w:nsid w:val="605D2072"/>
    <w:multiLevelType w:val="hybridMultilevel"/>
    <w:tmpl w:val="FD6252E8"/>
    <w:lvl w:ilvl="0" w:tplc="AC2A7D50">
      <w:start w:val="1"/>
      <w:numFmt w:val="bullet"/>
      <w:lvlText w:val=""/>
      <w:lvlJc w:val="left"/>
      <w:pPr>
        <w:tabs>
          <w:tab w:val="num" w:pos="1080"/>
        </w:tabs>
        <w:ind w:left="108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20B104F"/>
    <w:multiLevelType w:val="hybridMultilevel"/>
    <w:tmpl w:val="C9F20260"/>
    <w:lvl w:ilvl="0" w:tplc="3B1065AA">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F21C6D"/>
    <w:multiLevelType w:val="hybridMultilevel"/>
    <w:tmpl w:val="5782AA20"/>
    <w:name w:val="SummaryBulletedList"/>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63586675"/>
    <w:multiLevelType w:val="hybridMultilevel"/>
    <w:tmpl w:val="9EA0DEFC"/>
    <w:lvl w:ilvl="0" w:tplc="5E3E04F6">
      <w:numFmt w:val="bullet"/>
      <w:lvlText w:val="-"/>
      <w:lvlJc w:val="left"/>
      <w:pPr>
        <w:ind w:left="1778" w:hanging="360"/>
      </w:pPr>
      <w:rPr>
        <w:rFonts w:ascii="Georgia" w:eastAsia="Times New Roman" w:hAnsi="Georgia" w:cs="Arial" w:hint="default"/>
        <w:b/>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nsid w:val="6515104C"/>
    <w:multiLevelType w:val="hybridMultilevel"/>
    <w:tmpl w:val="BD7E36D8"/>
    <w:lvl w:ilvl="0" w:tplc="AC2A7D50">
      <w:start w:val="1"/>
      <w:numFmt w:val="bullet"/>
      <w:lvlText w:val=""/>
      <w:lvlJc w:val="left"/>
      <w:pPr>
        <w:tabs>
          <w:tab w:val="num" w:pos="1080"/>
        </w:tabs>
        <w:ind w:left="108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8537453"/>
    <w:multiLevelType w:val="hybridMultilevel"/>
    <w:tmpl w:val="21841BBC"/>
    <w:lvl w:ilvl="0" w:tplc="AC2A7D5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3">
    <w:nsid w:val="6AEB0B3A"/>
    <w:multiLevelType w:val="hybridMultilevel"/>
    <w:tmpl w:val="DD9E99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nsid w:val="6C08502E"/>
    <w:multiLevelType w:val="hybridMultilevel"/>
    <w:tmpl w:val="68EE119C"/>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C9B49C8"/>
    <w:multiLevelType w:val="hybridMultilevel"/>
    <w:tmpl w:val="9524233C"/>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6">
    <w:nsid w:val="6D0B0420"/>
    <w:multiLevelType w:val="hybridMultilevel"/>
    <w:tmpl w:val="C6A0955C"/>
    <w:lvl w:ilvl="0" w:tplc="0C090017">
      <w:start w:val="1"/>
      <w:numFmt w:val="lowerLetter"/>
      <w:lvlText w:val="%1)"/>
      <w:lvlJc w:val="left"/>
      <w:pPr>
        <w:tabs>
          <w:tab w:val="num" w:pos="900"/>
        </w:tabs>
        <w:ind w:left="900" w:hanging="360"/>
      </w:p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7">
    <w:nsid w:val="6D4E1D94"/>
    <w:multiLevelType w:val="hybridMultilevel"/>
    <w:tmpl w:val="001C70B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17736FE"/>
    <w:multiLevelType w:val="multilevel"/>
    <w:tmpl w:val="72160E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9">
    <w:nsid w:val="737E09D0"/>
    <w:multiLevelType w:val="multilevel"/>
    <w:tmpl w:val="6E0C4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4E40E31"/>
    <w:multiLevelType w:val="hybridMultilevel"/>
    <w:tmpl w:val="26F0375A"/>
    <w:lvl w:ilvl="0" w:tplc="AC2A7D5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1">
    <w:nsid w:val="781C2852"/>
    <w:multiLevelType w:val="hybridMultilevel"/>
    <w:tmpl w:val="2348C39E"/>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78A365B6"/>
    <w:multiLevelType w:val="hybridMultilevel"/>
    <w:tmpl w:val="6ADCF59E"/>
    <w:lvl w:ilvl="0" w:tplc="AC2A7D5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num w:numId="1">
    <w:abstractNumId w:val="11"/>
  </w:num>
  <w:num w:numId="2">
    <w:abstractNumId w:val="17"/>
  </w:num>
  <w:num w:numId="3">
    <w:abstractNumId w:val="16"/>
  </w:num>
  <w:num w:numId="4">
    <w:abstractNumId w:val="2"/>
  </w:num>
  <w:num w:numId="5">
    <w:abstractNumId w:val="36"/>
  </w:num>
  <w:num w:numId="6">
    <w:abstractNumId w:val="19"/>
  </w:num>
  <w:num w:numId="7">
    <w:abstractNumId w:val="21"/>
  </w:num>
  <w:num w:numId="8">
    <w:abstractNumId w:val="39"/>
  </w:num>
  <w:num w:numId="9">
    <w:abstractNumId w:val="41"/>
  </w:num>
  <w:num w:numId="10">
    <w:abstractNumId w:val="9"/>
  </w:num>
  <w:num w:numId="11">
    <w:abstractNumId w:val="18"/>
  </w:num>
  <w:num w:numId="12">
    <w:abstractNumId w:val="34"/>
  </w:num>
  <w:num w:numId="13">
    <w:abstractNumId w:val="37"/>
  </w:num>
  <w:num w:numId="14">
    <w:abstractNumId w:val="12"/>
  </w:num>
  <w:num w:numId="15">
    <w:abstractNumId w:val="33"/>
  </w:num>
  <w:num w:numId="16">
    <w:abstractNumId w:val="8"/>
  </w:num>
  <w:num w:numId="17">
    <w:abstractNumId w:val="25"/>
  </w:num>
  <w:num w:numId="18">
    <w:abstractNumId w:val="15"/>
  </w:num>
  <w:num w:numId="19">
    <w:abstractNumId w:val="1"/>
  </w:num>
  <w:num w:numId="20">
    <w:abstractNumId w:val="13"/>
  </w:num>
  <w:num w:numId="21">
    <w:abstractNumId w:val="28"/>
  </w:num>
  <w:num w:numId="22">
    <w:abstractNumId w:val="30"/>
  </w:num>
  <w:num w:numId="23">
    <w:abstractNumId w:val="0"/>
  </w:num>
  <w:num w:numId="24">
    <w:abstractNumId w:val="26"/>
  </w:num>
  <w:num w:numId="25">
    <w:abstractNumId w:val="24"/>
  </w:num>
  <w:num w:numId="26">
    <w:abstractNumId w:val="6"/>
  </w:num>
  <w:num w:numId="27">
    <w:abstractNumId w:val="22"/>
  </w:num>
  <w:num w:numId="28">
    <w:abstractNumId w:val="35"/>
  </w:num>
  <w:num w:numId="29">
    <w:abstractNumId w:val="7"/>
  </w:num>
  <w:num w:numId="30">
    <w:abstractNumId w:val="38"/>
  </w:num>
  <w:num w:numId="31">
    <w:abstractNumId w:val="32"/>
  </w:num>
  <w:num w:numId="32">
    <w:abstractNumId w:val="27"/>
  </w:num>
  <w:num w:numId="33">
    <w:abstractNumId w:val="42"/>
  </w:num>
  <w:num w:numId="34">
    <w:abstractNumId w:val="5"/>
  </w:num>
  <w:num w:numId="35">
    <w:abstractNumId w:val="3"/>
  </w:num>
  <w:num w:numId="36">
    <w:abstractNumId w:val="40"/>
  </w:num>
  <w:num w:numId="37">
    <w:abstractNumId w:val="20"/>
  </w:num>
  <w:num w:numId="38">
    <w:abstractNumId w:val="31"/>
  </w:num>
  <w:num w:numId="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D4"/>
    <w:rsid w:val="00002542"/>
    <w:rsid w:val="000029B7"/>
    <w:rsid w:val="000052B9"/>
    <w:rsid w:val="00010DF9"/>
    <w:rsid w:val="00015E51"/>
    <w:rsid w:val="000205FB"/>
    <w:rsid w:val="00023A8A"/>
    <w:rsid w:val="00023F20"/>
    <w:rsid w:val="000248BF"/>
    <w:rsid w:val="00026296"/>
    <w:rsid w:val="000271A9"/>
    <w:rsid w:val="00027DE5"/>
    <w:rsid w:val="00032091"/>
    <w:rsid w:val="0003311F"/>
    <w:rsid w:val="00041CAA"/>
    <w:rsid w:val="0004306B"/>
    <w:rsid w:val="000433EB"/>
    <w:rsid w:val="000443E9"/>
    <w:rsid w:val="00055375"/>
    <w:rsid w:val="00055CA0"/>
    <w:rsid w:val="00056BD3"/>
    <w:rsid w:val="00063730"/>
    <w:rsid w:val="00064270"/>
    <w:rsid w:val="00064D3A"/>
    <w:rsid w:val="000655A8"/>
    <w:rsid w:val="0006563B"/>
    <w:rsid w:val="00065ABF"/>
    <w:rsid w:val="00065C9A"/>
    <w:rsid w:val="00070BE9"/>
    <w:rsid w:val="000710BE"/>
    <w:rsid w:val="000721F7"/>
    <w:rsid w:val="000773A5"/>
    <w:rsid w:val="00080F81"/>
    <w:rsid w:val="0008592B"/>
    <w:rsid w:val="00087820"/>
    <w:rsid w:val="000921E4"/>
    <w:rsid w:val="000954DC"/>
    <w:rsid w:val="00096489"/>
    <w:rsid w:val="00096D9B"/>
    <w:rsid w:val="00096E7D"/>
    <w:rsid w:val="000A2352"/>
    <w:rsid w:val="000A2B4A"/>
    <w:rsid w:val="000A4A15"/>
    <w:rsid w:val="000B01CE"/>
    <w:rsid w:val="000B111F"/>
    <w:rsid w:val="000B1F83"/>
    <w:rsid w:val="000B2AD8"/>
    <w:rsid w:val="000B350B"/>
    <w:rsid w:val="000B4286"/>
    <w:rsid w:val="000B42F7"/>
    <w:rsid w:val="000B7424"/>
    <w:rsid w:val="000C046E"/>
    <w:rsid w:val="000C0F50"/>
    <w:rsid w:val="000C3A99"/>
    <w:rsid w:val="000C42DD"/>
    <w:rsid w:val="000D3F0D"/>
    <w:rsid w:val="000D4404"/>
    <w:rsid w:val="000D4614"/>
    <w:rsid w:val="000D70A9"/>
    <w:rsid w:val="000E24AB"/>
    <w:rsid w:val="000E4355"/>
    <w:rsid w:val="000F1595"/>
    <w:rsid w:val="000F1B50"/>
    <w:rsid w:val="000F7720"/>
    <w:rsid w:val="0010055E"/>
    <w:rsid w:val="00101467"/>
    <w:rsid w:val="00102842"/>
    <w:rsid w:val="00104296"/>
    <w:rsid w:val="00106523"/>
    <w:rsid w:val="0011128B"/>
    <w:rsid w:val="00111CC6"/>
    <w:rsid w:val="0012019A"/>
    <w:rsid w:val="00123BCF"/>
    <w:rsid w:val="0012431F"/>
    <w:rsid w:val="001348B7"/>
    <w:rsid w:val="001351C0"/>
    <w:rsid w:val="00144D59"/>
    <w:rsid w:val="00145C6E"/>
    <w:rsid w:val="00152E9D"/>
    <w:rsid w:val="00153483"/>
    <w:rsid w:val="001537B9"/>
    <w:rsid w:val="00153923"/>
    <w:rsid w:val="00154BC4"/>
    <w:rsid w:val="0015534C"/>
    <w:rsid w:val="00160F01"/>
    <w:rsid w:val="00160FD0"/>
    <w:rsid w:val="001634CC"/>
    <w:rsid w:val="001704FE"/>
    <w:rsid w:val="00174A56"/>
    <w:rsid w:val="00177DB4"/>
    <w:rsid w:val="00186E33"/>
    <w:rsid w:val="00190942"/>
    <w:rsid w:val="00192FF9"/>
    <w:rsid w:val="00194804"/>
    <w:rsid w:val="00196892"/>
    <w:rsid w:val="00197628"/>
    <w:rsid w:val="001A25F4"/>
    <w:rsid w:val="001A7EAC"/>
    <w:rsid w:val="001B00EA"/>
    <w:rsid w:val="001B050C"/>
    <w:rsid w:val="001B4385"/>
    <w:rsid w:val="001B7E92"/>
    <w:rsid w:val="001C0DA4"/>
    <w:rsid w:val="001D0528"/>
    <w:rsid w:val="001D1543"/>
    <w:rsid w:val="001D39F8"/>
    <w:rsid w:val="001D58F0"/>
    <w:rsid w:val="001D5C0F"/>
    <w:rsid w:val="001D7148"/>
    <w:rsid w:val="001D76E0"/>
    <w:rsid w:val="001E3188"/>
    <w:rsid w:val="001E31D2"/>
    <w:rsid w:val="001E492C"/>
    <w:rsid w:val="001E6AA6"/>
    <w:rsid w:val="001E7590"/>
    <w:rsid w:val="001F05CF"/>
    <w:rsid w:val="001F3339"/>
    <w:rsid w:val="001F65E1"/>
    <w:rsid w:val="001F69B3"/>
    <w:rsid w:val="001F6F48"/>
    <w:rsid w:val="001F7070"/>
    <w:rsid w:val="00200A9A"/>
    <w:rsid w:val="00202C39"/>
    <w:rsid w:val="00203217"/>
    <w:rsid w:val="0020371C"/>
    <w:rsid w:val="00205055"/>
    <w:rsid w:val="00205306"/>
    <w:rsid w:val="00205538"/>
    <w:rsid w:val="00207341"/>
    <w:rsid w:val="00210288"/>
    <w:rsid w:val="0021288B"/>
    <w:rsid w:val="00213286"/>
    <w:rsid w:val="00214E18"/>
    <w:rsid w:val="0021508B"/>
    <w:rsid w:val="002162AF"/>
    <w:rsid w:val="00217CCD"/>
    <w:rsid w:val="00222B49"/>
    <w:rsid w:val="00226BBB"/>
    <w:rsid w:val="0023197A"/>
    <w:rsid w:val="00234301"/>
    <w:rsid w:val="00236214"/>
    <w:rsid w:val="00236B07"/>
    <w:rsid w:val="00240430"/>
    <w:rsid w:val="00242A30"/>
    <w:rsid w:val="002437BD"/>
    <w:rsid w:val="00252186"/>
    <w:rsid w:val="0025566F"/>
    <w:rsid w:val="002578CF"/>
    <w:rsid w:val="00261467"/>
    <w:rsid w:val="0026736C"/>
    <w:rsid w:val="00267C73"/>
    <w:rsid w:val="00270151"/>
    <w:rsid w:val="002719CC"/>
    <w:rsid w:val="00280C5A"/>
    <w:rsid w:val="00284979"/>
    <w:rsid w:val="00285964"/>
    <w:rsid w:val="00292378"/>
    <w:rsid w:val="002966C3"/>
    <w:rsid w:val="002A039F"/>
    <w:rsid w:val="002A256D"/>
    <w:rsid w:val="002B0A96"/>
    <w:rsid w:val="002B2588"/>
    <w:rsid w:val="002B7DD2"/>
    <w:rsid w:val="002C2A27"/>
    <w:rsid w:val="002C4234"/>
    <w:rsid w:val="002D11DA"/>
    <w:rsid w:val="002D13E2"/>
    <w:rsid w:val="002D22D3"/>
    <w:rsid w:val="002D2B42"/>
    <w:rsid w:val="002D42D1"/>
    <w:rsid w:val="002D6492"/>
    <w:rsid w:val="002E20EC"/>
    <w:rsid w:val="002F005A"/>
    <w:rsid w:val="002F1219"/>
    <w:rsid w:val="002F221D"/>
    <w:rsid w:val="002F2DD6"/>
    <w:rsid w:val="002F4047"/>
    <w:rsid w:val="002F42B7"/>
    <w:rsid w:val="002F5E60"/>
    <w:rsid w:val="002F738D"/>
    <w:rsid w:val="003026DA"/>
    <w:rsid w:val="00304E27"/>
    <w:rsid w:val="003052BA"/>
    <w:rsid w:val="0030622F"/>
    <w:rsid w:val="00314F3E"/>
    <w:rsid w:val="00315E84"/>
    <w:rsid w:val="00316BA1"/>
    <w:rsid w:val="003236AE"/>
    <w:rsid w:val="00334780"/>
    <w:rsid w:val="003402F6"/>
    <w:rsid w:val="003405E9"/>
    <w:rsid w:val="00340FD2"/>
    <w:rsid w:val="00343700"/>
    <w:rsid w:val="00345D49"/>
    <w:rsid w:val="003560E9"/>
    <w:rsid w:val="003612FE"/>
    <w:rsid w:val="00367D51"/>
    <w:rsid w:val="00371C6C"/>
    <w:rsid w:val="00374C9D"/>
    <w:rsid w:val="00376C40"/>
    <w:rsid w:val="003808D4"/>
    <w:rsid w:val="00381513"/>
    <w:rsid w:val="00385C8F"/>
    <w:rsid w:val="00386F82"/>
    <w:rsid w:val="00391428"/>
    <w:rsid w:val="00392D08"/>
    <w:rsid w:val="003966EE"/>
    <w:rsid w:val="003A20A3"/>
    <w:rsid w:val="003A3885"/>
    <w:rsid w:val="003A3933"/>
    <w:rsid w:val="003A3E4A"/>
    <w:rsid w:val="003A41B6"/>
    <w:rsid w:val="003B13A7"/>
    <w:rsid w:val="003C0638"/>
    <w:rsid w:val="003C0E21"/>
    <w:rsid w:val="003C163B"/>
    <w:rsid w:val="003C3D63"/>
    <w:rsid w:val="003C43DB"/>
    <w:rsid w:val="003C5F2E"/>
    <w:rsid w:val="003D06E8"/>
    <w:rsid w:val="003D1F78"/>
    <w:rsid w:val="003D3726"/>
    <w:rsid w:val="003D5A45"/>
    <w:rsid w:val="003E1225"/>
    <w:rsid w:val="003E6EBF"/>
    <w:rsid w:val="003E769A"/>
    <w:rsid w:val="003F2DF5"/>
    <w:rsid w:val="003F3500"/>
    <w:rsid w:val="003F5079"/>
    <w:rsid w:val="003F5E7F"/>
    <w:rsid w:val="00401A20"/>
    <w:rsid w:val="00405153"/>
    <w:rsid w:val="0040536C"/>
    <w:rsid w:val="00405ADF"/>
    <w:rsid w:val="00410C1A"/>
    <w:rsid w:val="00411521"/>
    <w:rsid w:val="004147DC"/>
    <w:rsid w:val="004164BD"/>
    <w:rsid w:val="00423068"/>
    <w:rsid w:val="0042771B"/>
    <w:rsid w:val="00431262"/>
    <w:rsid w:val="004316FD"/>
    <w:rsid w:val="00432D71"/>
    <w:rsid w:val="004338A2"/>
    <w:rsid w:val="00436D14"/>
    <w:rsid w:val="00441007"/>
    <w:rsid w:val="004423DB"/>
    <w:rsid w:val="0044287A"/>
    <w:rsid w:val="00442ADD"/>
    <w:rsid w:val="00443177"/>
    <w:rsid w:val="0044736A"/>
    <w:rsid w:val="004507F8"/>
    <w:rsid w:val="004601B2"/>
    <w:rsid w:val="00460856"/>
    <w:rsid w:val="00461BA8"/>
    <w:rsid w:val="004639C2"/>
    <w:rsid w:val="00463A9B"/>
    <w:rsid w:val="00464291"/>
    <w:rsid w:val="00464608"/>
    <w:rsid w:val="0046465C"/>
    <w:rsid w:val="00464AAA"/>
    <w:rsid w:val="00465B1E"/>
    <w:rsid w:val="004701E6"/>
    <w:rsid w:val="00472C93"/>
    <w:rsid w:val="00477DB1"/>
    <w:rsid w:val="00481878"/>
    <w:rsid w:val="0048252B"/>
    <w:rsid w:val="00484387"/>
    <w:rsid w:val="0048599E"/>
    <w:rsid w:val="004865CD"/>
    <w:rsid w:val="00487E30"/>
    <w:rsid w:val="00490354"/>
    <w:rsid w:val="00490DF4"/>
    <w:rsid w:val="004948CB"/>
    <w:rsid w:val="00494E47"/>
    <w:rsid w:val="004A0BC9"/>
    <w:rsid w:val="004B071C"/>
    <w:rsid w:val="004B093B"/>
    <w:rsid w:val="004B0A26"/>
    <w:rsid w:val="004B3E9F"/>
    <w:rsid w:val="004B537B"/>
    <w:rsid w:val="004B6D7E"/>
    <w:rsid w:val="004C35F7"/>
    <w:rsid w:val="004C3F90"/>
    <w:rsid w:val="004D19B5"/>
    <w:rsid w:val="004D3C68"/>
    <w:rsid w:val="004D437A"/>
    <w:rsid w:val="004D44F5"/>
    <w:rsid w:val="004E1F70"/>
    <w:rsid w:val="004E2BED"/>
    <w:rsid w:val="004E5ADA"/>
    <w:rsid w:val="004E5D55"/>
    <w:rsid w:val="004E5D5E"/>
    <w:rsid w:val="004E675F"/>
    <w:rsid w:val="004E7019"/>
    <w:rsid w:val="004F0BE8"/>
    <w:rsid w:val="004F0E1F"/>
    <w:rsid w:val="004F358F"/>
    <w:rsid w:val="004F3F87"/>
    <w:rsid w:val="004F6C91"/>
    <w:rsid w:val="004F7CF1"/>
    <w:rsid w:val="00502AB1"/>
    <w:rsid w:val="00503736"/>
    <w:rsid w:val="00504498"/>
    <w:rsid w:val="0051158B"/>
    <w:rsid w:val="0051587D"/>
    <w:rsid w:val="00517D30"/>
    <w:rsid w:val="00520664"/>
    <w:rsid w:val="0052069E"/>
    <w:rsid w:val="00521020"/>
    <w:rsid w:val="00522C60"/>
    <w:rsid w:val="005237B4"/>
    <w:rsid w:val="00523A13"/>
    <w:rsid w:val="00524E00"/>
    <w:rsid w:val="005274FC"/>
    <w:rsid w:val="00530083"/>
    <w:rsid w:val="0053681F"/>
    <w:rsid w:val="00537EFD"/>
    <w:rsid w:val="00544B0D"/>
    <w:rsid w:val="005468C8"/>
    <w:rsid w:val="0055034F"/>
    <w:rsid w:val="00551143"/>
    <w:rsid w:val="0055262B"/>
    <w:rsid w:val="0055338B"/>
    <w:rsid w:val="005546C4"/>
    <w:rsid w:val="005550E0"/>
    <w:rsid w:val="00562339"/>
    <w:rsid w:val="00562B64"/>
    <w:rsid w:val="00563826"/>
    <w:rsid w:val="00573DD9"/>
    <w:rsid w:val="00575A7C"/>
    <w:rsid w:val="0058047D"/>
    <w:rsid w:val="005808D4"/>
    <w:rsid w:val="0059342C"/>
    <w:rsid w:val="005949C3"/>
    <w:rsid w:val="0059716B"/>
    <w:rsid w:val="005A0305"/>
    <w:rsid w:val="005A1044"/>
    <w:rsid w:val="005A1424"/>
    <w:rsid w:val="005A7751"/>
    <w:rsid w:val="005A7882"/>
    <w:rsid w:val="005B1EA8"/>
    <w:rsid w:val="005B55B2"/>
    <w:rsid w:val="005C2E4A"/>
    <w:rsid w:val="005C6B09"/>
    <w:rsid w:val="005D059C"/>
    <w:rsid w:val="005D233A"/>
    <w:rsid w:val="005D4419"/>
    <w:rsid w:val="005E5105"/>
    <w:rsid w:val="005E7BDD"/>
    <w:rsid w:val="005F02C3"/>
    <w:rsid w:val="005F11D5"/>
    <w:rsid w:val="005F236A"/>
    <w:rsid w:val="005F446D"/>
    <w:rsid w:val="005F4A85"/>
    <w:rsid w:val="005F4F39"/>
    <w:rsid w:val="005F5862"/>
    <w:rsid w:val="00600DDE"/>
    <w:rsid w:val="00603DDC"/>
    <w:rsid w:val="00606775"/>
    <w:rsid w:val="00610208"/>
    <w:rsid w:val="0061021A"/>
    <w:rsid w:val="00610F29"/>
    <w:rsid w:val="006113A1"/>
    <w:rsid w:val="00613A2C"/>
    <w:rsid w:val="00621744"/>
    <w:rsid w:val="0062229E"/>
    <w:rsid w:val="0062314D"/>
    <w:rsid w:val="00623EE0"/>
    <w:rsid w:val="006277F2"/>
    <w:rsid w:val="006345BD"/>
    <w:rsid w:val="006355AC"/>
    <w:rsid w:val="006358F2"/>
    <w:rsid w:val="00635EC0"/>
    <w:rsid w:val="006364A1"/>
    <w:rsid w:val="00637657"/>
    <w:rsid w:val="00637E35"/>
    <w:rsid w:val="006433B3"/>
    <w:rsid w:val="00645785"/>
    <w:rsid w:val="00646B37"/>
    <w:rsid w:val="00646B6B"/>
    <w:rsid w:val="00647B00"/>
    <w:rsid w:val="0065101F"/>
    <w:rsid w:val="006525BA"/>
    <w:rsid w:val="0065260E"/>
    <w:rsid w:val="00654A8F"/>
    <w:rsid w:val="00654DBD"/>
    <w:rsid w:val="006558E2"/>
    <w:rsid w:val="00655971"/>
    <w:rsid w:val="006600F4"/>
    <w:rsid w:val="006612E1"/>
    <w:rsid w:val="0066320A"/>
    <w:rsid w:val="00667ADF"/>
    <w:rsid w:val="00670E66"/>
    <w:rsid w:val="00672C46"/>
    <w:rsid w:val="00674335"/>
    <w:rsid w:val="00675B30"/>
    <w:rsid w:val="00680764"/>
    <w:rsid w:val="00680BC2"/>
    <w:rsid w:val="00682159"/>
    <w:rsid w:val="0068331D"/>
    <w:rsid w:val="00684A11"/>
    <w:rsid w:val="00685160"/>
    <w:rsid w:val="00685B52"/>
    <w:rsid w:val="0069434F"/>
    <w:rsid w:val="006956DB"/>
    <w:rsid w:val="00697C79"/>
    <w:rsid w:val="006A5382"/>
    <w:rsid w:val="006A5A1C"/>
    <w:rsid w:val="006B28D6"/>
    <w:rsid w:val="006B5547"/>
    <w:rsid w:val="006B6529"/>
    <w:rsid w:val="006B66CD"/>
    <w:rsid w:val="006B7F1D"/>
    <w:rsid w:val="006C051B"/>
    <w:rsid w:val="006C251A"/>
    <w:rsid w:val="006C5AE3"/>
    <w:rsid w:val="006C69D5"/>
    <w:rsid w:val="006D463E"/>
    <w:rsid w:val="006D7963"/>
    <w:rsid w:val="006E27AE"/>
    <w:rsid w:val="006E288A"/>
    <w:rsid w:val="006E436C"/>
    <w:rsid w:val="006E7787"/>
    <w:rsid w:val="006F027C"/>
    <w:rsid w:val="006F0CC4"/>
    <w:rsid w:val="006F162E"/>
    <w:rsid w:val="006F776E"/>
    <w:rsid w:val="00701D98"/>
    <w:rsid w:val="00710D9A"/>
    <w:rsid w:val="007146D9"/>
    <w:rsid w:val="007208D2"/>
    <w:rsid w:val="00722D14"/>
    <w:rsid w:val="00723434"/>
    <w:rsid w:val="007256CF"/>
    <w:rsid w:val="00725A6E"/>
    <w:rsid w:val="00730F08"/>
    <w:rsid w:val="0073500F"/>
    <w:rsid w:val="00740016"/>
    <w:rsid w:val="007406C0"/>
    <w:rsid w:val="00740837"/>
    <w:rsid w:val="0074109F"/>
    <w:rsid w:val="00742A0F"/>
    <w:rsid w:val="00742CA7"/>
    <w:rsid w:val="00745986"/>
    <w:rsid w:val="0074624E"/>
    <w:rsid w:val="00746278"/>
    <w:rsid w:val="00747865"/>
    <w:rsid w:val="0075283F"/>
    <w:rsid w:val="00757BE8"/>
    <w:rsid w:val="00760AD7"/>
    <w:rsid w:val="0076374D"/>
    <w:rsid w:val="00767843"/>
    <w:rsid w:val="00767EB4"/>
    <w:rsid w:val="00771723"/>
    <w:rsid w:val="0077234F"/>
    <w:rsid w:val="00772AB3"/>
    <w:rsid w:val="00774FC3"/>
    <w:rsid w:val="00775879"/>
    <w:rsid w:val="007760B3"/>
    <w:rsid w:val="007769BE"/>
    <w:rsid w:val="00776E12"/>
    <w:rsid w:val="00777829"/>
    <w:rsid w:val="00781F33"/>
    <w:rsid w:val="0078526F"/>
    <w:rsid w:val="00793B3C"/>
    <w:rsid w:val="00794919"/>
    <w:rsid w:val="0079689F"/>
    <w:rsid w:val="007971AB"/>
    <w:rsid w:val="00797BD1"/>
    <w:rsid w:val="007A1421"/>
    <w:rsid w:val="007A14F2"/>
    <w:rsid w:val="007A155F"/>
    <w:rsid w:val="007A2D0D"/>
    <w:rsid w:val="007A3108"/>
    <w:rsid w:val="007A5CEF"/>
    <w:rsid w:val="007B2DEB"/>
    <w:rsid w:val="007B3447"/>
    <w:rsid w:val="007B61D4"/>
    <w:rsid w:val="007B6F5B"/>
    <w:rsid w:val="007C3638"/>
    <w:rsid w:val="007C5251"/>
    <w:rsid w:val="007C6B7A"/>
    <w:rsid w:val="007D08B5"/>
    <w:rsid w:val="007D0FB0"/>
    <w:rsid w:val="007D20B4"/>
    <w:rsid w:val="007E0B4C"/>
    <w:rsid w:val="007E5D9B"/>
    <w:rsid w:val="007E6132"/>
    <w:rsid w:val="007F59A7"/>
    <w:rsid w:val="007F624E"/>
    <w:rsid w:val="007F639A"/>
    <w:rsid w:val="007F6443"/>
    <w:rsid w:val="007F6558"/>
    <w:rsid w:val="007F7827"/>
    <w:rsid w:val="008021CE"/>
    <w:rsid w:val="008038D6"/>
    <w:rsid w:val="00805A8D"/>
    <w:rsid w:val="00807794"/>
    <w:rsid w:val="00807796"/>
    <w:rsid w:val="00807C14"/>
    <w:rsid w:val="00810E10"/>
    <w:rsid w:val="00811021"/>
    <w:rsid w:val="00811658"/>
    <w:rsid w:val="008130A4"/>
    <w:rsid w:val="00814C76"/>
    <w:rsid w:val="00822AF9"/>
    <w:rsid w:val="00823098"/>
    <w:rsid w:val="0082366B"/>
    <w:rsid w:val="0082491C"/>
    <w:rsid w:val="00825774"/>
    <w:rsid w:val="00826204"/>
    <w:rsid w:val="00827352"/>
    <w:rsid w:val="00833517"/>
    <w:rsid w:val="0083522E"/>
    <w:rsid w:val="008405C6"/>
    <w:rsid w:val="00840E4C"/>
    <w:rsid w:val="00841934"/>
    <w:rsid w:val="00841E32"/>
    <w:rsid w:val="00842AEF"/>
    <w:rsid w:val="00842B0D"/>
    <w:rsid w:val="008455C1"/>
    <w:rsid w:val="00846FB1"/>
    <w:rsid w:val="0085271D"/>
    <w:rsid w:val="008534E6"/>
    <w:rsid w:val="00854DC7"/>
    <w:rsid w:val="00856064"/>
    <w:rsid w:val="00860467"/>
    <w:rsid w:val="00862980"/>
    <w:rsid w:val="00864A65"/>
    <w:rsid w:val="00867ED5"/>
    <w:rsid w:val="0087315D"/>
    <w:rsid w:val="00873226"/>
    <w:rsid w:val="008733D0"/>
    <w:rsid w:val="00877AA9"/>
    <w:rsid w:val="0088213E"/>
    <w:rsid w:val="008833CB"/>
    <w:rsid w:val="00883F7A"/>
    <w:rsid w:val="00886599"/>
    <w:rsid w:val="008910C4"/>
    <w:rsid w:val="00892832"/>
    <w:rsid w:val="00894158"/>
    <w:rsid w:val="00897887"/>
    <w:rsid w:val="00897E99"/>
    <w:rsid w:val="008A37E9"/>
    <w:rsid w:val="008A3CE8"/>
    <w:rsid w:val="008A5975"/>
    <w:rsid w:val="008A609A"/>
    <w:rsid w:val="008A678F"/>
    <w:rsid w:val="008B10D6"/>
    <w:rsid w:val="008B6050"/>
    <w:rsid w:val="008B6B70"/>
    <w:rsid w:val="008C1D27"/>
    <w:rsid w:val="008C2D20"/>
    <w:rsid w:val="008C5ED4"/>
    <w:rsid w:val="008C67E7"/>
    <w:rsid w:val="008C72B8"/>
    <w:rsid w:val="008C7DA2"/>
    <w:rsid w:val="008D2C98"/>
    <w:rsid w:val="008D6246"/>
    <w:rsid w:val="008D735C"/>
    <w:rsid w:val="008D7822"/>
    <w:rsid w:val="008E0C5A"/>
    <w:rsid w:val="008E3AB3"/>
    <w:rsid w:val="008E4548"/>
    <w:rsid w:val="008E6369"/>
    <w:rsid w:val="008F15D5"/>
    <w:rsid w:val="008F26AA"/>
    <w:rsid w:val="008F2BCB"/>
    <w:rsid w:val="008F4078"/>
    <w:rsid w:val="008F40C9"/>
    <w:rsid w:val="008F7604"/>
    <w:rsid w:val="008F7D79"/>
    <w:rsid w:val="00900DDF"/>
    <w:rsid w:val="00901893"/>
    <w:rsid w:val="00902FA9"/>
    <w:rsid w:val="00903C8B"/>
    <w:rsid w:val="00905186"/>
    <w:rsid w:val="00906A17"/>
    <w:rsid w:val="00906E8E"/>
    <w:rsid w:val="00910439"/>
    <w:rsid w:val="00910601"/>
    <w:rsid w:val="00911DFD"/>
    <w:rsid w:val="00913A88"/>
    <w:rsid w:val="00915CBF"/>
    <w:rsid w:val="00916EFF"/>
    <w:rsid w:val="00917AB7"/>
    <w:rsid w:val="00920472"/>
    <w:rsid w:val="009205F1"/>
    <w:rsid w:val="009232A9"/>
    <w:rsid w:val="00924ADB"/>
    <w:rsid w:val="00924B80"/>
    <w:rsid w:val="00924BC1"/>
    <w:rsid w:val="0092728B"/>
    <w:rsid w:val="00933482"/>
    <w:rsid w:val="00936AE2"/>
    <w:rsid w:val="00937714"/>
    <w:rsid w:val="00941324"/>
    <w:rsid w:val="009447F6"/>
    <w:rsid w:val="0094628C"/>
    <w:rsid w:val="00951161"/>
    <w:rsid w:val="0095162F"/>
    <w:rsid w:val="0095260C"/>
    <w:rsid w:val="00954508"/>
    <w:rsid w:val="00956EBA"/>
    <w:rsid w:val="00960BB3"/>
    <w:rsid w:val="009622D2"/>
    <w:rsid w:val="009717B0"/>
    <w:rsid w:val="00973BEE"/>
    <w:rsid w:val="00975DC1"/>
    <w:rsid w:val="00976DBE"/>
    <w:rsid w:val="00983D4C"/>
    <w:rsid w:val="00985563"/>
    <w:rsid w:val="00987D5C"/>
    <w:rsid w:val="009939CC"/>
    <w:rsid w:val="00997520"/>
    <w:rsid w:val="00997DFF"/>
    <w:rsid w:val="009A2F7C"/>
    <w:rsid w:val="009A352B"/>
    <w:rsid w:val="009A5B27"/>
    <w:rsid w:val="009A7078"/>
    <w:rsid w:val="009A70CA"/>
    <w:rsid w:val="009B10CD"/>
    <w:rsid w:val="009B154F"/>
    <w:rsid w:val="009B18F0"/>
    <w:rsid w:val="009B5C0E"/>
    <w:rsid w:val="009B5E5A"/>
    <w:rsid w:val="009C335F"/>
    <w:rsid w:val="009C6008"/>
    <w:rsid w:val="009D1DFC"/>
    <w:rsid w:val="009D4793"/>
    <w:rsid w:val="009D4AAA"/>
    <w:rsid w:val="009D4E73"/>
    <w:rsid w:val="009D6962"/>
    <w:rsid w:val="009E05D4"/>
    <w:rsid w:val="009E1567"/>
    <w:rsid w:val="009E3768"/>
    <w:rsid w:val="009E5415"/>
    <w:rsid w:val="009E7F62"/>
    <w:rsid w:val="009F1E69"/>
    <w:rsid w:val="009F30C9"/>
    <w:rsid w:val="009F3643"/>
    <w:rsid w:val="009F6361"/>
    <w:rsid w:val="00A00B06"/>
    <w:rsid w:val="00A00FFD"/>
    <w:rsid w:val="00A026BF"/>
    <w:rsid w:val="00A10027"/>
    <w:rsid w:val="00A14527"/>
    <w:rsid w:val="00A167A9"/>
    <w:rsid w:val="00A16A92"/>
    <w:rsid w:val="00A229CC"/>
    <w:rsid w:val="00A23D9A"/>
    <w:rsid w:val="00A25A0A"/>
    <w:rsid w:val="00A27E0B"/>
    <w:rsid w:val="00A32472"/>
    <w:rsid w:val="00A356A3"/>
    <w:rsid w:val="00A36919"/>
    <w:rsid w:val="00A43403"/>
    <w:rsid w:val="00A437F6"/>
    <w:rsid w:val="00A5390D"/>
    <w:rsid w:val="00A55189"/>
    <w:rsid w:val="00A57099"/>
    <w:rsid w:val="00A57C1D"/>
    <w:rsid w:val="00A61BEB"/>
    <w:rsid w:val="00A62989"/>
    <w:rsid w:val="00A63199"/>
    <w:rsid w:val="00A6374D"/>
    <w:rsid w:val="00A6424A"/>
    <w:rsid w:val="00A700CE"/>
    <w:rsid w:val="00A70852"/>
    <w:rsid w:val="00A805AD"/>
    <w:rsid w:val="00A81EC4"/>
    <w:rsid w:val="00A830BF"/>
    <w:rsid w:val="00A851C2"/>
    <w:rsid w:val="00A9264C"/>
    <w:rsid w:val="00A9431F"/>
    <w:rsid w:val="00A94916"/>
    <w:rsid w:val="00A9772E"/>
    <w:rsid w:val="00A97F46"/>
    <w:rsid w:val="00AA30CF"/>
    <w:rsid w:val="00AA3967"/>
    <w:rsid w:val="00AA3EFD"/>
    <w:rsid w:val="00AA6BA6"/>
    <w:rsid w:val="00AB1281"/>
    <w:rsid w:val="00AB3EBA"/>
    <w:rsid w:val="00AB404A"/>
    <w:rsid w:val="00AB5DBB"/>
    <w:rsid w:val="00AC1FC1"/>
    <w:rsid w:val="00AC4037"/>
    <w:rsid w:val="00AC52B7"/>
    <w:rsid w:val="00AC5490"/>
    <w:rsid w:val="00AD3F55"/>
    <w:rsid w:val="00AD4037"/>
    <w:rsid w:val="00AD4B9D"/>
    <w:rsid w:val="00AD614A"/>
    <w:rsid w:val="00AE669F"/>
    <w:rsid w:val="00AE67E1"/>
    <w:rsid w:val="00AF6BE4"/>
    <w:rsid w:val="00B0055C"/>
    <w:rsid w:val="00B00D16"/>
    <w:rsid w:val="00B04DC9"/>
    <w:rsid w:val="00B05010"/>
    <w:rsid w:val="00B1048B"/>
    <w:rsid w:val="00B13F8F"/>
    <w:rsid w:val="00B14ADB"/>
    <w:rsid w:val="00B15370"/>
    <w:rsid w:val="00B1546C"/>
    <w:rsid w:val="00B15534"/>
    <w:rsid w:val="00B213C6"/>
    <w:rsid w:val="00B21C31"/>
    <w:rsid w:val="00B37D01"/>
    <w:rsid w:val="00B40434"/>
    <w:rsid w:val="00B40FBF"/>
    <w:rsid w:val="00B41BB5"/>
    <w:rsid w:val="00B431C1"/>
    <w:rsid w:val="00B459A7"/>
    <w:rsid w:val="00B45E51"/>
    <w:rsid w:val="00B475DC"/>
    <w:rsid w:val="00B51529"/>
    <w:rsid w:val="00B5373E"/>
    <w:rsid w:val="00B57D8F"/>
    <w:rsid w:val="00B61BAF"/>
    <w:rsid w:val="00B62945"/>
    <w:rsid w:val="00B62FFA"/>
    <w:rsid w:val="00B64770"/>
    <w:rsid w:val="00B710F4"/>
    <w:rsid w:val="00B71571"/>
    <w:rsid w:val="00B71CB5"/>
    <w:rsid w:val="00B73D0B"/>
    <w:rsid w:val="00B76188"/>
    <w:rsid w:val="00B8219E"/>
    <w:rsid w:val="00B855B7"/>
    <w:rsid w:val="00B9316C"/>
    <w:rsid w:val="00B9383D"/>
    <w:rsid w:val="00B95401"/>
    <w:rsid w:val="00B95AC0"/>
    <w:rsid w:val="00B97A91"/>
    <w:rsid w:val="00B97F29"/>
    <w:rsid w:val="00BA1B9C"/>
    <w:rsid w:val="00BA3972"/>
    <w:rsid w:val="00BA3D5F"/>
    <w:rsid w:val="00BA3F1D"/>
    <w:rsid w:val="00BA7FB7"/>
    <w:rsid w:val="00BB14B3"/>
    <w:rsid w:val="00BB2317"/>
    <w:rsid w:val="00BB299B"/>
    <w:rsid w:val="00BB4FA4"/>
    <w:rsid w:val="00BB578E"/>
    <w:rsid w:val="00BB7141"/>
    <w:rsid w:val="00BB727A"/>
    <w:rsid w:val="00BC1242"/>
    <w:rsid w:val="00BC13EA"/>
    <w:rsid w:val="00BC38FE"/>
    <w:rsid w:val="00BC4163"/>
    <w:rsid w:val="00BC5E07"/>
    <w:rsid w:val="00BD2035"/>
    <w:rsid w:val="00BD2117"/>
    <w:rsid w:val="00BD4A67"/>
    <w:rsid w:val="00BD5617"/>
    <w:rsid w:val="00BD5B17"/>
    <w:rsid w:val="00BE1CDF"/>
    <w:rsid w:val="00BE50CB"/>
    <w:rsid w:val="00BE57D5"/>
    <w:rsid w:val="00BE602C"/>
    <w:rsid w:val="00BE65FA"/>
    <w:rsid w:val="00BE76AE"/>
    <w:rsid w:val="00BF0F04"/>
    <w:rsid w:val="00BF55D8"/>
    <w:rsid w:val="00C0087C"/>
    <w:rsid w:val="00C01108"/>
    <w:rsid w:val="00C0349A"/>
    <w:rsid w:val="00C043C1"/>
    <w:rsid w:val="00C06937"/>
    <w:rsid w:val="00C07B4B"/>
    <w:rsid w:val="00C10A5C"/>
    <w:rsid w:val="00C13BB3"/>
    <w:rsid w:val="00C15E96"/>
    <w:rsid w:val="00C15F87"/>
    <w:rsid w:val="00C16FE6"/>
    <w:rsid w:val="00C20014"/>
    <w:rsid w:val="00C26E89"/>
    <w:rsid w:val="00C35C83"/>
    <w:rsid w:val="00C40133"/>
    <w:rsid w:val="00C413A8"/>
    <w:rsid w:val="00C428BA"/>
    <w:rsid w:val="00C45E1E"/>
    <w:rsid w:val="00C4737D"/>
    <w:rsid w:val="00C477B6"/>
    <w:rsid w:val="00C47A90"/>
    <w:rsid w:val="00C50863"/>
    <w:rsid w:val="00C52162"/>
    <w:rsid w:val="00C53313"/>
    <w:rsid w:val="00C56B4D"/>
    <w:rsid w:val="00C56CEE"/>
    <w:rsid w:val="00C60EDB"/>
    <w:rsid w:val="00C63173"/>
    <w:rsid w:val="00C63C43"/>
    <w:rsid w:val="00C6405D"/>
    <w:rsid w:val="00C64177"/>
    <w:rsid w:val="00C65E4D"/>
    <w:rsid w:val="00C67596"/>
    <w:rsid w:val="00C70281"/>
    <w:rsid w:val="00C71617"/>
    <w:rsid w:val="00C7236A"/>
    <w:rsid w:val="00C734D5"/>
    <w:rsid w:val="00C742EE"/>
    <w:rsid w:val="00C74B24"/>
    <w:rsid w:val="00C76849"/>
    <w:rsid w:val="00C76CE0"/>
    <w:rsid w:val="00C80B4B"/>
    <w:rsid w:val="00C832C7"/>
    <w:rsid w:val="00C83E94"/>
    <w:rsid w:val="00C84DBD"/>
    <w:rsid w:val="00C8541B"/>
    <w:rsid w:val="00C8575D"/>
    <w:rsid w:val="00C86D69"/>
    <w:rsid w:val="00C9062A"/>
    <w:rsid w:val="00C91658"/>
    <w:rsid w:val="00C97384"/>
    <w:rsid w:val="00CA21E8"/>
    <w:rsid w:val="00CB0B94"/>
    <w:rsid w:val="00CB40F8"/>
    <w:rsid w:val="00CB446A"/>
    <w:rsid w:val="00CB44B4"/>
    <w:rsid w:val="00CB46E7"/>
    <w:rsid w:val="00CB7F97"/>
    <w:rsid w:val="00CC54FF"/>
    <w:rsid w:val="00CC57BD"/>
    <w:rsid w:val="00CC6284"/>
    <w:rsid w:val="00CC683A"/>
    <w:rsid w:val="00CD43F8"/>
    <w:rsid w:val="00CD4496"/>
    <w:rsid w:val="00CD6281"/>
    <w:rsid w:val="00CD755E"/>
    <w:rsid w:val="00CE655E"/>
    <w:rsid w:val="00CF1715"/>
    <w:rsid w:val="00CF2AD1"/>
    <w:rsid w:val="00CF3E77"/>
    <w:rsid w:val="00CF74E1"/>
    <w:rsid w:val="00D00AA3"/>
    <w:rsid w:val="00D104B0"/>
    <w:rsid w:val="00D13BA3"/>
    <w:rsid w:val="00D155FD"/>
    <w:rsid w:val="00D17BDC"/>
    <w:rsid w:val="00D20E2F"/>
    <w:rsid w:val="00D23090"/>
    <w:rsid w:val="00D24B92"/>
    <w:rsid w:val="00D25F3C"/>
    <w:rsid w:val="00D276B8"/>
    <w:rsid w:val="00D303AF"/>
    <w:rsid w:val="00D30434"/>
    <w:rsid w:val="00D30C13"/>
    <w:rsid w:val="00D314FB"/>
    <w:rsid w:val="00D3275F"/>
    <w:rsid w:val="00D32D22"/>
    <w:rsid w:val="00D3342B"/>
    <w:rsid w:val="00D34075"/>
    <w:rsid w:val="00D40468"/>
    <w:rsid w:val="00D4196F"/>
    <w:rsid w:val="00D43179"/>
    <w:rsid w:val="00D43FD2"/>
    <w:rsid w:val="00D46B31"/>
    <w:rsid w:val="00D50F02"/>
    <w:rsid w:val="00D54818"/>
    <w:rsid w:val="00D54F5A"/>
    <w:rsid w:val="00D55549"/>
    <w:rsid w:val="00D56EFD"/>
    <w:rsid w:val="00D57763"/>
    <w:rsid w:val="00D61466"/>
    <w:rsid w:val="00D62A56"/>
    <w:rsid w:val="00D63C17"/>
    <w:rsid w:val="00D6497E"/>
    <w:rsid w:val="00D660C3"/>
    <w:rsid w:val="00D663E5"/>
    <w:rsid w:val="00D67AB6"/>
    <w:rsid w:val="00D706E9"/>
    <w:rsid w:val="00D76A6F"/>
    <w:rsid w:val="00D77C45"/>
    <w:rsid w:val="00D808D8"/>
    <w:rsid w:val="00D82359"/>
    <w:rsid w:val="00D8437C"/>
    <w:rsid w:val="00D84A8C"/>
    <w:rsid w:val="00D87101"/>
    <w:rsid w:val="00D87B33"/>
    <w:rsid w:val="00D90BF5"/>
    <w:rsid w:val="00D92143"/>
    <w:rsid w:val="00D952FF"/>
    <w:rsid w:val="00D95B21"/>
    <w:rsid w:val="00D962D3"/>
    <w:rsid w:val="00D962EB"/>
    <w:rsid w:val="00DA2498"/>
    <w:rsid w:val="00DA5BCD"/>
    <w:rsid w:val="00DA752B"/>
    <w:rsid w:val="00DB0EA9"/>
    <w:rsid w:val="00DB11E2"/>
    <w:rsid w:val="00DB1EDA"/>
    <w:rsid w:val="00DB2CC3"/>
    <w:rsid w:val="00DB4E4A"/>
    <w:rsid w:val="00DB5DE2"/>
    <w:rsid w:val="00DC24F3"/>
    <w:rsid w:val="00DC473C"/>
    <w:rsid w:val="00DC502E"/>
    <w:rsid w:val="00DC5FC6"/>
    <w:rsid w:val="00DC7E18"/>
    <w:rsid w:val="00DE2385"/>
    <w:rsid w:val="00DE2F67"/>
    <w:rsid w:val="00DF080F"/>
    <w:rsid w:val="00DF0C1F"/>
    <w:rsid w:val="00DF21E4"/>
    <w:rsid w:val="00DF2714"/>
    <w:rsid w:val="00DF3926"/>
    <w:rsid w:val="00DF5400"/>
    <w:rsid w:val="00DF6F95"/>
    <w:rsid w:val="00E00A73"/>
    <w:rsid w:val="00E00FA0"/>
    <w:rsid w:val="00E01E16"/>
    <w:rsid w:val="00E01EB0"/>
    <w:rsid w:val="00E01EBC"/>
    <w:rsid w:val="00E02083"/>
    <w:rsid w:val="00E04A79"/>
    <w:rsid w:val="00E059B2"/>
    <w:rsid w:val="00E06A6B"/>
    <w:rsid w:val="00E07FE7"/>
    <w:rsid w:val="00E13820"/>
    <w:rsid w:val="00E20814"/>
    <w:rsid w:val="00E22EE1"/>
    <w:rsid w:val="00E265FC"/>
    <w:rsid w:val="00E31359"/>
    <w:rsid w:val="00E32D9B"/>
    <w:rsid w:val="00E33B0E"/>
    <w:rsid w:val="00E35B5D"/>
    <w:rsid w:val="00E4015C"/>
    <w:rsid w:val="00E41035"/>
    <w:rsid w:val="00E42C63"/>
    <w:rsid w:val="00E42EE8"/>
    <w:rsid w:val="00E45C1A"/>
    <w:rsid w:val="00E50FCE"/>
    <w:rsid w:val="00E53B8B"/>
    <w:rsid w:val="00E5439B"/>
    <w:rsid w:val="00E54C2C"/>
    <w:rsid w:val="00E564EB"/>
    <w:rsid w:val="00E57E39"/>
    <w:rsid w:val="00E623A0"/>
    <w:rsid w:val="00E65145"/>
    <w:rsid w:val="00E65C0D"/>
    <w:rsid w:val="00E65DE4"/>
    <w:rsid w:val="00E6620C"/>
    <w:rsid w:val="00E6695B"/>
    <w:rsid w:val="00E67FAE"/>
    <w:rsid w:val="00E732CC"/>
    <w:rsid w:val="00E73C35"/>
    <w:rsid w:val="00E74FDE"/>
    <w:rsid w:val="00E76770"/>
    <w:rsid w:val="00E77A53"/>
    <w:rsid w:val="00E77C7D"/>
    <w:rsid w:val="00E81E56"/>
    <w:rsid w:val="00E821BF"/>
    <w:rsid w:val="00E83F2E"/>
    <w:rsid w:val="00E85594"/>
    <w:rsid w:val="00E86BF5"/>
    <w:rsid w:val="00E86F78"/>
    <w:rsid w:val="00E90481"/>
    <w:rsid w:val="00E95056"/>
    <w:rsid w:val="00E95057"/>
    <w:rsid w:val="00E95404"/>
    <w:rsid w:val="00E9567D"/>
    <w:rsid w:val="00E9717F"/>
    <w:rsid w:val="00EA03E6"/>
    <w:rsid w:val="00EA148D"/>
    <w:rsid w:val="00EA20A3"/>
    <w:rsid w:val="00EA3D11"/>
    <w:rsid w:val="00EB1530"/>
    <w:rsid w:val="00EB3CC4"/>
    <w:rsid w:val="00EB7895"/>
    <w:rsid w:val="00EC2991"/>
    <w:rsid w:val="00EC44C0"/>
    <w:rsid w:val="00EC77E6"/>
    <w:rsid w:val="00ED089D"/>
    <w:rsid w:val="00ED0D7A"/>
    <w:rsid w:val="00ED1FA5"/>
    <w:rsid w:val="00ED21DE"/>
    <w:rsid w:val="00ED29B5"/>
    <w:rsid w:val="00EE1A1F"/>
    <w:rsid w:val="00EE213B"/>
    <w:rsid w:val="00EE3F74"/>
    <w:rsid w:val="00EE4334"/>
    <w:rsid w:val="00EE547C"/>
    <w:rsid w:val="00EF41ED"/>
    <w:rsid w:val="00EF61DC"/>
    <w:rsid w:val="00F01F28"/>
    <w:rsid w:val="00F06ED9"/>
    <w:rsid w:val="00F10F2E"/>
    <w:rsid w:val="00F14976"/>
    <w:rsid w:val="00F153E1"/>
    <w:rsid w:val="00F21BD3"/>
    <w:rsid w:val="00F26C54"/>
    <w:rsid w:val="00F30A8F"/>
    <w:rsid w:val="00F314A3"/>
    <w:rsid w:val="00F36437"/>
    <w:rsid w:val="00F37046"/>
    <w:rsid w:val="00F428FE"/>
    <w:rsid w:val="00F456FC"/>
    <w:rsid w:val="00F472FD"/>
    <w:rsid w:val="00F47BF3"/>
    <w:rsid w:val="00F47D58"/>
    <w:rsid w:val="00F5059D"/>
    <w:rsid w:val="00F50A04"/>
    <w:rsid w:val="00F5434C"/>
    <w:rsid w:val="00F545B9"/>
    <w:rsid w:val="00F57616"/>
    <w:rsid w:val="00F60B19"/>
    <w:rsid w:val="00F624E6"/>
    <w:rsid w:val="00F62A8E"/>
    <w:rsid w:val="00F656D8"/>
    <w:rsid w:val="00F67560"/>
    <w:rsid w:val="00F7111F"/>
    <w:rsid w:val="00F718A0"/>
    <w:rsid w:val="00F740F0"/>
    <w:rsid w:val="00F77720"/>
    <w:rsid w:val="00F80FD8"/>
    <w:rsid w:val="00F92446"/>
    <w:rsid w:val="00F926CC"/>
    <w:rsid w:val="00F92C20"/>
    <w:rsid w:val="00F936D0"/>
    <w:rsid w:val="00F93D13"/>
    <w:rsid w:val="00FA2830"/>
    <w:rsid w:val="00FA55FC"/>
    <w:rsid w:val="00FB51B3"/>
    <w:rsid w:val="00FC0B61"/>
    <w:rsid w:val="00FC2098"/>
    <w:rsid w:val="00FC2101"/>
    <w:rsid w:val="00FC39B2"/>
    <w:rsid w:val="00FC6A19"/>
    <w:rsid w:val="00FC7F9F"/>
    <w:rsid w:val="00FD49CB"/>
    <w:rsid w:val="00FD544F"/>
    <w:rsid w:val="00FD60DA"/>
    <w:rsid w:val="00FE4F3D"/>
    <w:rsid w:val="00FE6810"/>
    <w:rsid w:val="00FF4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98A9B7-AC66-4D32-8D65-F0A996E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D4"/>
    <w:pPr>
      <w:spacing w:after="240" w:line="320" w:lineRule="exact"/>
    </w:pPr>
    <w:rPr>
      <w:rFonts w:ascii="Palatino" w:hAnsi="Palatino"/>
      <w:color w:val="000000"/>
      <w:sz w:val="22"/>
      <w:szCs w:val="22"/>
      <w:lang w:val="en-AU" w:eastAsia="en-AU"/>
    </w:rPr>
  </w:style>
  <w:style w:type="paragraph" w:styleId="Heading1">
    <w:name w:val="heading 1"/>
    <w:basedOn w:val="Normal"/>
    <w:next w:val="Normal"/>
    <w:qFormat/>
    <w:rsid w:val="008C5ED4"/>
    <w:pPr>
      <w:keepNext/>
      <w:spacing w:after="360" w:line="240" w:lineRule="auto"/>
      <w:outlineLvl w:val="0"/>
    </w:pPr>
    <w:rPr>
      <w:rFonts w:ascii="Arial" w:hAnsi="Arial" w:cs="Arial"/>
      <w:b/>
      <w:bCs/>
      <w:smallCaps/>
      <w:color w:val="333399"/>
      <w:kern w:val="32"/>
      <w:sz w:val="36"/>
      <w:szCs w:val="36"/>
    </w:rPr>
  </w:style>
  <w:style w:type="paragraph" w:styleId="Heading2">
    <w:name w:val="heading 2"/>
    <w:basedOn w:val="Normal"/>
    <w:next w:val="Normal"/>
    <w:qFormat/>
    <w:rsid w:val="008C5ED4"/>
    <w:pPr>
      <w:keepNext/>
      <w:spacing w:before="360" w:line="240" w:lineRule="auto"/>
      <w:outlineLvl w:val="1"/>
    </w:pPr>
    <w:rPr>
      <w:rFonts w:ascii="Arial" w:hAnsi="Arial" w:cs="Arial"/>
      <w:b/>
      <w:bCs/>
      <w:iCs/>
      <w:smallCaps/>
      <w:color w:val="333399"/>
      <w:sz w:val="28"/>
      <w:szCs w:val="28"/>
    </w:rPr>
  </w:style>
  <w:style w:type="paragraph" w:styleId="Heading3">
    <w:name w:val="heading 3"/>
    <w:basedOn w:val="Normal"/>
    <w:next w:val="Normal"/>
    <w:qFormat/>
    <w:rsid w:val="008C5ED4"/>
    <w:pPr>
      <w:keepNext/>
      <w:spacing w:before="240" w:line="240" w:lineRule="auto"/>
      <w:outlineLvl w:val="2"/>
    </w:pPr>
    <w:rPr>
      <w:rFonts w:ascii="Arial Bold" w:hAnsi="Arial Bold" w:cs="Arial"/>
      <w:b/>
      <w:bCs/>
      <w:color w:val="333399"/>
      <w:sz w:val="24"/>
      <w:szCs w:val="24"/>
    </w:rPr>
  </w:style>
  <w:style w:type="paragraph" w:styleId="Heading4">
    <w:name w:val="heading 4"/>
    <w:basedOn w:val="Normal"/>
    <w:next w:val="Normal"/>
    <w:link w:val="Heading4Char"/>
    <w:semiHidden/>
    <w:unhideWhenUsed/>
    <w:qFormat/>
    <w:rsid w:val="00472C9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C5ED4"/>
    <w:rPr>
      <w:rFonts w:ascii="Arial" w:hAnsi="Arial"/>
      <w:color w:val="333399"/>
      <w:sz w:val="20"/>
      <w:szCs w:val="20"/>
    </w:rPr>
  </w:style>
  <w:style w:type="paragraph" w:customStyle="1" w:styleId="Bullet">
    <w:name w:val="Bullet"/>
    <w:basedOn w:val="Normal"/>
    <w:link w:val="BulletChar"/>
    <w:rsid w:val="008C5ED4"/>
    <w:pPr>
      <w:numPr>
        <w:numId w:val="1"/>
      </w:numPr>
    </w:pPr>
  </w:style>
  <w:style w:type="paragraph" w:customStyle="1" w:styleId="Dash">
    <w:name w:val="Dash"/>
    <w:basedOn w:val="Normal"/>
    <w:rsid w:val="008C5ED4"/>
    <w:pPr>
      <w:numPr>
        <w:ilvl w:val="1"/>
        <w:numId w:val="1"/>
      </w:numPr>
    </w:pPr>
  </w:style>
  <w:style w:type="paragraph" w:customStyle="1" w:styleId="DoubleDot">
    <w:name w:val="Double Dot"/>
    <w:basedOn w:val="Normal"/>
    <w:rsid w:val="008C5ED4"/>
    <w:pPr>
      <w:numPr>
        <w:ilvl w:val="2"/>
        <w:numId w:val="1"/>
      </w:numPr>
    </w:pPr>
  </w:style>
  <w:style w:type="paragraph" w:customStyle="1" w:styleId="Classification">
    <w:name w:val="Classification"/>
    <w:basedOn w:val="Normal"/>
    <w:next w:val="Footer"/>
    <w:rsid w:val="008C5ED4"/>
    <w:pPr>
      <w:spacing w:after="120" w:line="240" w:lineRule="auto"/>
      <w:jc w:val="center"/>
    </w:pPr>
    <w:rPr>
      <w:rFonts w:ascii="Arial" w:hAnsi="Arial"/>
      <w:b/>
      <w:smallCaps/>
      <w:color w:val="333399"/>
      <w:sz w:val="20"/>
      <w:szCs w:val="20"/>
    </w:rPr>
  </w:style>
  <w:style w:type="paragraph" w:styleId="Footer">
    <w:name w:val="footer"/>
    <w:basedOn w:val="Normal"/>
    <w:link w:val="FooterChar"/>
    <w:uiPriority w:val="99"/>
    <w:rsid w:val="008C5ED4"/>
    <w:pPr>
      <w:spacing w:after="0" w:line="240" w:lineRule="auto"/>
    </w:pPr>
    <w:rPr>
      <w:rFonts w:ascii="Arial" w:hAnsi="Arial"/>
      <w:caps/>
      <w:color w:val="333399"/>
    </w:rPr>
  </w:style>
  <w:style w:type="character" w:customStyle="1" w:styleId="BulletChar">
    <w:name w:val="Bullet Char"/>
    <w:link w:val="Bullet"/>
    <w:locked/>
    <w:rsid w:val="008C5ED4"/>
    <w:rPr>
      <w:rFonts w:ascii="Palatino" w:hAnsi="Palatino"/>
      <w:color w:val="000000"/>
      <w:sz w:val="22"/>
      <w:szCs w:val="22"/>
      <w:lang w:val="en-AU" w:eastAsia="en-AU" w:bidi="ar-SA"/>
    </w:rPr>
  </w:style>
  <w:style w:type="paragraph" w:customStyle="1" w:styleId="SummaryText">
    <w:name w:val="Summary Text"/>
    <w:basedOn w:val="Normal"/>
    <w:rsid w:val="008C5ED4"/>
    <w:rPr>
      <w:b/>
      <w:color w:val="333399"/>
    </w:rPr>
  </w:style>
  <w:style w:type="paragraph" w:customStyle="1" w:styleId="Sectionheading">
    <w:name w:val="Section heading"/>
    <w:basedOn w:val="Heading2"/>
    <w:next w:val="Normal"/>
    <w:rsid w:val="008C5ED4"/>
    <w:pPr>
      <w:pBdr>
        <w:bottom w:val="single" w:sz="18" w:space="1" w:color="333399"/>
      </w:pBdr>
    </w:pPr>
  </w:style>
  <w:style w:type="paragraph" w:customStyle="1" w:styleId="Summaryheading">
    <w:name w:val="Summary heading"/>
    <w:basedOn w:val="Sectionheading"/>
    <w:next w:val="SummaryText"/>
    <w:rsid w:val="008C5ED4"/>
  </w:style>
  <w:style w:type="table" w:styleId="TableGrid">
    <w:name w:val="Table Grid"/>
    <w:basedOn w:val="TableNormal"/>
    <w:rsid w:val="008C5ED4"/>
    <w:pPr>
      <w:spacing w:after="240"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F40C9"/>
    <w:rPr>
      <w:rFonts w:ascii="Tahoma" w:hAnsi="Tahoma" w:cs="Tahoma"/>
      <w:sz w:val="16"/>
      <w:szCs w:val="16"/>
    </w:rPr>
  </w:style>
  <w:style w:type="paragraph" w:styleId="ListParagraph">
    <w:name w:val="List Paragraph"/>
    <w:basedOn w:val="Normal"/>
    <w:qFormat/>
    <w:rsid w:val="00911DFD"/>
    <w:pPr>
      <w:spacing w:after="200" w:line="276" w:lineRule="auto"/>
      <w:ind w:left="720"/>
      <w:contextualSpacing/>
    </w:pPr>
    <w:rPr>
      <w:rFonts w:ascii="Calibri" w:hAnsi="Calibri"/>
      <w:color w:val="auto"/>
      <w:lang w:eastAsia="en-US"/>
    </w:rPr>
  </w:style>
  <w:style w:type="paragraph" w:styleId="Header">
    <w:name w:val="header"/>
    <w:basedOn w:val="Normal"/>
    <w:rsid w:val="00E74FDE"/>
    <w:pPr>
      <w:tabs>
        <w:tab w:val="center" w:pos="4153"/>
        <w:tab w:val="right" w:pos="8306"/>
      </w:tabs>
    </w:pPr>
  </w:style>
  <w:style w:type="character" w:styleId="CommentReference">
    <w:name w:val="annotation reference"/>
    <w:semiHidden/>
    <w:rsid w:val="00772AB3"/>
    <w:rPr>
      <w:sz w:val="16"/>
      <w:szCs w:val="16"/>
    </w:rPr>
  </w:style>
  <w:style w:type="paragraph" w:styleId="CommentText">
    <w:name w:val="annotation text"/>
    <w:basedOn w:val="Normal"/>
    <w:semiHidden/>
    <w:rsid w:val="00772AB3"/>
    <w:rPr>
      <w:sz w:val="20"/>
      <w:szCs w:val="20"/>
    </w:rPr>
  </w:style>
  <w:style w:type="paragraph" w:styleId="CommentSubject">
    <w:name w:val="annotation subject"/>
    <w:basedOn w:val="CommentText"/>
    <w:next w:val="CommentText"/>
    <w:semiHidden/>
    <w:rsid w:val="00772AB3"/>
    <w:rPr>
      <w:b/>
      <w:bCs/>
    </w:rPr>
  </w:style>
  <w:style w:type="paragraph" w:styleId="Caption">
    <w:name w:val="caption"/>
    <w:basedOn w:val="Normal"/>
    <w:next w:val="BodyText"/>
    <w:qFormat/>
    <w:rsid w:val="00937714"/>
    <w:pPr>
      <w:keepNext/>
      <w:spacing w:before="320" w:after="80" w:line="230" w:lineRule="exact"/>
    </w:pPr>
    <w:rPr>
      <w:rFonts w:ascii="Franklin Gothic Demi" w:hAnsi="Franklin Gothic Demi"/>
      <w:color w:val="7E6D5F"/>
      <w:sz w:val="19"/>
      <w:szCs w:val="19"/>
    </w:rPr>
  </w:style>
  <w:style w:type="paragraph" w:styleId="BodyText">
    <w:name w:val="Body Text"/>
    <w:basedOn w:val="Normal"/>
    <w:rsid w:val="00937714"/>
    <w:pPr>
      <w:spacing w:after="120"/>
    </w:pPr>
  </w:style>
  <w:style w:type="paragraph" w:customStyle="1" w:styleId="TableTextEntries">
    <w:name w:val="Table Text Entries"/>
    <w:basedOn w:val="Normal"/>
    <w:rsid w:val="006F0CC4"/>
    <w:pPr>
      <w:keepLines/>
      <w:spacing w:before="40" w:after="40" w:line="200" w:lineRule="atLeast"/>
    </w:pPr>
    <w:rPr>
      <w:rFonts w:ascii="Franklin Gothic Book" w:hAnsi="Franklin Gothic Book"/>
      <w:color w:val="auto"/>
      <w:sz w:val="17"/>
      <w:szCs w:val="17"/>
      <w:lang w:eastAsia="en-US"/>
    </w:rPr>
  </w:style>
  <w:style w:type="character" w:styleId="FootnoteReference">
    <w:name w:val="footnote reference"/>
    <w:aliases w:val="ftref,fr,16 Point,Superscript 6 Point"/>
    <w:rsid w:val="006F0CC4"/>
    <w:rPr>
      <w:rFonts w:ascii="Franklin Gothic Book" w:hAnsi="Franklin Gothic Book"/>
      <w:w w:val="100"/>
      <w:position w:val="6"/>
      <w:sz w:val="12"/>
      <w:szCs w:val="12"/>
      <w:vertAlign w:val="baseline"/>
    </w:rPr>
  </w:style>
  <w:style w:type="paragraph" w:styleId="FootnoteText">
    <w:name w:val="footnote text"/>
    <w:aliases w:val="ADB,ft,Fußnotentextf,fn,single space,FOOTNOTES,Fußnotentext Char,Footnote text,Footnote Text Char1,Footnote Text Char2 Char,Footnote Text Char1 Char Char,Footnote Text Char2 Char Char Char,Footno,Char Char3"/>
    <w:basedOn w:val="BodyText"/>
    <w:link w:val="FootnoteTextChar2"/>
    <w:rsid w:val="006F0CC4"/>
    <w:pPr>
      <w:spacing w:after="0" w:line="180" w:lineRule="atLeast"/>
      <w:ind w:left="284" w:hanging="284"/>
    </w:pPr>
    <w:rPr>
      <w:rFonts w:ascii="Franklin Gothic Book" w:hAnsi="Franklin Gothic Book"/>
      <w:color w:val="auto"/>
      <w:sz w:val="14"/>
      <w:szCs w:val="14"/>
    </w:rPr>
  </w:style>
  <w:style w:type="character" w:customStyle="1" w:styleId="FootnoteTextChar">
    <w:name w:val="Footnote Text Char"/>
    <w:rsid w:val="006F0CC4"/>
    <w:rPr>
      <w:rFonts w:ascii="Palatino" w:hAnsi="Palatino"/>
      <w:color w:val="000000"/>
      <w:lang w:val="en-AU" w:eastAsia="en-AU"/>
    </w:rPr>
  </w:style>
  <w:style w:type="character" w:styleId="Hyperlink">
    <w:name w:val="Hyperlink"/>
    <w:uiPriority w:val="99"/>
    <w:rsid w:val="006F0CC4"/>
    <w:rPr>
      <w:color w:val="00467F"/>
      <w:sz w:val="20"/>
      <w:szCs w:val="20"/>
      <w:u w:val="none"/>
    </w:rPr>
  </w:style>
  <w:style w:type="paragraph" w:customStyle="1" w:styleId="CharChar">
    <w:name w:val="Char Char"/>
    <w:basedOn w:val="Normal"/>
    <w:semiHidden/>
    <w:rsid w:val="006F0CC4"/>
    <w:pPr>
      <w:spacing w:before="180" w:after="0" w:line="280" w:lineRule="atLeast"/>
    </w:pPr>
    <w:rPr>
      <w:rFonts w:ascii="Arial" w:hAnsi="Arial"/>
      <w:color w:val="auto"/>
      <w:szCs w:val="20"/>
      <w:lang w:eastAsia="en-US"/>
    </w:rPr>
  </w:style>
  <w:style w:type="character" w:customStyle="1" w:styleId="FootnoteTextChar2">
    <w:name w:val="Footnote Text Char2"/>
    <w:aliases w:val="ADB Char,ft Char,Fußnotentextf Char,fn Char,single space Char,FOOTNOTES Char,Fußnotentext Char Char,Footnote text Char,Footnote Text Char1 Char,Footnote Text Char2 Char Char,Footnote Text Char1 Char Char Char,Footno Char"/>
    <w:link w:val="FootnoteText"/>
    <w:locked/>
    <w:rsid w:val="006F0CC4"/>
    <w:rPr>
      <w:rFonts w:ascii="Franklin Gothic Book" w:hAnsi="Franklin Gothic Book"/>
      <w:sz w:val="14"/>
      <w:szCs w:val="14"/>
      <w:lang w:val="en-AU" w:eastAsia="en-AU"/>
    </w:rPr>
  </w:style>
  <w:style w:type="paragraph" w:customStyle="1" w:styleId="gray">
    <w:name w:val="gray"/>
    <w:basedOn w:val="Normal"/>
    <w:rsid w:val="006F0CC4"/>
    <w:pPr>
      <w:spacing w:before="136" w:after="136" w:line="288" w:lineRule="auto"/>
      <w:ind w:left="136" w:right="136"/>
    </w:pPr>
    <w:rPr>
      <w:rFonts w:ascii="Arial" w:hAnsi="Arial" w:cs="Arial"/>
      <w:color w:val="333333"/>
      <w:sz w:val="16"/>
      <w:szCs w:val="16"/>
    </w:rPr>
  </w:style>
  <w:style w:type="character" w:customStyle="1" w:styleId="FooterChar">
    <w:name w:val="Footer Char"/>
    <w:link w:val="Footer"/>
    <w:uiPriority w:val="99"/>
    <w:rsid w:val="002162AF"/>
    <w:rPr>
      <w:rFonts w:ascii="Arial" w:hAnsi="Arial"/>
      <w:caps/>
      <w:color w:val="333399"/>
      <w:sz w:val="22"/>
      <w:szCs w:val="22"/>
      <w:lang w:val="en-AU" w:eastAsia="en-AU"/>
    </w:rPr>
  </w:style>
  <w:style w:type="paragraph" w:styleId="TOC2">
    <w:name w:val="toc 2"/>
    <w:basedOn w:val="Normal"/>
    <w:next w:val="Normal"/>
    <w:autoRedefine/>
    <w:uiPriority w:val="39"/>
    <w:rsid w:val="006A5382"/>
    <w:pPr>
      <w:ind w:left="220"/>
    </w:pPr>
  </w:style>
  <w:style w:type="paragraph" w:styleId="TOC1">
    <w:name w:val="toc 1"/>
    <w:basedOn w:val="Normal"/>
    <w:next w:val="Normal"/>
    <w:autoRedefine/>
    <w:uiPriority w:val="39"/>
    <w:rsid w:val="006A5382"/>
  </w:style>
  <w:style w:type="character" w:customStyle="1" w:styleId="ADBCharChar">
    <w:name w:val="ADB Char Char"/>
    <w:semiHidden/>
    <w:locked/>
    <w:rsid w:val="0077234F"/>
    <w:rPr>
      <w:rFonts w:ascii="Franklin Gothic Book" w:hAnsi="Franklin Gothic Book"/>
      <w:sz w:val="14"/>
      <w:szCs w:val="14"/>
      <w:lang w:val="en-AU" w:eastAsia="en-AU" w:bidi="ar-SA"/>
    </w:rPr>
  </w:style>
  <w:style w:type="paragraph" w:styleId="Revision">
    <w:name w:val="Revision"/>
    <w:hidden/>
    <w:uiPriority w:val="99"/>
    <w:semiHidden/>
    <w:rsid w:val="00DB4E4A"/>
    <w:rPr>
      <w:rFonts w:ascii="Palatino" w:hAnsi="Palatino"/>
      <w:color w:val="000000"/>
      <w:sz w:val="22"/>
      <w:szCs w:val="22"/>
      <w:lang w:val="en-AU" w:eastAsia="en-AU"/>
    </w:rPr>
  </w:style>
  <w:style w:type="paragraph" w:customStyle="1" w:styleId="Title1">
    <w:name w:val="Title 1"/>
    <w:basedOn w:val="Normal"/>
    <w:qFormat/>
    <w:rsid w:val="002D2B42"/>
    <w:pPr>
      <w:jc w:val="center"/>
    </w:pPr>
    <w:rPr>
      <w:sz w:val="40"/>
      <w:szCs w:val="40"/>
    </w:rPr>
  </w:style>
  <w:style w:type="paragraph" w:customStyle="1" w:styleId="H1">
    <w:name w:val="H1"/>
    <w:basedOn w:val="Normal"/>
    <w:qFormat/>
    <w:rsid w:val="00472C93"/>
  </w:style>
  <w:style w:type="paragraph" w:styleId="Title">
    <w:name w:val="Title"/>
    <w:basedOn w:val="Normal"/>
    <w:next w:val="Normal"/>
    <w:link w:val="TitleChar"/>
    <w:qFormat/>
    <w:rsid w:val="002D2B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D2B42"/>
    <w:rPr>
      <w:rFonts w:asciiTheme="majorHAnsi" w:eastAsiaTheme="majorEastAsia" w:hAnsiTheme="majorHAnsi" w:cstheme="majorBidi"/>
      <w:b/>
      <w:bCs/>
      <w:color w:val="000000"/>
      <w:kern w:val="28"/>
      <w:sz w:val="32"/>
      <w:szCs w:val="32"/>
      <w:lang w:val="en-AU" w:eastAsia="en-AU"/>
    </w:rPr>
  </w:style>
  <w:style w:type="paragraph" w:customStyle="1" w:styleId="H4">
    <w:name w:val="H4"/>
    <w:basedOn w:val="Normal"/>
    <w:qFormat/>
    <w:rsid w:val="00472C93"/>
    <w:pPr>
      <w:spacing w:before="240" w:after="0" w:line="240" w:lineRule="auto"/>
    </w:pPr>
    <w:rPr>
      <w:rFonts w:ascii="Times New Roman" w:hAnsi="Times New Roman"/>
      <w:b/>
      <w:sz w:val="24"/>
      <w:szCs w:val="24"/>
    </w:rPr>
  </w:style>
  <w:style w:type="character" w:customStyle="1" w:styleId="Heading4Char">
    <w:name w:val="Heading 4 Char"/>
    <w:basedOn w:val="DefaultParagraphFont"/>
    <w:link w:val="Heading4"/>
    <w:semiHidden/>
    <w:rsid w:val="00472C93"/>
    <w:rPr>
      <w:rFonts w:asciiTheme="minorHAnsi" w:eastAsiaTheme="minorEastAsia" w:hAnsiTheme="minorHAnsi" w:cstheme="minorBidi"/>
      <w:b/>
      <w:bCs/>
      <w:color w:val="000000"/>
      <w:sz w:val="28"/>
      <w:szCs w:val="28"/>
      <w:lang w:val="en-AU" w:eastAsia="en-AU"/>
    </w:rPr>
  </w:style>
  <w:style w:type="paragraph" w:customStyle="1" w:styleId="Normal2">
    <w:name w:val="Normal2"/>
    <w:basedOn w:val="gray"/>
    <w:qFormat/>
    <w:rsid w:val="00177DB4"/>
    <w:pPr>
      <w:spacing w:before="240" w:after="0" w:line="240" w:lineRule="auto"/>
      <w:ind w:left="0" w:right="272"/>
    </w:pPr>
    <w:rPr>
      <w:rFonts w:ascii="Times New Roman" w:hAnsi="Times New Roman" w:cs="Times New Roman"/>
      <w:bCs/>
      <w:color w:val="auto"/>
      <w:sz w:val="24"/>
      <w:szCs w:val="24"/>
      <w:lang w:val="en-GB"/>
    </w:rPr>
  </w:style>
  <w:style w:type="paragraph" w:customStyle="1" w:styleId="Normal3">
    <w:name w:val="Normal3"/>
    <w:basedOn w:val="Normal"/>
    <w:qFormat/>
    <w:rsid w:val="00177DB4"/>
    <w:pPr>
      <w:pBdr>
        <w:bottom w:val="single" w:sz="6" w:space="1" w:color="auto"/>
      </w:pBdr>
      <w:spacing w:before="240" w:after="0" w:line="240" w:lineRule="auto"/>
      <w:ind w:right="272"/>
    </w:pPr>
    <w:rPr>
      <w:rFonts w:ascii="Times New Roman" w:hAnsi="Times New Roman"/>
      <w:bCs/>
      <w:color w:val="auto"/>
      <w:sz w:val="24"/>
      <w:szCs w:val="24"/>
      <w:lang w:val="en-GB"/>
    </w:rPr>
  </w:style>
  <w:style w:type="paragraph" w:customStyle="1" w:styleId="H3A">
    <w:name w:val="H3A"/>
    <w:basedOn w:val="H4"/>
    <w:qFormat/>
    <w:rsid w:val="00177DB4"/>
  </w:style>
  <w:style w:type="paragraph" w:customStyle="1" w:styleId="P">
    <w:name w:val="P"/>
    <w:basedOn w:val="Heading2"/>
    <w:qFormat/>
    <w:rsid w:val="00F314A3"/>
    <w:pPr>
      <w:spacing w:before="240" w:after="0"/>
      <w:jc w:val="center"/>
    </w:pPr>
    <w:rPr>
      <w:rFonts w:ascii="Times New Roman" w:hAnsi="Times New Roman" w:cs="Times New Roman"/>
      <w:b w:val="0"/>
      <w:bCs w:val="0"/>
      <w:iCs w:val="0"/>
      <w:smallCaps w:val="0"/>
      <w:color w:val="5A9A98"/>
      <w:kern w:val="28"/>
      <w:sz w:val="24"/>
      <w:szCs w:val="24"/>
      <w:lang w:val="en-GB"/>
    </w:rPr>
  </w:style>
  <w:style w:type="paragraph" w:customStyle="1" w:styleId="Normal4">
    <w:name w:val="Normal4"/>
    <w:basedOn w:val="P"/>
    <w:qFormat/>
    <w:rsid w:val="00F3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21">
      <w:bodyDiv w:val="1"/>
      <w:marLeft w:val="0"/>
      <w:marRight w:val="0"/>
      <w:marTop w:val="0"/>
      <w:marBottom w:val="0"/>
      <w:divBdr>
        <w:top w:val="none" w:sz="0" w:space="0" w:color="auto"/>
        <w:left w:val="none" w:sz="0" w:space="0" w:color="auto"/>
        <w:bottom w:val="none" w:sz="0" w:space="0" w:color="auto"/>
        <w:right w:val="none" w:sz="0" w:space="0" w:color="auto"/>
      </w:divBdr>
    </w:div>
    <w:div w:id="311178936">
      <w:bodyDiv w:val="1"/>
      <w:marLeft w:val="0"/>
      <w:marRight w:val="0"/>
      <w:marTop w:val="0"/>
      <w:marBottom w:val="0"/>
      <w:divBdr>
        <w:top w:val="none" w:sz="0" w:space="0" w:color="auto"/>
        <w:left w:val="none" w:sz="0" w:space="0" w:color="auto"/>
        <w:bottom w:val="none" w:sz="0" w:space="0" w:color="auto"/>
        <w:right w:val="none" w:sz="0" w:space="0" w:color="auto"/>
      </w:divBdr>
    </w:div>
    <w:div w:id="725757926">
      <w:bodyDiv w:val="1"/>
      <w:marLeft w:val="0"/>
      <w:marRight w:val="0"/>
      <w:marTop w:val="0"/>
      <w:marBottom w:val="0"/>
      <w:divBdr>
        <w:top w:val="none" w:sz="0" w:space="0" w:color="auto"/>
        <w:left w:val="none" w:sz="0" w:space="0" w:color="auto"/>
        <w:bottom w:val="none" w:sz="0" w:space="0" w:color="auto"/>
        <w:right w:val="none" w:sz="0" w:space="0" w:color="auto"/>
      </w:divBdr>
    </w:div>
    <w:div w:id="871268020">
      <w:bodyDiv w:val="1"/>
      <w:marLeft w:val="0"/>
      <w:marRight w:val="0"/>
      <w:marTop w:val="0"/>
      <w:marBottom w:val="0"/>
      <w:divBdr>
        <w:top w:val="none" w:sz="0" w:space="0" w:color="auto"/>
        <w:left w:val="none" w:sz="0" w:space="0" w:color="auto"/>
        <w:bottom w:val="none" w:sz="0" w:space="0" w:color="auto"/>
        <w:right w:val="none" w:sz="0" w:space="0" w:color="auto"/>
      </w:divBdr>
    </w:div>
    <w:div w:id="1011680810">
      <w:bodyDiv w:val="1"/>
      <w:marLeft w:val="0"/>
      <w:marRight w:val="0"/>
      <w:marTop w:val="0"/>
      <w:marBottom w:val="0"/>
      <w:divBdr>
        <w:top w:val="none" w:sz="0" w:space="0" w:color="auto"/>
        <w:left w:val="none" w:sz="0" w:space="0" w:color="auto"/>
        <w:bottom w:val="none" w:sz="0" w:space="0" w:color="auto"/>
        <w:right w:val="none" w:sz="0" w:space="0" w:color="auto"/>
      </w:divBdr>
    </w:div>
    <w:div w:id="11890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F929E9-8EFC-4A1F-8CED-84B4113C483F}"/>
</file>

<file path=customXml/itemProps2.xml><?xml version="1.0" encoding="utf-8"?>
<ds:datastoreItem xmlns:ds="http://schemas.openxmlformats.org/officeDocument/2006/customXml" ds:itemID="{CDDEBCE8-EF28-4C27-8A91-623FA5E8987E}"/>
</file>

<file path=customXml/itemProps3.xml><?xml version="1.0" encoding="utf-8"?>
<ds:datastoreItem xmlns:ds="http://schemas.openxmlformats.org/officeDocument/2006/customXml" ds:itemID="{0B36090B-AD94-48E0-8F9F-B8159B82FF70}"/>
</file>

<file path=customXml/itemProps4.xml><?xml version="1.0" encoding="utf-8"?>
<ds:datastoreItem xmlns:ds="http://schemas.openxmlformats.org/officeDocument/2006/customXml" ds:itemID="{FE3DFF71-0180-43B1-B225-B3D1BADBE9A1}"/>
</file>

<file path=customXml/itemProps5.xml><?xml version="1.0" encoding="utf-8"?>
<ds:datastoreItem xmlns:ds="http://schemas.openxmlformats.org/officeDocument/2006/customXml" ds:itemID="{202AEAB4-5D38-4EDB-8C90-CE5E3B03FBF9}"/>
</file>

<file path=docProps/app.xml><?xml version="1.0" encoding="utf-8"?>
<Properties xmlns="http://schemas.openxmlformats.org/officeDocument/2006/extended-properties" xmlns:vt="http://schemas.openxmlformats.org/officeDocument/2006/docPropsVTypes">
  <Template>Normal</Template>
  <TotalTime>48</TotalTime>
  <Pages>16</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Kiribati-Australia Partnership for Development</vt:lpstr>
    </vt:vector>
  </TitlesOfParts>
  <Company>peter.b@zeley.com</Company>
  <LinksUpToDate>false</LinksUpToDate>
  <CharactersWithSpaces>40309</CharactersWithSpaces>
  <SharedDoc>false</SharedDoc>
  <HLinks>
    <vt:vector size="72" baseType="variant">
      <vt:variant>
        <vt:i4>1507387</vt:i4>
      </vt:variant>
      <vt:variant>
        <vt:i4>68</vt:i4>
      </vt:variant>
      <vt:variant>
        <vt:i4>0</vt:i4>
      </vt:variant>
      <vt:variant>
        <vt:i4>5</vt:i4>
      </vt:variant>
      <vt:variant>
        <vt:lpwstr/>
      </vt:variant>
      <vt:variant>
        <vt:lpwstr>_Toc307062922</vt:lpwstr>
      </vt:variant>
      <vt:variant>
        <vt:i4>1507387</vt:i4>
      </vt:variant>
      <vt:variant>
        <vt:i4>62</vt:i4>
      </vt:variant>
      <vt:variant>
        <vt:i4>0</vt:i4>
      </vt:variant>
      <vt:variant>
        <vt:i4>5</vt:i4>
      </vt:variant>
      <vt:variant>
        <vt:lpwstr/>
      </vt:variant>
      <vt:variant>
        <vt:lpwstr>_Toc307062921</vt:lpwstr>
      </vt:variant>
      <vt:variant>
        <vt:i4>1507387</vt:i4>
      </vt:variant>
      <vt:variant>
        <vt:i4>56</vt:i4>
      </vt:variant>
      <vt:variant>
        <vt:i4>0</vt:i4>
      </vt:variant>
      <vt:variant>
        <vt:i4>5</vt:i4>
      </vt:variant>
      <vt:variant>
        <vt:lpwstr/>
      </vt:variant>
      <vt:variant>
        <vt:lpwstr>_Toc307062920</vt:lpwstr>
      </vt:variant>
      <vt:variant>
        <vt:i4>1310779</vt:i4>
      </vt:variant>
      <vt:variant>
        <vt:i4>50</vt:i4>
      </vt:variant>
      <vt:variant>
        <vt:i4>0</vt:i4>
      </vt:variant>
      <vt:variant>
        <vt:i4>5</vt:i4>
      </vt:variant>
      <vt:variant>
        <vt:lpwstr/>
      </vt:variant>
      <vt:variant>
        <vt:lpwstr>_Toc307062919</vt:lpwstr>
      </vt:variant>
      <vt:variant>
        <vt:i4>1310779</vt:i4>
      </vt:variant>
      <vt:variant>
        <vt:i4>44</vt:i4>
      </vt:variant>
      <vt:variant>
        <vt:i4>0</vt:i4>
      </vt:variant>
      <vt:variant>
        <vt:i4>5</vt:i4>
      </vt:variant>
      <vt:variant>
        <vt:lpwstr/>
      </vt:variant>
      <vt:variant>
        <vt:lpwstr>_Toc307062918</vt:lpwstr>
      </vt:variant>
      <vt:variant>
        <vt:i4>1310779</vt:i4>
      </vt:variant>
      <vt:variant>
        <vt:i4>38</vt:i4>
      </vt:variant>
      <vt:variant>
        <vt:i4>0</vt:i4>
      </vt:variant>
      <vt:variant>
        <vt:i4>5</vt:i4>
      </vt:variant>
      <vt:variant>
        <vt:lpwstr/>
      </vt:variant>
      <vt:variant>
        <vt:lpwstr>_Toc307062917</vt:lpwstr>
      </vt:variant>
      <vt:variant>
        <vt:i4>1310779</vt:i4>
      </vt:variant>
      <vt:variant>
        <vt:i4>32</vt:i4>
      </vt:variant>
      <vt:variant>
        <vt:i4>0</vt:i4>
      </vt:variant>
      <vt:variant>
        <vt:i4>5</vt:i4>
      </vt:variant>
      <vt:variant>
        <vt:lpwstr/>
      </vt:variant>
      <vt:variant>
        <vt:lpwstr>_Toc307062916</vt:lpwstr>
      </vt:variant>
      <vt:variant>
        <vt:i4>1310779</vt:i4>
      </vt:variant>
      <vt:variant>
        <vt:i4>26</vt:i4>
      </vt:variant>
      <vt:variant>
        <vt:i4>0</vt:i4>
      </vt:variant>
      <vt:variant>
        <vt:i4>5</vt:i4>
      </vt:variant>
      <vt:variant>
        <vt:lpwstr/>
      </vt:variant>
      <vt:variant>
        <vt:lpwstr>_Toc307062915</vt:lpwstr>
      </vt:variant>
      <vt:variant>
        <vt:i4>1310779</vt:i4>
      </vt:variant>
      <vt:variant>
        <vt:i4>20</vt:i4>
      </vt:variant>
      <vt:variant>
        <vt:i4>0</vt:i4>
      </vt:variant>
      <vt:variant>
        <vt:i4>5</vt:i4>
      </vt:variant>
      <vt:variant>
        <vt:lpwstr/>
      </vt:variant>
      <vt:variant>
        <vt:lpwstr>_Toc307062914</vt:lpwstr>
      </vt:variant>
      <vt:variant>
        <vt:i4>1310779</vt:i4>
      </vt:variant>
      <vt:variant>
        <vt:i4>14</vt:i4>
      </vt:variant>
      <vt:variant>
        <vt:i4>0</vt:i4>
      </vt:variant>
      <vt:variant>
        <vt:i4>5</vt:i4>
      </vt:variant>
      <vt:variant>
        <vt:lpwstr/>
      </vt:variant>
      <vt:variant>
        <vt:lpwstr>_Toc307062913</vt:lpwstr>
      </vt:variant>
      <vt:variant>
        <vt:i4>1310779</vt:i4>
      </vt:variant>
      <vt:variant>
        <vt:i4>8</vt:i4>
      </vt:variant>
      <vt:variant>
        <vt:i4>0</vt:i4>
      </vt:variant>
      <vt:variant>
        <vt:i4>5</vt:i4>
      </vt:variant>
      <vt:variant>
        <vt:lpwstr/>
      </vt:variant>
      <vt:variant>
        <vt:lpwstr>_Toc307062912</vt:lpwstr>
      </vt:variant>
      <vt:variant>
        <vt:i4>1310779</vt:i4>
      </vt:variant>
      <vt:variant>
        <vt:i4>2</vt:i4>
      </vt:variant>
      <vt:variant>
        <vt:i4>0</vt:i4>
      </vt:variant>
      <vt:variant>
        <vt:i4>5</vt:i4>
      </vt:variant>
      <vt:variant>
        <vt:lpwstr/>
      </vt:variant>
      <vt:variant>
        <vt:lpwstr>_Toc307062911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Kiribati-Australia Partnership for Development</dc:title>
  <dc:creator>peter.b@zeley.com</dc:creator>
  <cp:lastModifiedBy>Guest</cp:lastModifiedBy>
  <cp:revision>6</cp:revision>
  <cp:lastPrinted>2011-10-24T14:33:00Z</cp:lastPrinted>
  <dcterms:created xsi:type="dcterms:W3CDTF">2013-07-09T14:57:00Z</dcterms:created>
  <dcterms:modified xsi:type="dcterms:W3CDTF">2013-07-10T11:47:00Z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122600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0x01010050F19AC2165D2E47A5E6B7F563E4CF00</vt:lpwstr>
  </property>
  <property fmtid="{D5CDD505-2E9C-101B-9397-08002B2CF9AE}" pid="11" name="PublishingContact">
    <vt:lpwstr/>
  </property>
  <property fmtid="{D5CDD505-2E9C-101B-9397-08002B2CF9AE}" pid="12" name="WCMSPublicationSubCategory">
    <vt:lpwstr/>
  </property>
  <property fmtid="{D5CDD505-2E9C-101B-9397-08002B2CF9AE}" pid="13" name="WCMSIPSSubCategory">
    <vt:lpwstr/>
  </property>
  <property fmtid="{D5CDD505-2E9C-101B-9397-08002B2CF9AE}" pid="14" name="PublishingRollupImage">
    <vt:lpwstr/>
  </property>
  <property fmtid="{D5CDD505-2E9C-101B-9397-08002B2CF9AE}" pid="15" name="AusAIDAggregationLevel">
    <vt:lpwstr/>
  </property>
  <property fmtid="{D5CDD505-2E9C-101B-9397-08002B2CF9AE}" pid="16" name="WCMSStatus">
    <vt:lpwstr/>
  </property>
  <property fmtid="{D5CDD505-2E9C-101B-9397-08002B2CF9AE}" pid="17" name="PublishingContactEmail">
    <vt:lpwstr/>
  </property>
  <property fmtid="{D5CDD505-2E9C-101B-9397-08002B2CF9AE}" pid="18" name="WCMSPrintedMedia">
    <vt:bool>false</vt:bool>
  </property>
  <property fmtid="{D5CDD505-2E9C-101B-9397-08002B2CF9AE}" pid="19" name="WCMSIPSCategory">
    <vt:lpwstr/>
  </property>
  <property fmtid="{D5CDD505-2E9C-101B-9397-08002B2CF9AE}" pid="20" name="RSS Feed Link">
    <vt:lpwstr/>
  </property>
  <property fmtid="{D5CDD505-2E9C-101B-9397-08002B2CF9AE}" pid="21" name="WCMSDocumentLink">
    <vt:lpwstr/>
  </property>
  <property fmtid="{D5CDD505-2E9C-101B-9397-08002B2CF9AE}" pid="22" name="WCMSReportDisclaimer">
    <vt:bool>false</vt:bool>
  </property>
  <property fmtid="{D5CDD505-2E9C-101B-9397-08002B2CF9AE}" pid="23" name="PublishingVariationRelationshipLinkFieldID">
    <vt:lpwstr/>
  </property>
  <property fmtid="{D5CDD505-2E9C-101B-9397-08002B2CF9AE}" pid="24" name="WCMSPublicationCategory">
    <vt:lpwstr/>
  </property>
  <property fmtid="{D5CDD505-2E9C-101B-9397-08002B2CF9AE}" pid="25" name="WCMSElectronicMedia">
    <vt:bool>false</vt:bool>
  </property>
  <property fmtid="{D5CDD505-2E9C-101B-9397-08002B2CF9AE}" pid="26" name="Comments">
    <vt:lpwstr/>
  </property>
  <property fmtid="{D5CDD505-2E9C-101B-9397-08002B2CF9AE}" pid="27" name="PublishingPageLayout">
    <vt:lpwstr/>
  </property>
  <property fmtid="{D5CDD505-2E9C-101B-9397-08002B2CF9AE}" pid="28" name="WCMSCountry">
    <vt:lpwstr/>
  </property>
  <property fmtid="{D5CDD505-2E9C-101B-9397-08002B2CF9AE}" pid="29" name="WCMSSourceId">
    <vt:lpwstr/>
  </property>
  <property fmtid="{D5CDD505-2E9C-101B-9397-08002B2CF9AE}" pid="30" name="WCMSLatest">
    <vt:bool>false</vt:bool>
  </property>
  <property fmtid="{D5CDD505-2E9C-101B-9397-08002B2CF9AE}" pid="31" name="WCMSPublicationFormat">
    <vt:lpwstr/>
  </property>
  <property fmtid="{D5CDD505-2E9C-101B-9397-08002B2CF9AE}" pid="32" name="AusAIDPageSubjectMetadata">
    <vt:lpwstr/>
  </property>
  <property fmtid="{D5CDD505-2E9C-101B-9397-08002B2CF9AE}" pid="33" name="AusAIDCategoryMetadata">
    <vt:lpwstr/>
  </property>
  <property fmtid="{D5CDD505-2E9C-101B-9397-08002B2CF9AE}" pid="34" name="AusAIDDocumentTypeMetaData">
    <vt:lpwstr/>
  </property>
  <property fmtid="{D5CDD505-2E9C-101B-9397-08002B2CF9AE}" pid="35" name="WCMSLanguage">
    <vt:lpwstr/>
  </property>
  <property fmtid="{D5CDD505-2E9C-101B-9397-08002B2CF9AE}" pid="36" name="Audience">
    <vt:lpwstr/>
  </property>
  <property fmtid="{D5CDD505-2E9C-101B-9397-08002B2CF9AE}" pid="37" name="WCMSDescription">
    <vt:lpwstr/>
  </property>
  <property fmtid="{D5CDD505-2E9C-101B-9397-08002B2CF9AE}" pid="39" name="WCMSOtherCategory">
    <vt:lpwstr/>
  </property>
  <property fmtid="{D5CDD505-2E9C-101B-9397-08002B2CF9AE}" pid="40" name="AusAIDPageDescriptionMetadata">
    <vt:lpwstr/>
  </property>
  <property fmtid="{D5CDD505-2E9C-101B-9397-08002B2CF9AE}" pid="41" name="WCMSTheme">
    <vt:lpwstr/>
  </property>
  <property fmtid="{D5CDD505-2E9C-101B-9397-08002B2CF9AE}" pid="42" name="WCMSISBNISSN">
    <vt:lpwstr/>
  </property>
  <property fmtid="{D5CDD505-2E9C-101B-9397-08002B2CF9AE}" pid="43" name="PublishingContactPicture">
    <vt:lpwstr/>
  </property>
  <property fmtid="{D5CDD505-2E9C-101B-9397-08002B2CF9AE}" pid="44" name="PublishingVariationGroupID">
    <vt:lpwstr/>
  </property>
  <property fmtid="{D5CDD505-2E9C-101B-9397-08002B2CF9AE}" pid="45" name="AusAIDIdentifierMetadata">
    <vt:lpwstr/>
  </property>
  <property fmtid="{D5CDD505-2E9C-101B-9397-08002B2CF9AE}" pid="46" name="PublishingContactName">
    <vt:lpwstr/>
  </property>
  <property fmtid="{D5CDD505-2E9C-101B-9397-08002B2CF9AE}" pid="47" name="WCMSRegion">
    <vt:lpwstr/>
  </property>
  <property fmtid="{D5CDD505-2E9C-101B-9397-08002B2CF9AE}" pid="48" name="WCMSPublicationAuthor">
    <vt:lpwstr/>
  </property>
  <property fmtid="{D5CDD505-2E9C-101B-9397-08002B2CF9AE}" pid="49" name="display_urn">
    <vt:lpwstr>System Account</vt:lpwstr>
  </property>
</Properties>
</file>