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C9939" w14:textId="77777777" w:rsidR="00641350" w:rsidRPr="007C0B4F" w:rsidRDefault="00641350" w:rsidP="007E4338"/>
    <w:p w14:paraId="475C993A" w14:textId="77777777" w:rsidR="00F914B5" w:rsidRPr="007C0B4F" w:rsidRDefault="00F914B5">
      <w:pPr>
        <w:rPr>
          <w:rFonts w:asciiTheme="minorHAnsi" w:hAnsiTheme="minorHAnsi" w:cstheme="minorHAnsi"/>
          <w:b/>
          <w:sz w:val="32"/>
          <w:szCs w:val="32"/>
        </w:rPr>
      </w:pPr>
      <w:r w:rsidRPr="007C0B4F">
        <w:rPr>
          <w:rFonts w:asciiTheme="minorHAnsi" w:hAnsiTheme="minorHAnsi" w:cstheme="minorHAnsi"/>
          <w:b/>
          <w:sz w:val="32"/>
          <w:szCs w:val="32"/>
        </w:rPr>
        <w:t>Australia Indonesia Education Innovation Facility</w:t>
      </w:r>
      <w:r w:rsidR="002C2AAB" w:rsidRPr="007C0B4F">
        <w:rPr>
          <w:rFonts w:asciiTheme="minorHAnsi" w:hAnsiTheme="minorHAnsi" w:cstheme="minorHAnsi"/>
          <w:b/>
          <w:sz w:val="32"/>
          <w:szCs w:val="32"/>
        </w:rPr>
        <w:t xml:space="preserve"> (EIF)</w:t>
      </w:r>
    </w:p>
    <w:p w14:paraId="475C993B" w14:textId="77777777" w:rsidR="00681783" w:rsidRPr="007C0B4F" w:rsidRDefault="00681783">
      <w:pPr>
        <w:rPr>
          <w:rFonts w:asciiTheme="minorHAnsi" w:hAnsiTheme="minorHAnsi" w:cstheme="minorHAnsi"/>
          <w:b/>
          <w:sz w:val="96"/>
          <w:szCs w:val="96"/>
        </w:rPr>
      </w:pPr>
    </w:p>
    <w:p w14:paraId="475C993C" w14:textId="77777777" w:rsidR="00F914B5" w:rsidRPr="007C0B4F" w:rsidRDefault="00F914B5">
      <w:pPr>
        <w:rPr>
          <w:rFonts w:asciiTheme="minorHAnsi" w:hAnsiTheme="minorHAnsi" w:cstheme="minorHAnsi"/>
          <w:sz w:val="96"/>
          <w:szCs w:val="96"/>
        </w:rPr>
      </w:pPr>
      <w:r w:rsidRPr="007C0B4F">
        <w:rPr>
          <w:rFonts w:asciiTheme="minorHAnsi" w:hAnsiTheme="minorHAnsi" w:cstheme="minorHAnsi"/>
          <w:b/>
          <w:sz w:val="96"/>
          <w:szCs w:val="96"/>
        </w:rPr>
        <w:t xml:space="preserve">Concept Note </w:t>
      </w:r>
    </w:p>
    <w:p w14:paraId="475C993D" w14:textId="77777777" w:rsidR="00F914B5" w:rsidRPr="007C0B4F" w:rsidRDefault="00F914B5">
      <w:pPr>
        <w:rPr>
          <w:rFonts w:asciiTheme="minorHAnsi" w:hAnsiTheme="minorHAnsi" w:cstheme="minorHAnsi"/>
        </w:rPr>
      </w:pPr>
    </w:p>
    <w:p w14:paraId="475C993E" w14:textId="77777777" w:rsidR="00DC3393" w:rsidRPr="007C0B4F" w:rsidRDefault="00DC3393">
      <w:pPr>
        <w:rPr>
          <w:rFonts w:asciiTheme="minorHAnsi" w:hAnsiTheme="minorHAnsi" w:cstheme="minorHAnsi"/>
        </w:rPr>
      </w:pPr>
    </w:p>
    <w:p w14:paraId="475C993F" w14:textId="77777777" w:rsidR="00F914B5" w:rsidRPr="007C0B4F" w:rsidRDefault="00F914B5">
      <w:pPr>
        <w:rPr>
          <w:rFonts w:asciiTheme="minorHAnsi" w:hAnsiTheme="minorHAnsi" w:cstheme="minorHAnsi"/>
        </w:rPr>
      </w:pPr>
    </w:p>
    <w:p w14:paraId="475C9940" w14:textId="77777777" w:rsidR="00F914B5" w:rsidRPr="007C0B4F" w:rsidRDefault="00F914B5">
      <w:pPr>
        <w:rPr>
          <w:rFonts w:asciiTheme="minorHAnsi" w:hAnsiTheme="minorHAnsi" w:cstheme="minorHAnsi"/>
        </w:rPr>
      </w:pPr>
    </w:p>
    <w:p w14:paraId="475C9941" w14:textId="77777777" w:rsidR="00F914B5" w:rsidRPr="007C0B4F" w:rsidRDefault="00F914B5">
      <w:pPr>
        <w:rPr>
          <w:rFonts w:asciiTheme="minorHAnsi" w:hAnsiTheme="minorHAnsi" w:cstheme="minorHAnsi"/>
        </w:rPr>
      </w:pPr>
    </w:p>
    <w:p w14:paraId="475C9942" w14:textId="77777777" w:rsidR="00F914B5" w:rsidRPr="007C0B4F" w:rsidRDefault="00F914B5">
      <w:pPr>
        <w:rPr>
          <w:rFonts w:asciiTheme="minorHAnsi" w:hAnsiTheme="minorHAnsi" w:cstheme="minorHAnsi"/>
        </w:rPr>
      </w:pPr>
    </w:p>
    <w:p w14:paraId="475C9943" w14:textId="77777777" w:rsidR="00F914B5" w:rsidRPr="007C0B4F" w:rsidRDefault="00F914B5">
      <w:pPr>
        <w:rPr>
          <w:rFonts w:asciiTheme="minorHAnsi" w:hAnsiTheme="minorHAnsi" w:cstheme="minorHAnsi"/>
        </w:rPr>
      </w:pPr>
    </w:p>
    <w:p w14:paraId="475C9944" w14:textId="77777777" w:rsidR="00F914B5" w:rsidRPr="007C0B4F" w:rsidRDefault="00F914B5">
      <w:pPr>
        <w:rPr>
          <w:rFonts w:asciiTheme="minorHAnsi" w:hAnsiTheme="minorHAnsi" w:cstheme="minorHAnsi"/>
        </w:rPr>
      </w:pPr>
    </w:p>
    <w:p w14:paraId="475C9945" w14:textId="77777777" w:rsidR="00F914B5" w:rsidRPr="007C0B4F" w:rsidRDefault="00F914B5">
      <w:pPr>
        <w:rPr>
          <w:rFonts w:asciiTheme="minorHAnsi" w:hAnsiTheme="minorHAnsi" w:cstheme="minorHAnsi"/>
        </w:rPr>
      </w:pPr>
    </w:p>
    <w:p w14:paraId="475C9946" w14:textId="77777777" w:rsidR="00F914B5" w:rsidRPr="007C0B4F" w:rsidRDefault="00F914B5">
      <w:pPr>
        <w:rPr>
          <w:rFonts w:asciiTheme="minorHAnsi" w:hAnsiTheme="minorHAnsi" w:cstheme="minorHAnsi"/>
        </w:rPr>
      </w:pPr>
    </w:p>
    <w:p w14:paraId="475C9947" w14:textId="77777777" w:rsidR="00F914B5" w:rsidRPr="007C0B4F" w:rsidRDefault="00F914B5">
      <w:pPr>
        <w:rPr>
          <w:rFonts w:asciiTheme="minorHAnsi" w:hAnsiTheme="minorHAnsi" w:cstheme="minorHAnsi"/>
        </w:rPr>
      </w:pPr>
    </w:p>
    <w:p w14:paraId="475C9948" w14:textId="77777777" w:rsidR="00F914B5" w:rsidRPr="007C0B4F" w:rsidRDefault="00F914B5">
      <w:pPr>
        <w:rPr>
          <w:rFonts w:asciiTheme="minorHAnsi" w:hAnsiTheme="minorHAnsi" w:cstheme="minorHAnsi"/>
        </w:rPr>
      </w:pPr>
    </w:p>
    <w:p w14:paraId="475C9949" w14:textId="77777777" w:rsidR="00F914B5" w:rsidRPr="007C0B4F" w:rsidRDefault="00F914B5">
      <w:pPr>
        <w:rPr>
          <w:rFonts w:asciiTheme="minorHAnsi" w:hAnsiTheme="minorHAnsi" w:cstheme="minorHAnsi"/>
        </w:rPr>
      </w:pPr>
    </w:p>
    <w:p w14:paraId="475C994A" w14:textId="77777777" w:rsidR="00F914B5" w:rsidRPr="007C0B4F" w:rsidRDefault="00F914B5">
      <w:pPr>
        <w:rPr>
          <w:rFonts w:asciiTheme="minorHAnsi" w:hAnsiTheme="minorHAnsi" w:cstheme="minorHAnsi"/>
        </w:rPr>
      </w:pPr>
    </w:p>
    <w:p w14:paraId="475C994B" w14:textId="77777777" w:rsidR="00F914B5" w:rsidRPr="007C0B4F" w:rsidRDefault="00F914B5">
      <w:pPr>
        <w:rPr>
          <w:rFonts w:asciiTheme="minorHAnsi" w:hAnsiTheme="minorHAnsi" w:cstheme="minorHAnsi"/>
        </w:rPr>
      </w:pPr>
    </w:p>
    <w:p w14:paraId="475C994C" w14:textId="77777777" w:rsidR="00F914B5" w:rsidRPr="007C0B4F" w:rsidRDefault="00F914B5">
      <w:pPr>
        <w:rPr>
          <w:rFonts w:asciiTheme="minorHAnsi" w:hAnsiTheme="minorHAnsi" w:cstheme="minorHAnsi"/>
        </w:rPr>
      </w:pPr>
    </w:p>
    <w:p w14:paraId="475C994D" w14:textId="77777777" w:rsidR="00F914B5" w:rsidRPr="007C0B4F" w:rsidRDefault="00F914B5">
      <w:pPr>
        <w:rPr>
          <w:rFonts w:asciiTheme="minorHAnsi" w:hAnsiTheme="minorHAnsi" w:cstheme="minorHAnsi"/>
          <w:b/>
        </w:rPr>
      </w:pPr>
    </w:p>
    <w:p w14:paraId="475C994E" w14:textId="77777777" w:rsidR="00F914B5" w:rsidRPr="007C0B4F" w:rsidRDefault="00F914B5">
      <w:pPr>
        <w:rPr>
          <w:rFonts w:asciiTheme="minorHAnsi" w:hAnsiTheme="minorHAnsi" w:cstheme="minorHAnsi"/>
          <w:b/>
        </w:rPr>
      </w:pPr>
    </w:p>
    <w:p w14:paraId="475C994F" w14:textId="77777777" w:rsidR="00F914B5" w:rsidRPr="007C0B4F" w:rsidRDefault="00F914B5">
      <w:pPr>
        <w:rPr>
          <w:rFonts w:asciiTheme="minorHAnsi" w:hAnsiTheme="minorHAnsi" w:cstheme="minorHAnsi"/>
          <w:b/>
        </w:rPr>
      </w:pPr>
    </w:p>
    <w:p w14:paraId="475C9950" w14:textId="77777777" w:rsidR="00F914B5" w:rsidRPr="007C0B4F" w:rsidRDefault="00EC25CF">
      <w:pPr>
        <w:rPr>
          <w:b/>
        </w:rPr>
      </w:pPr>
      <w:r w:rsidRPr="007C0B4F">
        <w:rPr>
          <w:rFonts w:asciiTheme="minorHAnsi" w:hAnsiTheme="minorHAnsi" w:cstheme="minorHAnsi"/>
          <w:b/>
          <w:sz w:val="28"/>
          <w:szCs w:val="28"/>
        </w:rPr>
        <w:t>August 7</w:t>
      </w:r>
      <w:r w:rsidR="00681783" w:rsidRPr="007C0B4F">
        <w:rPr>
          <w:rFonts w:asciiTheme="minorHAnsi" w:hAnsiTheme="minorHAnsi" w:cstheme="minorHAnsi"/>
          <w:b/>
          <w:sz w:val="28"/>
          <w:szCs w:val="28"/>
        </w:rPr>
        <w:t>,</w:t>
      </w:r>
      <w:r w:rsidR="0006250D" w:rsidRPr="007C0B4F">
        <w:rPr>
          <w:rFonts w:asciiTheme="minorHAnsi" w:hAnsiTheme="minorHAnsi" w:cstheme="minorHAnsi"/>
          <w:b/>
          <w:sz w:val="28"/>
          <w:szCs w:val="28"/>
        </w:rPr>
        <w:t xml:space="preserve"> 2013</w:t>
      </w:r>
    </w:p>
    <w:p w14:paraId="475C9951" w14:textId="77777777" w:rsidR="00F914B5" w:rsidRPr="007C0B4F" w:rsidRDefault="00F914B5">
      <w:pPr>
        <w:rPr>
          <w:b/>
        </w:rPr>
        <w:sectPr w:rsidR="00F914B5" w:rsidRPr="007C0B4F" w:rsidSect="00E666E7">
          <w:pgSz w:w="11906" w:h="16838"/>
          <w:pgMar w:top="1440" w:right="1440" w:bottom="1440" w:left="1440" w:header="708" w:footer="708" w:gutter="0"/>
          <w:pgBorders w:display="firstPage" w:offsetFrom="page">
            <w:left w:val="thinThickMediumGap" w:sz="24" w:space="24" w:color="auto"/>
          </w:pgBorders>
          <w:cols w:space="708"/>
          <w:docGrid w:linePitch="360"/>
        </w:sectPr>
      </w:pPr>
    </w:p>
    <w:sdt>
      <w:sdtPr>
        <w:rPr>
          <w:rFonts w:ascii="Times New Roman" w:eastAsiaTheme="minorEastAsia" w:hAnsi="Times New Roman" w:cs="Times New Roman"/>
          <w:b w:val="0"/>
          <w:bCs w:val="0"/>
          <w:color w:val="auto"/>
          <w:sz w:val="22"/>
          <w:szCs w:val="24"/>
          <w:lang w:eastAsia="en-US"/>
        </w:rPr>
        <w:id w:val="725813792"/>
        <w:docPartObj>
          <w:docPartGallery w:val="Table of Contents"/>
          <w:docPartUnique/>
        </w:docPartObj>
      </w:sdtPr>
      <w:sdtEndPr>
        <w:rPr>
          <w:noProof/>
        </w:rPr>
      </w:sdtEndPr>
      <w:sdtContent>
        <w:p w14:paraId="475C9952" w14:textId="77777777" w:rsidR="00421AC9" w:rsidRPr="007C0B4F" w:rsidRDefault="00421AC9">
          <w:pPr>
            <w:pStyle w:val="TOCHeading"/>
            <w:rPr>
              <w:color w:val="auto"/>
            </w:rPr>
          </w:pPr>
          <w:r w:rsidRPr="007C0B4F">
            <w:rPr>
              <w:color w:val="auto"/>
            </w:rPr>
            <w:t>Contents</w:t>
          </w:r>
        </w:p>
        <w:p w14:paraId="475C9953" w14:textId="77777777" w:rsidR="00376D5B" w:rsidRDefault="00421AC9">
          <w:pPr>
            <w:pStyle w:val="TOC2"/>
            <w:tabs>
              <w:tab w:val="right" w:leader="dot" w:pos="9016"/>
            </w:tabs>
            <w:rPr>
              <w:rFonts w:cstheme="minorBidi"/>
              <w:smallCaps w:val="0"/>
              <w:noProof/>
              <w:sz w:val="22"/>
              <w:szCs w:val="22"/>
              <w:lang w:val="en-AU" w:eastAsia="en-AU"/>
            </w:rPr>
          </w:pPr>
          <w:r w:rsidRPr="007C0B4F">
            <w:fldChar w:fldCharType="begin"/>
          </w:r>
          <w:r w:rsidRPr="007C0B4F">
            <w:instrText xml:space="preserve"> TOC \o "1-3" \h \z \u </w:instrText>
          </w:r>
          <w:r w:rsidRPr="007C0B4F">
            <w:fldChar w:fldCharType="separate"/>
          </w:r>
          <w:hyperlink w:anchor="_Toc365366021" w:history="1">
            <w:r w:rsidR="00376D5B" w:rsidRPr="00D57794">
              <w:rPr>
                <w:rStyle w:val="Hyperlink"/>
                <w:rFonts w:cstheme="minorHAnsi"/>
                <w:noProof/>
              </w:rPr>
              <w:t>Abbreviations</w:t>
            </w:r>
            <w:r w:rsidR="00376D5B">
              <w:rPr>
                <w:noProof/>
                <w:webHidden/>
              </w:rPr>
              <w:tab/>
            </w:r>
            <w:r w:rsidR="00376D5B">
              <w:rPr>
                <w:noProof/>
                <w:webHidden/>
              </w:rPr>
              <w:fldChar w:fldCharType="begin"/>
            </w:r>
            <w:r w:rsidR="00376D5B">
              <w:rPr>
                <w:noProof/>
                <w:webHidden/>
              </w:rPr>
              <w:instrText xml:space="preserve"> PAGEREF _Toc365366021 \h </w:instrText>
            </w:r>
            <w:r w:rsidR="00376D5B">
              <w:rPr>
                <w:noProof/>
                <w:webHidden/>
              </w:rPr>
            </w:r>
            <w:r w:rsidR="00376D5B">
              <w:rPr>
                <w:noProof/>
                <w:webHidden/>
              </w:rPr>
              <w:fldChar w:fldCharType="separate"/>
            </w:r>
            <w:r w:rsidR="00376D5B">
              <w:rPr>
                <w:noProof/>
                <w:webHidden/>
              </w:rPr>
              <w:t>1</w:t>
            </w:r>
            <w:r w:rsidR="00376D5B">
              <w:rPr>
                <w:noProof/>
                <w:webHidden/>
              </w:rPr>
              <w:fldChar w:fldCharType="end"/>
            </w:r>
          </w:hyperlink>
        </w:p>
        <w:p w14:paraId="475C9954" w14:textId="77777777" w:rsidR="00376D5B" w:rsidRDefault="00FE556F">
          <w:pPr>
            <w:pStyle w:val="TOC1"/>
            <w:rPr>
              <w:rFonts w:cstheme="minorBidi"/>
              <w:b w:val="0"/>
              <w:bCs w:val="0"/>
              <w:caps w:val="0"/>
              <w:noProof/>
              <w:sz w:val="22"/>
              <w:szCs w:val="22"/>
              <w:lang w:val="en-AU" w:eastAsia="en-AU"/>
            </w:rPr>
          </w:pPr>
          <w:hyperlink w:anchor="_Toc365366022" w:history="1">
            <w:r w:rsidR="00376D5B" w:rsidRPr="00D57794">
              <w:rPr>
                <w:rStyle w:val="Hyperlink"/>
                <w:rFonts w:cstheme="minorHAnsi"/>
                <w:noProof/>
              </w:rPr>
              <w:t>1</w:t>
            </w:r>
            <w:r w:rsidR="00376D5B">
              <w:rPr>
                <w:rFonts w:cstheme="minorBidi"/>
                <w:b w:val="0"/>
                <w:bCs w:val="0"/>
                <w:caps w:val="0"/>
                <w:noProof/>
                <w:sz w:val="22"/>
                <w:szCs w:val="22"/>
                <w:lang w:val="en-AU" w:eastAsia="en-AU"/>
              </w:rPr>
              <w:tab/>
            </w:r>
            <w:r w:rsidR="00376D5B" w:rsidRPr="00D57794">
              <w:rPr>
                <w:rStyle w:val="Hyperlink"/>
                <w:rFonts w:cstheme="minorHAnsi"/>
                <w:noProof/>
              </w:rPr>
              <w:t>Situation Analysis – Issue Identification</w:t>
            </w:r>
            <w:r w:rsidR="00376D5B">
              <w:rPr>
                <w:noProof/>
                <w:webHidden/>
              </w:rPr>
              <w:tab/>
            </w:r>
            <w:r w:rsidR="00376D5B">
              <w:rPr>
                <w:noProof/>
                <w:webHidden/>
              </w:rPr>
              <w:fldChar w:fldCharType="begin"/>
            </w:r>
            <w:r w:rsidR="00376D5B">
              <w:rPr>
                <w:noProof/>
                <w:webHidden/>
              </w:rPr>
              <w:instrText xml:space="preserve"> PAGEREF _Toc365366022 \h </w:instrText>
            </w:r>
            <w:r w:rsidR="00376D5B">
              <w:rPr>
                <w:noProof/>
                <w:webHidden/>
              </w:rPr>
            </w:r>
            <w:r w:rsidR="00376D5B">
              <w:rPr>
                <w:noProof/>
                <w:webHidden/>
              </w:rPr>
              <w:fldChar w:fldCharType="separate"/>
            </w:r>
            <w:r w:rsidR="00376D5B">
              <w:rPr>
                <w:noProof/>
                <w:webHidden/>
              </w:rPr>
              <w:t>3</w:t>
            </w:r>
            <w:r w:rsidR="00376D5B">
              <w:rPr>
                <w:noProof/>
                <w:webHidden/>
              </w:rPr>
              <w:fldChar w:fldCharType="end"/>
            </w:r>
          </w:hyperlink>
        </w:p>
        <w:p w14:paraId="475C9955"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23" w:history="1">
            <w:r w:rsidR="00376D5B" w:rsidRPr="00D57794">
              <w:rPr>
                <w:rStyle w:val="Hyperlink"/>
                <w:rFonts w:cstheme="minorHAnsi"/>
                <w:noProof/>
              </w:rPr>
              <w:t>1.1</w:t>
            </w:r>
            <w:r w:rsidR="00376D5B">
              <w:rPr>
                <w:rFonts w:cstheme="minorBidi"/>
                <w:smallCaps w:val="0"/>
                <w:noProof/>
                <w:sz w:val="22"/>
                <w:szCs w:val="22"/>
                <w:lang w:val="en-AU" w:eastAsia="en-AU"/>
              </w:rPr>
              <w:tab/>
            </w:r>
            <w:r w:rsidR="00376D5B" w:rsidRPr="00D57794">
              <w:rPr>
                <w:rStyle w:val="Hyperlink"/>
                <w:rFonts w:cstheme="minorHAnsi"/>
                <w:noProof/>
              </w:rPr>
              <w:t>Sector Context</w:t>
            </w:r>
            <w:r w:rsidR="00376D5B">
              <w:rPr>
                <w:noProof/>
                <w:webHidden/>
              </w:rPr>
              <w:tab/>
            </w:r>
            <w:r w:rsidR="00376D5B">
              <w:rPr>
                <w:noProof/>
                <w:webHidden/>
              </w:rPr>
              <w:fldChar w:fldCharType="begin"/>
            </w:r>
            <w:r w:rsidR="00376D5B">
              <w:rPr>
                <w:noProof/>
                <w:webHidden/>
              </w:rPr>
              <w:instrText xml:space="preserve"> PAGEREF _Toc365366023 \h </w:instrText>
            </w:r>
            <w:r w:rsidR="00376D5B">
              <w:rPr>
                <w:noProof/>
                <w:webHidden/>
              </w:rPr>
            </w:r>
            <w:r w:rsidR="00376D5B">
              <w:rPr>
                <w:noProof/>
                <w:webHidden/>
              </w:rPr>
              <w:fldChar w:fldCharType="separate"/>
            </w:r>
            <w:r w:rsidR="00376D5B">
              <w:rPr>
                <w:noProof/>
                <w:webHidden/>
              </w:rPr>
              <w:t>3</w:t>
            </w:r>
            <w:r w:rsidR="00376D5B">
              <w:rPr>
                <w:noProof/>
                <w:webHidden/>
              </w:rPr>
              <w:fldChar w:fldCharType="end"/>
            </w:r>
          </w:hyperlink>
        </w:p>
        <w:p w14:paraId="475C9956" w14:textId="77777777" w:rsidR="00376D5B" w:rsidRDefault="00FE556F">
          <w:pPr>
            <w:pStyle w:val="TOC3"/>
            <w:tabs>
              <w:tab w:val="right" w:leader="dot" w:pos="9016"/>
            </w:tabs>
            <w:rPr>
              <w:rFonts w:cstheme="minorBidi"/>
              <w:i w:val="0"/>
              <w:iCs w:val="0"/>
              <w:noProof/>
              <w:sz w:val="22"/>
              <w:szCs w:val="22"/>
              <w:lang w:val="en-AU" w:eastAsia="en-AU"/>
            </w:rPr>
          </w:pPr>
          <w:hyperlink w:anchor="_Toc365366024" w:history="1">
            <w:r w:rsidR="00376D5B" w:rsidRPr="00D57794">
              <w:rPr>
                <w:rStyle w:val="Hyperlink"/>
                <w:noProof/>
                <w:lang w:bidi="en-US"/>
              </w:rPr>
              <w:t>Access</w:t>
            </w:r>
            <w:r w:rsidR="00376D5B">
              <w:rPr>
                <w:noProof/>
                <w:webHidden/>
              </w:rPr>
              <w:tab/>
            </w:r>
            <w:r w:rsidR="00376D5B">
              <w:rPr>
                <w:noProof/>
                <w:webHidden/>
              </w:rPr>
              <w:fldChar w:fldCharType="begin"/>
            </w:r>
            <w:r w:rsidR="00376D5B">
              <w:rPr>
                <w:noProof/>
                <w:webHidden/>
              </w:rPr>
              <w:instrText xml:space="preserve"> PAGEREF _Toc365366024 \h </w:instrText>
            </w:r>
            <w:r w:rsidR="00376D5B">
              <w:rPr>
                <w:noProof/>
                <w:webHidden/>
              </w:rPr>
            </w:r>
            <w:r w:rsidR="00376D5B">
              <w:rPr>
                <w:noProof/>
                <w:webHidden/>
              </w:rPr>
              <w:fldChar w:fldCharType="separate"/>
            </w:r>
            <w:r w:rsidR="00376D5B">
              <w:rPr>
                <w:noProof/>
                <w:webHidden/>
              </w:rPr>
              <w:t>3</w:t>
            </w:r>
            <w:r w:rsidR="00376D5B">
              <w:rPr>
                <w:noProof/>
                <w:webHidden/>
              </w:rPr>
              <w:fldChar w:fldCharType="end"/>
            </w:r>
          </w:hyperlink>
        </w:p>
        <w:p w14:paraId="475C9957" w14:textId="77777777" w:rsidR="00376D5B" w:rsidRDefault="00FE556F">
          <w:pPr>
            <w:pStyle w:val="TOC3"/>
            <w:tabs>
              <w:tab w:val="right" w:leader="dot" w:pos="9016"/>
            </w:tabs>
            <w:rPr>
              <w:rFonts w:cstheme="minorBidi"/>
              <w:i w:val="0"/>
              <w:iCs w:val="0"/>
              <w:noProof/>
              <w:sz w:val="22"/>
              <w:szCs w:val="22"/>
              <w:lang w:val="en-AU" w:eastAsia="en-AU"/>
            </w:rPr>
          </w:pPr>
          <w:hyperlink w:anchor="_Toc365366025" w:history="1">
            <w:r w:rsidR="00376D5B" w:rsidRPr="00D57794">
              <w:rPr>
                <w:rStyle w:val="Hyperlink"/>
                <w:noProof/>
                <w:lang w:bidi="en-US"/>
              </w:rPr>
              <w:t>Quality</w:t>
            </w:r>
            <w:r w:rsidR="00376D5B">
              <w:rPr>
                <w:noProof/>
                <w:webHidden/>
              </w:rPr>
              <w:tab/>
            </w:r>
            <w:r w:rsidR="00376D5B">
              <w:rPr>
                <w:noProof/>
                <w:webHidden/>
              </w:rPr>
              <w:fldChar w:fldCharType="begin"/>
            </w:r>
            <w:r w:rsidR="00376D5B">
              <w:rPr>
                <w:noProof/>
                <w:webHidden/>
              </w:rPr>
              <w:instrText xml:space="preserve"> PAGEREF _Toc365366025 \h </w:instrText>
            </w:r>
            <w:r w:rsidR="00376D5B">
              <w:rPr>
                <w:noProof/>
                <w:webHidden/>
              </w:rPr>
            </w:r>
            <w:r w:rsidR="00376D5B">
              <w:rPr>
                <w:noProof/>
                <w:webHidden/>
              </w:rPr>
              <w:fldChar w:fldCharType="separate"/>
            </w:r>
            <w:r w:rsidR="00376D5B">
              <w:rPr>
                <w:noProof/>
                <w:webHidden/>
              </w:rPr>
              <w:t>3</w:t>
            </w:r>
            <w:r w:rsidR="00376D5B">
              <w:rPr>
                <w:noProof/>
                <w:webHidden/>
              </w:rPr>
              <w:fldChar w:fldCharType="end"/>
            </w:r>
          </w:hyperlink>
        </w:p>
        <w:p w14:paraId="475C9958" w14:textId="77777777" w:rsidR="00376D5B" w:rsidRDefault="00FE556F">
          <w:pPr>
            <w:pStyle w:val="TOC3"/>
            <w:tabs>
              <w:tab w:val="right" w:leader="dot" w:pos="9016"/>
            </w:tabs>
            <w:rPr>
              <w:rFonts w:cstheme="minorBidi"/>
              <w:i w:val="0"/>
              <w:iCs w:val="0"/>
              <w:noProof/>
              <w:sz w:val="22"/>
              <w:szCs w:val="22"/>
              <w:lang w:val="en-AU" w:eastAsia="en-AU"/>
            </w:rPr>
          </w:pPr>
          <w:hyperlink w:anchor="_Toc365366026" w:history="1">
            <w:r w:rsidR="00376D5B" w:rsidRPr="00D57794">
              <w:rPr>
                <w:rStyle w:val="Hyperlink"/>
                <w:noProof/>
                <w:lang w:bidi="en-US"/>
              </w:rPr>
              <w:t>Financing and Governance</w:t>
            </w:r>
            <w:r w:rsidR="00376D5B">
              <w:rPr>
                <w:noProof/>
                <w:webHidden/>
              </w:rPr>
              <w:tab/>
            </w:r>
            <w:r w:rsidR="00376D5B">
              <w:rPr>
                <w:noProof/>
                <w:webHidden/>
              </w:rPr>
              <w:fldChar w:fldCharType="begin"/>
            </w:r>
            <w:r w:rsidR="00376D5B">
              <w:rPr>
                <w:noProof/>
                <w:webHidden/>
              </w:rPr>
              <w:instrText xml:space="preserve"> PAGEREF _Toc365366026 \h </w:instrText>
            </w:r>
            <w:r w:rsidR="00376D5B">
              <w:rPr>
                <w:noProof/>
                <w:webHidden/>
              </w:rPr>
            </w:r>
            <w:r w:rsidR="00376D5B">
              <w:rPr>
                <w:noProof/>
                <w:webHidden/>
              </w:rPr>
              <w:fldChar w:fldCharType="separate"/>
            </w:r>
            <w:r w:rsidR="00376D5B">
              <w:rPr>
                <w:noProof/>
                <w:webHidden/>
              </w:rPr>
              <w:t>4</w:t>
            </w:r>
            <w:r w:rsidR="00376D5B">
              <w:rPr>
                <w:noProof/>
                <w:webHidden/>
              </w:rPr>
              <w:fldChar w:fldCharType="end"/>
            </w:r>
          </w:hyperlink>
        </w:p>
        <w:p w14:paraId="475C9959"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27" w:history="1">
            <w:r w:rsidR="00376D5B" w:rsidRPr="00D57794">
              <w:rPr>
                <w:rStyle w:val="Hyperlink"/>
                <w:rFonts w:cstheme="minorHAnsi"/>
                <w:noProof/>
              </w:rPr>
              <w:t>1.2</w:t>
            </w:r>
            <w:r w:rsidR="00376D5B">
              <w:rPr>
                <w:rFonts w:cstheme="minorBidi"/>
                <w:smallCaps w:val="0"/>
                <w:noProof/>
                <w:sz w:val="22"/>
                <w:szCs w:val="22"/>
                <w:lang w:val="en-AU" w:eastAsia="en-AU"/>
              </w:rPr>
              <w:tab/>
            </w:r>
            <w:r w:rsidR="00376D5B" w:rsidRPr="00D57794">
              <w:rPr>
                <w:rStyle w:val="Hyperlink"/>
                <w:rFonts w:cstheme="minorHAnsi"/>
                <w:noProof/>
              </w:rPr>
              <w:t>Th</w:t>
            </w:r>
            <w:r w:rsidR="00376D5B" w:rsidRPr="00D57794">
              <w:rPr>
                <w:rStyle w:val="Hyperlink"/>
                <w:rFonts w:cstheme="minorHAnsi"/>
                <w:noProof/>
                <w:lang w:val="en-AU"/>
              </w:rPr>
              <w:t>e Reform Agenda</w:t>
            </w:r>
            <w:r w:rsidR="00376D5B">
              <w:rPr>
                <w:noProof/>
                <w:webHidden/>
              </w:rPr>
              <w:tab/>
            </w:r>
            <w:r w:rsidR="00376D5B">
              <w:rPr>
                <w:noProof/>
                <w:webHidden/>
              </w:rPr>
              <w:fldChar w:fldCharType="begin"/>
            </w:r>
            <w:r w:rsidR="00376D5B">
              <w:rPr>
                <w:noProof/>
                <w:webHidden/>
              </w:rPr>
              <w:instrText xml:space="preserve"> PAGEREF _Toc365366027 \h </w:instrText>
            </w:r>
            <w:r w:rsidR="00376D5B">
              <w:rPr>
                <w:noProof/>
                <w:webHidden/>
              </w:rPr>
            </w:r>
            <w:r w:rsidR="00376D5B">
              <w:rPr>
                <w:noProof/>
                <w:webHidden/>
              </w:rPr>
              <w:fldChar w:fldCharType="separate"/>
            </w:r>
            <w:r w:rsidR="00376D5B">
              <w:rPr>
                <w:noProof/>
                <w:webHidden/>
              </w:rPr>
              <w:t>4</w:t>
            </w:r>
            <w:r w:rsidR="00376D5B">
              <w:rPr>
                <w:noProof/>
                <w:webHidden/>
              </w:rPr>
              <w:fldChar w:fldCharType="end"/>
            </w:r>
          </w:hyperlink>
        </w:p>
        <w:p w14:paraId="475C995A"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28" w:history="1">
            <w:r w:rsidR="00376D5B" w:rsidRPr="00D57794">
              <w:rPr>
                <w:rStyle w:val="Hyperlink"/>
                <w:rFonts w:cstheme="minorHAnsi"/>
                <w:noProof/>
              </w:rPr>
              <w:t>1.3</w:t>
            </w:r>
            <w:r w:rsidR="00376D5B">
              <w:rPr>
                <w:rFonts w:cstheme="minorBidi"/>
                <w:smallCaps w:val="0"/>
                <w:noProof/>
                <w:sz w:val="22"/>
                <w:szCs w:val="22"/>
                <w:lang w:val="en-AU" w:eastAsia="en-AU"/>
              </w:rPr>
              <w:tab/>
            </w:r>
            <w:r w:rsidR="00376D5B" w:rsidRPr="00D57794">
              <w:rPr>
                <w:rStyle w:val="Hyperlink"/>
                <w:rFonts w:cstheme="minorHAnsi"/>
                <w:noProof/>
              </w:rPr>
              <w:t>The evolving role of AusAID</w:t>
            </w:r>
            <w:r w:rsidR="00376D5B">
              <w:rPr>
                <w:noProof/>
                <w:webHidden/>
              </w:rPr>
              <w:tab/>
            </w:r>
            <w:r w:rsidR="00376D5B">
              <w:rPr>
                <w:noProof/>
                <w:webHidden/>
              </w:rPr>
              <w:fldChar w:fldCharType="begin"/>
            </w:r>
            <w:r w:rsidR="00376D5B">
              <w:rPr>
                <w:noProof/>
                <w:webHidden/>
              </w:rPr>
              <w:instrText xml:space="preserve"> PAGEREF _Toc365366028 \h </w:instrText>
            </w:r>
            <w:r w:rsidR="00376D5B">
              <w:rPr>
                <w:noProof/>
                <w:webHidden/>
              </w:rPr>
            </w:r>
            <w:r w:rsidR="00376D5B">
              <w:rPr>
                <w:noProof/>
                <w:webHidden/>
              </w:rPr>
              <w:fldChar w:fldCharType="separate"/>
            </w:r>
            <w:r w:rsidR="00376D5B">
              <w:rPr>
                <w:noProof/>
                <w:webHidden/>
              </w:rPr>
              <w:t>5</w:t>
            </w:r>
            <w:r w:rsidR="00376D5B">
              <w:rPr>
                <w:noProof/>
                <w:webHidden/>
              </w:rPr>
              <w:fldChar w:fldCharType="end"/>
            </w:r>
          </w:hyperlink>
        </w:p>
        <w:p w14:paraId="475C995B" w14:textId="77777777" w:rsidR="00376D5B" w:rsidRDefault="00FE556F">
          <w:pPr>
            <w:pStyle w:val="TOC1"/>
            <w:rPr>
              <w:rFonts w:cstheme="minorBidi"/>
              <w:b w:val="0"/>
              <w:bCs w:val="0"/>
              <w:caps w:val="0"/>
              <w:noProof/>
              <w:sz w:val="22"/>
              <w:szCs w:val="22"/>
              <w:lang w:val="en-AU" w:eastAsia="en-AU"/>
            </w:rPr>
          </w:pPr>
          <w:hyperlink w:anchor="_Toc365366029" w:history="1">
            <w:r w:rsidR="00376D5B" w:rsidRPr="00D57794">
              <w:rPr>
                <w:rStyle w:val="Hyperlink"/>
                <w:rFonts w:cstheme="minorHAnsi"/>
                <w:noProof/>
              </w:rPr>
              <w:t>2</w:t>
            </w:r>
            <w:r w:rsidR="00376D5B">
              <w:rPr>
                <w:rFonts w:cstheme="minorBidi"/>
                <w:b w:val="0"/>
                <w:bCs w:val="0"/>
                <w:caps w:val="0"/>
                <w:noProof/>
                <w:sz w:val="22"/>
                <w:szCs w:val="22"/>
                <w:lang w:val="en-AU" w:eastAsia="en-AU"/>
              </w:rPr>
              <w:tab/>
            </w:r>
            <w:r w:rsidR="00376D5B" w:rsidRPr="00D57794">
              <w:rPr>
                <w:rStyle w:val="Hyperlink"/>
                <w:rFonts w:cstheme="minorHAnsi"/>
                <w:noProof/>
                <w:lang w:val="en-AU"/>
              </w:rPr>
              <w:t xml:space="preserve">The </w:t>
            </w:r>
            <w:r w:rsidR="00376D5B" w:rsidRPr="00D57794">
              <w:rPr>
                <w:rStyle w:val="Hyperlink"/>
                <w:rFonts w:cstheme="minorHAnsi"/>
                <w:noProof/>
              </w:rPr>
              <w:t>Rationale for an</w:t>
            </w:r>
            <w:r w:rsidR="00376D5B" w:rsidRPr="00D57794">
              <w:rPr>
                <w:rStyle w:val="Hyperlink"/>
                <w:rFonts w:cstheme="minorHAnsi"/>
                <w:noProof/>
                <w:lang w:val="en-AU"/>
              </w:rPr>
              <w:t xml:space="preserve"> Innovation Facility</w:t>
            </w:r>
            <w:r w:rsidR="00376D5B">
              <w:rPr>
                <w:noProof/>
                <w:webHidden/>
              </w:rPr>
              <w:tab/>
            </w:r>
            <w:r w:rsidR="00376D5B">
              <w:rPr>
                <w:noProof/>
                <w:webHidden/>
              </w:rPr>
              <w:fldChar w:fldCharType="begin"/>
            </w:r>
            <w:r w:rsidR="00376D5B">
              <w:rPr>
                <w:noProof/>
                <w:webHidden/>
              </w:rPr>
              <w:instrText xml:space="preserve"> PAGEREF _Toc365366029 \h </w:instrText>
            </w:r>
            <w:r w:rsidR="00376D5B">
              <w:rPr>
                <w:noProof/>
                <w:webHidden/>
              </w:rPr>
            </w:r>
            <w:r w:rsidR="00376D5B">
              <w:rPr>
                <w:noProof/>
                <w:webHidden/>
              </w:rPr>
              <w:fldChar w:fldCharType="separate"/>
            </w:r>
            <w:r w:rsidR="00376D5B">
              <w:rPr>
                <w:noProof/>
                <w:webHidden/>
              </w:rPr>
              <w:t>5</w:t>
            </w:r>
            <w:r w:rsidR="00376D5B">
              <w:rPr>
                <w:noProof/>
                <w:webHidden/>
              </w:rPr>
              <w:fldChar w:fldCharType="end"/>
            </w:r>
          </w:hyperlink>
        </w:p>
        <w:p w14:paraId="475C995C"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30" w:history="1">
            <w:r w:rsidR="00376D5B" w:rsidRPr="00D57794">
              <w:rPr>
                <w:rStyle w:val="Hyperlink"/>
                <w:rFonts w:cstheme="minorHAnsi"/>
                <w:noProof/>
              </w:rPr>
              <w:t>2.1</w:t>
            </w:r>
            <w:r w:rsidR="00376D5B">
              <w:rPr>
                <w:rFonts w:cstheme="minorBidi"/>
                <w:smallCaps w:val="0"/>
                <w:noProof/>
                <w:sz w:val="22"/>
                <w:szCs w:val="22"/>
                <w:lang w:val="en-AU" w:eastAsia="en-AU"/>
              </w:rPr>
              <w:tab/>
            </w:r>
            <w:r w:rsidR="00376D5B" w:rsidRPr="00D57794">
              <w:rPr>
                <w:rStyle w:val="Hyperlink"/>
                <w:rFonts w:cstheme="minorHAnsi"/>
                <w:noProof/>
                <w:lang w:val="en-AU"/>
              </w:rPr>
              <w:t>The drivers</w:t>
            </w:r>
            <w:r w:rsidR="00376D5B">
              <w:rPr>
                <w:noProof/>
                <w:webHidden/>
              </w:rPr>
              <w:tab/>
            </w:r>
            <w:r w:rsidR="00376D5B">
              <w:rPr>
                <w:noProof/>
                <w:webHidden/>
              </w:rPr>
              <w:fldChar w:fldCharType="begin"/>
            </w:r>
            <w:r w:rsidR="00376D5B">
              <w:rPr>
                <w:noProof/>
                <w:webHidden/>
              </w:rPr>
              <w:instrText xml:space="preserve"> PAGEREF _Toc365366030 \h </w:instrText>
            </w:r>
            <w:r w:rsidR="00376D5B">
              <w:rPr>
                <w:noProof/>
                <w:webHidden/>
              </w:rPr>
            </w:r>
            <w:r w:rsidR="00376D5B">
              <w:rPr>
                <w:noProof/>
                <w:webHidden/>
              </w:rPr>
              <w:fldChar w:fldCharType="separate"/>
            </w:r>
            <w:r w:rsidR="00376D5B">
              <w:rPr>
                <w:noProof/>
                <w:webHidden/>
              </w:rPr>
              <w:t>5</w:t>
            </w:r>
            <w:r w:rsidR="00376D5B">
              <w:rPr>
                <w:noProof/>
                <w:webHidden/>
              </w:rPr>
              <w:fldChar w:fldCharType="end"/>
            </w:r>
          </w:hyperlink>
        </w:p>
        <w:p w14:paraId="475C995D"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31" w:history="1">
            <w:r w:rsidR="00376D5B" w:rsidRPr="00D57794">
              <w:rPr>
                <w:rStyle w:val="Hyperlink"/>
                <w:noProof/>
              </w:rPr>
              <w:t>2.2</w:t>
            </w:r>
            <w:r w:rsidR="00376D5B">
              <w:rPr>
                <w:rFonts w:cstheme="minorBidi"/>
                <w:smallCaps w:val="0"/>
                <w:noProof/>
                <w:sz w:val="22"/>
                <w:szCs w:val="22"/>
                <w:lang w:val="en-AU" w:eastAsia="en-AU"/>
              </w:rPr>
              <w:tab/>
            </w:r>
            <w:r w:rsidR="00376D5B" w:rsidRPr="00D57794">
              <w:rPr>
                <w:rStyle w:val="Hyperlink"/>
                <w:noProof/>
              </w:rPr>
              <w:t xml:space="preserve">Intended </w:t>
            </w:r>
            <w:r w:rsidR="00376D5B" w:rsidRPr="00D57794">
              <w:rPr>
                <w:rStyle w:val="Hyperlink"/>
                <w:noProof/>
                <w:lang w:val="en-AU"/>
              </w:rPr>
              <w:t>f</w:t>
            </w:r>
            <w:r w:rsidR="00376D5B" w:rsidRPr="00D57794">
              <w:rPr>
                <w:rStyle w:val="Hyperlink"/>
                <w:noProof/>
              </w:rPr>
              <w:t xml:space="preserve">ocus: </w:t>
            </w:r>
            <w:r w:rsidR="00376D5B" w:rsidRPr="00D57794">
              <w:rPr>
                <w:rStyle w:val="Hyperlink"/>
                <w:noProof/>
                <w:lang w:val="en-AU"/>
              </w:rPr>
              <w:t>o</w:t>
            </w:r>
            <w:r w:rsidR="00376D5B" w:rsidRPr="00D57794">
              <w:rPr>
                <w:rStyle w:val="Hyperlink"/>
                <w:noProof/>
              </w:rPr>
              <w:t xml:space="preserve">bjectives and </w:t>
            </w:r>
            <w:r w:rsidR="00376D5B" w:rsidRPr="00D57794">
              <w:rPr>
                <w:rStyle w:val="Hyperlink"/>
                <w:noProof/>
                <w:lang w:val="en-AU"/>
              </w:rPr>
              <w:t>o</w:t>
            </w:r>
            <w:r w:rsidR="00376D5B" w:rsidRPr="00D57794">
              <w:rPr>
                <w:rStyle w:val="Hyperlink"/>
                <w:noProof/>
              </w:rPr>
              <w:t>utcomes</w:t>
            </w:r>
            <w:r w:rsidR="00376D5B">
              <w:rPr>
                <w:noProof/>
                <w:webHidden/>
              </w:rPr>
              <w:tab/>
            </w:r>
            <w:r w:rsidR="00376D5B">
              <w:rPr>
                <w:noProof/>
                <w:webHidden/>
              </w:rPr>
              <w:fldChar w:fldCharType="begin"/>
            </w:r>
            <w:r w:rsidR="00376D5B">
              <w:rPr>
                <w:noProof/>
                <w:webHidden/>
              </w:rPr>
              <w:instrText xml:space="preserve"> PAGEREF _Toc365366031 \h </w:instrText>
            </w:r>
            <w:r w:rsidR="00376D5B">
              <w:rPr>
                <w:noProof/>
                <w:webHidden/>
              </w:rPr>
            </w:r>
            <w:r w:rsidR="00376D5B">
              <w:rPr>
                <w:noProof/>
                <w:webHidden/>
              </w:rPr>
              <w:fldChar w:fldCharType="separate"/>
            </w:r>
            <w:r w:rsidR="00376D5B">
              <w:rPr>
                <w:noProof/>
                <w:webHidden/>
              </w:rPr>
              <w:t>6</w:t>
            </w:r>
            <w:r w:rsidR="00376D5B">
              <w:rPr>
                <w:noProof/>
                <w:webHidden/>
              </w:rPr>
              <w:fldChar w:fldCharType="end"/>
            </w:r>
          </w:hyperlink>
        </w:p>
        <w:p w14:paraId="475C995E"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32" w:history="1">
            <w:r w:rsidR="00376D5B" w:rsidRPr="00D57794">
              <w:rPr>
                <w:rStyle w:val="Hyperlink"/>
                <w:noProof/>
              </w:rPr>
              <w:t>2.3</w:t>
            </w:r>
            <w:r w:rsidR="00376D5B">
              <w:rPr>
                <w:rFonts w:cstheme="minorBidi"/>
                <w:smallCaps w:val="0"/>
                <w:noProof/>
                <w:sz w:val="22"/>
                <w:szCs w:val="22"/>
                <w:lang w:val="en-AU" w:eastAsia="en-AU"/>
              </w:rPr>
              <w:tab/>
            </w:r>
            <w:r w:rsidR="00376D5B" w:rsidRPr="00D57794">
              <w:rPr>
                <w:rStyle w:val="Hyperlink"/>
                <w:noProof/>
              </w:rPr>
              <w:t xml:space="preserve">The proposed </w:t>
            </w:r>
            <w:r w:rsidR="00376D5B" w:rsidRPr="00D57794">
              <w:rPr>
                <w:rStyle w:val="Hyperlink"/>
                <w:noProof/>
                <w:lang w:val="en-AU"/>
              </w:rPr>
              <w:t>r</w:t>
            </w:r>
            <w:r w:rsidR="00376D5B" w:rsidRPr="00D57794">
              <w:rPr>
                <w:rStyle w:val="Hyperlink"/>
                <w:noProof/>
              </w:rPr>
              <w:t xml:space="preserve">esearch </w:t>
            </w:r>
            <w:r w:rsidR="00376D5B" w:rsidRPr="00D57794">
              <w:rPr>
                <w:rStyle w:val="Hyperlink"/>
                <w:noProof/>
                <w:lang w:val="en-AU"/>
              </w:rPr>
              <w:t>p</w:t>
            </w:r>
            <w:r w:rsidR="00376D5B" w:rsidRPr="00D57794">
              <w:rPr>
                <w:rStyle w:val="Hyperlink"/>
                <w:noProof/>
              </w:rPr>
              <w:t>rocess</w:t>
            </w:r>
            <w:r w:rsidR="00376D5B">
              <w:rPr>
                <w:noProof/>
                <w:webHidden/>
              </w:rPr>
              <w:tab/>
            </w:r>
            <w:r w:rsidR="00376D5B">
              <w:rPr>
                <w:noProof/>
                <w:webHidden/>
              </w:rPr>
              <w:fldChar w:fldCharType="begin"/>
            </w:r>
            <w:r w:rsidR="00376D5B">
              <w:rPr>
                <w:noProof/>
                <w:webHidden/>
              </w:rPr>
              <w:instrText xml:space="preserve"> PAGEREF _Toc365366032 \h </w:instrText>
            </w:r>
            <w:r w:rsidR="00376D5B">
              <w:rPr>
                <w:noProof/>
                <w:webHidden/>
              </w:rPr>
            </w:r>
            <w:r w:rsidR="00376D5B">
              <w:rPr>
                <w:noProof/>
                <w:webHidden/>
              </w:rPr>
              <w:fldChar w:fldCharType="separate"/>
            </w:r>
            <w:r w:rsidR="00376D5B">
              <w:rPr>
                <w:noProof/>
                <w:webHidden/>
              </w:rPr>
              <w:t>7</w:t>
            </w:r>
            <w:r w:rsidR="00376D5B">
              <w:rPr>
                <w:noProof/>
                <w:webHidden/>
              </w:rPr>
              <w:fldChar w:fldCharType="end"/>
            </w:r>
          </w:hyperlink>
        </w:p>
        <w:p w14:paraId="475C995F"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33" w:history="1">
            <w:r w:rsidR="00376D5B" w:rsidRPr="00D57794">
              <w:rPr>
                <w:rStyle w:val="Hyperlink"/>
                <w:noProof/>
              </w:rPr>
              <w:t>2.4</w:t>
            </w:r>
            <w:r w:rsidR="00376D5B">
              <w:rPr>
                <w:rFonts w:cstheme="minorBidi"/>
                <w:smallCaps w:val="0"/>
                <w:noProof/>
                <w:sz w:val="22"/>
                <w:szCs w:val="22"/>
                <w:lang w:val="en-AU" w:eastAsia="en-AU"/>
              </w:rPr>
              <w:tab/>
            </w:r>
            <w:r w:rsidR="00376D5B" w:rsidRPr="00D57794">
              <w:rPr>
                <w:rStyle w:val="Hyperlink"/>
                <w:noProof/>
              </w:rPr>
              <w:t>Who the Facility would benefit: stakeholders and beneficiaries</w:t>
            </w:r>
            <w:r w:rsidR="00376D5B">
              <w:rPr>
                <w:noProof/>
                <w:webHidden/>
              </w:rPr>
              <w:tab/>
            </w:r>
            <w:r w:rsidR="00376D5B">
              <w:rPr>
                <w:noProof/>
                <w:webHidden/>
              </w:rPr>
              <w:fldChar w:fldCharType="begin"/>
            </w:r>
            <w:r w:rsidR="00376D5B">
              <w:rPr>
                <w:noProof/>
                <w:webHidden/>
              </w:rPr>
              <w:instrText xml:space="preserve"> PAGEREF _Toc365366033 \h </w:instrText>
            </w:r>
            <w:r w:rsidR="00376D5B">
              <w:rPr>
                <w:noProof/>
                <w:webHidden/>
              </w:rPr>
            </w:r>
            <w:r w:rsidR="00376D5B">
              <w:rPr>
                <w:noProof/>
                <w:webHidden/>
              </w:rPr>
              <w:fldChar w:fldCharType="separate"/>
            </w:r>
            <w:r w:rsidR="00376D5B">
              <w:rPr>
                <w:noProof/>
                <w:webHidden/>
              </w:rPr>
              <w:t>8</w:t>
            </w:r>
            <w:r w:rsidR="00376D5B">
              <w:rPr>
                <w:noProof/>
                <w:webHidden/>
              </w:rPr>
              <w:fldChar w:fldCharType="end"/>
            </w:r>
          </w:hyperlink>
        </w:p>
        <w:p w14:paraId="475C9960"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34" w:history="1">
            <w:r w:rsidR="00376D5B" w:rsidRPr="00D57794">
              <w:rPr>
                <w:rStyle w:val="Hyperlink"/>
                <w:noProof/>
                <w:lang w:val="en-AU"/>
              </w:rPr>
              <w:t>2.5</w:t>
            </w:r>
            <w:r w:rsidR="00376D5B">
              <w:rPr>
                <w:rFonts w:cstheme="minorBidi"/>
                <w:smallCaps w:val="0"/>
                <w:noProof/>
                <w:sz w:val="22"/>
                <w:szCs w:val="22"/>
                <w:lang w:val="en-AU" w:eastAsia="en-AU"/>
              </w:rPr>
              <w:tab/>
            </w:r>
            <w:r w:rsidR="00376D5B" w:rsidRPr="00D57794">
              <w:rPr>
                <w:rStyle w:val="Hyperlink"/>
                <w:noProof/>
                <w:lang w:val="en-AU"/>
              </w:rPr>
              <w:t>What the Facility would cost</w:t>
            </w:r>
            <w:r w:rsidR="00376D5B">
              <w:rPr>
                <w:noProof/>
                <w:webHidden/>
              </w:rPr>
              <w:tab/>
            </w:r>
            <w:r w:rsidR="00376D5B">
              <w:rPr>
                <w:noProof/>
                <w:webHidden/>
              </w:rPr>
              <w:fldChar w:fldCharType="begin"/>
            </w:r>
            <w:r w:rsidR="00376D5B">
              <w:rPr>
                <w:noProof/>
                <w:webHidden/>
              </w:rPr>
              <w:instrText xml:space="preserve"> PAGEREF _Toc365366034 \h </w:instrText>
            </w:r>
            <w:r w:rsidR="00376D5B">
              <w:rPr>
                <w:noProof/>
                <w:webHidden/>
              </w:rPr>
            </w:r>
            <w:r w:rsidR="00376D5B">
              <w:rPr>
                <w:noProof/>
                <w:webHidden/>
              </w:rPr>
              <w:fldChar w:fldCharType="separate"/>
            </w:r>
            <w:r w:rsidR="00376D5B">
              <w:rPr>
                <w:noProof/>
                <w:webHidden/>
              </w:rPr>
              <w:t>9</w:t>
            </w:r>
            <w:r w:rsidR="00376D5B">
              <w:rPr>
                <w:noProof/>
                <w:webHidden/>
              </w:rPr>
              <w:fldChar w:fldCharType="end"/>
            </w:r>
          </w:hyperlink>
        </w:p>
        <w:p w14:paraId="475C9961"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35" w:history="1">
            <w:r w:rsidR="00376D5B" w:rsidRPr="00D57794">
              <w:rPr>
                <w:rStyle w:val="Hyperlink"/>
                <w:noProof/>
              </w:rPr>
              <w:t>2.6</w:t>
            </w:r>
            <w:r w:rsidR="00376D5B">
              <w:rPr>
                <w:rFonts w:cstheme="minorBidi"/>
                <w:smallCaps w:val="0"/>
                <w:noProof/>
                <w:sz w:val="22"/>
                <w:szCs w:val="22"/>
                <w:lang w:val="en-AU" w:eastAsia="en-AU"/>
              </w:rPr>
              <w:tab/>
            </w:r>
            <w:r w:rsidR="00376D5B" w:rsidRPr="00D57794">
              <w:rPr>
                <w:rStyle w:val="Hyperlink"/>
                <w:noProof/>
              </w:rPr>
              <w:t>How the Facility would function</w:t>
            </w:r>
            <w:r w:rsidR="00376D5B">
              <w:rPr>
                <w:noProof/>
                <w:webHidden/>
              </w:rPr>
              <w:tab/>
            </w:r>
            <w:r w:rsidR="00376D5B">
              <w:rPr>
                <w:noProof/>
                <w:webHidden/>
              </w:rPr>
              <w:fldChar w:fldCharType="begin"/>
            </w:r>
            <w:r w:rsidR="00376D5B">
              <w:rPr>
                <w:noProof/>
                <w:webHidden/>
              </w:rPr>
              <w:instrText xml:space="preserve"> PAGEREF _Toc365366035 \h </w:instrText>
            </w:r>
            <w:r w:rsidR="00376D5B">
              <w:rPr>
                <w:noProof/>
                <w:webHidden/>
              </w:rPr>
            </w:r>
            <w:r w:rsidR="00376D5B">
              <w:rPr>
                <w:noProof/>
                <w:webHidden/>
              </w:rPr>
              <w:fldChar w:fldCharType="separate"/>
            </w:r>
            <w:r w:rsidR="00376D5B">
              <w:rPr>
                <w:noProof/>
                <w:webHidden/>
              </w:rPr>
              <w:t>9</w:t>
            </w:r>
            <w:r w:rsidR="00376D5B">
              <w:rPr>
                <w:noProof/>
                <w:webHidden/>
              </w:rPr>
              <w:fldChar w:fldCharType="end"/>
            </w:r>
          </w:hyperlink>
        </w:p>
        <w:p w14:paraId="475C9962"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36" w:history="1">
            <w:r w:rsidR="00376D5B" w:rsidRPr="00D57794">
              <w:rPr>
                <w:rStyle w:val="Hyperlink"/>
                <w:noProof/>
              </w:rPr>
              <w:t>2.7</w:t>
            </w:r>
            <w:r w:rsidR="00376D5B">
              <w:rPr>
                <w:rFonts w:cstheme="minorBidi"/>
                <w:smallCaps w:val="0"/>
                <w:noProof/>
                <w:sz w:val="22"/>
                <w:szCs w:val="22"/>
                <w:lang w:val="en-AU" w:eastAsia="en-AU"/>
              </w:rPr>
              <w:tab/>
            </w:r>
            <w:r w:rsidR="00376D5B" w:rsidRPr="00D57794">
              <w:rPr>
                <w:rStyle w:val="Hyperlink"/>
                <w:noProof/>
              </w:rPr>
              <w:t xml:space="preserve">What </w:t>
            </w:r>
            <w:r w:rsidR="00376D5B" w:rsidRPr="00D57794">
              <w:rPr>
                <w:rStyle w:val="Hyperlink"/>
                <w:noProof/>
                <w:lang w:val="en-AU"/>
              </w:rPr>
              <w:t xml:space="preserve">will </w:t>
            </w:r>
            <w:r w:rsidR="00376D5B" w:rsidRPr="00D57794">
              <w:rPr>
                <w:rStyle w:val="Hyperlink"/>
                <w:noProof/>
              </w:rPr>
              <w:t>success look like</w:t>
            </w:r>
            <w:r w:rsidR="00376D5B" w:rsidRPr="00D57794">
              <w:rPr>
                <w:rStyle w:val="Hyperlink"/>
                <w:noProof/>
                <w:lang w:val="en-AU"/>
              </w:rPr>
              <w:t>?</w:t>
            </w:r>
            <w:r w:rsidR="00376D5B">
              <w:rPr>
                <w:noProof/>
                <w:webHidden/>
              </w:rPr>
              <w:tab/>
            </w:r>
            <w:r w:rsidR="00376D5B">
              <w:rPr>
                <w:noProof/>
                <w:webHidden/>
              </w:rPr>
              <w:fldChar w:fldCharType="begin"/>
            </w:r>
            <w:r w:rsidR="00376D5B">
              <w:rPr>
                <w:noProof/>
                <w:webHidden/>
              </w:rPr>
              <w:instrText xml:space="preserve"> PAGEREF _Toc365366036 \h </w:instrText>
            </w:r>
            <w:r w:rsidR="00376D5B">
              <w:rPr>
                <w:noProof/>
                <w:webHidden/>
              </w:rPr>
            </w:r>
            <w:r w:rsidR="00376D5B">
              <w:rPr>
                <w:noProof/>
                <w:webHidden/>
              </w:rPr>
              <w:fldChar w:fldCharType="separate"/>
            </w:r>
            <w:r w:rsidR="00376D5B">
              <w:rPr>
                <w:noProof/>
                <w:webHidden/>
              </w:rPr>
              <w:t>9</w:t>
            </w:r>
            <w:r w:rsidR="00376D5B">
              <w:rPr>
                <w:noProof/>
                <w:webHidden/>
              </w:rPr>
              <w:fldChar w:fldCharType="end"/>
            </w:r>
          </w:hyperlink>
        </w:p>
        <w:p w14:paraId="475C9963"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37" w:history="1">
            <w:r w:rsidR="00376D5B" w:rsidRPr="00D57794">
              <w:rPr>
                <w:rStyle w:val="Hyperlink"/>
                <w:rFonts w:cstheme="minorHAnsi"/>
                <w:noProof/>
                <w:lang w:val="en-AU"/>
              </w:rPr>
              <w:t>2.8</w:t>
            </w:r>
            <w:r w:rsidR="00376D5B">
              <w:rPr>
                <w:rFonts w:cstheme="minorBidi"/>
                <w:smallCaps w:val="0"/>
                <w:noProof/>
                <w:sz w:val="22"/>
                <w:szCs w:val="22"/>
                <w:lang w:val="en-AU" w:eastAsia="en-AU"/>
              </w:rPr>
              <w:tab/>
            </w:r>
            <w:r w:rsidR="00376D5B" w:rsidRPr="00D57794">
              <w:rPr>
                <w:rStyle w:val="Hyperlink"/>
                <w:rFonts w:cstheme="minorHAnsi"/>
                <w:noProof/>
                <w:lang w:val="en-AU"/>
              </w:rPr>
              <w:t>The learning agenda</w:t>
            </w:r>
            <w:r w:rsidR="00376D5B">
              <w:rPr>
                <w:noProof/>
                <w:webHidden/>
              </w:rPr>
              <w:tab/>
            </w:r>
            <w:r w:rsidR="00376D5B">
              <w:rPr>
                <w:noProof/>
                <w:webHidden/>
              </w:rPr>
              <w:fldChar w:fldCharType="begin"/>
            </w:r>
            <w:r w:rsidR="00376D5B">
              <w:rPr>
                <w:noProof/>
                <w:webHidden/>
              </w:rPr>
              <w:instrText xml:space="preserve"> PAGEREF _Toc365366037 \h </w:instrText>
            </w:r>
            <w:r w:rsidR="00376D5B">
              <w:rPr>
                <w:noProof/>
                <w:webHidden/>
              </w:rPr>
            </w:r>
            <w:r w:rsidR="00376D5B">
              <w:rPr>
                <w:noProof/>
                <w:webHidden/>
              </w:rPr>
              <w:fldChar w:fldCharType="separate"/>
            </w:r>
            <w:r w:rsidR="00376D5B">
              <w:rPr>
                <w:noProof/>
                <w:webHidden/>
              </w:rPr>
              <w:t>11</w:t>
            </w:r>
            <w:r w:rsidR="00376D5B">
              <w:rPr>
                <w:noProof/>
                <w:webHidden/>
              </w:rPr>
              <w:fldChar w:fldCharType="end"/>
            </w:r>
          </w:hyperlink>
        </w:p>
        <w:p w14:paraId="475C9964" w14:textId="77777777" w:rsidR="00376D5B" w:rsidRDefault="00FE556F">
          <w:pPr>
            <w:pStyle w:val="TOC3"/>
            <w:tabs>
              <w:tab w:val="right" w:leader="dot" w:pos="9016"/>
            </w:tabs>
            <w:rPr>
              <w:rFonts w:cstheme="minorBidi"/>
              <w:i w:val="0"/>
              <w:iCs w:val="0"/>
              <w:noProof/>
              <w:sz w:val="22"/>
              <w:szCs w:val="22"/>
              <w:lang w:val="en-AU" w:eastAsia="en-AU"/>
            </w:rPr>
          </w:pPr>
          <w:hyperlink w:anchor="_Toc365366038" w:history="1">
            <w:r w:rsidR="00376D5B" w:rsidRPr="00D57794">
              <w:rPr>
                <w:rStyle w:val="Hyperlink"/>
                <w:noProof/>
                <w:lang w:bidi="en-US"/>
              </w:rPr>
              <w:t>Gaining and applying new knowledge</w:t>
            </w:r>
            <w:r w:rsidR="00376D5B">
              <w:rPr>
                <w:noProof/>
                <w:webHidden/>
              </w:rPr>
              <w:tab/>
            </w:r>
            <w:r w:rsidR="00376D5B">
              <w:rPr>
                <w:noProof/>
                <w:webHidden/>
              </w:rPr>
              <w:fldChar w:fldCharType="begin"/>
            </w:r>
            <w:r w:rsidR="00376D5B">
              <w:rPr>
                <w:noProof/>
                <w:webHidden/>
              </w:rPr>
              <w:instrText xml:space="preserve"> PAGEREF _Toc365366038 \h </w:instrText>
            </w:r>
            <w:r w:rsidR="00376D5B">
              <w:rPr>
                <w:noProof/>
                <w:webHidden/>
              </w:rPr>
            </w:r>
            <w:r w:rsidR="00376D5B">
              <w:rPr>
                <w:noProof/>
                <w:webHidden/>
              </w:rPr>
              <w:fldChar w:fldCharType="separate"/>
            </w:r>
            <w:r w:rsidR="00376D5B">
              <w:rPr>
                <w:noProof/>
                <w:webHidden/>
              </w:rPr>
              <w:t>11</w:t>
            </w:r>
            <w:r w:rsidR="00376D5B">
              <w:rPr>
                <w:noProof/>
                <w:webHidden/>
              </w:rPr>
              <w:fldChar w:fldCharType="end"/>
            </w:r>
          </w:hyperlink>
        </w:p>
        <w:p w14:paraId="475C9965" w14:textId="77777777" w:rsidR="00376D5B" w:rsidRDefault="00FE556F">
          <w:pPr>
            <w:pStyle w:val="TOC3"/>
            <w:tabs>
              <w:tab w:val="right" w:leader="dot" w:pos="9016"/>
            </w:tabs>
            <w:rPr>
              <w:rFonts w:cstheme="minorBidi"/>
              <w:i w:val="0"/>
              <w:iCs w:val="0"/>
              <w:noProof/>
              <w:sz w:val="22"/>
              <w:szCs w:val="22"/>
              <w:lang w:val="en-AU" w:eastAsia="en-AU"/>
            </w:rPr>
          </w:pPr>
          <w:hyperlink w:anchor="_Toc365366039" w:history="1">
            <w:r w:rsidR="00376D5B" w:rsidRPr="00D57794">
              <w:rPr>
                <w:rStyle w:val="Hyperlink"/>
                <w:noProof/>
                <w:lang w:bidi="en-US"/>
              </w:rPr>
              <w:t>Facility Monitoring and Evaluation</w:t>
            </w:r>
            <w:r w:rsidR="00376D5B">
              <w:rPr>
                <w:noProof/>
                <w:webHidden/>
              </w:rPr>
              <w:tab/>
            </w:r>
            <w:r w:rsidR="00376D5B">
              <w:rPr>
                <w:noProof/>
                <w:webHidden/>
              </w:rPr>
              <w:fldChar w:fldCharType="begin"/>
            </w:r>
            <w:r w:rsidR="00376D5B">
              <w:rPr>
                <w:noProof/>
                <w:webHidden/>
              </w:rPr>
              <w:instrText xml:space="preserve"> PAGEREF _Toc365366039 \h </w:instrText>
            </w:r>
            <w:r w:rsidR="00376D5B">
              <w:rPr>
                <w:noProof/>
                <w:webHidden/>
              </w:rPr>
            </w:r>
            <w:r w:rsidR="00376D5B">
              <w:rPr>
                <w:noProof/>
                <w:webHidden/>
              </w:rPr>
              <w:fldChar w:fldCharType="separate"/>
            </w:r>
            <w:r w:rsidR="00376D5B">
              <w:rPr>
                <w:noProof/>
                <w:webHidden/>
              </w:rPr>
              <w:t>12</w:t>
            </w:r>
            <w:r w:rsidR="00376D5B">
              <w:rPr>
                <w:noProof/>
                <w:webHidden/>
              </w:rPr>
              <w:fldChar w:fldCharType="end"/>
            </w:r>
          </w:hyperlink>
        </w:p>
        <w:p w14:paraId="475C9966"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40" w:history="1">
            <w:r w:rsidR="00376D5B" w:rsidRPr="00D57794">
              <w:rPr>
                <w:rStyle w:val="Hyperlink"/>
                <w:rFonts w:cstheme="minorHAnsi"/>
                <w:noProof/>
              </w:rPr>
              <w:t>2.9</w:t>
            </w:r>
            <w:r w:rsidR="00376D5B">
              <w:rPr>
                <w:rFonts w:cstheme="minorBidi"/>
                <w:smallCaps w:val="0"/>
                <w:noProof/>
                <w:sz w:val="22"/>
                <w:szCs w:val="22"/>
                <w:lang w:val="en-AU" w:eastAsia="en-AU"/>
              </w:rPr>
              <w:tab/>
            </w:r>
            <w:r w:rsidR="00376D5B" w:rsidRPr="00D57794">
              <w:rPr>
                <w:rStyle w:val="Hyperlink"/>
                <w:rFonts w:cstheme="minorHAnsi"/>
                <w:noProof/>
                <w:lang w:val="en-AU"/>
              </w:rPr>
              <w:t>The proposed Facility: A Preferred Model</w:t>
            </w:r>
            <w:r w:rsidR="00376D5B">
              <w:rPr>
                <w:noProof/>
                <w:webHidden/>
              </w:rPr>
              <w:tab/>
            </w:r>
            <w:r w:rsidR="00376D5B">
              <w:rPr>
                <w:noProof/>
                <w:webHidden/>
              </w:rPr>
              <w:fldChar w:fldCharType="begin"/>
            </w:r>
            <w:r w:rsidR="00376D5B">
              <w:rPr>
                <w:noProof/>
                <w:webHidden/>
              </w:rPr>
              <w:instrText xml:space="preserve"> PAGEREF _Toc365366040 \h </w:instrText>
            </w:r>
            <w:r w:rsidR="00376D5B">
              <w:rPr>
                <w:noProof/>
                <w:webHidden/>
              </w:rPr>
            </w:r>
            <w:r w:rsidR="00376D5B">
              <w:rPr>
                <w:noProof/>
                <w:webHidden/>
              </w:rPr>
              <w:fldChar w:fldCharType="separate"/>
            </w:r>
            <w:r w:rsidR="00376D5B">
              <w:rPr>
                <w:noProof/>
                <w:webHidden/>
              </w:rPr>
              <w:t>12</w:t>
            </w:r>
            <w:r w:rsidR="00376D5B">
              <w:rPr>
                <w:noProof/>
                <w:webHidden/>
              </w:rPr>
              <w:fldChar w:fldCharType="end"/>
            </w:r>
          </w:hyperlink>
        </w:p>
        <w:p w14:paraId="475C9967"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41" w:history="1">
            <w:r w:rsidR="00376D5B" w:rsidRPr="00D57794">
              <w:rPr>
                <w:rStyle w:val="Hyperlink"/>
                <w:noProof/>
                <w:lang w:val="en-AU"/>
              </w:rPr>
              <w:t>2.10</w:t>
            </w:r>
            <w:r w:rsidR="00376D5B">
              <w:rPr>
                <w:rFonts w:cstheme="minorBidi"/>
                <w:smallCaps w:val="0"/>
                <w:noProof/>
                <w:sz w:val="22"/>
                <w:szCs w:val="22"/>
                <w:lang w:val="en-AU" w:eastAsia="en-AU"/>
              </w:rPr>
              <w:tab/>
            </w:r>
            <w:r w:rsidR="00376D5B" w:rsidRPr="00D57794">
              <w:rPr>
                <w:rStyle w:val="Hyperlink"/>
                <w:noProof/>
                <w:lang w:val="en-AU"/>
              </w:rPr>
              <w:t>Is the proposed Facility the best option?</w:t>
            </w:r>
            <w:r w:rsidR="00376D5B">
              <w:rPr>
                <w:noProof/>
                <w:webHidden/>
              </w:rPr>
              <w:tab/>
            </w:r>
            <w:r w:rsidR="00376D5B">
              <w:rPr>
                <w:noProof/>
                <w:webHidden/>
              </w:rPr>
              <w:fldChar w:fldCharType="begin"/>
            </w:r>
            <w:r w:rsidR="00376D5B">
              <w:rPr>
                <w:noProof/>
                <w:webHidden/>
              </w:rPr>
              <w:instrText xml:space="preserve"> PAGEREF _Toc365366041 \h </w:instrText>
            </w:r>
            <w:r w:rsidR="00376D5B">
              <w:rPr>
                <w:noProof/>
                <w:webHidden/>
              </w:rPr>
            </w:r>
            <w:r w:rsidR="00376D5B">
              <w:rPr>
                <w:noProof/>
                <w:webHidden/>
              </w:rPr>
              <w:fldChar w:fldCharType="separate"/>
            </w:r>
            <w:r w:rsidR="00376D5B">
              <w:rPr>
                <w:noProof/>
                <w:webHidden/>
              </w:rPr>
              <w:t>14</w:t>
            </w:r>
            <w:r w:rsidR="00376D5B">
              <w:rPr>
                <w:noProof/>
                <w:webHidden/>
              </w:rPr>
              <w:fldChar w:fldCharType="end"/>
            </w:r>
          </w:hyperlink>
        </w:p>
        <w:p w14:paraId="475C9968" w14:textId="77777777" w:rsidR="00376D5B" w:rsidRDefault="00FE556F">
          <w:pPr>
            <w:pStyle w:val="TOC1"/>
            <w:rPr>
              <w:rFonts w:cstheme="minorBidi"/>
              <w:b w:val="0"/>
              <w:bCs w:val="0"/>
              <w:caps w:val="0"/>
              <w:noProof/>
              <w:sz w:val="22"/>
              <w:szCs w:val="22"/>
              <w:lang w:val="en-AU" w:eastAsia="en-AU"/>
            </w:rPr>
          </w:pPr>
          <w:hyperlink w:anchor="_Toc365366042" w:history="1">
            <w:r w:rsidR="00376D5B" w:rsidRPr="00D57794">
              <w:rPr>
                <w:rStyle w:val="Hyperlink"/>
                <w:noProof/>
              </w:rPr>
              <w:t>3</w:t>
            </w:r>
            <w:r w:rsidR="00376D5B">
              <w:rPr>
                <w:rFonts w:cstheme="minorBidi"/>
                <w:b w:val="0"/>
                <w:bCs w:val="0"/>
                <w:caps w:val="0"/>
                <w:noProof/>
                <w:sz w:val="22"/>
                <w:szCs w:val="22"/>
                <w:lang w:val="en-AU" w:eastAsia="en-AU"/>
              </w:rPr>
              <w:tab/>
            </w:r>
            <w:r w:rsidR="00376D5B" w:rsidRPr="00D57794">
              <w:rPr>
                <w:rStyle w:val="Hyperlink"/>
                <w:noProof/>
                <w:lang w:val="en-AU"/>
              </w:rPr>
              <w:t>T</w:t>
            </w:r>
            <w:r w:rsidR="00376D5B" w:rsidRPr="00D57794">
              <w:rPr>
                <w:rStyle w:val="Hyperlink"/>
                <w:noProof/>
              </w:rPr>
              <w:t>he Mechanics</w:t>
            </w:r>
            <w:r w:rsidR="00376D5B">
              <w:rPr>
                <w:noProof/>
                <w:webHidden/>
              </w:rPr>
              <w:tab/>
            </w:r>
            <w:r w:rsidR="00376D5B">
              <w:rPr>
                <w:noProof/>
                <w:webHidden/>
              </w:rPr>
              <w:fldChar w:fldCharType="begin"/>
            </w:r>
            <w:r w:rsidR="00376D5B">
              <w:rPr>
                <w:noProof/>
                <w:webHidden/>
              </w:rPr>
              <w:instrText xml:space="preserve"> PAGEREF _Toc365366042 \h </w:instrText>
            </w:r>
            <w:r w:rsidR="00376D5B">
              <w:rPr>
                <w:noProof/>
                <w:webHidden/>
              </w:rPr>
            </w:r>
            <w:r w:rsidR="00376D5B">
              <w:rPr>
                <w:noProof/>
                <w:webHidden/>
              </w:rPr>
              <w:fldChar w:fldCharType="separate"/>
            </w:r>
            <w:r w:rsidR="00376D5B">
              <w:rPr>
                <w:noProof/>
                <w:webHidden/>
              </w:rPr>
              <w:t>14</w:t>
            </w:r>
            <w:r w:rsidR="00376D5B">
              <w:rPr>
                <w:noProof/>
                <w:webHidden/>
              </w:rPr>
              <w:fldChar w:fldCharType="end"/>
            </w:r>
          </w:hyperlink>
        </w:p>
        <w:p w14:paraId="475C9969"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43" w:history="1">
            <w:r w:rsidR="00376D5B" w:rsidRPr="00D57794">
              <w:rPr>
                <w:rStyle w:val="Hyperlink"/>
                <w:rFonts w:cstheme="minorHAnsi"/>
                <w:noProof/>
              </w:rPr>
              <w:t>3.1</w:t>
            </w:r>
            <w:r w:rsidR="00376D5B">
              <w:rPr>
                <w:rFonts w:cstheme="minorBidi"/>
                <w:smallCaps w:val="0"/>
                <w:noProof/>
                <w:sz w:val="22"/>
                <w:szCs w:val="22"/>
                <w:lang w:val="en-AU" w:eastAsia="en-AU"/>
              </w:rPr>
              <w:tab/>
            </w:r>
            <w:r w:rsidR="00376D5B" w:rsidRPr="00D57794">
              <w:rPr>
                <w:rStyle w:val="Hyperlink"/>
                <w:rFonts w:cstheme="minorHAnsi"/>
                <w:noProof/>
                <w:lang w:val="en-AU"/>
              </w:rPr>
              <w:t>Getting started</w:t>
            </w:r>
            <w:r w:rsidR="00376D5B">
              <w:rPr>
                <w:noProof/>
                <w:webHidden/>
              </w:rPr>
              <w:tab/>
            </w:r>
            <w:r w:rsidR="00376D5B">
              <w:rPr>
                <w:noProof/>
                <w:webHidden/>
              </w:rPr>
              <w:fldChar w:fldCharType="begin"/>
            </w:r>
            <w:r w:rsidR="00376D5B">
              <w:rPr>
                <w:noProof/>
                <w:webHidden/>
              </w:rPr>
              <w:instrText xml:space="preserve"> PAGEREF _Toc365366043 \h </w:instrText>
            </w:r>
            <w:r w:rsidR="00376D5B">
              <w:rPr>
                <w:noProof/>
                <w:webHidden/>
              </w:rPr>
            </w:r>
            <w:r w:rsidR="00376D5B">
              <w:rPr>
                <w:noProof/>
                <w:webHidden/>
              </w:rPr>
              <w:fldChar w:fldCharType="separate"/>
            </w:r>
            <w:r w:rsidR="00376D5B">
              <w:rPr>
                <w:noProof/>
                <w:webHidden/>
              </w:rPr>
              <w:t>14</w:t>
            </w:r>
            <w:r w:rsidR="00376D5B">
              <w:rPr>
                <w:noProof/>
                <w:webHidden/>
              </w:rPr>
              <w:fldChar w:fldCharType="end"/>
            </w:r>
          </w:hyperlink>
        </w:p>
        <w:p w14:paraId="475C996A"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44" w:history="1">
            <w:r w:rsidR="00376D5B" w:rsidRPr="00D57794">
              <w:rPr>
                <w:rStyle w:val="Hyperlink"/>
                <w:rFonts w:cstheme="minorHAnsi"/>
                <w:noProof/>
              </w:rPr>
              <w:t>3.2</w:t>
            </w:r>
            <w:r w:rsidR="00376D5B">
              <w:rPr>
                <w:rFonts w:cstheme="minorBidi"/>
                <w:smallCaps w:val="0"/>
                <w:noProof/>
                <w:sz w:val="22"/>
                <w:szCs w:val="22"/>
                <w:lang w:val="en-AU" w:eastAsia="en-AU"/>
              </w:rPr>
              <w:tab/>
            </w:r>
            <w:r w:rsidR="00376D5B" w:rsidRPr="00D57794">
              <w:rPr>
                <w:rStyle w:val="Hyperlink"/>
                <w:rFonts w:cstheme="minorHAnsi"/>
                <w:noProof/>
              </w:rPr>
              <w:t>Governance</w:t>
            </w:r>
            <w:r w:rsidR="00376D5B">
              <w:rPr>
                <w:noProof/>
                <w:webHidden/>
              </w:rPr>
              <w:tab/>
            </w:r>
            <w:r w:rsidR="00376D5B">
              <w:rPr>
                <w:noProof/>
                <w:webHidden/>
              </w:rPr>
              <w:fldChar w:fldCharType="begin"/>
            </w:r>
            <w:r w:rsidR="00376D5B">
              <w:rPr>
                <w:noProof/>
                <w:webHidden/>
              </w:rPr>
              <w:instrText xml:space="preserve"> PAGEREF _Toc365366044 \h </w:instrText>
            </w:r>
            <w:r w:rsidR="00376D5B">
              <w:rPr>
                <w:noProof/>
                <w:webHidden/>
              </w:rPr>
            </w:r>
            <w:r w:rsidR="00376D5B">
              <w:rPr>
                <w:noProof/>
                <w:webHidden/>
              </w:rPr>
              <w:fldChar w:fldCharType="separate"/>
            </w:r>
            <w:r w:rsidR="00376D5B">
              <w:rPr>
                <w:noProof/>
                <w:webHidden/>
              </w:rPr>
              <w:t>15</w:t>
            </w:r>
            <w:r w:rsidR="00376D5B">
              <w:rPr>
                <w:noProof/>
                <w:webHidden/>
              </w:rPr>
              <w:fldChar w:fldCharType="end"/>
            </w:r>
          </w:hyperlink>
        </w:p>
        <w:p w14:paraId="475C996B"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45" w:history="1">
            <w:r w:rsidR="00376D5B" w:rsidRPr="00D57794">
              <w:rPr>
                <w:rStyle w:val="Hyperlink"/>
                <w:noProof/>
              </w:rPr>
              <w:t>3.3</w:t>
            </w:r>
            <w:r w:rsidR="00376D5B">
              <w:rPr>
                <w:rFonts w:cstheme="minorBidi"/>
                <w:smallCaps w:val="0"/>
                <w:noProof/>
                <w:sz w:val="22"/>
                <w:szCs w:val="22"/>
                <w:lang w:val="en-AU" w:eastAsia="en-AU"/>
              </w:rPr>
              <w:tab/>
            </w:r>
            <w:r w:rsidR="00376D5B" w:rsidRPr="00D57794">
              <w:rPr>
                <w:rStyle w:val="Hyperlink"/>
                <w:noProof/>
              </w:rPr>
              <w:t>Location</w:t>
            </w:r>
            <w:r w:rsidR="00376D5B">
              <w:rPr>
                <w:noProof/>
                <w:webHidden/>
              </w:rPr>
              <w:tab/>
            </w:r>
            <w:r w:rsidR="00376D5B">
              <w:rPr>
                <w:noProof/>
                <w:webHidden/>
              </w:rPr>
              <w:fldChar w:fldCharType="begin"/>
            </w:r>
            <w:r w:rsidR="00376D5B">
              <w:rPr>
                <w:noProof/>
                <w:webHidden/>
              </w:rPr>
              <w:instrText xml:space="preserve"> PAGEREF _Toc365366045 \h </w:instrText>
            </w:r>
            <w:r w:rsidR="00376D5B">
              <w:rPr>
                <w:noProof/>
                <w:webHidden/>
              </w:rPr>
            </w:r>
            <w:r w:rsidR="00376D5B">
              <w:rPr>
                <w:noProof/>
                <w:webHidden/>
              </w:rPr>
              <w:fldChar w:fldCharType="separate"/>
            </w:r>
            <w:r w:rsidR="00376D5B">
              <w:rPr>
                <w:noProof/>
                <w:webHidden/>
              </w:rPr>
              <w:t>15</w:t>
            </w:r>
            <w:r w:rsidR="00376D5B">
              <w:rPr>
                <w:noProof/>
                <w:webHidden/>
              </w:rPr>
              <w:fldChar w:fldCharType="end"/>
            </w:r>
          </w:hyperlink>
        </w:p>
        <w:p w14:paraId="475C996C"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46" w:history="1">
            <w:r w:rsidR="00376D5B" w:rsidRPr="00D57794">
              <w:rPr>
                <w:rStyle w:val="Hyperlink"/>
                <w:rFonts w:cstheme="minorHAnsi"/>
                <w:noProof/>
              </w:rPr>
              <w:t>3.4</w:t>
            </w:r>
            <w:r w:rsidR="00376D5B">
              <w:rPr>
                <w:rFonts w:cstheme="minorBidi"/>
                <w:smallCaps w:val="0"/>
                <w:noProof/>
                <w:sz w:val="22"/>
                <w:szCs w:val="22"/>
                <w:lang w:val="en-AU" w:eastAsia="en-AU"/>
              </w:rPr>
              <w:tab/>
            </w:r>
            <w:r w:rsidR="00376D5B" w:rsidRPr="00D57794">
              <w:rPr>
                <w:rStyle w:val="Hyperlink"/>
                <w:rFonts w:cstheme="minorHAnsi"/>
                <w:noProof/>
                <w:lang w:val="en-AU"/>
              </w:rPr>
              <w:t>Duration</w:t>
            </w:r>
            <w:r w:rsidR="00376D5B">
              <w:rPr>
                <w:noProof/>
                <w:webHidden/>
              </w:rPr>
              <w:tab/>
            </w:r>
            <w:r w:rsidR="00376D5B">
              <w:rPr>
                <w:noProof/>
                <w:webHidden/>
              </w:rPr>
              <w:fldChar w:fldCharType="begin"/>
            </w:r>
            <w:r w:rsidR="00376D5B">
              <w:rPr>
                <w:noProof/>
                <w:webHidden/>
              </w:rPr>
              <w:instrText xml:space="preserve"> PAGEREF _Toc365366046 \h </w:instrText>
            </w:r>
            <w:r w:rsidR="00376D5B">
              <w:rPr>
                <w:noProof/>
                <w:webHidden/>
              </w:rPr>
            </w:r>
            <w:r w:rsidR="00376D5B">
              <w:rPr>
                <w:noProof/>
                <w:webHidden/>
              </w:rPr>
              <w:fldChar w:fldCharType="separate"/>
            </w:r>
            <w:r w:rsidR="00376D5B">
              <w:rPr>
                <w:noProof/>
                <w:webHidden/>
              </w:rPr>
              <w:t>16</w:t>
            </w:r>
            <w:r w:rsidR="00376D5B">
              <w:rPr>
                <w:noProof/>
                <w:webHidden/>
              </w:rPr>
              <w:fldChar w:fldCharType="end"/>
            </w:r>
          </w:hyperlink>
        </w:p>
        <w:p w14:paraId="475C996D" w14:textId="77777777" w:rsidR="00376D5B" w:rsidRDefault="00FE556F">
          <w:pPr>
            <w:pStyle w:val="TOC1"/>
            <w:rPr>
              <w:rFonts w:cstheme="minorBidi"/>
              <w:b w:val="0"/>
              <w:bCs w:val="0"/>
              <w:caps w:val="0"/>
              <w:noProof/>
              <w:sz w:val="22"/>
              <w:szCs w:val="22"/>
              <w:lang w:val="en-AU" w:eastAsia="en-AU"/>
            </w:rPr>
          </w:pPr>
          <w:hyperlink w:anchor="_Toc365366047" w:history="1">
            <w:r w:rsidR="00376D5B" w:rsidRPr="00D57794">
              <w:rPr>
                <w:rStyle w:val="Hyperlink"/>
                <w:noProof/>
              </w:rPr>
              <w:t>4</w:t>
            </w:r>
            <w:r w:rsidR="00376D5B">
              <w:rPr>
                <w:rFonts w:cstheme="minorBidi"/>
                <w:b w:val="0"/>
                <w:bCs w:val="0"/>
                <w:caps w:val="0"/>
                <w:noProof/>
                <w:sz w:val="22"/>
                <w:szCs w:val="22"/>
                <w:lang w:val="en-AU" w:eastAsia="en-AU"/>
              </w:rPr>
              <w:tab/>
            </w:r>
            <w:r w:rsidR="00376D5B" w:rsidRPr="00D57794">
              <w:rPr>
                <w:rStyle w:val="Hyperlink"/>
                <w:noProof/>
                <w:lang w:val="en-AU"/>
              </w:rPr>
              <w:t>Design</w:t>
            </w:r>
            <w:r w:rsidR="00376D5B" w:rsidRPr="00D57794">
              <w:rPr>
                <w:rStyle w:val="Hyperlink"/>
                <w:noProof/>
              </w:rPr>
              <w:t xml:space="preserve"> </w:t>
            </w:r>
            <w:r w:rsidR="00376D5B" w:rsidRPr="00D57794">
              <w:rPr>
                <w:rStyle w:val="Hyperlink"/>
                <w:noProof/>
                <w:lang w:val="en-AU"/>
              </w:rPr>
              <w:t>Considerations</w:t>
            </w:r>
            <w:r w:rsidR="00376D5B">
              <w:rPr>
                <w:noProof/>
                <w:webHidden/>
              </w:rPr>
              <w:tab/>
            </w:r>
            <w:r w:rsidR="00376D5B">
              <w:rPr>
                <w:noProof/>
                <w:webHidden/>
              </w:rPr>
              <w:fldChar w:fldCharType="begin"/>
            </w:r>
            <w:r w:rsidR="00376D5B">
              <w:rPr>
                <w:noProof/>
                <w:webHidden/>
              </w:rPr>
              <w:instrText xml:space="preserve"> PAGEREF _Toc365366047 \h </w:instrText>
            </w:r>
            <w:r w:rsidR="00376D5B">
              <w:rPr>
                <w:noProof/>
                <w:webHidden/>
              </w:rPr>
            </w:r>
            <w:r w:rsidR="00376D5B">
              <w:rPr>
                <w:noProof/>
                <w:webHidden/>
              </w:rPr>
              <w:fldChar w:fldCharType="separate"/>
            </w:r>
            <w:r w:rsidR="00376D5B">
              <w:rPr>
                <w:noProof/>
                <w:webHidden/>
              </w:rPr>
              <w:t>16</w:t>
            </w:r>
            <w:r w:rsidR="00376D5B">
              <w:rPr>
                <w:noProof/>
                <w:webHidden/>
              </w:rPr>
              <w:fldChar w:fldCharType="end"/>
            </w:r>
          </w:hyperlink>
        </w:p>
        <w:p w14:paraId="475C996E" w14:textId="77777777" w:rsidR="00376D5B" w:rsidRDefault="00FE556F">
          <w:pPr>
            <w:pStyle w:val="TOC2"/>
            <w:tabs>
              <w:tab w:val="right" w:leader="dot" w:pos="9016"/>
            </w:tabs>
            <w:rPr>
              <w:rFonts w:cstheme="minorBidi"/>
              <w:smallCaps w:val="0"/>
              <w:noProof/>
              <w:sz w:val="22"/>
              <w:szCs w:val="22"/>
              <w:lang w:val="en-AU" w:eastAsia="en-AU"/>
            </w:rPr>
          </w:pPr>
          <w:hyperlink w:anchor="_Toc365366048" w:history="1">
            <w:r w:rsidR="00376D5B" w:rsidRPr="00D57794">
              <w:rPr>
                <w:rStyle w:val="Hyperlink"/>
                <w:rFonts w:cstheme="minorHAnsi"/>
                <w:i/>
                <w:noProof/>
                <w:lang w:val="en-AU"/>
              </w:rPr>
              <w:t>The following issues require further research or analysis during the design.  Further issues may also be identified during the Concept Peer Review and subsequent consultations with GoI.</w:t>
            </w:r>
            <w:r w:rsidR="00376D5B">
              <w:rPr>
                <w:noProof/>
                <w:webHidden/>
              </w:rPr>
              <w:tab/>
            </w:r>
            <w:r w:rsidR="00376D5B">
              <w:rPr>
                <w:noProof/>
                <w:webHidden/>
              </w:rPr>
              <w:fldChar w:fldCharType="begin"/>
            </w:r>
            <w:r w:rsidR="00376D5B">
              <w:rPr>
                <w:noProof/>
                <w:webHidden/>
              </w:rPr>
              <w:instrText xml:space="preserve"> PAGEREF _Toc365366048 \h </w:instrText>
            </w:r>
            <w:r w:rsidR="00376D5B">
              <w:rPr>
                <w:noProof/>
                <w:webHidden/>
              </w:rPr>
            </w:r>
            <w:r w:rsidR="00376D5B">
              <w:rPr>
                <w:noProof/>
                <w:webHidden/>
              </w:rPr>
              <w:fldChar w:fldCharType="separate"/>
            </w:r>
            <w:r w:rsidR="00376D5B">
              <w:rPr>
                <w:noProof/>
                <w:webHidden/>
              </w:rPr>
              <w:t>16</w:t>
            </w:r>
            <w:r w:rsidR="00376D5B">
              <w:rPr>
                <w:noProof/>
                <w:webHidden/>
              </w:rPr>
              <w:fldChar w:fldCharType="end"/>
            </w:r>
          </w:hyperlink>
        </w:p>
        <w:p w14:paraId="475C996F"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49" w:history="1">
            <w:r w:rsidR="00376D5B" w:rsidRPr="00D57794">
              <w:rPr>
                <w:rStyle w:val="Hyperlink"/>
                <w:noProof/>
              </w:rPr>
              <w:t>4.1</w:t>
            </w:r>
            <w:r w:rsidR="00376D5B">
              <w:rPr>
                <w:rFonts w:cstheme="minorBidi"/>
                <w:smallCaps w:val="0"/>
                <w:noProof/>
                <w:sz w:val="22"/>
                <w:szCs w:val="22"/>
                <w:lang w:val="en-AU" w:eastAsia="en-AU"/>
              </w:rPr>
              <w:tab/>
            </w:r>
            <w:r w:rsidR="00376D5B" w:rsidRPr="00D57794">
              <w:rPr>
                <w:rStyle w:val="Hyperlink"/>
                <w:noProof/>
              </w:rPr>
              <w:t xml:space="preserve">Governance and </w:t>
            </w:r>
            <w:r w:rsidR="00376D5B" w:rsidRPr="00D57794">
              <w:rPr>
                <w:rStyle w:val="Hyperlink"/>
                <w:noProof/>
                <w:lang w:val="en-AU"/>
              </w:rPr>
              <w:t>m</w:t>
            </w:r>
            <w:r w:rsidR="00376D5B" w:rsidRPr="00D57794">
              <w:rPr>
                <w:rStyle w:val="Hyperlink"/>
                <w:noProof/>
              </w:rPr>
              <w:t>anagement</w:t>
            </w:r>
            <w:r w:rsidR="00376D5B">
              <w:rPr>
                <w:noProof/>
                <w:webHidden/>
              </w:rPr>
              <w:tab/>
            </w:r>
            <w:r w:rsidR="00376D5B">
              <w:rPr>
                <w:noProof/>
                <w:webHidden/>
              </w:rPr>
              <w:fldChar w:fldCharType="begin"/>
            </w:r>
            <w:r w:rsidR="00376D5B">
              <w:rPr>
                <w:noProof/>
                <w:webHidden/>
              </w:rPr>
              <w:instrText xml:space="preserve"> PAGEREF _Toc365366049 \h </w:instrText>
            </w:r>
            <w:r w:rsidR="00376D5B">
              <w:rPr>
                <w:noProof/>
                <w:webHidden/>
              </w:rPr>
            </w:r>
            <w:r w:rsidR="00376D5B">
              <w:rPr>
                <w:noProof/>
                <w:webHidden/>
              </w:rPr>
              <w:fldChar w:fldCharType="separate"/>
            </w:r>
            <w:r w:rsidR="00376D5B">
              <w:rPr>
                <w:noProof/>
                <w:webHidden/>
              </w:rPr>
              <w:t>16</w:t>
            </w:r>
            <w:r w:rsidR="00376D5B">
              <w:rPr>
                <w:noProof/>
                <w:webHidden/>
              </w:rPr>
              <w:fldChar w:fldCharType="end"/>
            </w:r>
          </w:hyperlink>
        </w:p>
        <w:p w14:paraId="475C9970" w14:textId="77777777" w:rsidR="00376D5B" w:rsidRDefault="00FE556F">
          <w:pPr>
            <w:pStyle w:val="TOC2"/>
            <w:tabs>
              <w:tab w:val="left" w:pos="880"/>
              <w:tab w:val="right" w:leader="dot" w:pos="9016"/>
            </w:tabs>
            <w:rPr>
              <w:rFonts w:cstheme="minorBidi"/>
              <w:smallCaps w:val="0"/>
              <w:noProof/>
              <w:sz w:val="22"/>
              <w:szCs w:val="22"/>
              <w:lang w:val="en-AU" w:eastAsia="en-AU"/>
            </w:rPr>
          </w:pPr>
          <w:hyperlink w:anchor="_Toc365366050" w:history="1">
            <w:r w:rsidR="00376D5B" w:rsidRPr="00D57794">
              <w:rPr>
                <w:rStyle w:val="Hyperlink"/>
                <w:noProof/>
              </w:rPr>
              <w:t>4.2</w:t>
            </w:r>
            <w:r w:rsidR="00376D5B">
              <w:rPr>
                <w:rFonts w:cstheme="minorBidi"/>
                <w:smallCaps w:val="0"/>
                <w:noProof/>
                <w:sz w:val="22"/>
                <w:szCs w:val="22"/>
                <w:lang w:val="en-AU" w:eastAsia="en-AU"/>
              </w:rPr>
              <w:tab/>
            </w:r>
            <w:r w:rsidR="00376D5B" w:rsidRPr="00D57794">
              <w:rPr>
                <w:rStyle w:val="Hyperlink"/>
                <w:noProof/>
              </w:rPr>
              <w:t xml:space="preserve">Resource </w:t>
            </w:r>
            <w:r w:rsidR="00376D5B" w:rsidRPr="00D57794">
              <w:rPr>
                <w:rStyle w:val="Hyperlink"/>
                <w:noProof/>
                <w:lang w:val="en-AU"/>
              </w:rPr>
              <w:t>r</w:t>
            </w:r>
            <w:r w:rsidR="00376D5B" w:rsidRPr="00D57794">
              <w:rPr>
                <w:rStyle w:val="Hyperlink"/>
                <w:noProof/>
              </w:rPr>
              <w:t>equirements</w:t>
            </w:r>
            <w:r w:rsidR="00376D5B">
              <w:rPr>
                <w:noProof/>
                <w:webHidden/>
              </w:rPr>
              <w:tab/>
            </w:r>
            <w:r w:rsidR="00376D5B">
              <w:rPr>
                <w:noProof/>
                <w:webHidden/>
              </w:rPr>
              <w:fldChar w:fldCharType="begin"/>
            </w:r>
            <w:r w:rsidR="00376D5B">
              <w:rPr>
                <w:noProof/>
                <w:webHidden/>
              </w:rPr>
              <w:instrText xml:space="preserve"> PAGEREF _Toc365366050 \h </w:instrText>
            </w:r>
            <w:r w:rsidR="00376D5B">
              <w:rPr>
                <w:noProof/>
                <w:webHidden/>
              </w:rPr>
            </w:r>
            <w:r w:rsidR="00376D5B">
              <w:rPr>
                <w:noProof/>
                <w:webHidden/>
              </w:rPr>
              <w:fldChar w:fldCharType="separate"/>
            </w:r>
            <w:r w:rsidR="00376D5B">
              <w:rPr>
                <w:noProof/>
                <w:webHidden/>
              </w:rPr>
              <w:t>16</w:t>
            </w:r>
            <w:r w:rsidR="00376D5B">
              <w:rPr>
                <w:noProof/>
                <w:webHidden/>
              </w:rPr>
              <w:fldChar w:fldCharType="end"/>
            </w:r>
          </w:hyperlink>
        </w:p>
        <w:p w14:paraId="475C9971" w14:textId="77777777" w:rsidR="00376D5B" w:rsidRDefault="00FE556F">
          <w:pPr>
            <w:pStyle w:val="TOC3"/>
            <w:tabs>
              <w:tab w:val="right" w:leader="dot" w:pos="9016"/>
            </w:tabs>
            <w:rPr>
              <w:rFonts w:cstheme="minorBidi"/>
              <w:i w:val="0"/>
              <w:iCs w:val="0"/>
              <w:noProof/>
              <w:sz w:val="22"/>
              <w:szCs w:val="22"/>
              <w:lang w:val="en-AU" w:eastAsia="en-AU"/>
            </w:rPr>
          </w:pPr>
          <w:hyperlink w:anchor="_Toc365366051" w:history="1">
            <w:r w:rsidR="00376D5B" w:rsidRPr="00D57794">
              <w:rPr>
                <w:rStyle w:val="Hyperlink"/>
                <w:noProof/>
                <w:lang w:bidi="en-US"/>
              </w:rPr>
              <w:t>Financial Resources</w:t>
            </w:r>
            <w:r w:rsidR="00376D5B">
              <w:rPr>
                <w:noProof/>
                <w:webHidden/>
              </w:rPr>
              <w:tab/>
            </w:r>
            <w:r w:rsidR="00376D5B">
              <w:rPr>
                <w:noProof/>
                <w:webHidden/>
              </w:rPr>
              <w:fldChar w:fldCharType="begin"/>
            </w:r>
            <w:r w:rsidR="00376D5B">
              <w:rPr>
                <w:noProof/>
                <w:webHidden/>
              </w:rPr>
              <w:instrText xml:space="preserve"> PAGEREF _Toc365366051 \h </w:instrText>
            </w:r>
            <w:r w:rsidR="00376D5B">
              <w:rPr>
                <w:noProof/>
                <w:webHidden/>
              </w:rPr>
            </w:r>
            <w:r w:rsidR="00376D5B">
              <w:rPr>
                <w:noProof/>
                <w:webHidden/>
              </w:rPr>
              <w:fldChar w:fldCharType="separate"/>
            </w:r>
            <w:r w:rsidR="00376D5B">
              <w:rPr>
                <w:noProof/>
                <w:webHidden/>
              </w:rPr>
              <w:t>16</w:t>
            </w:r>
            <w:r w:rsidR="00376D5B">
              <w:rPr>
                <w:noProof/>
                <w:webHidden/>
              </w:rPr>
              <w:fldChar w:fldCharType="end"/>
            </w:r>
          </w:hyperlink>
        </w:p>
        <w:p w14:paraId="475C9972" w14:textId="77777777" w:rsidR="00376D5B" w:rsidRDefault="00FE556F">
          <w:pPr>
            <w:pStyle w:val="TOC3"/>
            <w:tabs>
              <w:tab w:val="right" w:leader="dot" w:pos="9016"/>
            </w:tabs>
            <w:rPr>
              <w:rFonts w:cstheme="minorBidi"/>
              <w:i w:val="0"/>
              <w:iCs w:val="0"/>
              <w:noProof/>
              <w:sz w:val="22"/>
              <w:szCs w:val="22"/>
              <w:lang w:val="en-AU" w:eastAsia="en-AU"/>
            </w:rPr>
          </w:pPr>
          <w:hyperlink w:anchor="_Toc365366052" w:history="1">
            <w:r w:rsidR="00376D5B" w:rsidRPr="00D57794">
              <w:rPr>
                <w:rStyle w:val="Hyperlink"/>
                <w:noProof/>
                <w:lang w:bidi="en-US"/>
              </w:rPr>
              <w:t>Human Resources</w:t>
            </w:r>
            <w:r w:rsidR="00376D5B">
              <w:rPr>
                <w:noProof/>
                <w:webHidden/>
              </w:rPr>
              <w:tab/>
            </w:r>
            <w:r w:rsidR="00376D5B">
              <w:rPr>
                <w:noProof/>
                <w:webHidden/>
              </w:rPr>
              <w:fldChar w:fldCharType="begin"/>
            </w:r>
            <w:r w:rsidR="00376D5B">
              <w:rPr>
                <w:noProof/>
                <w:webHidden/>
              </w:rPr>
              <w:instrText xml:space="preserve"> PAGEREF _Toc365366052 \h </w:instrText>
            </w:r>
            <w:r w:rsidR="00376D5B">
              <w:rPr>
                <w:noProof/>
                <w:webHidden/>
              </w:rPr>
            </w:r>
            <w:r w:rsidR="00376D5B">
              <w:rPr>
                <w:noProof/>
                <w:webHidden/>
              </w:rPr>
              <w:fldChar w:fldCharType="separate"/>
            </w:r>
            <w:r w:rsidR="00376D5B">
              <w:rPr>
                <w:noProof/>
                <w:webHidden/>
              </w:rPr>
              <w:t>16</w:t>
            </w:r>
            <w:r w:rsidR="00376D5B">
              <w:rPr>
                <w:noProof/>
                <w:webHidden/>
              </w:rPr>
              <w:fldChar w:fldCharType="end"/>
            </w:r>
          </w:hyperlink>
        </w:p>
        <w:p w14:paraId="475C9973" w14:textId="77777777" w:rsidR="00376D5B" w:rsidRDefault="00FE556F">
          <w:pPr>
            <w:pStyle w:val="TOC1"/>
            <w:rPr>
              <w:rFonts w:cstheme="minorBidi"/>
              <w:b w:val="0"/>
              <w:bCs w:val="0"/>
              <w:caps w:val="0"/>
              <w:noProof/>
              <w:sz w:val="22"/>
              <w:szCs w:val="22"/>
              <w:lang w:val="en-AU" w:eastAsia="en-AU"/>
            </w:rPr>
          </w:pPr>
          <w:hyperlink w:anchor="_Toc365366053" w:history="1">
            <w:r w:rsidR="00376D5B" w:rsidRPr="00D57794">
              <w:rPr>
                <w:rStyle w:val="Hyperlink"/>
                <w:rFonts w:cstheme="minorHAnsi"/>
                <w:noProof/>
              </w:rPr>
              <w:t>5</w:t>
            </w:r>
            <w:r w:rsidR="00376D5B">
              <w:rPr>
                <w:rFonts w:cstheme="minorBidi"/>
                <w:b w:val="0"/>
                <w:bCs w:val="0"/>
                <w:caps w:val="0"/>
                <w:noProof/>
                <w:sz w:val="22"/>
                <w:szCs w:val="22"/>
                <w:lang w:val="en-AU" w:eastAsia="en-AU"/>
              </w:rPr>
              <w:tab/>
            </w:r>
            <w:r w:rsidR="00376D5B" w:rsidRPr="00D57794">
              <w:rPr>
                <w:rStyle w:val="Hyperlink"/>
                <w:rFonts w:cstheme="minorHAnsi"/>
                <w:noProof/>
              </w:rPr>
              <w:t>Risks</w:t>
            </w:r>
            <w:r w:rsidR="00376D5B" w:rsidRPr="00D57794">
              <w:rPr>
                <w:rStyle w:val="Hyperlink"/>
                <w:rFonts w:cstheme="minorHAnsi"/>
                <w:noProof/>
                <w:lang w:val="en-AU"/>
              </w:rPr>
              <w:t xml:space="preserve"> and Mitigation Measures</w:t>
            </w:r>
            <w:r w:rsidR="00376D5B">
              <w:rPr>
                <w:noProof/>
                <w:webHidden/>
              </w:rPr>
              <w:tab/>
            </w:r>
            <w:r w:rsidR="00376D5B">
              <w:rPr>
                <w:noProof/>
                <w:webHidden/>
              </w:rPr>
              <w:fldChar w:fldCharType="begin"/>
            </w:r>
            <w:r w:rsidR="00376D5B">
              <w:rPr>
                <w:noProof/>
                <w:webHidden/>
              </w:rPr>
              <w:instrText xml:space="preserve"> PAGEREF _Toc365366053 \h </w:instrText>
            </w:r>
            <w:r w:rsidR="00376D5B">
              <w:rPr>
                <w:noProof/>
                <w:webHidden/>
              </w:rPr>
            </w:r>
            <w:r w:rsidR="00376D5B">
              <w:rPr>
                <w:noProof/>
                <w:webHidden/>
              </w:rPr>
              <w:fldChar w:fldCharType="separate"/>
            </w:r>
            <w:r w:rsidR="00376D5B">
              <w:rPr>
                <w:noProof/>
                <w:webHidden/>
              </w:rPr>
              <w:t>17</w:t>
            </w:r>
            <w:r w:rsidR="00376D5B">
              <w:rPr>
                <w:noProof/>
                <w:webHidden/>
              </w:rPr>
              <w:fldChar w:fldCharType="end"/>
            </w:r>
          </w:hyperlink>
        </w:p>
        <w:p w14:paraId="475C9974" w14:textId="77777777" w:rsidR="00376D5B" w:rsidRDefault="00FE556F">
          <w:pPr>
            <w:pStyle w:val="TOC1"/>
            <w:rPr>
              <w:rFonts w:cstheme="minorBidi"/>
              <w:b w:val="0"/>
              <w:bCs w:val="0"/>
              <w:caps w:val="0"/>
              <w:noProof/>
              <w:sz w:val="22"/>
              <w:szCs w:val="22"/>
              <w:lang w:val="en-AU" w:eastAsia="en-AU"/>
            </w:rPr>
          </w:pPr>
          <w:hyperlink w:anchor="_Toc365366054" w:history="1">
            <w:r w:rsidR="00376D5B" w:rsidRPr="00D57794">
              <w:rPr>
                <w:rStyle w:val="Hyperlink"/>
                <w:noProof/>
              </w:rPr>
              <w:t>6</w:t>
            </w:r>
            <w:r w:rsidR="00376D5B">
              <w:rPr>
                <w:rFonts w:cstheme="minorBidi"/>
                <w:b w:val="0"/>
                <w:bCs w:val="0"/>
                <w:caps w:val="0"/>
                <w:noProof/>
                <w:sz w:val="22"/>
                <w:szCs w:val="22"/>
                <w:lang w:val="en-AU" w:eastAsia="en-AU"/>
              </w:rPr>
              <w:tab/>
            </w:r>
            <w:r w:rsidR="00376D5B" w:rsidRPr="00D57794">
              <w:rPr>
                <w:rStyle w:val="Hyperlink"/>
                <w:noProof/>
              </w:rPr>
              <w:t>Next steps</w:t>
            </w:r>
            <w:r w:rsidR="00376D5B">
              <w:rPr>
                <w:noProof/>
                <w:webHidden/>
              </w:rPr>
              <w:tab/>
            </w:r>
            <w:r w:rsidR="00376D5B">
              <w:rPr>
                <w:noProof/>
                <w:webHidden/>
              </w:rPr>
              <w:fldChar w:fldCharType="begin"/>
            </w:r>
            <w:r w:rsidR="00376D5B">
              <w:rPr>
                <w:noProof/>
                <w:webHidden/>
              </w:rPr>
              <w:instrText xml:space="preserve"> PAGEREF _Toc365366054 \h </w:instrText>
            </w:r>
            <w:r w:rsidR="00376D5B">
              <w:rPr>
                <w:noProof/>
                <w:webHidden/>
              </w:rPr>
            </w:r>
            <w:r w:rsidR="00376D5B">
              <w:rPr>
                <w:noProof/>
                <w:webHidden/>
              </w:rPr>
              <w:fldChar w:fldCharType="separate"/>
            </w:r>
            <w:r w:rsidR="00376D5B">
              <w:rPr>
                <w:noProof/>
                <w:webHidden/>
              </w:rPr>
              <w:t>20</w:t>
            </w:r>
            <w:r w:rsidR="00376D5B">
              <w:rPr>
                <w:noProof/>
                <w:webHidden/>
              </w:rPr>
              <w:fldChar w:fldCharType="end"/>
            </w:r>
          </w:hyperlink>
        </w:p>
        <w:p w14:paraId="475C9975" w14:textId="77777777" w:rsidR="00376D5B" w:rsidRDefault="00FE556F">
          <w:pPr>
            <w:pStyle w:val="TOC1"/>
            <w:rPr>
              <w:rFonts w:cstheme="minorBidi"/>
              <w:b w:val="0"/>
              <w:bCs w:val="0"/>
              <w:caps w:val="0"/>
              <w:noProof/>
              <w:sz w:val="22"/>
              <w:szCs w:val="22"/>
              <w:lang w:val="en-AU" w:eastAsia="en-AU"/>
            </w:rPr>
          </w:pPr>
          <w:hyperlink w:anchor="_Toc365366055" w:history="1">
            <w:r w:rsidR="00376D5B" w:rsidRPr="00D57794">
              <w:rPr>
                <w:rStyle w:val="Hyperlink"/>
                <w:noProof/>
              </w:rPr>
              <w:t>Annexes</w:t>
            </w:r>
            <w:r w:rsidR="00376D5B">
              <w:rPr>
                <w:noProof/>
                <w:webHidden/>
              </w:rPr>
              <w:tab/>
            </w:r>
            <w:r w:rsidR="00376D5B">
              <w:rPr>
                <w:noProof/>
                <w:webHidden/>
              </w:rPr>
              <w:fldChar w:fldCharType="begin"/>
            </w:r>
            <w:r w:rsidR="00376D5B">
              <w:rPr>
                <w:noProof/>
                <w:webHidden/>
              </w:rPr>
              <w:instrText xml:space="preserve"> PAGEREF _Toc365366055 \h </w:instrText>
            </w:r>
            <w:r w:rsidR="00376D5B">
              <w:rPr>
                <w:noProof/>
                <w:webHidden/>
              </w:rPr>
            </w:r>
            <w:r w:rsidR="00376D5B">
              <w:rPr>
                <w:noProof/>
                <w:webHidden/>
              </w:rPr>
              <w:fldChar w:fldCharType="separate"/>
            </w:r>
            <w:r w:rsidR="00376D5B">
              <w:rPr>
                <w:noProof/>
                <w:webHidden/>
              </w:rPr>
              <w:t>21</w:t>
            </w:r>
            <w:r w:rsidR="00376D5B">
              <w:rPr>
                <w:noProof/>
                <w:webHidden/>
              </w:rPr>
              <w:fldChar w:fldCharType="end"/>
            </w:r>
          </w:hyperlink>
        </w:p>
        <w:p w14:paraId="475C9976" w14:textId="77777777" w:rsidR="00376D5B" w:rsidRDefault="00FE556F">
          <w:pPr>
            <w:pStyle w:val="TOC2"/>
            <w:tabs>
              <w:tab w:val="right" w:leader="dot" w:pos="9016"/>
            </w:tabs>
            <w:rPr>
              <w:rFonts w:cstheme="minorBidi"/>
              <w:smallCaps w:val="0"/>
              <w:noProof/>
              <w:sz w:val="22"/>
              <w:szCs w:val="22"/>
              <w:lang w:val="en-AU" w:eastAsia="en-AU"/>
            </w:rPr>
          </w:pPr>
          <w:hyperlink w:anchor="_Toc365366056" w:history="1">
            <w:r w:rsidR="00376D5B" w:rsidRPr="00D57794">
              <w:rPr>
                <w:rStyle w:val="Hyperlink"/>
                <w:rFonts w:cstheme="minorHAnsi"/>
                <w:noProof/>
              </w:rPr>
              <w:t>A</w:t>
            </w:r>
            <w:r w:rsidR="00376D5B" w:rsidRPr="00D57794">
              <w:rPr>
                <w:rStyle w:val="Hyperlink"/>
                <w:rFonts w:cstheme="minorHAnsi"/>
                <w:noProof/>
                <w:lang w:val="en-AU"/>
              </w:rPr>
              <w:t>1</w:t>
            </w:r>
            <w:r w:rsidR="00376D5B" w:rsidRPr="00D57794">
              <w:rPr>
                <w:rStyle w:val="Hyperlink"/>
                <w:rFonts w:cstheme="minorHAnsi"/>
                <w:noProof/>
              </w:rPr>
              <w:t xml:space="preserve"> –</w:t>
            </w:r>
            <w:r w:rsidR="00376D5B" w:rsidRPr="00D57794">
              <w:rPr>
                <w:rStyle w:val="Hyperlink"/>
                <w:rFonts w:cstheme="minorHAnsi"/>
                <w:noProof/>
                <w:lang w:val="en-GB"/>
              </w:rPr>
              <w:t xml:space="preserve"> Situation analysis of education in Indonesia</w:t>
            </w:r>
            <w:r w:rsidR="00376D5B">
              <w:rPr>
                <w:noProof/>
                <w:webHidden/>
              </w:rPr>
              <w:tab/>
            </w:r>
            <w:r w:rsidR="00376D5B">
              <w:rPr>
                <w:noProof/>
                <w:webHidden/>
              </w:rPr>
              <w:fldChar w:fldCharType="begin"/>
            </w:r>
            <w:r w:rsidR="00376D5B">
              <w:rPr>
                <w:noProof/>
                <w:webHidden/>
              </w:rPr>
              <w:instrText xml:space="preserve"> PAGEREF _Toc365366056 \h </w:instrText>
            </w:r>
            <w:r w:rsidR="00376D5B">
              <w:rPr>
                <w:noProof/>
                <w:webHidden/>
              </w:rPr>
            </w:r>
            <w:r w:rsidR="00376D5B">
              <w:rPr>
                <w:noProof/>
                <w:webHidden/>
              </w:rPr>
              <w:fldChar w:fldCharType="separate"/>
            </w:r>
            <w:r w:rsidR="00376D5B">
              <w:rPr>
                <w:noProof/>
                <w:webHidden/>
              </w:rPr>
              <w:t>21</w:t>
            </w:r>
            <w:r w:rsidR="00376D5B">
              <w:rPr>
                <w:noProof/>
                <w:webHidden/>
              </w:rPr>
              <w:fldChar w:fldCharType="end"/>
            </w:r>
          </w:hyperlink>
        </w:p>
        <w:p w14:paraId="475C9977" w14:textId="77777777" w:rsidR="00376D5B" w:rsidRDefault="00FE556F">
          <w:pPr>
            <w:pStyle w:val="TOC3"/>
            <w:tabs>
              <w:tab w:val="right" w:leader="dot" w:pos="9016"/>
            </w:tabs>
            <w:rPr>
              <w:rFonts w:cstheme="minorBidi"/>
              <w:i w:val="0"/>
              <w:iCs w:val="0"/>
              <w:noProof/>
              <w:sz w:val="22"/>
              <w:szCs w:val="22"/>
              <w:lang w:val="en-AU" w:eastAsia="en-AU"/>
            </w:rPr>
          </w:pPr>
          <w:hyperlink w:anchor="_Toc365366057" w:history="1">
            <w:r w:rsidR="00376D5B" w:rsidRPr="00D57794">
              <w:rPr>
                <w:rStyle w:val="Hyperlink"/>
                <w:noProof/>
                <w:lang w:bidi="en-US"/>
              </w:rPr>
              <w:t>Broad development and policy context</w:t>
            </w:r>
            <w:r w:rsidR="00376D5B">
              <w:rPr>
                <w:noProof/>
                <w:webHidden/>
              </w:rPr>
              <w:tab/>
            </w:r>
            <w:r w:rsidR="00376D5B">
              <w:rPr>
                <w:noProof/>
                <w:webHidden/>
              </w:rPr>
              <w:fldChar w:fldCharType="begin"/>
            </w:r>
            <w:r w:rsidR="00376D5B">
              <w:rPr>
                <w:noProof/>
                <w:webHidden/>
              </w:rPr>
              <w:instrText xml:space="preserve"> PAGEREF _Toc365366057 \h </w:instrText>
            </w:r>
            <w:r w:rsidR="00376D5B">
              <w:rPr>
                <w:noProof/>
                <w:webHidden/>
              </w:rPr>
            </w:r>
            <w:r w:rsidR="00376D5B">
              <w:rPr>
                <w:noProof/>
                <w:webHidden/>
              </w:rPr>
              <w:fldChar w:fldCharType="separate"/>
            </w:r>
            <w:r w:rsidR="00376D5B">
              <w:rPr>
                <w:noProof/>
                <w:webHidden/>
              </w:rPr>
              <w:t>21</w:t>
            </w:r>
            <w:r w:rsidR="00376D5B">
              <w:rPr>
                <w:noProof/>
                <w:webHidden/>
              </w:rPr>
              <w:fldChar w:fldCharType="end"/>
            </w:r>
          </w:hyperlink>
        </w:p>
        <w:p w14:paraId="475C9978" w14:textId="77777777" w:rsidR="00376D5B" w:rsidRDefault="00FE556F">
          <w:pPr>
            <w:pStyle w:val="TOC3"/>
            <w:tabs>
              <w:tab w:val="right" w:leader="dot" w:pos="9016"/>
            </w:tabs>
            <w:rPr>
              <w:rFonts w:cstheme="minorBidi"/>
              <w:i w:val="0"/>
              <w:iCs w:val="0"/>
              <w:noProof/>
              <w:sz w:val="22"/>
              <w:szCs w:val="22"/>
              <w:lang w:val="en-AU" w:eastAsia="en-AU"/>
            </w:rPr>
          </w:pPr>
          <w:hyperlink w:anchor="_Toc365366058" w:history="1">
            <w:r w:rsidR="00376D5B" w:rsidRPr="00D57794">
              <w:rPr>
                <w:rStyle w:val="Hyperlink"/>
                <w:noProof/>
                <w:lang w:bidi="en-US"/>
              </w:rPr>
              <w:t>Sector context and key issues</w:t>
            </w:r>
            <w:r w:rsidR="00376D5B">
              <w:rPr>
                <w:noProof/>
                <w:webHidden/>
              </w:rPr>
              <w:tab/>
            </w:r>
            <w:r w:rsidR="00376D5B">
              <w:rPr>
                <w:noProof/>
                <w:webHidden/>
              </w:rPr>
              <w:fldChar w:fldCharType="begin"/>
            </w:r>
            <w:r w:rsidR="00376D5B">
              <w:rPr>
                <w:noProof/>
                <w:webHidden/>
              </w:rPr>
              <w:instrText xml:space="preserve"> PAGEREF _Toc365366058 \h </w:instrText>
            </w:r>
            <w:r w:rsidR="00376D5B">
              <w:rPr>
                <w:noProof/>
                <w:webHidden/>
              </w:rPr>
            </w:r>
            <w:r w:rsidR="00376D5B">
              <w:rPr>
                <w:noProof/>
                <w:webHidden/>
              </w:rPr>
              <w:fldChar w:fldCharType="separate"/>
            </w:r>
            <w:r w:rsidR="00376D5B">
              <w:rPr>
                <w:noProof/>
                <w:webHidden/>
              </w:rPr>
              <w:t>21</w:t>
            </w:r>
            <w:r w:rsidR="00376D5B">
              <w:rPr>
                <w:noProof/>
                <w:webHidden/>
              </w:rPr>
              <w:fldChar w:fldCharType="end"/>
            </w:r>
          </w:hyperlink>
        </w:p>
        <w:p w14:paraId="475C9979" w14:textId="77777777" w:rsidR="00376D5B" w:rsidRDefault="00FE556F">
          <w:pPr>
            <w:pStyle w:val="TOC2"/>
            <w:tabs>
              <w:tab w:val="right" w:leader="dot" w:pos="9016"/>
            </w:tabs>
            <w:rPr>
              <w:rFonts w:cstheme="minorBidi"/>
              <w:smallCaps w:val="0"/>
              <w:noProof/>
              <w:sz w:val="22"/>
              <w:szCs w:val="22"/>
              <w:lang w:val="en-AU" w:eastAsia="en-AU"/>
            </w:rPr>
          </w:pPr>
          <w:hyperlink w:anchor="_Toc365366059" w:history="1">
            <w:r w:rsidR="00376D5B" w:rsidRPr="00D57794">
              <w:rPr>
                <w:rStyle w:val="Hyperlink"/>
                <w:rFonts w:cstheme="minorHAnsi"/>
                <w:noProof/>
              </w:rPr>
              <w:t>A</w:t>
            </w:r>
            <w:r w:rsidR="00376D5B" w:rsidRPr="00D57794">
              <w:rPr>
                <w:rStyle w:val="Hyperlink"/>
                <w:rFonts w:cstheme="minorHAnsi"/>
                <w:noProof/>
                <w:lang w:val="en-AU"/>
              </w:rPr>
              <w:t>2</w:t>
            </w:r>
            <w:r w:rsidR="00376D5B" w:rsidRPr="00D57794">
              <w:rPr>
                <w:rStyle w:val="Hyperlink"/>
                <w:rFonts w:cstheme="minorHAnsi"/>
                <w:noProof/>
              </w:rPr>
              <w:t xml:space="preserve"> –</w:t>
            </w:r>
            <w:r w:rsidR="00376D5B" w:rsidRPr="00D57794">
              <w:rPr>
                <w:rStyle w:val="Hyperlink"/>
                <w:rFonts w:cstheme="minorHAnsi"/>
                <w:noProof/>
                <w:lang w:val="en-GB"/>
              </w:rPr>
              <w:t xml:space="preserve"> P</w:t>
            </w:r>
            <w:r w:rsidR="00376D5B" w:rsidRPr="00D57794">
              <w:rPr>
                <w:rStyle w:val="Hyperlink"/>
                <w:rFonts w:cstheme="minorHAnsi"/>
                <w:noProof/>
              </w:rPr>
              <w:t>rofile of stakeholder</w:t>
            </w:r>
            <w:r w:rsidR="00376D5B" w:rsidRPr="00D57794">
              <w:rPr>
                <w:rStyle w:val="Hyperlink"/>
                <w:rFonts w:cstheme="minorHAnsi"/>
                <w:noProof/>
                <w:lang w:val="en-GB"/>
              </w:rPr>
              <w:t xml:space="preserve"> interests, roles and issues</w:t>
            </w:r>
            <w:r w:rsidR="00376D5B">
              <w:rPr>
                <w:noProof/>
                <w:webHidden/>
              </w:rPr>
              <w:tab/>
            </w:r>
            <w:r w:rsidR="00376D5B">
              <w:rPr>
                <w:noProof/>
                <w:webHidden/>
              </w:rPr>
              <w:fldChar w:fldCharType="begin"/>
            </w:r>
            <w:r w:rsidR="00376D5B">
              <w:rPr>
                <w:noProof/>
                <w:webHidden/>
              </w:rPr>
              <w:instrText xml:space="preserve"> PAGEREF _Toc365366059 \h </w:instrText>
            </w:r>
            <w:r w:rsidR="00376D5B">
              <w:rPr>
                <w:noProof/>
                <w:webHidden/>
              </w:rPr>
            </w:r>
            <w:r w:rsidR="00376D5B">
              <w:rPr>
                <w:noProof/>
                <w:webHidden/>
              </w:rPr>
              <w:fldChar w:fldCharType="separate"/>
            </w:r>
            <w:r w:rsidR="00376D5B">
              <w:rPr>
                <w:noProof/>
                <w:webHidden/>
              </w:rPr>
              <w:t>25</w:t>
            </w:r>
            <w:r w:rsidR="00376D5B">
              <w:rPr>
                <w:noProof/>
                <w:webHidden/>
              </w:rPr>
              <w:fldChar w:fldCharType="end"/>
            </w:r>
          </w:hyperlink>
        </w:p>
        <w:p w14:paraId="475C997A" w14:textId="77777777" w:rsidR="00376D5B" w:rsidRDefault="00FE556F">
          <w:pPr>
            <w:pStyle w:val="TOC2"/>
            <w:tabs>
              <w:tab w:val="right" w:leader="dot" w:pos="9016"/>
            </w:tabs>
            <w:rPr>
              <w:rFonts w:cstheme="minorBidi"/>
              <w:smallCaps w:val="0"/>
              <w:noProof/>
              <w:sz w:val="22"/>
              <w:szCs w:val="22"/>
              <w:lang w:val="en-AU" w:eastAsia="en-AU"/>
            </w:rPr>
          </w:pPr>
          <w:hyperlink w:anchor="_Toc365366060" w:history="1">
            <w:r w:rsidR="00376D5B" w:rsidRPr="00D57794">
              <w:rPr>
                <w:rStyle w:val="Hyperlink"/>
                <w:noProof/>
              </w:rPr>
              <w:t>A</w:t>
            </w:r>
            <w:r w:rsidR="00376D5B" w:rsidRPr="00D57794">
              <w:rPr>
                <w:rStyle w:val="Hyperlink"/>
                <w:noProof/>
                <w:lang w:val="en-AU"/>
              </w:rPr>
              <w:t>3</w:t>
            </w:r>
            <w:r w:rsidR="00376D5B" w:rsidRPr="00D57794">
              <w:rPr>
                <w:rStyle w:val="Hyperlink"/>
                <w:noProof/>
              </w:rPr>
              <w:t xml:space="preserve"> – Matrix of </w:t>
            </w:r>
            <w:r w:rsidR="00376D5B" w:rsidRPr="00D57794">
              <w:rPr>
                <w:rStyle w:val="Hyperlink"/>
                <w:noProof/>
                <w:lang w:val="en-GB"/>
              </w:rPr>
              <w:t xml:space="preserve">AusAID’s </w:t>
            </w:r>
            <w:r w:rsidR="00376D5B" w:rsidRPr="00D57794">
              <w:rPr>
                <w:rStyle w:val="Hyperlink"/>
                <w:noProof/>
              </w:rPr>
              <w:t>Education Partnership support</w:t>
            </w:r>
            <w:r w:rsidR="00376D5B">
              <w:rPr>
                <w:noProof/>
                <w:webHidden/>
              </w:rPr>
              <w:tab/>
            </w:r>
            <w:r w:rsidR="00376D5B">
              <w:rPr>
                <w:noProof/>
                <w:webHidden/>
              </w:rPr>
              <w:fldChar w:fldCharType="begin"/>
            </w:r>
            <w:r w:rsidR="00376D5B">
              <w:rPr>
                <w:noProof/>
                <w:webHidden/>
              </w:rPr>
              <w:instrText xml:space="preserve"> PAGEREF _Toc365366060 \h </w:instrText>
            </w:r>
            <w:r w:rsidR="00376D5B">
              <w:rPr>
                <w:noProof/>
                <w:webHidden/>
              </w:rPr>
            </w:r>
            <w:r w:rsidR="00376D5B">
              <w:rPr>
                <w:noProof/>
                <w:webHidden/>
              </w:rPr>
              <w:fldChar w:fldCharType="separate"/>
            </w:r>
            <w:r w:rsidR="00376D5B">
              <w:rPr>
                <w:noProof/>
                <w:webHidden/>
              </w:rPr>
              <w:t>28</w:t>
            </w:r>
            <w:r w:rsidR="00376D5B">
              <w:rPr>
                <w:noProof/>
                <w:webHidden/>
              </w:rPr>
              <w:fldChar w:fldCharType="end"/>
            </w:r>
          </w:hyperlink>
        </w:p>
        <w:p w14:paraId="475C997B" w14:textId="77777777" w:rsidR="00376D5B" w:rsidRDefault="00FE556F">
          <w:pPr>
            <w:pStyle w:val="TOC2"/>
            <w:tabs>
              <w:tab w:val="right" w:leader="dot" w:pos="9016"/>
            </w:tabs>
            <w:rPr>
              <w:rFonts w:cstheme="minorBidi"/>
              <w:smallCaps w:val="0"/>
              <w:noProof/>
              <w:sz w:val="22"/>
              <w:szCs w:val="22"/>
              <w:lang w:val="en-AU" w:eastAsia="en-AU"/>
            </w:rPr>
          </w:pPr>
          <w:hyperlink w:anchor="_Toc365366061" w:history="1">
            <w:r w:rsidR="00376D5B" w:rsidRPr="00D57794">
              <w:rPr>
                <w:rStyle w:val="Hyperlink"/>
                <w:noProof/>
              </w:rPr>
              <w:t xml:space="preserve">A4 – Donor support to basic education in Indonesia </w:t>
            </w:r>
            <w:r w:rsidR="00376D5B" w:rsidRPr="00D57794">
              <w:rPr>
                <w:rStyle w:val="Hyperlink"/>
                <w:noProof/>
                <w:lang w:val="en-GB"/>
              </w:rPr>
              <w:t>and lessons learned</w:t>
            </w:r>
            <w:r w:rsidR="00376D5B">
              <w:rPr>
                <w:noProof/>
                <w:webHidden/>
              </w:rPr>
              <w:tab/>
            </w:r>
            <w:r w:rsidR="00376D5B">
              <w:rPr>
                <w:noProof/>
                <w:webHidden/>
              </w:rPr>
              <w:fldChar w:fldCharType="begin"/>
            </w:r>
            <w:r w:rsidR="00376D5B">
              <w:rPr>
                <w:noProof/>
                <w:webHidden/>
              </w:rPr>
              <w:instrText xml:space="preserve"> PAGEREF _Toc365366061 \h </w:instrText>
            </w:r>
            <w:r w:rsidR="00376D5B">
              <w:rPr>
                <w:noProof/>
                <w:webHidden/>
              </w:rPr>
            </w:r>
            <w:r w:rsidR="00376D5B">
              <w:rPr>
                <w:noProof/>
                <w:webHidden/>
              </w:rPr>
              <w:fldChar w:fldCharType="separate"/>
            </w:r>
            <w:r w:rsidR="00376D5B">
              <w:rPr>
                <w:noProof/>
                <w:webHidden/>
              </w:rPr>
              <w:t>30</w:t>
            </w:r>
            <w:r w:rsidR="00376D5B">
              <w:rPr>
                <w:noProof/>
                <w:webHidden/>
              </w:rPr>
              <w:fldChar w:fldCharType="end"/>
            </w:r>
          </w:hyperlink>
        </w:p>
        <w:p w14:paraId="475C997C" w14:textId="77777777" w:rsidR="00421AC9" w:rsidRPr="007C0B4F" w:rsidRDefault="00421AC9">
          <w:r w:rsidRPr="007C0B4F">
            <w:rPr>
              <w:b/>
              <w:bCs/>
              <w:noProof/>
            </w:rPr>
            <w:fldChar w:fldCharType="end"/>
          </w:r>
        </w:p>
      </w:sdtContent>
    </w:sdt>
    <w:p w14:paraId="475C997D" w14:textId="77777777" w:rsidR="00693FED" w:rsidRPr="007C0B4F" w:rsidRDefault="00693FED" w:rsidP="00B35F0B">
      <w:pPr>
        <w:rPr>
          <w:rFonts w:ascii="Arial" w:hAnsi="Arial" w:cs="Arial"/>
          <w:b/>
          <w:sz w:val="24"/>
        </w:rPr>
      </w:pPr>
    </w:p>
    <w:p w14:paraId="475C997E" w14:textId="77777777" w:rsidR="00D25012" w:rsidRPr="007C0B4F" w:rsidRDefault="00D25012"/>
    <w:p w14:paraId="475C997F" w14:textId="77777777" w:rsidR="00E65A2E" w:rsidRPr="007C0B4F" w:rsidRDefault="00E65A2E"/>
    <w:p w14:paraId="475C9980" w14:textId="77777777" w:rsidR="00E65A2E" w:rsidRPr="007C0B4F" w:rsidRDefault="00E65A2E">
      <w:pPr>
        <w:sectPr w:rsidR="00E65A2E" w:rsidRPr="007C0B4F" w:rsidSect="00D02D5E">
          <w:headerReference w:type="default" r:id="rId12"/>
          <w:footerReference w:type="default" r:id="rId13"/>
          <w:pgSz w:w="11906" w:h="16838"/>
          <w:pgMar w:top="1440" w:right="1440" w:bottom="1440" w:left="1440" w:header="708" w:footer="708" w:gutter="0"/>
          <w:pgNumType w:fmt="lowerRoman" w:start="1"/>
          <w:cols w:space="708"/>
          <w:docGrid w:linePitch="360"/>
        </w:sectPr>
      </w:pPr>
    </w:p>
    <w:p w14:paraId="475C9981" w14:textId="77777777" w:rsidR="00D25012" w:rsidRPr="007C0B4F" w:rsidRDefault="00B35F0B" w:rsidP="00D02D5E">
      <w:pPr>
        <w:pStyle w:val="Heading2"/>
        <w:numPr>
          <w:ilvl w:val="0"/>
          <w:numId w:val="0"/>
        </w:numPr>
        <w:rPr>
          <w:rFonts w:cstheme="minorHAnsi"/>
          <w:sz w:val="26"/>
          <w:szCs w:val="26"/>
          <w:lang w:val="en-GB"/>
        </w:rPr>
      </w:pPr>
      <w:bookmarkStart w:id="0" w:name="_Toc361407132"/>
      <w:bookmarkStart w:id="1" w:name="_Toc365366021"/>
      <w:r w:rsidRPr="007C0B4F">
        <w:rPr>
          <w:rFonts w:cstheme="minorHAnsi"/>
          <w:sz w:val="26"/>
          <w:szCs w:val="26"/>
        </w:rPr>
        <w:lastRenderedPageBreak/>
        <w:t>Abbreviations</w:t>
      </w:r>
      <w:bookmarkEnd w:id="0"/>
      <w:bookmarkEnd w:id="1"/>
    </w:p>
    <w:p w14:paraId="475C9982" w14:textId="77777777" w:rsidR="00E166A6" w:rsidRPr="007C0B4F" w:rsidRDefault="00E166A6" w:rsidP="00E166A6">
      <w:pPr>
        <w:rPr>
          <w:rFonts w:asciiTheme="minorHAnsi" w:hAnsiTheme="minorHAnsi" w:cstheme="minorHAnsi"/>
          <w:szCs w:val="22"/>
          <w:lang w:val="en-GB"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bbreviations"/>
      </w:tblPr>
      <w:tblGrid>
        <w:gridCol w:w="1668"/>
        <w:gridCol w:w="7574"/>
      </w:tblGrid>
      <w:tr w:rsidR="00FE556F" w:rsidRPr="007C0B4F" w14:paraId="49372FE7" w14:textId="77777777" w:rsidTr="00FE556F">
        <w:trPr>
          <w:tblHeader/>
        </w:trPr>
        <w:tc>
          <w:tcPr>
            <w:tcW w:w="1668" w:type="dxa"/>
          </w:tcPr>
          <w:p w14:paraId="283C0289" w14:textId="1E98DB57" w:rsidR="00FE556F" w:rsidRPr="00FE556F" w:rsidRDefault="00FE556F" w:rsidP="00FE556F">
            <w:pPr>
              <w:tabs>
                <w:tab w:val="center" w:pos="726"/>
              </w:tabs>
              <w:rPr>
                <w:rFonts w:asciiTheme="minorHAnsi" w:hAnsiTheme="minorHAnsi" w:cstheme="minorHAnsi"/>
                <w:b/>
                <w:szCs w:val="22"/>
              </w:rPr>
            </w:pPr>
            <w:r w:rsidRPr="00FE556F">
              <w:rPr>
                <w:rFonts w:asciiTheme="minorHAnsi" w:hAnsiTheme="minorHAnsi" w:cstheme="minorHAnsi"/>
                <w:b/>
                <w:szCs w:val="22"/>
              </w:rPr>
              <w:t xml:space="preserve">Abbreviation </w:t>
            </w:r>
            <w:r w:rsidRPr="00FE556F">
              <w:rPr>
                <w:rFonts w:asciiTheme="minorHAnsi" w:hAnsiTheme="minorHAnsi" w:cstheme="minorHAnsi"/>
                <w:b/>
                <w:szCs w:val="22"/>
              </w:rPr>
              <w:tab/>
            </w:r>
          </w:p>
        </w:tc>
        <w:tc>
          <w:tcPr>
            <w:tcW w:w="7574" w:type="dxa"/>
          </w:tcPr>
          <w:p w14:paraId="213A00A3" w14:textId="0FBC7E8D" w:rsidR="00FE556F" w:rsidRPr="00FE556F" w:rsidRDefault="00FE556F" w:rsidP="00461C00">
            <w:pPr>
              <w:rPr>
                <w:rFonts w:asciiTheme="minorHAnsi" w:hAnsiTheme="minorHAnsi" w:cstheme="minorHAnsi"/>
                <w:b/>
                <w:szCs w:val="22"/>
              </w:rPr>
            </w:pPr>
            <w:r w:rsidRPr="00FE556F">
              <w:rPr>
                <w:rFonts w:asciiTheme="minorHAnsi" w:hAnsiTheme="minorHAnsi" w:cstheme="minorHAnsi"/>
                <w:b/>
                <w:szCs w:val="22"/>
              </w:rPr>
              <w:t>Definition</w:t>
            </w:r>
          </w:p>
        </w:tc>
      </w:tr>
      <w:tr w:rsidR="00461C00" w:rsidRPr="007C0B4F" w14:paraId="475C9985" w14:textId="77777777" w:rsidTr="00FE556F">
        <w:tc>
          <w:tcPr>
            <w:tcW w:w="1668" w:type="dxa"/>
          </w:tcPr>
          <w:p w14:paraId="475C9983"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ACCESS</w:t>
            </w:r>
          </w:p>
        </w:tc>
        <w:tc>
          <w:tcPr>
            <w:tcW w:w="7574" w:type="dxa"/>
          </w:tcPr>
          <w:p w14:paraId="475C9984"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Australian Community Development and Civil Society Strengthening Scheme</w:t>
            </w:r>
          </w:p>
        </w:tc>
      </w:tr>
      <w:tr w:rsidR="00461C00" w:rsidRPr="007C0B4F" w14:paraId="475C9988" w14:textId="77777777" w:rsidTr="00FE556F">
        <w:tc>
          <w:tcPr>
            <w:tcW w:w="1668" w:type="dxa"/>
          </w:tcPr>
          <w:p w14:paraId="475C9986"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ACDP</w:t>
            </w:r>
          </w:p>
        </w:tc>
        <w:tc>
          <w:tcPr>
            <w:tcW w:w="7574" w:type="dxa"/>
          </w:tcPr>
          <w:p w14:paraId="475C9987" w14:textId="77777777" w:rsidR="00461C00" w:rsidRPr="007C0B4F" w:rsidRDefault="00461C00" w:rsidP="00E40D1E">
            <w:pPr>
              <w:rPr>
                <w:rFonts w:asciiTheme="minorHAnsi" w:hAnsiTheme="minorHAnsi" w:cstheme="minorHAnsi"/>
                <w:szCs w:val="22"/>
              </w:rPr>
            </w:pPr>
            <w:r w:rsidRPr="007C0B4F">
              <w:rPr>
                <w:rFonts w:asciiTheme="minorHAnsi" w:hAnsiTheme="minorHAnsi" w:cstheme="minorHAnsi"/>
                <w:szCs w:val="22"/>
              </w:rPr>
              <w:t>Analytical Capacity Development P</w:t>
            </w:r>
            <w:r w:rsidR="00FB4E7F" w:rsidRPr="007C0B4F">
              <w:rPr>
                <w:rFonts w:asciiTheme="minorHAnsi" w:hAnsiTheme="minorHAnsi" w:cstheme="minorHAnsi"/>
                <w:szCs w:val="22"/>
              </w:rPr>
              <w:t>artnership</w:t>
            </w:r>
            <w:r w:rsidR="00362886" w:rsidRPr="007C0B4F">
              <w:rPr>
                <w:rFonts w:asciiTheme="minorHAnsi" w:hAnsiTheme="minorHAnsi" w:cstheme="minorHAnsi"/>
                <w:szCs w:val="22"/>
              </w:rPr>
              <w:t xml:space="preserve"> (Component 4 of the AusAID</w:t>
            </w:r>
            <w:r w:rsidR="00E40D1E" w:rsidRPr="007C0B4F">
              <w:rPr>
                <w:rFonts w:asciiTheme="minorHAnsi" w:hAnsiTheme="minorHAnsi" w:cstheme="minorHAnsi"/>
                <w:szCs w:val="22"/>
              </w:rPr>
              <w:t>/EU</w:t>
            </w:r>
            <w:r w:rsidR="00362886" w:rsidRPr="007C0B4F">
              <w:rPr>
                <w:rFonts w:asciiTheme="minorHAnsi" w:hAnsiTheme="minorHAnsi" w:cstheme="minorHAnsi"/>
                <w:szCs w:val="22"/>
              </w:rPr>
              <w:t xml:space="preserve"> Education Sector Support </w:t>
            </w:r>
            <w:r w:rsidR="00E40D1E" w:rsidRPr="007C0B4F">
              <w:rPr>
                <w:rFonts w:asciiTheme="minorHAnsi" w:hAnsiTheme="minorHAnsi" w:cstheme="minorHAnsi"/>
                <w:szCs w:val="22"/>
              </w:rPr>
              <w:t>Programme)</w:t>
            </w:r>
          </w:p>
        </w:tc>
      </w:tr>
      <w:tr w:rsidR="00FB4E7F" w:rsidRPr="007C0B4F" w14:paraId="475C998B" w14:textId="77777777" w:rsidTr="00FE556F">
        <w:tc>
          <w:tcPr>
            <w:tcW w:w="1668" w:type="dxa"/>
          </w:tcPr>
          <w:p w14:paraId="475C9989" w14:textId="77777777" w:rsidR="00FB4E7F" w:rsidRPr="007C0B4F" w:rsidRDefault="00FB4E7F" w:rsidP="00461C00">
            <w:pPr>
              <w:rPr>
                <w:rFonts w:asciiTheme="minorHAnsi" w:hAnsiTheme="minorHAnsi" w:cstheme="minorHAnsi"/>
                <w:szCs w:val="22"/>
              </w:rPr>
            </w:pPr>
            <w:r w:rsidRPr="007C0B4F">
              <w:rPr>
                <w:rFonts w:asciiTheme="minorHAnsi" w:hAnsiTheme="minorHAnsi" w:cstheme="minorHAnsi"/>
                <w:szCs w:val="22"/>
              </w:rPr>
              <w:t>ACER</w:t>
            </w:r>
          </w:p>
        </w:tc>
        <w:tc>
          <w:tcPr>
            <w:tcW w:w="7574" w:type="dxa"/>
          </w:tcPr>
          <w:p w14:paraId="475C998A" w14:textId="77777777" w:rsidR="00FB4E7F" w:rsidRPr="007C0B4F" w:rsidRDefault="00FB4E7F" w:rsidP="00FB4E7F">
            <w:pPr>
              <w:rPr>
                <w:rFonts w:asciiTheme="minorHAnsi" w:hAnsiTheme="minorHAnsi" w:cstheme="minorHAnsi"/>
                <w:szCs w:val="22"/>
              </w:rPr>
            </w:pPr>
            <w:r w:rsidRPr="007C0B4F">
              <w:rPr>
                <w:rFonts w:asciiTheme="minorHAnsi" w:hAnsiTheme="minorHAnsi" w:cstheme="minorHAnsi"/>
                <w:szCs w:val="22"/>
              </w:rPr>
              <w:t xml:space="preserve">Australian Council for Educational Research </w:t>
            </w:r>
          </w:p>
        </w:tc>
      </w:tr>
      <w:tr w:rsidR="00FB4E7F" w:rsidRPr="007C0B4F" w14:paraId="475C998E" w14:textId="77777777" w:rsidTr="00FE556F">
        <w:tc>
          <w:tcPr>
            <w:tcW w:w="1668" w:type="dxa"/>
          </w:tcPr>
          <w:p w14:paraId="475C998C" w14:textId="77777777" w:rsidR="00FB4E7F" w:rsidRPr="007C0B4F" w:rsidRDefault="00FB4E7F" w:rsidP="00461C00">
            <w:pPr>
              <w:rPr>
                <w:rFonts w:asciiTheme="minorHAnsi" w:hAnsiTheme="minorHAnsi" w:cstheme="minorHAnsi"/>
                <w:szCs w:val="22"/>
              </w:rPr>
            </w:pPr>
            <w:r w:rsidRPr="007C0B4F">
              <w:rPr>
                <w:rFonts w:asciiTheme="minorHAnsi" w:hAnsiTheme="minorHAnsi" w:cstheme="minorHAnsi"/>
                <w:szCs w:val="22"/>
              </w:rPr>
              <w:t>AIPD</w:t>
            </w:r>
          </w:p>
        </w:tc>
        <w:tc>
          <w:tcPr>
            <w:tcW w:w="7574" w:type="dxa"/>
          </w:tcPr>
          <w:p w14:paraId="475C998D" w14:textId="77777777" w:rsidR="00FB4E7F" w:rsidRPr="007C0B4F" w:rsidRDefault="00FB4E7F" w:rsidP="00FB4E7F">
            <w:pPr>
              <w:rPr>
                <w:rFonts w:asciiTheme="minorHAnsi" w:hAnsiTheme="minorHAnsi" w:cstheme="minorHAnsi"/>
                <w:szCs w:val="22"/>
              </w:rPr>
            </w:pPr>
            <w:r w:rsidRPr="007C0B4F">
              <w:rPr>
                <w:rFonts w:asciiTheme="minorHAnsi" w:hAnsiTheme="minorHAnsi" w:cstheme="minorHAnsi"/>
                <w:szCs w:val="22"/>
              </w:rPr>
              <w:t xml:space="preserve">Australia Indonesia Partnership for Decentralisation </w:t>
            </w:r>
          </w:p>
        </w:tc>
      </w:tr>
      <w:tr w:rsidR="009F0312" w:rsidRPr="007C0B4F" w14:paraId="475C9991" w14:textId="77777777" w:rsidTr="00FE556F">
        <w:tc>
          <w:tcPr>
            <w:tcW w:w="1668" w:type="dxa"/>
          </w:tcPr>
          <w:p w14:paraId="475C998F"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BAPPEDA</w:t>
            </w:r>
          </w:p>
        </w:tc>
        <w:tc>
          <w:tcPr>
            <w:tcW w:w="7574" w:type="dxa"/>
          </w:tcPr>
          <w:p w14:paraId="475C9990" w14:textId="77777777" w:rsidR="009F0312" w:rsidRPr="007C0B4F" w:rsidRDefault="006730BD" w:rsidP="00461C00">
            <w:pPr>
              <w:rPr>
                <w:rFonts w:asciiTheme="minorHAnsi" w:hAnsiTheme="minorHAnsi" w:cstheme="minorHAnsi"/>
                <w:szCs w:val="22"/>
              </w:rPr>
            </w:pPr>
            <w:r w:rsidRPr="007C0B4F">
              <w:rPr>
                <w:rFonts w:asciiTheme="minorHAnsi" w:hAnsiTheme="minorHAnsi" w:cstheme="minorHAnsi"/>
                <w:iCs/>
                <w:szCs w:val="22"/>
                <w:lang w:val="en-AU"/>
              </w:rPr>
              <w:t>Badan Perencanaan Daerah</w:t>
            </w:r>
            <w:r w:rsidRPr="007C0B4F">
              <w:rPr>
                <w:rFonts w:asciiTheme="minorHAnsi" w:hAnsiTheme="minorHAnsi" w:cstheme="minorHAnsi"/>
                <w:i/>
                <w:iCs/>
                <w:szCs w:val="22"/>
                <w:lang w:val="en-AU"/>
              </w:rPr>
              <w:t xml:space="preserve"> </w:t>
            </w:r>
            <w:r w:rsidRPr="007C0B4F">
              <w:rPr>
                <w:rFonts w:asciiTheme="minorHAnsi" w:hAnsiTheme="minorHAnsi" w:cstheme="minorHAnsi"/>
                <w:szCs w:val="22"/>
                <w:lang w:val="en-AU"/>
              </w:rPr>
              <w:t>(Provincial/District Planning Agency)</w:t>
            </w:r>
          </w:p>
        </w:tc>
      </w:tr>
      <w:tr w:rsidR="009F0312" w:rsidRPr="007C0B4F" w14:paraId="475C9994" w14:textId="77777777" w:rsidTr="00FE556F">
        <w:tc>
          <w:tcPr>
            <w:tcW w:w="1668" w:type="dxa"/>
          </w:tcPr>
          <w:p w14:paraId="475C9992"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BAPPENAS</w:t>
            </w:r>
          </w:p>
        </w:tc>
        <w:tc>
          <w:tcPr>
            <w:tcW w:w="7574" w:type="dxa"/>
          </w:tcPr>
          <w:p w14:paraId="475C9993" w14:textId="77777777" w:rsidR="009F0312" w:rsidRPr="007C0B4F" w:rsidRDefault="006730BD" w:rsidP="00461C00">
            <w:pPr>
              <w:rPr>
                <w:rFonts w:asciiTheme="minorHAnsi" w:hAnsiTheme="minorHAnsi" w:cstheme="minorHAnsi"/>
                <w:szCs w:val="22"/>
              </w:rPr>
            </w:pPr>
            <w:r w:rsidRPr="007C0B4F">
              <w:rPr>
                <w:rFonts w:asciiTheme="minorHAnsi" w:hAnsiTheme="minorHAnsi" w:cstheme="minorHAnsi"/>
                <w:iCs/>
                <w:szCs w:val="22"/>
                <w:lang w:val="en-AU"/>
              </w:rPr>
              <w:t>Badan Perencanaan Nasional</w:t>
            </w:r>
            <w:r w:rsidRPr="007C0B4F">
              <w:rPr>
                <w:rFonts w:asciiTheme="minorHAnsi" w:hAnsiTheme="minorHAnsi" w:cstheme="minorHAnsi"/>
                <w:i/>
                <w:iCs/>
                <w:szCs w:val="22"/>
                <w:lang w:val="en-AU"/>
              </w:rPr>
              <w:t xml:space="preserve"> </w:t>
            </w:r>
            <w:r w:rsidRPr="007C0B4F">
              <w:rPr>
                <w:rFonts w:asciiTheme="minorHAnsi" w:hAnsiTheme="minorHAnsi" w:cstheme="minorHAnsi"/>
                <w:szCs w:val="22"/>
                <w:lang w:val="en-AU"/>
              </w:rPr>
              <w:t>(National Planning Agency)</w:t>
            </w:r>
          </w:p>
        </w:tc>
      </w:tr>
      <w:tr w:rsidR="009F0312" w:rsidRPr="007C0B4F" w14:paraId="475C9997" w14:textId="77777777" w:rsidTr="00FE556F">
        <w:tc>
          <w:tcPr>
            <w:tcW w:w="1668" w:type="dxa"/>
          </w:tcPr>
          <w:p w14:paraId="475C9995"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BERMUTU</w:t>
            </w:r>
          </w:p>
        </w:tc>
        <w:tc>
          <w:tcPr>
            <w:tcW w:w="7574" w:type="dxa"/>
          </w:tcPr>
          <w:p w14:paraId="475C9996" w14:textId="77777777" w:rsidR="009F0312" w:rsidRPr="007C0B4F" w:rsidRDefault="008A2184" w:rsidP="00461C00">
            <w:pPr>
              <w:rPr>
                <w:rFonts w:asciiTheme="minorHAnsi" w:hAnsiTheme="minorHAnsi" w:cstheme="minorHAnsi"/>
                <w:szCs w:val="22"/>
              </w:rPr>
            </w:pPr>
            <w:r w:rsidRPr="007C0B4F">
              <w:rPr>
                <w:rFonts w:asciiTheme="minorHAnsi" w:hAnsiTheme="minorHAnsi" w:cstheme="minorHAnsi"/>
                <w:szCs w:val="22"/>
                <w:lang w:val="en-GB"/>
              </w:rPr>
              <w:t>Better Education through Reformed Management and Universal Teacher Upgrading</w:t>
            </w:r>
          </w:p>
        </w:tc>
      </w:tr>
      <w:tr w:rsidR="00461C00" w:rsidRPr="007C0B4F" w14:paraId="475C999A" w14:textId="77777777" w:rsidTr="00FE556F">
        <w:tc>
          <w:tcPr>
            <w:tcW w:w="1668" w:type="dxa"/>
          </w:tcPr>
          <w:p w14:paraId="475C9998"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BOS</w:t>
            </w:r>
          </w:p>
        </w:tc>
        <w:tc>
          <w:tcPr>
            <w:tcW w:w="7574" w:type="dxa"/>
          </w:tcPr>
          <w:p w14:paraId="475C9999"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Bantuan Operasional Sekolah</w:t>
            </w:r>
            <w:r w:rsidR="00362886" w:rsidRPr="007C0B4F">
              <w:rPr>
                <w:rFonts w:asciiTheme="minorHAnsi" w:hAnsiTheme="minorHAnsi" w:cstheme="minorHAnsi"/>
                <w:szCs w:val="22"/>
              </w:rPr>
              <w:t xml:space="preserve"> (School Operational Funds)</w:t>
            </w:r>
          </w:p>
        </w:tc>
      </w:tr>
      <w:tr w:rsidR="00461C00" w:rsidRPr="007C0B4F" w14:paraId="475C999D" w14:textId="77777777" w:rsidTr="00FE556F">
        <w:tc>
          <w:tcPr>
            <w:tcW w:w="1668" w:type="dxa"/>
          </w:tcPr>
          <w:p w14:paraId="475C999B"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CN</w:t>
            </w:r>
          </w:p>
        </w:tc>
        <w:tc>
          <w:tcPr>
            <w:tcW w:w="7574" w:type="dxa"/>
          </w:tcPr>
          <w:p w14:paraId="475C999C"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Concept Note</w:t>
            </w:r>
          </w:p>
        </w:tc>
      </w:tr>
      <w:tr w:rsidR="009F0312" w:rsidRPr="007C0B4F" w14:paraId="475C99A0" w14:textId="77777777" w:rsidTr="00FE556F">
        <w:tc>
          <w:tcPr>
            <w:tcW w:w="1668" w:type="dxa"/>
          </w:tcPr>
          <w:p w14:paraId="475C999E"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CSO</w:t>
            </w:r>
          </w:p>
        </w:tc>
        <w:tc>
          <w:tcPr>
            <w:tcW w:w="7574" w:type="dxa"/>
          </w:tcPr>
          <w:p w14:paraId="475C999F"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Civil Society Organisation</w:t>
            </w:r>
          </w:p>
        </w:tc>
      </w:tr>
      <w:tr w:rsidR="00461C00" w:rsidRPr="007C0B4F" w14:paraId="475C99A3" w14:textId="77777777" w:rsidTr="00FE556F">
        <w:tc>
          <w:tcPr>
            <w:tcW w:w="1668" w:type="dxa"/>
          </w:tcPr>
          <w:p w14:paraId="475C99A1"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DBE</w:t>
            </w:r>
          </w:p>
        </w:tc>
        <w:tc>
          <w:tcPr>
            <w:tcW w:w="7574" w:type="dxa"/>
          </w:tcPr>
          <w:p w14:paraId="475C99A2" w14:textId="77777777" w:rsidR="00461C00" w:rsidRPr="007C0B4F" w:rsidRDefault="006730BD" w:rsidP="00461C00">
            <w:pPr>
              <w:rPr>
                <w:rFonts w:asciiTheme="minorHAnsi" w:hAnsiTheme="minorHAnsi" w:cstheme="minorHAnsi"/>
                <w:szCs w:val="22"/>
              </w:rPr>
            </w:pPr>
            <w:r w:rsidRPr="007C0B4F">
              <w:rPr>
                <w:rFonts w:asciiTheme="minorHAnsi" w:hAnsiTheme="minorHAnsi" w:cstheme="minorHAnsi"/>
                <w:szCs w:val="22"/>
              </w:rPr>
              <w:t xml:space="preserve">Decentralised </w:t>
            </w:r>
            <w:r w:rsidR="00461C00" w:rsidRPr="007C0B4F">
              <w:rPr>
                <w:rFonts w:asciiTheme="minorHAnsi" w:hAnsiTheme="minorHAnsi" w:cstheme="minorHAnsi"/>
                <w:szCs w:val="22"/>
              </w:rPr>
              <w:t xml:space="preserve">Basic Education </w:t>
            </w:r>
            <w:r w:rsidR="00362886" w:rsidRPr="007C0B4F">
              <w:rPr>
                <w:rFonts w:asciiTheme="minorHAnsi" w:hAnsiTheme="minorHAnsi" w:cstheme="minorHAnsi"/>
                <w:szCs w:val="22"/>
              </w:rPr>
              <w:t>(USAID-funded Program)</w:t>
            </w:r>
          </w:p>
        </w:tc>
      </w:tr>
      <w:tr w:rsidR="00461C00" w:rsidRPr="007C0B4F" w14:paraId="475C99A6" w14:textId="77777777" w:rsidTr="00FE556F">
        <w:tc>
          <w:tcPr>
            <w:tcW w:w="1668" w:type="dxa"/>
          </w:tcPr>
          <w:p w14:paraId="475C99A4" w14:textId="77777777" w:rsidR="00461C00" w:rsidRPr="007C0B4F" w:rsidRDefault="00564617" w:rsidP="00461C00">
            <w:pPr>
              <w:rPr>
                <w:rFonts w:asciiTheme="minorHAnsi" w:hAnsiTheme="minorHAnsi" w:cstheme="minorHAnsi"/>
                <w:szCs w:val="22"/>
              </w:rPr>
            </w:pPr>
            <w:r w:rsidRPr="007C0B4F">
              <w:rPr>
                <w:rFonts w:asciiTheme="minorHAnsi" w:hAnsiTheme="minorHAnsi" w:cstheme="minorHAnsi"/>
                <w:szCs w:val="22"/>
              </w:rPr>
              <w:t>EU</w:t>
            </w:r>
          </w:p>
        </w:tc>
        <w:tc>
          <w:tcPr>
            <w:tcW w:w="7574" w:type="dxa"/>
          </w:tcPr>
          <w:p w14:paraId="475C99A5" w14:textId="77777777" w:rsidR="00461C00" w:rsidRPr="007C0B4F" w:rsidRDefault="00461C00" w:rsidP="00564617">
            <w:pPr>
              <w:rPr>
                <w:rFonts w:asciiTheme="minorHAnsi" w:hAnsiTheme="minorHAnsi" w:cstheme="minorHAnsi"/>
                <w:szCs w:val="22"/>
              </w:rPr>
            </w:pPr>
            <w:r w:rsidRPr="007C0B4F">
              <w:rPr>
                <w:rFonts w:asciiTheme="minorHAnsi" w:hAnsiTheme="minorHAnsi" w:cstheme="minorHAnsi"/>
                <w:szCs w:val="22"/>
              </w:rPr>
              <w:t xml:space="preserve">European </w:t>
            </w:r>
            <w:r w:rsidR="00564617" w:rsidRPr="007C0B4F">
              <w:rPr>
                <w:rFonts w:asciiTheme="minorHAnsi" w:hAnsiTheme="minorHAnsi" w:cstheme="minorHAnsi"/>
                <w:szCs w:val="22"/>
              </w:rPr>
              <w:t>Union</w:t>
            </w:r>
          </w:p>
        </w:tc>
      </w:tr>
      <w:tr w:rsidR="009F0312" w:rsidRPr="007C0B4F" w14:paraId="475C99A9" w14:textId="77777777" w:rsidTr="00FE556F">
        <w:tc>
          <w:tcPr>
            <w:tcW w:w="1668" w:type="dxa"/>
          </w:tcPr>
          <w:p w14:paraId="475C99A7"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ECED</w:t>
            </w:r>
          </w:p>
        </w:tc>
        <w:tc>
          <w:tcPr>
            <w:tcW w:w="7574" w:type="dxa"/>
          </w:tcPr>
          <w:p w14:paraId="475C99A8"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Early childhood education and development</w:t>
            </w:r>
          </w:p>
        </w:tc>
      </w:tr>
      <w:tr w:rsidR="00461C00" w:rsidRPr="007C0B4F" w14:paraId="475C99AC" w14:textId="77777777" w:rsidTr="00FE556F">
        <w:tc>
          <w:tcPr>
            <w:tcW w:w="1668" w:type="dxa"/>
          </w:tcPr>
          <w:p w14:paraId="475C99AA"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EIF</w:t>
            </w:r>
          </w:p>
        </w:tc>
        <w:tc>
          <w:tcPr>
            <w:tcW w:w="7574" w:type="dxa"/>
          </w:tcPr>
          <w:p w14:paraId="475C99AB"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Education Innovation Facility</w:t>
            </w:r>
          </w:p>
        </w:tc>
      </w:tr>
      <w:tr w:rsidR="00461C00" w:rsidRPr="007C0B4F" w14:paraId="475C99AF" w14:textId="77777777" w:rsidTr="00FE556F">
        <w:tc>
          <w:tcPr>
            <w:tcW w:w="1668" w:type="dxa"/>
          </w:tcPr>
          <w:p w14:paraId="475C99AD"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EP</w:t>
            </w:r>
          </w:p>
        </w:tc>
        <w:tc>
          <w:tcPr>
            <w:tcW w:w="7574" w:type="dxa"/>
          </w:tcPr>
          <w:p w14:paraId="475C99AE"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Education Partnership</w:t>
            </w:r>
          </w:p>
        </w:tc>
      </w:tr>
      <w:tr w:rsidR="00B90048" w:rsidRPr="007C0B4F" w14:paraId="475C99B2" w14:textId="77777777" w:rsidTr="00FE556F">
        <w:tc>
          <w:tcPr>
            <w:tcW w:w="1668" w:type="dxa"/>
          </w:tcPr>
          <w:p w14:paraId="475C99B0" w14:textId="77777777" w:rsidR="00B90048" w:rsidRPr="007C0B4F" w:rsidRDefault="00B90048" w:rsidP="00461C00">
            <w:pPr>
              <w:rPr>
                <w:rFonts w:asciiTheme="minorHAnsi" w:hAnsiTheme="minorHAnsi" w:cstheme="minorHAnsi"/>
                <w:szCs w:val="22"/>
              </w:rPr>
            </w:pPr>
            <w:r w:rsidRPr="007C0B4F">
              <w:rPr>
                <w:rFonts w:asciiTheme="minorHAnsi" w:hAnsiTheme="minorHAnsi" w:cstheme="minorHAnsi"/>
                <w:szCs w:val="22"/>
              </w:rPr>
              <w:t>EQAS</w:t>
            </w:r>
          </w:p>
        </w:tc>
        <w:tc>
          <w:tcPr>
            <w:tcW w:w="7574" w:type="dxa"/>
          </w:tcPr>
          <w:p w14:paraId="475C99B1" w14:textId="77777777" w:rsidR="00B90048" w:rsidRPr="007C0B4F" w:rsidRDefault="00B90048" w:rsidP="00461C00">
            <w:pPr>
              <w:rPr>
                <w:rFonts w:asciiTheme="minorHAnsi" w:hAnsiTheme="minorHAnsi" w:cstheme="minorHAnsi"/>
                <w:szCs w:val="22"/>
              </w:rPr>
            </w:pPr>
            <w:r w:rsidRPr="007C0B4F">
              <w:rPr>
                <w:rFonts w:asciiTheme="minorHAnsi" w:hAnsiTheme="minorHAnsi" w:cstheme="minorHAnsi"/>
                <w:szCs w:val="22"/>
              </w:rPr>
              <w:t>Education Quality Assurance System</w:t>
            </w:r>
          </w:p>
        </w:tc>
      </w:tr>
      <w:tr w:rsidR="00461C00" w:rsidRPr="007C0B4F" w14:paraId="475C99B5" w14:textId="77777777" w:rsidTr="00FE556F">
        <w:tc>
          <w:tcPr>
            <w:tcW w:w="1668" w:type="dxa"/>
          </w:tcPr>
          <w:p w14:paraId="475C99B3"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ESSP</w:t>
            </w:r>
          </w:p>
        </w:tc>
        <w:tc>
          <w:tcPr>
            <w:tcW w:w="7574" w:type="dxa"/>
          </w:tcPr>
          <w:p w14:paraId="475C99B4"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Education Sector Support Program</w:t>
            </w:r>
          </w:p>
        </w:tc>
      </w:tr>
      <w:tr w:rsidR="009F0312" w:rsidRPr="007C0B4F" w14:paraId="475C99B8" w14:textId="77777777" w:rsidTr="00FE556F">
        <w:tc>
          <w:tcPr>
            <w:tcW w:w="1668" w:type="dxa"/>
          </w:tcPr>
          <w:p w14:paraId="475C99B6"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GER</w:t>
            </w:r>
          </w:p>
        </w:tc>
        <w:tc>
          <w:tcPr>
            <w:tcW w:w="7574" w:type="dxa"/>
          </w:tcPr>
          <w:p w14:paraId="475C99B7" w14:textId="77777777" w:rsidR="009F0312" w:rsidRPr="007C0B4F" w:rsidRDefault="00564617" w:rsidP="00564617">
            <w:pPr>
              <w:rPr>
                <w:rFonts w:asciiTheme="minorHAnsi" w:hAnsiTheme="minorHAnsi" w:cstheme="minorHAnsi"/>
                <w:szCs w:val="22"/>
              </w:rPr>
            </w:pPr>
            <w:r w:rsidRPr="007C0B4F">
              <w:rPr>
                <w:rFonts w:asciiTheme="minorHAnsi" w:hAnsiTheme="minorHAnsi" w:cstheme="minorHAnsi"/>
                <w:szCs w:val="22"/>
              </w:rPr>
              <w:t>Gross E</w:t>
            </w:r>
            <w:r w:rsidR="009F0312" w:rsidRPr="007C0B4F">
              <w:rPr>
                <w:rFonts w:asciiTheme="minorHAnsi" w:hAnsiTheme="minorHAnsi" w:cstheme="minorHAnsi"/>
                <w:szCs w:val="22"/>
              </w:rPr>
              <w:t xml:space="preserve">nrolment </w:t>
            </w:r>
            <w:r w:rsidRPr="007C0B4F">
              <w:rPr>
                <w:rFonts w:asciiTheme="minorHAnsi" w:hAnsiTheme="minorHAnsi" w:cstheme="minorHAnsi"/>
                <w:szCs w:val="22"/>
              </w:rPr>
              <w:t>R</w:t>
            </w:r>
            <w:r w:rsidR="009F0312" w:rsidRPr="007C0B4F">
              <w:rPr>
                <w:rFonts w:asciiTheme="minorHAnsi" w:hAnsiTheme="minorHAnsi" w:cstheme="minorHAnsi"/>
                <w:szCs w:val="22"/>
              </w:rPr>
              <w:t>ate</w:t>
            </w:r>
          </w:p>
        </w:tc>
      </w:tr>
      <w:tr w:rsidR="00461C00" w:rsidRPr="007C0B4F" w14:paraId="475C99BB" w14:textId="77777777" w:rsidTr="00FE556F">
        <w:tc>
          <w:tcPr>
            <w:tcW w:w="1668" w:type="dxa"/>
          </w:tcPr>
          <w:p w14:paraId="475C99B9"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GoI</w:t>
            </w:r>
          </w:p>
        </w:tc>
        <w:tc>
          <w:tcPr>
            <w:tcW w:w="7574" w:type="dxa"/>
          </w:tcPr>
          <w:p w14:paraId="475C99BA"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Government of Indonesia</w:t>
            </w:r>
          </w:p>
        </w:tc>
      </w:tr>
      <w:tr w:rsidR="00461C00" w:rsidRPr="007C0B4F" w14:paraId="475C99BE" w14:textId="77777777" w:rsidTr="00FE556F">
        <w:tc>
          <w:tcPr>
            <w:tcW w:w="1668" w:type="dxa"/>
          </w:tcPr>
          <w:p w14:paraId="475C99BC"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LPMP</w:t>
            </w:r>
          </w:p>
        </w:tc>
        <w:tc>
          <w:tcPr>
            <w:tcW w:w="7574" w:type="dxa"/>
          </w:tcPr>
          <w:p w14:paraId="475C99BD" w14:textId="77777777" w:rsidR="00733A03" w:rsidRPr="007C0B4F" w:rsidRDefault="006730BD" w:rsidP="00461C00">
            <w:pPr>
              <w:rPr>
                <w:rFonts w:asciiTheme="minorHAnsi" w:hAnsiTheme="minorHAnsi" w:cstheme="minorHAnsi"/>
                <w:szCs w:val="22"/>
              </w:rPr>
            </w:pPr>
            <w:r w:rsidRPr="007C0B4F">
              <w:rPr>
                <w:rFonts w:asciiTheme="minorHAnsi" w:hAnsiTheme="minorHAnsi" w:cstheme="minorHAnsi"/>
                <w:iCs/>
                <w:szCs w:val="22"/>
                <w:lang w:val="en-AU"/>
              </w:rPr>
              <w:t>Lembaga Penjaminan Mutu Pendidikan</w:t>
            </w:r>
            <w:r w:rsidRPr="007C0B4F">
              <w:rPr>
                <w:rFonts w:asciiTheme="minorHAnsi" w:hAnsiTheme="minorHAnsi" w:cstheme="minorHAnsi"/>
                <w:i/>
                <w:iCs/>
                <w:szCs w:val="22"/>
                <w:lang w:val="en-AU"/>
              </w:rPr>
              <w:t xml:space="preserve"> </w:t>
            </w:r>
            <w:r w:rsidRPr="007C0B4F">
              <w:rPr>
                <w:rFonts w:asciiTheme="minorHAnsi" w:hAnsiTheme="minorHAnsi" w:cstheme="minorHAnsi"/>
                <w:szCs w:val="22"/>
                <w:lang w:val="en-AU"/>
              </w:rPr>
              <w:t>(Education Quality Assurance Institute)</w:t>
            </w:r>
          </w:p>
        </w:tc>
      </w:tr>
      <w:tr w:rsidR="00461C00" w:rsidRPr="007C0B4F" w14:paraId="475C99C1" w14:textId="77777777" w:rsidTr="00FE556F">
        <w:tc>
          <w:tcPr>
            <w:tcW w:w="1668" w:type="dxa"/>
          </w:tcPr>
          <w:p w14:paraId="475C99BF"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MoEC</w:t>
            </w:r>
          </w:p>
        </w:tc>
        <w:tc>
          <w:tcPr>
            <w:tcW w:w="7574" w:type="dxa"/>
          </w:tcPr>
          <w:p w14:paraId="475C99C0"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Ministry of Education and Culture</w:t>
            </w:r>
          </w:p>
        </w:tc>
      </w:tr>
      <w:tr w:rsidR="009F0312" w:rsidRPr="007C0B4F" w14:paraId="475C99C4" w14:textId="77777777" w:rsidTr="00FE556F">
        <w:tc>
          <w:tcPr>
            <w:tcW w:w="1668" w:type="dxa"/>
          </w:tcPr>
          <w:p w14:paraId="475C99C2"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MoF</w:t>
            </w:r>
          </w:p>
        </w:tc>
        <w:tc>
          <w:tcPr>
            <w:tcW w:w="7574" w:type="dxa"/>
          </w:tcPr>
          <w:p w14:paraId="475C99C3"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Ministry of Finance</w:t>
            </w:r>
          </w:p>
        </w:tc>
      </w:tr>
      <w:tr w:rsidR="00461C00" w:rsidRPr="007C0B4F" w14:paraId="475C99C7" w14:textId="77777777" w:rsidTr="00FE556F">
        <w:tc>
          <w:tcPr>
            <w:tcW w:w="1668" w:type="dxa"/>
          </w:tcPr>
          <w:p w14:paraId="475C99C5"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MoHA</w:t>
            </w:r>
          </w:p>
        </w:tc>
        <w:tc>
          <w:tcPr>
            <w:tcW w:w="7574" w:type="dxa"/>
          </w:tcPr>
          <w:p w14:paraId="475C99C6"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Ministry of Home Affairs</w:t>
            </w:r>
          </w:p>
        </w:tc>
      </w:tr>
      <w:tr w:rsidR="00461C00" w:rsidRPr="007C0B4F" w14:paraId="475C99CA" w14:textId="77777777" w:rsidTr="00FE556F">
        <w:tc>
          <w:tcPr>
            <w:tcW w:w="1668" w:type="dxa"/>
          </w:tcPr>
          <w:p w14:paraId="475C99C8"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MoRA</w:t>
            </w:r>
          </w:p>
        </w:tc>
        <w:tc>
          <w:tcPr>
            <w:tcW w:w="7574" w:type="dxa"/>
          </w:tcPr>
          <w:p w14:paraId="475C99C9"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Ministry of Religion and Culture</w:t>
            </w:r>
          </w:p>
        </w:tc>
      </w:tr>
      <w:tr w:rsidR="009F0312" w:rsidRPr="007C0B4F" w14:paraId="475C99CD" w14:textId="77777777" w:rsidTr="00FE556F">
        <w:tc>
          <w:tcPr>
            <w:tcW w:w="1668" w:type="dxa"/>
          </w:tcPr>
          <w:p w14:paraId="475C99CB"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NER</w:t>
            </w:r>
          </w:p>
        </w:tc>
        <w:tc>
          <w:tcPr>
            <w:tcW w:w="7574" w:type="dxa"/>
          </w:tcPr>
          <w:p w14:paraId="475C99CC"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Net enrolment rate</w:t>
            </w:r>
          </w:p>
        </w:tc>
      </w:tr>
      <w:tr w:rsidR="009F0312" w:rsidRPr="007C0B4F" w14:paraId="475C99D0" w14:textId="77777777" w:rsidTr="00FE556F">
        <w:tc>
          <w:tcPr>
            <w:tcW w:w="1668" w:type="dxa"/>
          </w:tcPr>
          <w:p w14:paraId="475C99CE"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NTB</w:t>
            </w:r>
          </w:p>
        </w:tc>
        <w:tc>
          <w:tcPr>
            <w:tcW w:w="7574" w:type="dxa"/>
          </w:tcPr>
          <w:p w14:paraId="475C99CF"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Nusa Tengarra Barat</w:t>
            </w:r>
          </w:p>
        </w:tc>
      </w:tr>
      <w:tr w:rsidR="009F0312" w:rsidRPr="007C0B4F" w14:paraId="475C99D3" w14:textId="77777777" w:rsidTr="00FE556F">
        <w:tc>
          <w:tcPr>
            <w:tcW w:w="1668" w:type="dxa"/>
          </w:tcPr>
          <w:p w14:paraId="475C99D1"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NTT</w:t>
            </w:r>
          </w:p>
        </w:tc>
        <w:tc>
          <w:tcPr>
            <w:tcW w:w="7574" w:type="dxa"/>
          </w:tcPr>
          <w:p w14:paraId="475C99D2"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Nusa Tengarra Timur</w:t>
            </w:r>
          </w:p>
        </w:tc>
      </w:tr>
      <w:tr w:rsidR="009F0312" w:rsidRPr="007C0B4F" w14:paraId="475C99D6" w14:textId="77777777" w:rsidTr="00FE556F">
        <w:tc>
          <w:tcPr>
            <w:tcW w:w="1668" w:type="dxa"/>
          </w:tcPr>
          <w:p w14:paraId="475C99D4"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OECD</w:t>
            </w:r>
          </w:p>
        </w:tc>
        <w:tc>
          <w:tcPr>
            <w:tcW w:w="7574" w:type="dxa"/>
          </w:tcPr>
          <w:p w14:paraId="475C99D5"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Organisation for Economic Cooperation and Development</w:t>
            </w:r>
          </w:p>
        </w:tc>
      </w:tr>
      <w:tr w:rsidR="00EB0F2D" w:rsidRPr="007C0B4F" w14:paraId="475C99D9" w14:textId="77777777" w:rsidTr="00FE556F">
        <w:tc>
          <w:tcPr>
            <w:tcW w:w="1668" w:type="dxa"/>
          </w:tcPr>
          <w:p w14:paraId="475C99D7" w14:textId="77777777" w:rsidR="00EB0F2D" w:rsidRPr="007C0B4F" w:rsidRDefault="00EB0F2D" w:rsidP="00461C00">
            <w:pPr>
              <w:rPr>
                <w:rFonts w:asciiTheme="minorHAnsi" w:hAnsiTheme="minorHAnsi" w:cstheme="minorHAnsi"/>
                <w:szCs w:val="22"/>
              </w:rPr>
            </w:pPr>
            <w:r w:rsidRPr="007C0B4F">
              <w:rPr>
                <w:rFonts w:asciiTheme="minorHAnsi" w:hAnsiTheme="minorHAnsi" w:cstheme="minorHAnsi"/>
                <w:szCs w:val="22"/>
              </w:rPr>
              <w:t>PIRLS</w:t>
            </w:r>
          </w:p>
        </w:tc>
        <w:tc>
          <w:tcPr>
            <w:tcW w:w="7574" w:type="dxa"/>
          </w:tcPr>
          <w:p w14:paraId="475C99D8" w14:textId="77777777" w:rsidR="00EB0F2D" w:rsidRPr="007C0B4F" w:rsidRDefault="00EB0F2D" w:rsidP="00461C00">
            <w:pPr>
              <w:rPr>
                <w:rFonts w:asciiTheme="minorHAnsi" w:hAnsiTheme="minorHAnsi" w:cstheme="minorHAnsi"/>
                <w:szCs w:val="22"/>
              </w:rPr>
            </w:pPr>
            <w:r w:rsidRPr="007C0B4F">
              <w:rPr>
                <w:rFonts w:asciiTheme="minorHAnsi" w:hAnsiTheme="minorHAnsi" w:cstheme="minorHAnsi"/>
                <w:szCs w:val="22"/>
              </w:rPr>
              <w:t>Progress in International Reading Literacy Study conducted by the  International Association for the Evaluation of Education Achievement (IEA)</w:t>
            </w:r>
          </w:p>
        </w:tc>
      </w:tr>
      <w:tr w:rsidR="009F0312" w:rsidRPr="007C0B4F" w14:paraId="475C99DC" w14:textId="77777777" w:rsidTr="00FE556F">
        <w:tc>
          <w:tcPr>
            <w:tcW w:w="1668" w:type="dxa"/>
          </w:tcPr>
          <w:p w14:paraId="475C99DA"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PISA</w:t>
            </w:r>
          </w:p>
        </w:tc>
        <w:tc>
          <w:tcPr>
            <w:tcW w:w="7574" w:type="dxa"/>
          </w:tcPr>
          <w:p w14:paraId="475C99DB" w14:textId="77777777" w:rsidR="009F0312" w:rsidRPr="007C0B4F" w:rsidRDefault="00CA445B" w:rsidP="0008745F">
            <w:pPr>
              <w:rPr>
                <w:rFonts w:asciiTheme="minorHAnsi" w:hAnsiTheme="minorHAnsi" w:cstheme="minorHAnsi"/>
                <w:szCs w:val="22"/>
              </w:rPr>
            </w:pPr>
            <w:r w:rsidRPr="007C0B4F">
              <w:rPr>
                <w:rFonts w:asciiTheme="minorHAnsi" w:hAnsiTheme="minorHAnsi" w:cstheme="minorHAnsi"/>
                <w:szCs w:val="22"/>
              </w:rPr>
              <w:t>Program for International Student Assessment</w:t>
            </w:r>
            <w:r w:rsidR="004B3B7C" w:rsidRPr="007C0B4F">
              <w:rPr>
                <w:rFonts w:asciiTheme="minorHAnsi" w:hAnsiTheme="minorHAnsi" w:cstheme="minorHAnsi"/>
                <w:szCs w:val="22"/>
              </w:rPr>
              <w:t xml:space="preserve"> conducted by the Organisation for </w:t>
            </w:r>
            <w:r w:rsidR="004B3B7C" w:rsidRPr="007C0B4F">
              <w:rPr>
                <w:rFonts w:asciiTheme="minorHAnsi" w:hAnsiTheme="minorHAnsi" w:cstheme="minorHAnsi"/>
                <w:szCs w:val="22"/>
              </w:rPr>
              <w:lastRenderedPageBreak/>
              <w:t>E</w:t>
            </w:r>
            <w:r w:rsidR="0008745F" w:rsidRPr="007C0B4F">
              <w:rPr>
                <w:rFonts w:asciiTheme="minorHAnsi" w:hAnsiTheme="minorHAnsi" w:cstheme="minorHAnsi"/>
                <w:szCs w:val="22"/>
              </w:rPr>
              <w:t>conomic Cooperation and Development (OECD)</w:t>
            </w:r>
          </w:p>
        </w:tc>
      </w:tr>
      <w:tr w:rsidR="00461C00" w:rsidRPr="007C0B4F" w14:paraId="475C99DF" w14:textId="77777777" w:rsidTr="00FE556F">
        <w:tc>
          <w:tcPr>
            <w:tcW w:w="1668" w:type="dxa"/>
          </w:tcPr>
          <w:p w14:paraId="475C99DD"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lastRenderedPageBreak/>
              <w:t>PNPM</w:t>
            </w:r>
          </w:p>
        </w:tc>
        <w:tc>
          <w:tcPr>
            <w:tcW w:w="7574" w:type="dxa"/>
          </w:tcPr>
          <w:p w14:paraId="475C99DE"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Program Nasional Pemberdayaan Masyarakat</w:t>
            </w:r>
            <w:r w:rsidR="006730BD" w:rsidRPr="007C0B4F">
              <w:rPr>
                <w:rFonts w:asciiTheme="minorHAnsi" w:hAnsiTheme="minorHAnsi" w:cstheme="minorHAnsi"/>
                <w:szCs w:val="22"/>
              </w:rPr>
              <w:t xml:space="preserve"> (National Poverty Reduction Program)</w:t>
            </w:r>
          </w:p>
        </w:tc>
      </w:tr>
      <w:tr w:rsidR="00FB4E7F" w:rsidRPr="007C0B4F" w14:paraId="475C99E2" w14:textId="77777777" w:rsidTr="00FE556F">
        <w:tc>
          <w:tcPr>
            <w:tcW w:w="1668" w:type="dxa"/>
          </w:tcPr>
          <w:p w14:paraId="475C99E0" w14:textId="77777777" w:rsidR="00FB4E7F" w:rsidRPr="007C0B4F" w:rsidRDefault="00FB4E7F" w:rsidP="00461C00">
            <w:pPr>
              <w:rPr>
                <w:rFonts w:asciiTheme="minorHAnsi" w:hAnsiTheme="minorHAnsi" w:cstheme="minorHAnsi"/>
                <w:szCs w:val="22"/>
              </w:rPr>
            </w:pPr>
            <w:r w:rsidRPr="007C0B4F">
              <w:rPr>
                <w:rFonts w:asciiTheme="minorHAnsi" w:hAnsiTheme="minorHAnsi" w:cstheme="minorHAnsi"/>
                <w:szCs w:val="22"/>
              </w:rPr>
              <w:t>POM</w:t>
            </w:r>
          </w:p>
        </w:tc>
        <w:tc>
          <w:tcPr>
            <w:tcW w:w="7574" w:type="dxa"/>
          </w:tcPr>
          <w:p w14:paraId="475C99E1" w14:textId="77777777" w:rsidR="00FB4E7F" w:rsidRPr="007C0B4F" w:rsidRDefault="00CA445B" w:rsidP="00E40D1E">
            <w:pPr>
              <w:rPr>
                <w:rFonts w:asciiTheme="minorHAnsi" w:hAnsiTheme="minorHAnsi" w:cstheme="minorHAnsi"/>
                <w:szCs w:val="22"/>
              </w:rPr>
            </w:pPr>
            <w:r w:rsidRPr="007C0B4F">
              <w:rPr>
                <w:rFonts w:asciiTheme="minorHAnsi" w:hAnsiTheme="minorHAnsi" w:cstheme="minorHAnsi"/>
                <w:szCs w:val="22"/>
              </w:rPr>
              <w:t xml:space="preserve">Performance </w:t>
            </w:r>
            <w:r w:rsidR="00FB4E7F" w:rsidRPr="007C0B4F">
              <w:rPr>
                <w:rFonts w:asciiTheme="minorHAnsi" w:hAnsiTheme="minorHAnsi" w:cstheme="minorHAnsi"/>
                <w:szCs w:val="22"/>
              </w:rPr>
              <w:t>Oversight and Monitoring</w:t>
            </w:r>
            <w:r w:rsidRPr="007C0B4F">
              <w:rPr>
                <w:rFonts w:asciiTheme="minorHAnsi" w:hAnsiTheme="minorHAnsi" w:cstheme="minorHAnsi"/>
                <w:szCs w:val="22"/>
              </w:rPr>
              <w:t xml:space="preserve"> (for the AusAID Education Sector Support P</w:t>
            </w:r>
            <w:r w:rsidR="00E40D1E" w:rsidRPr="007C0B4F">
              <w:rPr>
                <w:rFonts w:asciiTheme="minorHAnsi" w:hAnsiTheme="minorHAnsi" w:cstheme="minorHAnsi"/>
                <w:szCs w:val="22"/>
              </w:rPr>
              <w:t>rogram)</w:t>
            </w:r>
          </w:p>
        </w:tc>
      </w:tr>
      <w:tr w:rsidR="00461C00" w:rsidRPr="007C0B4F" w14:paraId="475C99E5" w14:textId="77777777" w:rsidTr="00FE556F">
        <w:tc>
          <w:tcPr>
            <w:tcW w:w="1668" w:type="dxa"/>
          </w:tcPr>
          <w:p w14:paraId="475C99E3"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PRSF</w:t>
            </w:r>
          </w:p>
        </w:tc>
        <w:tc>
          <w:tcPr>
            <w:tcW w:w="7574" w:type="dxa"/>
          </w:tcPr>
          <w:p w14:paraId="475C99E4" w14:textId="77777777" w:rsidR="00461C00" w:rsidRPr="007C0B4F" w:rsidRDefault="00461C00" w:rsidP="00E40D1E">
            <w:pPr>
              <w:rPr>
                <w:rFonts w:asciiTheme="minorHAnsi" w:hAnsiTheme="minorHAnsi" w:cstheme="minorHAnsi"/>
                <w:szCs w:val="22"/>
              </w:rPr>
            </w:pPr>
            <w:r w:rsidRPr="007C0B4F">
              <w:rPr>
                <w:rFonts w:asciiTheme="minorHAnsi" w:hAnsiTheme="minorHAnsi" w:cstheme="minorHAnsi"/>
                <w:szCs w:val="22"/>
              </w:rPr>
              <w:t>Poverty Reduction Support Facility</w:t>
            </w:r>
            <w:r w:rsidR="00CA445B" w:rsidRPr="007C0B4F">
              <w:rPr>
                <w:rFonts w:asciiTheme="minorHAnsi" w:hAnsiTheme="minorHAnsi" w:cstheme="minorHAnsi"/>
                <w:szCs w:val="22"/>
              </w:rPr>
              <w:t xml:space="preserve"> (for the TNP2K </w:t>
            </w:r>
            <w:r w:rsidR="00E40D1E" w:rsidRPr="007C0B4F">
              <w:rPr>
                <w:rFonts w:asciiTheme="minorHAnsi" w:hAnsiTheme="minorHAnsi" w:cstheme="minorHAnsi"/>
                <w:szCs w:val="22"/>
              </w:rPr>
              <w:t xml:space="preserve"> - </w:t>
            </w:r>
            <w:r w:rsidR="00CA445B" w:rsidRPr="007C0B4F">
              <w:rPr>
                <w:rFonts w:asciiTheme="minorHAnsi" w:hAnsiTheme="minorHAnsi" w:cstheme="minorHAnsi"/>
                <w:szCs w:val="22"/>
              </w:rPr>
              <w:t xml:space="preserve">National Team for </w:t>
            </w:r>
            <w:r w:rsidR="00733A03" w:rsidRPr="007C0B4F">
              <w:rPr>
                <w:rFonts w:asciiTheme="minorHAnsi" w:hAnsiTheme="minorHAnsi" w:cstheme="minorHAnsi"/>
                <w:szCs w:val="22"/>
              </w:rPr>
              <w:t xml:space="preserve">Acceleration of </w:t>
            </w:r>
            <w:r w:rsidR="00CA445B" w:rsidRPr="007C0B4F">
              <w:rPr>
                <w:rFonts w:asciiTheme="minorHAnsi" w:hAnsiTheme="minorHAnsi" w:cstheme="minorHAnsi"/>
                <w:szCs w:val="22"/>
              </w:rPr>
              <w:t>Poverty Reduction)</w:t>
            </w:r>
          </w:p>
        </w:tc>
      </w:tr>
      <w:tr w:rsidR="009F0312" w:rsidRPr="007C0B4F" w14:paraId="475C99E8" w14:textId="77777777" w:rsidTr="00FE556F">
        <w:tc>
          <w:tcPr>
            <w:tcW w:w="1668" w:type="dxa"/>
          </w:tcPr>
          <w:p w14:paraId="475C99E6" w14:textId="77777777" w:rsidR="009F0312" w:rsidRPr="007C0B4F" w:rsidRDefault="009F0312" w:rsidP="00461C00">
            <w:pPr>
              <w:rPr>
                <w:rFonts w:asciiTheme="minorHAnsi" w:hAnsiTheme="minorHAnsi" w:cstheme="minorHAnsi"/>
                <w:szCs w:val="22"/>
              </w:rPr>
            </w:pPr>
            <w:r w:rsidRPr="007C0B4F">
              <w:rPr>
                <w:rFonts w:asciiTheme="minorHAnsi" w:hAnsiTheme="minorHAnsi" w:cstheme="minorHAnsi"/>
                <w:szCs w:val="22"/>
              </w:rPr>
              <w:t>SBM</w:t>
            </w:r>
          </w:p>
        </w:tc>
        <w:tc>
          <w:tcPr>
            <w:tcW w:w="7574" w:type="dxa"/>
          </w:tcPr>
          <w:p w14:paraId="475C99E7" w14:textId="77777777" w:rsidR="009F0312" w:rsidRPr="007C0B4F" w:rsidRDefault="009F0312" w:rsidP="009F0312">
            <w:pPr>
              <w:rPr>
                <w:rFonts w:asciiTheme="minorHAnsi" w:hAnsiTheme="minorHAnsi" w:cstheme="minorHAnsi"/>
                <w:szCs w:val="22"/>
              </w:rPr>
            </w:pPr>
            <w:r w:rsidRPr="007C0B4F">
              <w:rPr>
                <w:rFonts w:asciiTheme="minorHAnsi" w:hAnsiTheme="minorHAnsi" w:cstheme="minorHAnsi"/>
                <w:szCs w:val="22"/>
              </w:rPr>
              <w:t>School-Based Management</w:t>
            </w:r>
          </w:p>
        </w:tc>
      </w:tr>
      <w:tr w:rsidR="00461C00" w:rsidRPr="007C0B4F" w14:paraId="475C99EB" w14:textId="77777777" w:rsidTr="00FE556F">
        <w:tc>
          <w:tcPr>
            <w:tcW w:w="1668" w:type="dxa"/>
          </w:tcPr>
          <w:p w14:paraId="475C99E9"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SEDIA</w:t>
            </w:r>
          </w:p>
        </w:tc>
        <w:tc>
          <w:tcPr>
            <w:tcW w:w="7574" w:type="dxa"/>
          </w:tcPr>
          <w:p w14:paraId="475C99EA" w14:textId="77777777" w:rsidR="00461C00" w:rsidRPr="007C0B4F" w:rsidRDefault="00461C00" w:rsidP="00461C00">
            <w:pPr>
              <w:rPr>
                <w:rFonts w:asciiTheme="minorHAnsi" w:hAnsiTheme="minorHAnsi" w:cstheme="minorHAnsi"/>
                <w:szCs w:val="22"/>
              </w:rPr>
            </w:pPr>
            <w:r w:rsidRPr="007C0B4F">
              <w:rPr>
                <w:rFonts w:asciiTheme="minorHAnsi" w:hAnsiTheme="minorHAnsi" w:cstheme="minorHAnsi"/>
                <w:szCs w:val="22"/>
              </w:rPr>
              <w:t>Support for Education Development in Aceh</w:t>
            </w:r>
          </w:p>
        </w:tc>
      </w:tr>
      <w:tr w:rsidR="009F0312" w:rsidRPr="007C0B4F" w14:paraId="475C99EE" w14:textId="77777777" w:rsidTr="00FE556F">
        <w:tc>
          <w:tcPr>
            <w:tcW w:w="1668" w:type="dxa"/>
          </w:tcPr>
          <w:p w14:paraId="475C99EC" w14:textId="77777777" w:rsidR="009F0312" w:rsidRPr="007C0B4F" w:rsidRDefault="009F0312" w:rsidP="00CA445B">
            <w:pPr>
              <w:rPr>
                <w:rFonts w:asciiTheme="minorHAnsi" w:hAnsiTheme="minorHAnsi" w:cstheme="minorHAnsi"/>
                <w:szCs w:val="22"/>
              </w:rPr>
            </w:pPr>
            <w:r w:rsidRPr="007C0B4F">
              <w:rPr>
                <w:rFonts w:asciiTheme="minorHAnsi" w:hAnsiTheme="minorHAnsi" w:cstheme="minorHAnsi"/>
                <w:szCs w:val="22"/>
              </w:rPr>
              <w:t>TIM</w:t>
            </w:r>
            <w:r w:rsidR="00CA445B" w:rsidRPr="007C0B4F">
              <w:rPr>
                <w:rFonts w:asciiTheme="minorHAnsi" w:hAnsiTheme="minorHAnsi" w:cstheme="minorHAnsi"/>
                <w:szCs w:val="22"/>
              </w:rPr>
              <w:t>S</w:t>
            </w:r>
            <w:r w:rsidRPr="007C0B4F">
              <w:rPr>
                <w:rFonts w:asciiTheme="minorHAnsi" w:hAnsiTheme="minorHAnsi" w:cstheme="minorHAnsi"/>
                <w:szCs w:val="22"/>
              </w:rPr>
              <w:t>S</w:t>
            </w:r>
          </w:p>
        </w:tc>
        <w:tc>
          <w:tcPr>
            <w:tcW w:w="7574" w:type="dxa"/>
          </w:tcPr>
          <w:p w14:paraId="475C99ED" w14:textId="77777777" w:rsidR="009F0312" w:rsidRPr="007C0B4F" w:rsidRDefault="00CA445B" w:rsidP="006F0702">
            <w:pPr>
              <w:rPr>
                <w:rFonts w:asciiTheme="minorHAnsi" w:hAnsiTheme="minorHAnsi" w:cstheme="minorHAnsi"/>
                <w:szCs w:val="22"/>
              </w:rPr>
            </w:pPr>
            <w:r w:rsidRPr="007C0B4F">
              <w:rPr>
                <w:rFonts w:asciiTheme="minorHAnsi" w:hAnsiTheme="minorHAnsi" w:cstheme="minorHAnsi"/>
                <w:szCs w:val="22"/>
              </w:rPr>
              <w:t>Trends in International Mathematics and Science Study</w:t>
            </w:r>
            <w:r w:rsidR="004B3B7C" w:rsidRPr="007C0B4F">
              <w:rPr>
                <w:rFonts w:asciiTheme="minorHAnsi" w:hAnsiTheme="minorHAnsi" w:cstheme="minorHAnsi"/>
                <w:szCs w:val="22"/>
              </w:rPr>
              <w:t xml:space="preserve"> </w:t>
            </w:r>
            <w:r w:rsidR="006F0702" w:rsidRPr="007C0B4F">
              <w:rPr>
                <w:rFonts w:asciiTheme="minorHAnsi" w:hAnsiTheme="minorHAnsi" w:cstheme="minorHAnsi"/>
                <w:szCs w:val="22"/>
              </w:rPr>
              <w:t>conducted by the I</w:t>
            </w:r>
            <w:r w:rsidR="004B3B7C" w:rsidRPr="007C0B4F">
              <w:rPr>
                <w:rFonts w:asciiTheme="minorHAnsi" w:hAnsiTheme="minorHAnsi" w:cstheme="minorHAnsi"/>
                <w:szCs w:val="22"/>
              </w:rPr>
              <w:t xml:space="preserve">nternational </w:t>
            </w:r>
            <w:r w:rsidR="006F0702" w:rsidRPr="007C0B4F">
              <w:rPr>
                <w:rFonts w:asciiTheme="minorHAnsi" w:hAnsiTheme="minorHAnsi" w:cstheme="minorHAnsi"/>
                <w:szCs w:val="22"/>
              </w:rPr>
              <w:t xml:space="preserve">Association for the Evaluation of Education Achievement </w:t>
            </w:r>
            <w:r w:rsidR="0008745F" w:rsidRPr="007C0B4F">
              <w:rPr>
                <w:rFonts w:asciiTheme="minorHAnsi" w:hAnsiTheme="minorHAnsi" w:cstheme="minorHAnsi"/>
                <w:szCs w:val="22"/>
              </w:rPr>
              <w:t>(IEA)</w:t>
            </w:r>
          </w:p>
        </w:tc>
      </w:tr>
    </w:tbl>
    <w:p w14:paraId="475C99EF" w14:textId="77777777" w:rsidR="00F914B5" w:rsidRPr="007C0B4F" w:rsidRDefault="00F914B5"/>
    <w:p w14:paraId="475C99F0" w14:textId="77777777" w:rsidR="00CD6859" w:rsidRPr="007C0B4F" w:rsidRDefault="00CD6859">
      <w:pPr>
        <w:spacing w:after="0"/>
      </w:pPr>
      <w:r w:rsidRPr="007C0B4F">
        <w:br w:type="page"/>
      </w:r>
    </w:p>
    <w:p w14:paraId="475C99F1" w14:textId="77777777" w:rsidR="00873635" w:rsidRPr="007C0B4F" w:rsidRDefault="00873635" w:rsidP="00873635">
      <w:pPr>
        <w:pStyle w:val="Heading1"/>
        <w:rPr>
          <w:rFonts w:asciiTheme="minorHAnsi" w:hAnsiTheme="minorHAnsi" w:cstheme="minorHAnsi"/>
        </w:rPr>
      </w:pPr>
      <w:bookmarkStart w:id="2" w:name="_Toc361407134"/>
      <w:bookmarkStart w:id="3" w:name="_Toc365366022"/>
      <w:r w:rsidRPr="007C0B4F">
        <w:rPr>
          <w:rFonts w:asciiTheme="minorHAnsi" w:hAnsiTheme="minorHAnsi" w:cstheme="minorHAnsi"/>
        </w:rPr>
        <w:lastRenderedPageBreak/>
        <w:t>Situation Analysis – Issue Identification</w:t>
      </w:r>
      <w:bookmarkEnd w:id="2"/>
      <w:bookmarkEnd w:id="3"/>
    </w:p>
    <w:p w14:paraId="475C99F2" w14:textId="77777777" w:rsidR="00873635" w:rsidRPr="007C0B4F" w:rsidRDefault="00873635" w:rsidP="00873635">
      <w:pPr>
        <w:pStyle w:val="Heading2"/>
        <w:rPr>
          <w:rFonts w:cstheme="minorHAnsi"/>
        </w:rPr>
      </w:pPr>
      <w:bookmarkStart w:id="4" w:name="_Toc361407135"/>
      <w:bookmarkStart w:id="5" w:name="_Toc365366023"/>
      <w:r w:rsidRPr="007C0B4F">
        <w:rPr>
          <w:rFonts w:cstheme="minorHAnsi"/>
        </w:rPr>
        <w:t>Sector Context</w:t>
      </w:r>
      <w:bookmarkEnd w:id="4"/>
      <w:bookmarkEnd w:id="5"/>
    </w:p>
    <w:p w14:paraId="475C99F3" w14:textId="77777777" w:rsidR="00873635" w:rsidRPr="007C0B4F" w:rsidRDefault="00873635" w:rsidP="00873635">
      <w:pPr>
        <w:rPr>
          <w:rFonts w:asciiTheme="minorHAnsi" w:hAnsiTheme="minorHAnsi" w:cstheme="minorHAnsi"/>
        </w:rPr>
      </w:pPr>
      <w:r w:rsidRPr="007C0B4F">
        <w:rPr>
          <w:rFonts w:asciiTheme="minorHAnsi" w:hAnsiTheme="minorHAnsi" w:cstheme="minorHAnsi"/>
        </w:rPr>
        <w:t xml:space="preserve">The </w:t>
      </w:r>
      <w:r w:rsidR="00EC25CF" w:rsidRPr="007C0B4F">
        <w:rPr>
          <w:rFonts w:asciiTheme="minorHAnsi" w:hAnsiTheme="minorHAnsi" w:cstheme="minorHAnsi"/>
        </w:rPr>
        <w:t>following</w:t>
      </w:r>
      <w:r w:rsidRPr="007C0B4F">
        <w:rPr>
          <w:rFonts w:asciiTheme="minorHAnsi" w:hAnsiTheme="minorHAnsi" w:cstheme="minorHAnsi"/>
        </w:rPr>
        <w:t xml:space="preserve"> provides context for the proposed investment with a summary analysis (see Annex </w:t>
      </w:r>
      <w:r w:rsidR="00CD2AE0" w:rsidRPr="007C0B4F">
        <w:rPr>
          <w:rFonts w:asciiTheme="minorHAnsi" w:hAnsiTheme="minorHAnsi" w:cstheme="minorHAnsi"/>
        </w:rPr>
        <w:t>1</w:t>
      </w:r>
      <w:r w:rsidRPr="007C0B4F">
        <w:rPr>
          <w:rFonts w:asciiTheme="minorHAnsi" w:hAnsiTheme="minorHAnsi" w:cstheme="minorHAnsi"/>
        </w:rPr>
        <w:t xml:space="preserve"> for full analysis) of education access, quality and system governance in Indonesia.  These three dimensions are critically interlinked.</w:t>
      </w:r>
    </w:p>
    <w:p w14:paraId="475C99F4" w14:textId="77777777" w:rsidR="00873635" w:rsidRPr="007C0B4F" w:rsidRDefault="00873635" w:rsidP="00740211">
      <w:pPr>
        <w:pStyle w:val="Heading3"/>
        <w:numPr>
          <w:ilvl w:val="0"/>
          <w:numId w:val="0"/>
        </w:numPr>
        <w:ind w:left="431"/>
        <w:rPr>
          <w:b w:val="0"/>
          <w:i/>
          <w:u w:val="single"/>
        </w:rPr>
      </w:pPr>
      <w:bookmarkStart w:id="6" w:name="_Toc361407136"/>
      <w:bookmarkStart w:id="7" w:name="_Toc365366024"/>
      <w:r w:rsidRPr="007C0B4F">
        <w:rPr>
          <w:b w:val="0"/>
          <w:i/>
          <w:u w:val="single"/>
        </w:rPr>
        <w:t>Access</w:t>
      </w:r>
      <w:bookmarkEnd w:id="6"/>
      <w:bookmarkEnd w:id="7"/>
    </w:p>
    <w:p w14:paraId="475C99F5" w14:textId="77777777" w:rsidR="00873635" w:rsidRPr="007C0B4F" w:rsidRDefault="00873635" w:rsidP="00873635">
      <w:pPr>
        <w:rPr>
          <w:rFonts w:asciiTheme="minorHAnsi" w:hAnsiTheme="minorHAnsi" w:cstheme="minorHAnsi"/>
        </w:rPr>
      </w:pPr>
      <w:r w:rsidRPr="007C0B4F">
        <w:rPr>
          <w:rFonts w:asciiTheme="minorHAnsi" w:hAnsiTheme="minorHAnsi" w:cstheme="minorHAnsi"/>
          <w:b/>
        </w:rPr>
        <w:t>Indonesia has made impressive strides in access to education but progress is uneven across levels of education, rural and urban populations, and socio-economic quintiles.</w:t>
      </w:r>
      <w:r w:rsidRPr="007C0B4F">
        <w:rPr>
          <w:rFonts w:asciiTheme="minorHAnsi" w:hAnsiTheme="minorHAnsi" w:cstheme="minorHAnsi"/>
        </w:rPr>
        <w:t xml:space="preserve">  There is almost universal coverage at the primary level and junior secondary access is increasing.</w:t>
      </w:r>
      <w:r w:rsidR="0005020C" w:rsidRPr="007C0B4F">
        <w:rPr>
          <w:rFonts w:asciiTheme="minorHAnsi" w:hAnsiTheme="minorHAnsi" w:cstheme="minorHAnsi"/>
        </w:rPr>
        <w:t xml:space="preserve">  There also appears to be parity in terms of female/male enrolments in basic education (1.02 girls for every 1 boy in 2010)</w:t>
      </w:r>
      <w:r w:rsidR="0005020C" w:rsidRPr="007C0B4F">
        <w:rPr>
          <w:rStyle w:val="FootnoteReference"/>
          <w:rFonts w:asciiTheme="minorHAnsi" w:hAnsiTheme="minorHAnsi" w:cstheme="minorHAnsi"/>
        </w:rPr>
        <w:footnoteReference w:id="1"/>
      </w:r>
      <w:r w:rsidR="002A2902" w:rsidRPr="007C0B4F">
        <w:rPr>
          <w:rFonts w:asciiTheme="minorHAnsi" w:hAnsiTheme="minorHAnsi" w:cstheme="minorHAnsi"/>
        </w:rPr>
        <w:t>.</w:t>
      </w:r>
      <w:r w:rsidRPr="007C0B4F">
        <w:rPr>
          <w:rFonts w:asciiTheme="minorHAnsi" w:hAnsiTheme="minorHAnsi" w:cstheme="minorHAnsi"/>
        </w:rPr>
        <w:t xml:space="preserve">  Senior secondary and tertiary enrolment rates are still lagging, although demand is expected to grow as junior secondary continues to expand and GoI moves to a compulsory 12-year education model from 2013. Enrolment in pre-primary programs is also low. </w:t>
      </w:r>
    </w:p>
    <w:p w14:paraId="475C99F6" w14:textId="77777777" w:rsidR="00873635" w:rsidRPr="007C0B4F" w:rsidRDefault="00873635" w:rsidP="00873635">
      <w:pPr>
        <w:rPr>
          <w:rFonts w:asciiTheme="minorHAnsi" w:hAnsiTheme="minorHAnsi" w:cstheme="minorHAnsi"/>
        </w:rPr>
      </w:pPr>
      <w:r w:rsidRPr="007C0B4F">
        <w:rPr>
          <w:rFonts w:asciiTheme="minorHAnsi" w:hAnsiTheme="minorHAnsi" w:cstheme="minorHAnsi"/>
          <w:b/>
        </w:rPr>
        <w:t>But significant regional disparities in access persist.</w:t>
      </w:r>
      <w:r w:rsidRPr="007C0B4F">
        <w:rPr>
          <w:rFonts w:asciiTheme="minorHAnsi" w:hAnsiTheme="minorHAnsi" w:cstheme="minorHAnsi"/>
        </w:rPr>
        <w:t xml:space="preserve">  For example, the NER for primary school students in urban centres of Jak</w:t>
      </w:r>
      <w:r w:rsidR="002A2902" w:rsidRPr="007C0B4F">
        <w:rPr>
          <w:rFonts w:asciiTheme="minorHAnsi" w:hAnsiTheme="minorHAnsi" w:cstheme="minorHAnsi"/>
        </w:rPr>
        <w:t>arta and Yogyakarta is above 97 per cent</w:t>
      </w:r>
      <w:r w:rsidRPr="007C0B4F">
        <w:rPr>
          <w:rFonts w:asciiTheme="minorHAnsi" w:hAnsiTheme="minorHAnsi" w:cstheme="minorHAnsi"/>
        </w:rPr>
        <w:t>, while in</w:t>
      </w:r>
      <w:r w:rsidR="00CD2AE0" w:rsidRPr="007C0B4F">
        <w:rPr>
          <w:rFonts w:asciiTheme="minorHAnsi" w:hAnsiTheme="minorHAnsi" w:cstheme="minorHAnsi"/>
        </w:rPr>
        <w:t xml:space="preserve"> rural and remote areas such as</w:t>
      </w:r>
      <w:r w:rsidRPr="007C0B4F">
        <w:rPr>
          <w:rFonts w:asciiTheme="minorHAnsi" w:hAnsiTheme="minorHAnsi" w:cstheme="minorHAnsi"/>
        </w:rPr>
        <w:t xml:space="preserve"> Sulawesi Barat </w:t>
      </w:r>
      <w:r w:rsidR="002A2902" w:rsidRPr="007C0B4F">
        <w:rPr>
          <w:rFonts w:asciiTheme="minorHAnsi" w:hAnsiTheme="minorHAnsi" w:cstheme="minorHAnsi"/>
        </w:rPr>
        <w:t>and Papua Barat it is around 87 per cent</w:t>
      </w:r>
      <w:r w:rsidRPr="007C0B4F">
        <w:rPr>
          <w:rFonts w:asciiTheme="minorHAnsi" w:hAnsiTheme="minorHAnsi" w:cstheme="minorHAnsi"/>
        </w:rPr>
        <w:t>.  At junior-secondary level</w:t>
      </w:r>
      <w:r w:rsidR="00EC25CF" w:rsidRPr="007C0B4F">
        <w:rPr>
          <w:rFonts w:asciiTheme="minorHAnsi" w:hAnsiTheme="minorHAnsi" w:cstheme="minorHAnsi"/>
        </w:rPr>
        <w:t xml:space="preserve">, NER is highest in </w:t>
      </w:r>
      <w:r w:rsidRPr="007C0B4F">
        <w:rPr>
          <w:rFonts w:asciiTheme="minorHAnsi" w:hAnsiTheme="minorHAnsi" w:cstheme="minorHAnsi"/>
        </w:rPr>
        <w:t xml:space="preserve">Jakarta </w:t>
      </w:r>
      <w:r w:rsidR="00EC25CF" w:rsidRPr="007C0B4F">
        <w:rPr>
          <w:rFonts w:asciiTheme="minorHAnsi" w:hAnsiTheme="minorHAnsi" w:cstheme="minorHAnsi"/>
        </w:rPr>
        <w:t>(</w:t>
      </w:r>
      <w:r w:rsidR="008E63A8" w:rsidRPr="007C0B4F">
        <w:rPr>
          <w:rFonts w:asciiTheme="minorHAnsi" w:hAnsiTheme="minorHAnsi" w:cstheme="minorHAnsi"/>
        </w:rPr>
        <w:t>89 per cent</w:t>
      </w:r>
      <w:r w:rsidR="00EC25CF" w:rsidRPr="007C0B4F">
        <w:rPr>
          <w:rFonts w:asciiTheme="minorHAnsi" w:hAnsiTheme="minorHAnsi" w:cstheme="minorHAnsi"/>
        </w:rPr>
        <w:t xml:space="preserve">) and lowest in </w:t>
      </w:r>
      <w:r w:rsidRPr="007C0B4F">
        <w:rPr>
          <w:rFonts w:asciiTheme="minorHAnsi" w:hAnsiTheme="minorHAnsi" w:cstheme="minorHAnsi"/>
        </w:rPr>
        <w:t>Nusa Ten</w:t>
      </w:r>
      <w:r w:rsidR="002A2902" w:rsidRPr="007C0B4F">
        <w:rPr>
          <w:rFonts w:asciiTheme="minorHAnsi" w:hAnsiTheme="minorHAnsi" w:cstheme="minorHAnsi"/>
        </w:rPr>
        <w:t xml:space="preserve">ggara Timur </w:t>
      </w:r>
      <w:r w:rsidR="00EC25CF" w:rsidRPr="007C0B4F">
        <w:rPr>
          <w:rFonts w:asciiTheme="minorHAnsi" w:hAnsiTheme="minorHAnsi" w:cstheme="minorHAnsi"/>
        </w:rPr>
        <w:t>(</w:t>
      </w:r>
      <w:r w:rsidR="002A2902" w:rsidRPr="007C0B4F">
        <w:rPr>
          <w:rFonts w:asciiTheme="minorHAnsi" w:hAnsiTheme="minorHAnsi" w:cstheme="minorHAnsi"/>
        </w:rPr>
        <w:t>59 per cent</w:t>
      </w:r>
      <w:r w:rsidR="00EC25CF" w:rsidRPr="007C0B4F">
        <w:rPr>
          <w:rFonts w:asciiTheme="minorHAnsi" w:hAnsiTheme="minorHAnsi" w:cstheme="minorHAnsi"/>
        </w:rPr>
        <w:t>)</w:t>
      </w:r>
      <w:r w:rsidRPr="007C0B4F">
        <w:rPr>
          <w:rFonts w:asciiTheme="minorHAnsi" w:hAnsiTheme="minorHAnsi" w:cstheme="minorHAnsi"/>
        </w:rPr>
        <w:t xml:space="preserve">.  </w:t>
      </w:r>
    </w:p>
    <w:p w14:paraId="475C99F7" w14:textId="77777777" w:rsidR="00873635" w:rsidRPr="007C0B4F" w:rsidRDefault="00873635" w:rsidP="00873635">
      <w:pPr>
        <w:rPr>
          <w:rFonts w:asciiTheme="minorHAnsi" w:hAnsiTheme="minorHAnsi" w:cstheme="minorHAnsi"/>
        </w:rPr>
      </w:pPr>
      <w:r w:rsidRPr="007C0B4F">
        <w:rPr>
          <w:rFonts w:asciiTheme="minorHAnsi" w:hAnsiTheme="minorHAnsi" w:cstheme="minorHAnsi"/>
          <w:b/>
        </w:rPr>
        <w:t xml:space="preserve">Drop-out rates </w:t>
      </w:r>
      <w:r w:rsidRPr="007C0B4F">
        <w:rPr>
          <w:rFonts w:asciiTheme="minorHAnsi" w:hAnsiTheme="minorHAnsi" w:cstheme="minorHAnsi"/>
          <w:b/>
          <w:i/>
        </w:rPr>
        <w:t>within</w:t>
      </w:r>
      <w:r w:rsidRPr="007C0B4F">
        <w:rPr>
          <w:rFonts w:asciiTheme="minorHAnsi" w:hAnsiTheme="minorHAnsi" w:cstheme="minorHAnsi"/>
          <w:b/>
        </w:rPr>
        <w:t xml:space="preserve"> each cycle of basic education are low but drop-out in the </w:t>
      </w:r>
      <w:r w:rsidRPr="007C0B4F">
        <w:rPr>
          <w:rFonts w:asciiTheme="minorHAnsi" w:hAnsiTheme="minorHAnsi" w:cstheme="minorHAnsi"/>
          <w:b/>
          <w:i/>
        </w:rPr>
        <w:t>transition</w:t>
      </w:r>
      <w:r w:rsidRPr="007C0B4F">
        <w:rPr>
          <w:rFonts w:asciiTheme="minorHAnsi" w:hAnsiTheme="minorHAnsi" w:cstheme="minorHAnsi"/>
          <w:b/>
        </w:rPr>
        <w:t xml:space="preserve"> from primary to junior-secondary is high.</w:t>
      </w:r>
      <w:r w:rsidRPr="007C0B4F">
        <w:rPr>
          <w:rStyle w:val="FootnoteReference"/>
          <w:rFonts w:asciiTheme="minorHAnsi" w:hAnsiTheme="minorHAnsi" w:cstheme="minorHAnsi"/>
        </w:rPr>
        <w:footnoteReference w:id="2"/>
      </w:r>
      <w:r w:rsidRPr="007C0B4F">
        <w:rPr>
          <w:rFonts w:asciiTheme="minorHAnsi" w:hAnsiTheme="minorHAnsi" w:cstheme="minorHAnsi"/>
          <w:b/>
        </w:rPr>
        <w:t xml:space="preserve">  </w:t>
      </w:r>
      <w:r w:rsidRPr="007C0B4F">
        <w:rPr>
          <w:rFonts w:asciiTheme="minorHAnsi" w:hAnsiTheme="minorHAnsi" w:cstheme="minorHAnsi"/>
        </w:rPr>
        <w:t>There are strong financial drivers for this due to increasing costs for households at the junior-secondary level.  But perceptions of the value of education – largely derived from perception of the quality of education service delivery – were also identified as a key driver.</w:t>
      </w:r>
    </w:p>
    <w:p w14:paraId="475C99F8" w14:textId="77777777" w:rsidR="0095178E" w:rsidRPr="007C0B4F" w:rsidRDefault="0095178E" w:rsidP="00873635">
      <w:pPr>
        <w:rPr>
          <w:rFonts w:asciiTheme="minorHAnsi" w:hAnsiTheme="minorHAnsi" w:cstheme="minorHAnsi"/>
        </w:rPr>
      </w:pPr>
      <w:r w:rsidRPr="007C0B4F">
        <w:rPr>
          <w:rFonts w:asciiTheme="minorHAnsi" w:hAnsiTheme="minorHAnsi" w:cstheme="minorHAnsi"/>
          <w:b/>
        </w:rPr>
        <w:t>Enrolment rates in Indonesia are not, however, truly reflective of the opportunity to participate in learning</w:t>
      </w:r>
      <w:r w:rsidRPr="007C0B4F">
        <w:rPr>
          <w:rFonts w:asciiTheme="minorHAnsi" w:hAnsiTheme="minorHAnsi" w:cstheme="minorHAnsi"/>
        </w:rPr>
        <w:t>.</w:t>
      </w:r>
      <w:r w:rsidRPr="007C0B4F">
        <w:rPr>
          <w:rStyle w:val="FootnoteReference"/>
          <w:rFonts w:asciiTheme="minorHAnsi" w:hAnsiTheme="minorHAnsi" w:cstheme="minorHAnsi"/>
        </w:rPr>
        <w:footnoteReference w:id="3"/>
      </w:r>
      <w:r w:rsidRPr="007C0B4F">
        <w:rPr>
          <w:rFonts w:asciiTheme="minorHAnsi" w:hAnsiTheme="minorHAnsi" w:cstheme="minorHAnsi"/>
        </w:rPr>
        <w:t xml:space="preserve">  This issue is explored further below in the analysis of the quality of education services.</w:t>
      </w:r>
    </w:p>
    <w:p w14:paraId="475C99F9" w14:textId="77777777" w:rsidR="00873635" w:rsidRPr="007C0B4F" w:rsidRDefault="00873635" w:rsidP="00740211">
      <w:pPr>
        <w:pStyle w:val="Heading3"/>
        <w:numPr>
          <w:ilvl w:val="0"/>
          <w:numId w:val="0"/>
        </w:numPr>
        <w:ind w:left="431"/>
        <w:rPr>
          <w:b w:val="0"/>
          <w:i/>
          <w:u w:val="single"/>
        </w:rPr>
      </w:pPr>
      <w:bookmarkStart w:id="8" w:name="_Toc361407137"/>
      <w:bookmarkStart w:id="9" w:name="_Toc365366025"/>
      <w:r w:rsidRPr="007C0B4F">
        <w:rPr>
          <w:b w:val="0"/>
          <w:i/>
          <w:u w:val="single"/>
        </w:rPr>
        <w:t>Quality</w:t>
      </w:r>
      <w:bookmarkEnd w:id="8"/>
      <w:bookmarkEnd w:id="9"/>
    </w:p>
    <w:p w14:paraId="475C99FA" w14:textId="77777777" w:rsidR="00873635" w:rsidRPr="007C0B4F" w:rsidRDefault="00873635" w:rsidP="00873635">
      <w:pPr>
        <w:rPr>
          <w:rFonts w:asciiTheme="minorHAnsi" w:hAnsiTheme="minorHAnsi" w:cstheme="minorHAnsi"/>
        </w:rPr>
      </w:pPr>
      <w:r w:rsidRPr="007C0B4F">
        <w:rPr>
          <w:rFonts w:asciiTheme="minorHAnsi" w:hAnsiTheme="minorHAnsi" w:cstheme="minorHAnsi"/>
          <w:b/>
        </w:rPr>
        <w:t>Available evidence suggests that Indonesia’s significant investment in education is not currently delivering strong learning outcomes for students.</w:t>
      </w:r>
      <w:r w:rsidRPr="007C0B4F">
        <w:rPr>
          <w:rFonts w:asciiTheme="minorHAnsi" w:hAnsiTheme="minorHAnsi" w:cstheme="minorHAnsi"/>
        </w:rPr>
        <w:t xml:space="preserve">  </w:t>
      </w:r>
      <w:r w:rsidR="00F90255" w:rsidRPr="007C0B4F">
        <w:rPr>
          <w:rFonts w:asciiTheme="minorHAnsi" w:hAnsiTheme="minorHAnsi" w:cstheme="minorHAnsi"/>
        </w:rPr>
        <w:t xml:space="preserve">International test results (2007 TIMSS) show Indonesian performance to be lower than that of countries at a similar point in their development, even after controlling for socio-economic status.  </w:t>
      </w:r>
      <w:r w:rsidRPr="007C0B4F">
        <w:rPr>
          <w:rFonts w:asciiTheme="minorHAnsi" w:hAnsiTheme="minorHAnsi" w:cstheme="minorHAnsi"/>
        </w:rPr>
        <w:t>While the national exam has con</w:t>
      </w:r>
      <w:r w:rsidR="004F2895" w:rsidRPr="007C0B4F">
        <w:rPr>
          <w:rFonts w:asciiTheme="minorHAnsi" w:hAnsiTheme="minorHAnsi" w:cstheme="minorHAnsi"/>
        </w:rPr>
        <w:t>sistently high pass rates (99.5 per cent</w:t>
      </w:r>
      <w:r w:rsidRPr="007C0B4F">
        <w:rPr>
          <w:rFonts w:asciiTheme="minorHAnsi" w:hAnsiTheme="minorHAnsi" w:cstheme="minorHAnsi"/>
        </w:rPr>
        <w:t xml:space="preserve"> for year 12), there are many issues related to its validity as an indicator of learning outcomes.</w:t>
      </w:r>
      <w:r w:rsidR="00F90255" w:rsidRPr="007C0B4F">
        <w:rPr>
          <w:rFonts w:asciiTheme="minorHAnsi" w:hAnsiTheme="minorHAnsi" w:cstheme="minorHAnsi"/>
        </w:rPr>
        <w:t xml:space="preserve">  Consequently, robust assessment of learning outcomes must rely on research studies which include independent measures of student learning and on analysis of the results of the international tests in which Indonesia participates (including PIRLS, PISA and TIMSS).  A</w:t>
      </w:r>
      <w:r w:rsidR="005905A0" w:rsidRPr="007C0B4F">
        <w:rPr>
          <w:rFonts w:asciiTheme="minorHAnsi" w:hAnsiTheme="minorHAnsi" w:cstheme="minorHAnsi"/>
        </w:rPr>
        <w:t xml:space="preserve"> small national study</w:t>
      </w:r>
      <w:r w:rsidR="00F90255" w:rsidRPr="007C0B4F">
        <w:rPr>
          <w:rFonts w:asciiTheme="minorHAnsi" w:hAnsiTheme="minorHAnsi" w:cstheme="minorHAnsi"/>
        </w:rPr>
        <w:t xml:space="preserve"> of the achievement of Year 9</w:t>
      </w:r>
      <w:r w:rsidR="005905A0" w:rsidRPr="007C0B4F">
        <w:rPr>
          <w:rFonts w:asciiTheme="minorHAnsi" w:hAnsiTheme="minorHAnsi" w:cstheme="minorHAnsi"/>
        </w:rPr>
        <w:t xml:space="preserve"> madrasah</w:t>
      </w:r>
      <w:r w:rsidR="00F90255" w:rsidRPr="007C0B4F">
        <w:rPr>
          <w:rFonts w:asciiTheme="minorHAnsi" w:hAnsiTheme="minorHAnsi" w:cstheme="minorHAnsi"/>
        </w:rPr>
        <w:t xml:space="preserve"> </w:t>
      </w:r>
      <w:r w:rsidR="0002147C" w:rsidRPr="007C0B4F">
        <w:rPr>
          <w:rFonts w:asciiTheme="minorHAnsi" w:hAnsiTheme="minorHAnsi" w:cstheme="minorHAnsi"/>
        </w:rPr>
        <w:t xml:space="preserve">students in math, science, Bahasa Indonesia and </w:t>
      </w:r>
      <w:r w:rsidR="0002147C" w:rsidRPr="007C0B4F">
        <w:rPr>
          <w:rFonts w:asciiTheme="minorHAnsi" w:hAnsiTheme="minorHAnsi" w:cstheme="minorHAnsi"/>
        </w:rPr>
        <w:lastRenderedPageBreak/>
        <w:t>English supports the overall PISA and TIMSS findings which indicate that the majority of Indonesian students taking the tests fail to score above the lowest benchmarks.</w:t>
      </w:r>
      <w:r w:rsidR="0002147C" w:rsidRPr="007C0B4F">
        <w:rPr>
          <w:rStyle w:val="FootnoteReference"/>
          <w:rFonts w:asciiTheme="minorHAnsi" w:hAnsiTheme="minorHAnsi" w:cstheme="minorHAnsi"/>
        </w:rPr>
        <w:footnoteReference w:id="4"/>
      </w:r>
      <w:r w:rsidRPr="007C0B4F">
        <w:rPr>
          <w:rFonts w:asciiTheme="minorHAnsi" w:hAnsiTheme="minorHAnsi" w:cstheme="minorHAnsi"/>
        </w:rPr>
        <w:t xml:space="preserve"> </w:t>
      </w:r>
    </w:p>
    <w:p w14:paraId="475C99FB" w14:textId="77777777" w:rsidR="00EC25CF" w:rsidRPr="007C0B4F" w:rsidRDefault="0002147C" w:rsidP="00873635">
      <w:pPr>
        <w:rPr>
          <w:rFonts w:asciiTheme="minorHAnsi" w:hAnsiTheme="minorHAnsi" w:cstheme="minorHAnsi"/>
        </w:rPr>
      </w:pPr>
      <w:r w:rsidRPr="007C0B4F">
        <w:rPr>
          <w:rFonts w:asciiTheme="minorHAnsi" w:hAnsiTheme="minorHAnsi" w:cstheme="minorHAnsi"/>
          <w:b/>
        </w:rPr>
        <w:t xml:space="preserve">The knowledge and capacity of the majority of teachers, principals and supervisors is well below what may be needed to deliver quality education.  </w:t>
      </w:r>
      <w:r w:rsidRPr="007C0B4F">
        <w:rPr>
          <w:rFonts w:asciiTheme="minorHAnsi" w:hAnsiTheme="minorHAnsi" w:cstheme="minorHAnsi"/>
        </w:rPr>
        <w:t>GoI efforts to improve the quality of learning outcomes in the past 6-8 years have focused mainly on a massive national program of upgrading teacher qualifications and implementing a national certification process to ensure that teachers have appropriate subject knowledge and pedagogical skills.  These efforts have thus far failed to deliver results.  Two World Bank studies have shown that students of certified teachers score lower on achievement tests than students of non-certified teachers, and that principals and supervisors score even lower than certified teachers on the competence tests.  The same results were obtained in a study undertaken by local researchers at Padjadjaran University.</w:t>
      </w:r>
      <w:r w:rsidRPr="007C0B4F">
        <w:rPr>
          <w:rStyle w:val="FootnoteReference"/>
          <w:rFonts w:asciiTheme="minorHAnsi" w:hAnsiTheme="minorHAnsi" w:cstheme="minorHAnsi"/>
        </w:rPr>
        <w:footnoteReference w:id="5"/>
      </w:r>
      <w:r w:rsidRPr="007C0B4F">
        <w:rPr>
          <w:rFonts w:asciiTheme="minorHAnsi" w:hAnsiTheme="minorHAnsi" w:cstheme="minorHAnsi"/>
        </w:rPr>
        <w:t xml:space="preserve">  </w:t>
      </w:r>
    </w:p>
    <w:p w14:paraId="475C99FC" w14:textId="77777777" w:rsidR="00873635" w:rsidRPr="007C0B4F" w:rsidRDefault="00873635" w:rsidP="00873635">
      <w:pPr>
        <w:rPr>
          <w:rFonts w:asciiTheme="minorHAnsi" w:hAnsiTheme="minorHAnsi" w:cstheme="minorHAnsi"/>
        </w:rPr>
      </w:pPr>
      <w:r w:rsidRPr="007C0B4F">
        <w:rPr>
          <w:rFonts w:asciiTheme="minorHAnsi" w:hAnsiTheme="minorHAnsi" w:cstheme="minorHAnsi"/>
        </w:rPr>
        <w:t xml:space="preserve">Challenges related to improving the quality of education are not only about teacher qualifications and competency but also other supporting elements such as curriculum, learning process, assessment, availability of learning resources, and the implementation of quality control.  </w:t>
      </w:r>
    </w:p>
    <w:p w14:paraId="475C99FD" w14:textId="77777777" w:rsidR="00873635" w:rsidRPr="007C0B4F" w:rsidRDefault="00873635" w:rsidP="00421AC9">
      <w:pPr>
        <w:pStyle w:val="Heading3"/>
        <w:numPr>
          <w:ilvl w:val="0"/>
          <w:numId w:val="0"/>
        </w:numPr>
        <w:ind w:left="431"/>
        <w:rPr>
          <w:b w:val="0"/>
          <w:i/>
          <w:u w:val="single"/>
        </w:rPr>
      </w:pPr>
      <w:bookmarkStart w:id="10" w:name="_Toc365366026"/>
      <w:r w:rsidRPr="007C0B4F">
        <w:rPr>
          <w:b w:val="0"/>
          <w:i/>
          <w:u w:val="single"/>
        </w:rPr>
        <w:t>Financing and Governance</w:t>
      </w:r>
      <w:bookmarkEnd w:id="10"/>
    </w:p>
    <w:p w14:paraId="475C99FE" w14:textId="77777777" w:rsidR="00873635" w:rsidRPr="007C0B4F" w:rsidRDefault="00873635" w:rsidP="00873635">
      <w:pPr>
        <w:rPr>
          <w:rFonts w:asciiTheme="minorHAnsi" w:hAnsiTheme="minorHAnsi" w:cstheme="minorHAnsi"/>
        </w:rPr>
      </w:pPr>
      <w:r w:rsidRPr="007C0B4F">
        <w:rPr>
          <w:rFonts w:asciiTheme="minorHAnsi" w:hAnsiTheme="minorHAnsi" w:cstheme="minorHAnsi"/>
          <w:b/>
        </w:rPr>
        <w:t>GoI has substantially increased resources allocated to education</w:t>
      </w:r>
      <w:r w:rsidRPr="007C0B4F">
        <w:rPr>
          <w:rStyle w:val="FootnoteReference"/>
          <w:rFonts w:asciiTheme="minorHAnsi" w:hAnsiTheme="minorHAnsi" w:cstheme="minorHAnsi"/>
        </w:rPr>
        <w:footnoteReference w:id="6"/>
      </w:r>
      <w:r w:rsidR="00F95BD1" w:rsidRPr="007C0B4F">
        <w:rPr>
          <w:rFonts w:asciiTheme="minorHAnsi" w:hAnsiTheme="minorHAnsi" w:cstheme="minorHAnsi"/>
          <w:b/>
        </w:rPr>
        <w:t>.</w:t>
      </w:r>
      <w:r w:rsidRPr="007C0B4F">
        <w:rPr>
          <w:rFonts w:asciiTheme="minorHAnsi" w:hAnsiTheme="minorHAnsi" w:cstheme="minorHAnsi"/>
          <w:b/>
        </w:rPr>
        <w:t xml:space="preserve">  </w:t>
      </w:r>
      <w:r w:rsidR="00B8428B" w:rsidRPr="007C0B4F">
        <w:rPr>
          <w:rFonts w:asciiTheme="minorHAnsi" w:hAnsiTheme="minorHAnsi" w:cstheme="minorHAnsi"/>
          <w:b/>
        </w:rPr>
        <w:t xml:space="preserve"> </w:t>
      </w:r>
      <w:r w:rsidR="00B8428B" w:rsidRPr="007C0B4F">
        <w:rPr>
          <w:rFonts w:asciiTheme="minorHAnsi" w:hAnsiTheme="minorHAnsi" w:cstheme="minorHAnsi"/>
        </w:rPr>
        <w:t xml:space="preserve">Although the government </w:t>
      </w:r>
      <w:r w:rsidR="00564617" w:rsidRPr="007C0B4F">
        <w:rPr>
          <w:rFonts w:asciiTheme="minorHAnsi" w:hAnsiTheme="minorHAnsi" w:cstheme="minorHAnsi"/>
        </w:rPr>
        <w:t>commits 20 per cent</w:t>
      </w:r>
      <w:r w:rsidR="00B8428B" w:rsidRPr="007C0B4F">
        <w:rPr>
          <w:rFonts w:asciiTheme="minorHAnsi" w:hAnsiTheme="minorHAnsi" w:cstheme="minorHAnsi"/>
        </w:rPr>
        <w:t xml:space="preserve"> of its national budget to education (</w:t>
      </w:r>
      <w:r w:rsidRPr="007C0B4F">
        <w:rPr>
          <w:rFonts w:asciiTheme="minorHAnsi" w:hAnsiTheme="minorHAnsi" w:cstheme="minorHAnsi"/>
        </w:rPr>
        <w:t xml:space="preserve">Rp. 311 trillion </w:t>
      </w:r>
      <w:r w:rsidR="00B8428B" w:rsidRPr="007C0B4F">
        <w:rPr>
          <w:rFonts w:asciiTheme="minorHAnsi" w:hAnsiTheme="minorHAnsi" w:cstheme="minorHAnsi"/>
        </w:rPr>
        <w:t>or USD35.3 billion in 2012</w:t>
      </w:r>
      <w:r w:rsidR="00CE0EBB" w:rsidRPr="007C0B4F">
        <w:rPr>
          <w:rFonts w:asciiTheme="minorHAnsi" w:hAnsiTheme="minorHAnsi" w:cstheme="minorHAnsi"/>
        </w:rPr>
        <w:t>)</w:t>
      </w:r>
      <w:r w:rsidR="00B8428B" w:rsidRPr="007C0B4F">
        <w:rPr>
          <w:rFonts w:asciiTheme="minorHAnsi" w:hAnsiTheme="minorHAnsi" w:cstheme="minorHAnsi"/>
        </w:rPr>
        <w:t xml:space="preserve">, projections suggest that </w:t>
      </w:r>
      <w:r w:rsidR="00F95BD1" w:rsidRPr="007C0B4F">
        <w:rPr>
          <w:rFonts w:asciiTheme="minorHAnsi" w:hAnsiTheme="minorHAnsi" w:cstheme="minorHAnsi"/>
        </w:rPr>
        <w:t xml:space="preserve">in the near future </w:t>
      </w:r>
      <w:r w:rsidR="00B8428B" w:rsidRPr="007C0B4F">
        <w:rPr>
          <w:rFonts w:asciiTheme="minorHAnsi" w:hAnsiTheme="minorHAnsi" w:cstheme="minorHAnsi"/>
        </w:rPr>
        <w:t xml:space="preserve">the vast majority of this  </w:t>
      </w:r>
      <w:r w:rsidR="00F95BD1" w:rsidRPr="007C0B4F">
        <w:rPr>
          <w:rFonts w:asciiTheme="minorHAnsi" w:hAnsiTheme="minorHAnsi" w:cstheme="minorHAnsi"/>
        </w:rPr>
        <w:t>will be required to finance recurrent cost</w:t>
      </w:r>
      <w:r w:rsidR="00C73EAC" w:rsidRPr="007C0B4F">
        <w:rPr>
          <w:rFonts w:asciiTheme="minorHAnsi" w:hAnsiTheme="minorHAnsi" w:cstheme="minorHAnsi"/>
        </w:rPr>
        <w:t>s</w:t>
      </w:r>
      <w:r w:rsidR="00F95BD1" w:rsidRPr="007C0B4F">
        <w:rPr>
          <w:rFonts w:asciiTheme="minorHAnsi" w:hAnsiTheme="minorHAnsi" w:cstheme="minorHAnsi"/>
        </w:rPr>
        <w:t xml:space="preserve"> </w:t>
      </w:r>
      <w:r w:rsidRPr="007C0B4F">
        <w:rPr>
          <w:rFonts w:asciiTheme="minorHAnsi" w:hAnsiTheme="minorHAnsi" w:cstheme="minorHAnsi"/>
        </w:rPr>
        <w:t>(salaries</w:t>
      </w:r>
      <w:r w:rsidR="00F95BD1" w:rsidRPr="007C0B4F">
        <w:rPr>
          <w:rFonts w:asciiTheme="minorHAnsi" w:hAnsiTheme="minorHAnsi" w:cstheme="minorHAnsi"/>
        </w:rPr>
        <w:t xml:space="preserve">, </w:t>
      </w:r>
      <w:r w:rsidRPr="007C0B4F">
        <w:rPr>
          <w:rFonts w:asciiTheme="minorHAnsi" w:hAnsiTheme="minorHAnsi" w:cstheme="minorHAnsi"/>
        </w:rPr>
        <w:t>infrastructure maintenance</w:t>
      </w:r>
      <w:r w:rsidR="00F95BD1" w:rsidRPr="007C0B4F">
        <w:rPr>
          <w:rFonts w:asciiTheme="minorHAnsi" w:hAnsiTheme="minorHAnsi" w:cstheme="minorHAnsi"/>
        </w:rPr>
        <w:t>, etc.</w:t>
      </w:r>
      <w:r w:rsidRPr="007C0B4F">
        <w:rPr>
          <w:rFonts w:asciiTheme="minorHAnsi" w:hAnsiTheme="minorHAnsi" w:cstheme="minorHAnsi"/>
        </w:rPr>
        <w:t xml:space="preserve">).  </w:t>
      </w:r>
      <w:r w:rsidR="00F95BD1" w:rsidRPr="007C0B4F">
        <w:rPr>
          <w:rFonts w:asciiTheme="minorHAnsi" w:hAnsiTheme="minorHAnsi" w:cstheme="minorHAnsi"/>
        </w:rPr>
        <w:t xml:space="preserve">As the teacher salary bill </w:t>
      </w:r>
      <w:r w:rsidR="00564617" w:rsidRPr="007C0B4F">
        <w:rPr>
          <w:rFonts w:asciiTheme="minorHAnsi" w:hAnsiTheme="minorHAnsi" w:cstheme="minorHAnsi"/>
        </w:rPr>
        <w:t>rises</w:t>
      </w:r>
      <w:r w:rsidR="00F95BD1" w:rsidRPr="007C0B4F">
        <w:rPr>
          <w:rFonts w:asciiTheme="minorHAnsi" w:hAnsiTheme="minorHAnsi" w:cstheme="minorHAnsi"/>
        </w:rPr>
        <w:t xml:space="preserve"> due to increase</w:t>
      </w:r>
      <w:r w:rsidR="00CE0EBB" w:rsidRPr="007C0B4F">
        <w:rPr>
          <w:rFonts w:asciiTheme="minorHAnsi" w:hAnsiTheme="minorHAnsi" w:cstheme="minorHAnsi"/>
        </w:rPr>
        <w:t>s in the</w:t>
      </w:r>
      <w:r w:rsidR="00F95BD1" w:rsidRPr="007C0B4F">
        <w:rPr>
          <w:rFonts w:asciiTheme="minorHAnsi" w:hAnsiTheme="minorHAnsi" w:cstheme="minorHAnsi"/>
        </w:rPr>
        <w:t xml:space="preserve"> number of newly certified existing teachers, the amount of public financing available for </w:t>
      </w:r>
      <w:r w:rsidR="00C73EAC" w:rsidRPr="007C0B4F">
        <w:rPr>
          <w:rFonts w:asciiTheme="minorHAnsi" w:hAnsiTheme="minorHAnsi" w:cstheme="minorHAnsi"/>
        </w:rPr>
        <w:t xml:space="preserve">other </w:t>
      </w:r>
      <w:r w:rsidR="00F95BD1" w:rsidRPr="007C0B4F">
        <w:rPr>
          <w:rFonts w:asciiTheme="minorHAnsi" w:hAnsiTheme="minorHAnsi" w:cstheme="minorHAnsi"/>
        </w:rPr>
        <w:t xml:space="preserve">quality-focused reforms will be </w:t>
      </w:r>
      <w:r w:rsidR="00EC25CF" w:rsidRPr="007C0B4F">
        <w:rPr>
          <w:rFonts w:asciiTheme="minorHAnsi" w:hAnsiTheme="minorHAnsi" w:cstheme="minorHAnsi"/>
        </w:rPr>
        <w:t xml:space="preserve">severely </w:t>
      </w:r>
      <w:r w:rsidR="00F95BD1" w:rsidRPr="007C0B4F">
        <w:rPr>
          <w:rFonts w:asciiTheme="minorHAnsi" w:hAnsiTheme="minorHAnsi" w:cstheme="minorHAnsi"/>
        </w:rPr>
        <w:t>limited</w:t>
      </w:r>
      <w:r w:rsidR="00C73EAC" w:rsidRPr="007C0B4F">
        <w:rPr>
          <w:rFonts w:asciiTheme="minorHAnsi" w:hAnsiTheme="minorHAnsi" w:cstheme="minorHAnsi"/>
        </w:rPr>
        <w:t>. It is probable,</w:t>
      </w:r>
      <w:r w:rsidR="00564617" w:rsidRPr="007C0B4F">
        <w:rPr>
          <w:rFonts w:asciiTheme="minorHAnsi" w:hAnsiTheme="minorHAnsi" w:cstheme="minorHAnsi"/>
        </w:rPr>
        <w:t xml:space="preserve"> therefore, that </w:t>
      </w:r>
      <w:r w:rsidR="00B92099" w:rsidRPr="007C0B4F">
        <w:rPr>
          <w:rFonts w:asciiTheme="minorHAnsi" w:hAnsiTheme="minorHAnsi" w:cstheme="minorHAnsi"/>
        </w:rPr>
        <w:t xml:space="preserve">where </w:t>
      </w:r>
      <w:r w:rsidR="00564617" w:rsidRPr="007C0B4F">
        <w:rPr>
          <w:rFonts w:asciiTheme="minorHAnsi" w:hAnsiTheme="minorHAnsi" w:cstheme="minorHAnsi"/>
        </w:rPr>
        <w:t xml:space="preserve"> non</w:t>
      </w:r>
      <w:r w:rsidR="00564617" w:rsidRPr="007C0B4F">
        <w:rPr>
          <w:rFonts w:asciiTheme="minorHAnsi" w:hAnsiTheme="minorHAnsi" w:cstheme="minorHAnsi"/>
        </w:rPr>
        <w:noBreakHyphen/>
      </w:r>
      <w:r w:rsidR="00C73EAC" w:rsidRPr="007C0B4F">
        <w:rPr>
          <w:rFonts w:asciiTheme="minorHAnsi" w:hAnsiTheme="minorHAnsi" w:cstheme="minorHAnsi"/>
        </w:rPr>
        <w:t xml:space="preserve">salary central funding </w:t>
      </w:r>
      <w:r w:rsidR="00B92099" w:rsidRPr="007C0B4F">
        <w:rPr>
          <w:rFonts w:asciiTheme="minorHAnsi" w:hAnsiTheme="minorHAnsi" w:cstheme="minorHAnsi"/>
        </w:rPr>
        <w:t xml:space="preserve">is </w:t>
      </w:r>
      <w:r w:rsidR="00C73EAC" w:rsidRPr="007C0B4F">
        <w:rPr>
          <w:rFonts w:asciiTheme="minorHAnsi" w:hAnsiTheme="minorHAnsi" w:cstheme="minorHAnsi"/>
        </w:rPr>
        <w:t xml:space="preserve">available </w:t>
      </w:r>
      <w:r w:rsidR="00B92099" w:rsidRPr="007C0B4F">
        <w:rPr>
          <w:rFonts w:asciiTheme="minorHAnsi" w:hAnsiTheme="minorHAnsi" w:cstheme="minorHAnsi"/>
        </w:rPr>
        <w:t xml:space="preserve">it </w:t>
      </w:r>
      <w:r w:rsidR="00C73EAC" w:rsidRPr="007C0B4F">
        <w:rPr>
          <w:rFonts w:asciiTheme="minorHAnsi" w:hAnsiTheme="minorHAnsi" w:cstheme="minorHAnsi"/>
        </w:rPr>
        <w:t>will be applied</w:t>
      </w:r>
      <w:r w:rsidR="00B92099" w:rsidRPr="007C0B4F">
        <w:rPr>
          <w:rFonts w:asciiTheme="minorHAnsi" w:hAnsiTheme="minorHAnsi" w:cstheme="minorHAnsi"/>
        </w:rPr>
        <w:t xml:space="preserve"> to </w:t>
      </w:r>
      <w:r w:rsidR="00F95BD1" w:rsidRPr="007C0B4F">
        <w:rPr>
          <w:rFonts w:asciiTheme="minorHAnsi" w:hAnsiTheme="minorHAnsi" w:cstheme="minorHAnsi"/>
        </w:rPr>
        <w:t xml:space="preserve">current </w:t>
      </w:r>
      <w:r w:rsidR="00C73EAC" w:rsidRPr="007C0B4F">
        <w:rPr>
          <w:rFonts w:asciiTheme="minorHAnsi" w:hAnsiTheme="minorHAnsi" w:cstheme="minorHAnsi"/>
        </w:rPr>
        <w:t>quality related commitments</w:t>
      </w:r>
      <w:r w:rsidR="00B92099" w:rsidRPr="007C0B4F">
        <w:rPr>
          <w:rFonts w:asciiTheme="minorHAnsi" w:hAnsiTheme="minorHAnsi" w:cstheme="minorHAnsi"/>
        </w:rPr>
        <w:t xml:space="preserve">, leaving </w:t>
      </w:r>
      <w:r w:rsidR="00C73EAC" w:rsidRPr="007C0B4F">
        <w:rPr>
          <w:rFonts w:asciiTheme="minorHAnsi" w:hAnsiTheme="minorHAnsi" w:cstheme="minorHAnsi"/>
        </w:rPr>
        <w:t xml:space="preserve">few resources </w:t>
      </w:r>
      <w:r w:rsidR="00B92099" w:rsidRPr="007C0B4F">
        <w:rPr>
          <w:rFonts w:asciiTheme="minorHAnsi" w:hAnsiTheme="minorHAnsi" w:cstheme="minorHAnsi"/>
        </w:rPr>
        <w:t>to</w:t>
      </w:r>
      <w:r w:rsidR="00F95BD1" w:rsidRPr="007C0B4F">
        <w:rPr>
          <w:rFonts w:asciiTheme="minorHAnsi" w:hAnsiTheme="minorHAnsi" w:cstheme="minorHAnsi"/>
        </w:rPr>
        <w:t xml:space="preserve"> research, trial, disseminate and finance new </w:t>
      </w:r>
      <w:r w:rsidR="00C73EAC" w:rsidRPr="007C0B4F">
        <w:rPr>
          <w:rFonts w:asciiTheme="minorHAnsi" w:hAnsiTheme="minorHAnsi" w:cstheme="minorHAnsi"/>
        </w:rPr>
        <w:t>initiatives.</w:t>
      </w:r>
      <w:r w:rsidR="00F95BD1" w:rsidRPr="007C0B4F">
        <w:rPr>
          <w:rFonts w:asciiTheme="minorHAnsi" w:hAnsiTheme="minorHAnsi" w:cstheme="minorHAnsi"/>
        </w:rPr>
        <w:t xml:space="preserve">    </w:t>
      </w:r>
      <w:r w:rsidR="00B8428B" w:rsidRPr="007C0B4F">
        <w:rPr>
          <w:rFonts w:asciiTheme="minorHAnsi" w:hAnsiTheme="minorHAnsi" w:cstheme="minorHAnsi"/>
        </w:rPr>
        <w:t xml:space="preserve">  </w:t>
      </w:r>
    </w:p>
    <w:p w14:paraId="475C99FF" w14:textId="77777777" w:rsidR="00873635" w:rsidRPr="007C0B4F" w:rsidRDefault="00873635" w:rsidP="00873635">
      <w:pPr>
        <w:rPr>
          <w:rFonts w:asciiTheme="minorHAnsi" w:hAnsiTheme="minorHAnsi" w:cstheme="minorHAnsi"/>
        </w:rPr>
      </w:pPr>
      <w:r w:rsidRPr="007C0B4F">
        <w:rPr>
          <w:rFonts w:asciiTheme="minorHAnsi" w:hAnsiTheme="minorHAnsi" w:cstheme="minorHAnsi"/>
          <w:b/>
        </w:rPr>
        <w:t>Gove</w:t>
      </w:r>
      <w:r w:rsidR="00C73EAC" w:rsidRPr="007C0B4F">
        <w:rPr>
          <w:rFonts w:asciiTheme="minorHAnsi" w:hAnsiTheme="minorHAnsi" w:cstheme="minorHAnsi"/>
          <w:b/>
        </w:rPr>
        <w:t xml:space="preserve">rnance of the system is complex: there are multiple </w:t>
      </w:r>
      <w:r w:rsidR="00E0158B" w:rsidRPr="007C0B4F">
        <w:rPr>
          <w:rFonts w:asciiTheme="minorHAnsi" w:hAnsiTheme="minorHAnsi" w:cstheme="minorHAnsi"/>
          <w:b/>
        </w:rPr>
        <w:t xml:space="preserve">central </w:t>
      </w:r>
      <w:r w:rsidR="00C73EAC" w:rsidRPr="007C0B4F">
        <w:rPr>
          <w:rFonts w:asciiTheme="minorHAnsi" w:hAnsiTheme="minorHAnsi" w:cstheme="minorHAnsi"/>
          <w:b/>
        </w:rPr>
        <w:t>ministries involved and three layers of government share responsibility for services.</w:t>
      </w:r>
      <w:r w:rsidRPr="007C0B4F">
        <w:rPr>
          <w:rFonts w:asciiTheme="minorHAnsi" w:hAnsiTheme="minorHAnsi" w:cstheme="minorHAnsi"/>
          <w:b/>
        </w:rPr>
        <w:t xml:space="preserve">  </w:t>
      </w:r>
      <w:r w:rsidRPr="007C0B4F">
        <w:rPr>
          <w:rFonts w:asciiTheme="minorHAnsi" w:hAnsiTheme="minorHAnsi" w:cstheme="minorHAnsi"/>
        </w:rPr>
        <w:t xml:space="preserve">In 2001, the responsibility of many aspects of basic education was devolved to local governments.  Further reforms were introduced in 2003 that provided the legal basis for school based management and </w:t>
      </w:r>
      <w:r w:rsidR="00E0158B" w:rsidRPr="007C0B4F">
        <w:rPr>
          <w:rFonts w:asciiTheme="minorHAnsi" w:hAnsiTheme="minorHAnsi" w:cstheme="minorHAnsi"/>
        </w:rPr>
        <w:t>formalized</w:t>
      </w:r>
      <w:r w:rsidRPr="007C0B4F">
        <w:rPr>
          <w:rFonts w:asciiTheme="minorHAnsi" w:hAnsiTheme="minorHAnsi" w:cstheme="minorHAnsi"/>
        </w:rPr>
        <w:t xml:space="preserve"> school committees in an effort to encourage local community participation and strengthen the accountability between service providers and their clients.  </w:t>
      </w:r>
      <w:r w:rsidR="00E0158B" w:rsidRPr="007C0B4F">
        <w:rPr>
          <w:rFonts w:asciiTheme="minorHAnsi" w:hAnsiTheme="minorHAnsi" w:cstheme="minorHAnsi"/>
        </w:rPr>
        <w:t xml:space="preserve">Non-government providers are prominent in parts of system and have a substantial role in the provision of services to the poor, especially the rural poor.  </w:t>
      </w:r>
    </w:p>
    <w:p w14:paraId="475C9A00" w14:textId="77777777" w:rsidR="00873635" w:rsidRPr="007C0B4F" w:rsidRDefault="00B8428B" w:rsidP="00873635">
      <w:pPr>
        <w:pStyle w:val="Heading2"/>
        <w:rPr>
          <w:rFonts w:cstheme="minorHAnsi"/>
        </w:rPr>
      </w:pPr>
      <w:bookmarkStart w:id="11" w:name="_Toc361407138"/>
      <w:bookmarkStart w:id="12" w:name="_Toc365366027"/>
      <w:r w:rsidRPr="007C0B4F">
        <w:rPr>
          <w:rFonts w:cstheme="minorHAnsi"/>
        </w:rPr>
        <w:t>Th</w:t>
      </w:r>
      <w:r w:rsidR="00E0158B" w:rsidRPr="007C0B4F">
        <w:rPr>
          <w:rFonts w:cstheme="minorHAnsi"/>
          <w:lang w:val="en-AU"/>
        </w:rPr>
        <w:t>e Reform Agenda</w:t>
      </w:r>
      <w:bookmarkEnd w:id="11"/>
      <w:bookmarkEnd w:id="12"/>
    </w:p>
    <w:p w14:paraId="475C9A01" w14:textId="77777777" w:rsidR="00873635" w:rsidRPr="007C0B4F" w:rsidRDefault="00873635" w:rsidP="00873635">
      <w:pPr>
        <w:rPr>
          <w:rFonts w:asciiTheme="minorHAnsi" w:hAnsiTheme="minorHAnsi" w:cstheme="minorHAnsi"/>
        </w:rPr>
      </w:pPr>
      <w:r w:rsidRPr="007C0B4F">
        <w:rPr>
          <w:rFonts w:asciiTheme="minorHAnsi" w:hAnsiTheme="minorHAnsi" w:cstheme="minorHAnsi"/>
          <w:b/>
        </w:rPr>
        <w:t xml:space="preserve">Improving access </w:t>
      </w:r>
      <w:r w:rsidR="003C53AF" w:rsidRPr="007C0B4F">
        <w:rPr>
          <w:rFonts w:asciiTheme="minorHAnsi" w:hAnsiTheme="minorHAnsi" w:cstheme="minorHAnsi"/>
          <w:b/>
        </w:rPr>
        <w:t xml:space="preserve">is </w:t>
      </w:r>
      <w:r w:rsidRPr="007C0B4F">
        <w:rPr>
          <w:rFonts w:asciiTheme="minorHAnsi" w:hAnsiTheme="minorHAnsi" w:cstheme="minorHAnsi"/>
          <w:b/>
        </w:rPr>
        <w:t>a priority for GoI</w:t>
      </w:r>
      <w:r w:rsidRPr="007C0B4F">
        <w:rPr>
          <w:rStyle w:val="FootnoteReference"/>
          <w:rFonts w:asciiTheme="minorHAnsi" w:hAnsiTheme="minorHAnsi" w:cstheme="minorHAnsi"/>
        </w:rPr>
        <w:footnoteReference w:id="7"/>
      </w:r>
      <w:r w:rsidRPr="007C0B4F">
        <w:rPr>
          <w:rFonts w:asciiTheme="minorHAnsi" w:hAnsiTheme="minorHAnsi" w:cstheme="minorHAnsi"/>
          <w:b/>
        </w:rPr>
        <w:t xml:space="preserve"> </w:t>
      </w:r>
      <w:r w:rsidR="00E0158B" w:rsidRPr="007C0B4F">
        <w:rPr>
          <w:rFonts w:asciiTheme="minorHAnsi" w:hAnsiTheme="minorHAnsi" w:cstheme="minorHAnsi"/>
          <w:b/>
        </w:rPr>
        <w:t xml:space="preserve">that </w:t>
      </w:r>
      <w:r w:rsidRPr="007C0B4F">
        <w:rPr>
          <w:rFonts w:asciiTheme="minorHAnsi" w:hAnsiTheme="minorHAnsi" w:cstheme="minorHAnsi"/>
          <w:b/>
        </w:rPr>
        <w:t>has</w:t>
      </w:r>
      <w:r w:rsidR="00822F45" w:rsidRPr="007C0B4F">
        <w:rPr>
          <w:rFonts w:asciiTheme="minorHAnsi" w:hAnsiTheme="minorHAnsi" w:cstheme="minorHAnsi"/>
          <w:b/>
        </w:rPr>
        <w:t xml:space="preserve"> been</w:t>
      </w:r>
      <w:r w:rsidRPr="007C0B4F">
        <w:rPr>
          <w:rFonts w:asciiTheme="minorHAnsi" w:hAnsiTheme="minorHAnsi" w:cstheme="minorHAnsi"/>
          <w:b/>
        </w:rPr>
        <w:t xml:space="preserve"> supported by substantial public investment.</w:t>
      </w:r>
      <w:r w:rsidRPr="007C0B4F">
        <w:rPr>
          <w:rFonts w:asciiTheme="minorHAnsi" w:hAnsiTheme="minorHAnsi" w:cstheme="minorHAnsi"/>
        </w:rPr>
        <w:t xml:space="preserve"> For the past decade the agenda has largely focused on expanding access to basic education with large school construction programs (particularly junior-secondary schools) and addressing </w:t>
      </w:r>
      <w:r w:rsidR="00E0158B" w:rsidRPr="007C0B4F">
        <w:rPr>
          <w:rFonts w:asciiTheme="minorHAnsi" w:hAnsiTheme="minorHAnsi" w:cstheme="minorHAnsi"/>
        </w:rPr>
        <w:t>financial barriers to access.  Since 2</w:t>
      </w:r>
      <w:r w:rsidRPr="007C0B4F">
        <w:rPr>
          <w:rFonts w:asciiTheme="minorHAnsi" w:hAnsiTheme="minorHAnsi" w:cstheme="minorHAnsi"/>
        </w:rPr>
        <w:t xml:space="preserve">005 the national school grants program (BOS) </w:t>
      </w:r>
      <w:r w:rsidR="00E0158B" w:rsidRPr="007C0B4F">
        <w:rPr>
          <w:rFonts w:asciiTheme="minorHAnsi" w:hAnsiTheme="minorHAnsi" w:cstheme="minorHAnsi"/>
        </w:rPr>
        <w:t xml:space="preserve">has provided </w:t>
      </w:r>
      <w:r w:rsidRPr="007C0B4F">
        <w:rPr>
          <w:rFonts w:asciiTheme="minorHAnsi" w:hAnsiTheme="minorHAnsi" w:cstheme="minorHAnsi"/>
        </w:rPr>
        <w:t>vital resources</w:t>
      </w:r>
      <w:r w:rsidR="00E0158B" w:rsidRPr="007C0B4F">
        <w:rPr>
          <w:rFonts w:asciiTheme="minorHAnsi" w:hAnsiTheme="minorHAnsi" w:cstheme="minorHAnsi"/>
        </w:rPr>
        <w:t xml:space="preserve"> to schools and s</w:t>
      </w:r>
      <w:r w:rsidRPr="007C0B4F">
        <w:rPr>
          <w:rFonts w:asciiTheme="minorHAnsi" w:hAnsiTheme="minorHAnsi" w:cstheme="minorHAnsi"/>
        </w:rPr>
        <w:t>upport</w:t>
      </w:r>
      <w:r w:rsidR="00E0158B" w:rsidRPr="007C0B4F">
        <w:rPr>
          <w:rFonts w:asciiTheme="minorHAnsi" w:hAnsiTheme="minorHAnsi" w:cstheme="minorHAnsi"/>
        </w:rPr>
        <w:t xml:space="preserve">ed the institutionalization </w:t>
      </w:r>
      <w:r w:rsidRPr="007C0B4F">
        <w:rPr>
          <w:rFonts w:asciiTheme="minorHAnsi" w:hAnsiTheme="minorHAnsi" w:cstheme="minorHAnsi"/>
        </w:rPr>
        <w:t xml:space="preserve">of earlier school based management reforms.  In </w:t>
      </w:r>
      <w:r w:rsidR="00E0158B" w:rsidRPr="007C0B4F">
        <w:rPr>
          <w:rFonts w:asciiTheme="minorHAnsi" w:hAnsiTheme="minorHAnsi" w:cstheme="minorHAnsi"/>
        </w:rPr>
        <w:t xml:space="preserve">a further attempt to </w:t>
      </w:r>
      <w:r w:rsidR="00B91BCE" w:rsidRPr="007C0B4F">
        <w:rPr>
          <w:rFonts w:asciiTheme="minorHAnsi" w:hAnsiTheme="minorHAnsi" w:cstheme="minorHAnsi"/>
        </w:rPr>
        <w:t xml:space="preserve">strengthen the workforce the Government, </w:t>
      </w:r>
      <w:r w:rsidR="00E0158B" w:rsidRPr="007C0B4F">
        <w:rPr>
          <w:rFonts w:asciiTheme="minorHAnsi" w:hAnsiTheme="minorHAnsi" w:cstheme="minorHAnsi"/>
        </w:rPr>
        <w:t xml:space="preserve">in </w:t>
      </w:r>
      <w:r w:rsidRPr="007C0B4F">
        <w:rPr>
          <w:rFonts w:asciiTheme="minorHAnsi" w:hAnsiTheme="minorHAnsi" w:cstheme="minorHAnsi"/>
        </w:rPr>
        <w:t>2012</w:t>
      </w:r>
      <w:r w:rsidR="00B91BCE" w:rsidRPr="007C0B4F">
        <w:rPr>
          <w:rFonts w:asciiTheme="minorHAnsi" w:hAnsiTheme="minorHAnsi" w:cstheme="minorHAnsi"/>
        </w:rPr>
        <w:t xml:space="preserve">, </w:t>
      </w:r>
      <w:r w:rsidRPr="007C0B4F">
        <w:rPr>
          <w:rFonts w:asciiTheme="minorHAnsi" w:hAnsiTheme="minorHAnsi" w:cstheme="minorHAnsi"/>
        </w:rPr>
        <w:t>announced a program of universal access to senior secondary education</w:t>
      </w:r>
      <w:r w:rsidR="0095178E" w:rsidRPr="007C0B4F">
        <w:rPr>
          <w:rFonts w:asciiTheme="minorHAnsi" w:hAnsiTheme="minorHAnsi" w:cstheme="minorHAnsi"/>
        </w:rPr>
        <w:t>.</w:t>
      </w:r>
    </w:p>
    <w:p w14:paraId="475C9A02" w14:textId="77777777" w:rsidR="00873635" w:rsidRPr="007C0B4F" w:rsidRDefault="00873635" w:rsidP="00873635">
      <w:pPr>
        <w:rPr>
          <w:rFonts w:asciiTheme="minorHAnsi" w:hAnsiTheme="minorHAnsi" w:cstheme="minorHAnsi"/>
        </w:rPr>
      </w:pPr>
      <w:r w:rsidRPr="007C0B4F">
        <w:rPr>
          <w:rFonts w:asciiTheme="minorHAnsi" w:hAnsiTheme="minorHAnsi" w:cstheme="minorHAnsi"/>
          <w:b/>
        </w:rPr>
        <w:t xml:space="preserve">The agenda is </w:t>
      </w:r>
      <w:r w:rsidR="003C53AF" w:rsidRPr="007C0B4F">
        <w:rPr>
          <w:rFonts w:asciiTheme="minorHAnsi" w:hAnsiTheme="minorHAnsi" w:cstheme="minorHAnsi"/>
          <w:b/>
        </w:rPr>
        <w:t xml:space="preserve">now </w:t>
      </w:r>
      <w:r w:rsidRPr="007C0B4F">
        <w:rPr>
          <w:rFonts w:asciiTheme="minorHAnsi" w:hAnsiTheme="minorHAnsi" w:cstheme="minorHAnsi"/>
          <w:b/>
        </w:rPr>
        <w:t xml:space="preserve">shifting to </w:t>
      </w:r>
      <w:r w:rsidR="003C53AF" w:rsidRPr="007C0B4F">
        <w:rPr>
          <w:rFonts w:asciiTheme="minorHAnsi" w:hAnsiTheme="minorHAnsi" w:cstheme="minorHAnsi"/>
          <w:b/>
        </w:rPr>
        <w:t xml:space="preserve">a </w:t>
      </w:r>
      <w:r w:rsidRPr="007C0B4F">
        <w:rPr>
          <w:rFonts w:asciiTheme="minorHAnsi" w:hAnsiTheme="minorHAnsi" w:cstheme="minorHAnsi"/>
          <w:b/>
        </w:rPr>
        <w:t xml:space="preserve">more </w:t>
      </w:r>
      <w:r w:rsidR="003C53AF" w:rsidRPr="007C0B4F">
        <w:rPr>
          <w:rFonts w:asciiTheme="minorHAnsi" w:hAnsiTheme="minorHAnsi" w:cstheme="minorHAnsi"/>
          <w:b/>
        </w:rPr>
        <w:t xml:space="preserve">sustained focus </w:t>
      </w:r>
      <w:r w:rsidRPr="007C0B4F">
        <w:rPr>
          <w:rFonts w:asciiTheme="minorHAnsi" w:hAnsiTheme="minorHAnsi" w:cstheme="minorHAnsi"/>
          <w:b/>
        </w:rPr>
        <w:t>on improv</w:t>
      </w:r>
      <w:r w:rsidR="003C53AF" w:rsidRPr="007C0B4F">
        <w:rPr>
          <w:rFonts w:asciiTheme="minorHAnsi" w:hAnsiTheme="minorHAnsi" w:cstheme="minorHAnsi"/>
          <w:b/>
        </w:rPr>
        <w:t>ing quality.</w:t>
      </w:r>
      <w:r w:rsidRPr="007C0B4F">
        <w:rPr>
          <w:rFonts w:asciiTheme="minorHAnsi" w:hAnsiTheme="minorHAnsi" w:cstheme="minorHAnsi"/>
        </w:rPr>
        <w:t xml:space="preserve">  </w:t>
      </w:r>
      <w:r w:rsidR="003C53AF" w:rsidRPr="007C0B4F">
        <w:rPr>
          <w:rFonts w:asciiTheme="minorHAnsi" w:hAnsiTheme="minorHAnsi" w:cstheme="minorHAnsi"/>
        </w:rPr>
        <w:t xml:space="preserve">In recent years </w:t>
      </w:r>
      <w:r w:rsidRPr="007C0B4F">
        <w:rPr>
          <w:rFonts w:asciiTheme="minorHAnsi" w:hAnsiTheme="minorHAnsi" w:cstheme="minorHAnsi"/>
        </w:rPr>
        <w:t>the Government</w:t>
      </w:r>
      <w:r w:rsidR="003C53AF" w:rsidRPr="007C0B4F">
        <w:rPr>
          <w:rFonts w:asciiTheme="minorHAnsi" w:hAnsiTheme="minorHAnsi" w:cstheme="minorHAnsi"/>
        </w:rPr>
        <w:t xml:space="preserve"> has embarked on an </w:t>
      </w:r>
      <w:r w:rsidRPr="007C0B4F">
        <w:rPr>
          <w:rFonts w:asciiTheme="minorHAnsi" w:hAnsiTheme="minorHAnsi" w:cstheme="minorHAnsi"/>
        </w:rPr>
        <w:t xml:space="preserve">ambitious agenda </w:t>
      </w:r>
      <w:r w:rsidR="003C53AF" w:rsidRPr="007C0B4F">
        <w:rPr>
          <w:rFonts w:asciiTheme="minorHAnsi" w:hAnsiTheme="minorHAnsi" w:cstheme="minorHAnsi"/>
        </w:rPr>
        <w:t xml:space="preserve">to tackle substantial weaknesses in the system, not least of which are persistently low learning outcomes at all levels.  The legislative and policy </w:t>
      </w:r>
      <w:r w:rsidR="003C53AF" w:rsidRPr="007C0B4F">
        <w:rPr>
          <w:rFonts w:asciiTheme="minorHAnsi" w:hAnsiTheme="minorHAnsi" w:cstheme="minorHAnsi"/>
        </w:rPr>
        <w:lastRenderedPageBreak/>
        <w:t>reforms of 2005 have improved t</w:t>
      </w:r>
      <w:r w:rsidRPr="007C0B4F">
        <w:rPr>
          <w:rFonts w:asciiTheme="minorHAnsi" w:hAnsiTheme="minorHAnsi" w:cstheme="minorHAnsi"/>
        </w:rPr>
        <w:t xml:space="preserve">eacher </w:t>
      </w:r>
      <w:r w:rsidR="003C53AF" w:rsidRPr="007C0B4F">
        <w:rPr>
          <w:rFonts w:asciiTheme="minorHAnsi" w:hAnsiTheme="minorHAnsi" w:cstheme="minorHAnsi"/>
        </w:rPr>
        <w:t>remuneration</w:t>
      </w:r>
      <w:r w:rsidRPr="007C0B4F">
        <w:rPr>
          <w:rFonts w:asciiTheme="minorHAnsi" w:hAnsiTheme="minorHAnsi" w:cstheme="minorHAnsi"/>
        </w:rPr>
        <w:t xml:space="preserve"> and </w:t>
      </w:r>
      <w:r w:rsidR="003C53AF" w:rsidRPr="007C0B4F">
        <w:rPr>
          <w:rFonts w:asciiTheme="minorHAnsi" w:hAnsiTheme="minorHAnsi" w:cstheme="minorHAnsi"/>
        </w:rPr>
        <w:t xml:space="preserve">started to tackle teacher quality issues </w:t>
      </w:r>
      <w:r w:rsidRPr="007C0B4F">
        <w:rPr>
          <w:rFonts w:asciiTheme="minorHAnsi" w:hAnsiTheme="minorHAnsi" w:cstheme="minorHAnsi"/>
        </w:rPr>
        <w:t xml:space="preserve">by introducing certification and a strengthened program of continuous professional development.  </w:t>
      </w:r>
      <w:r w:rsidR="003C53AF" w:rsidRPr="007C0B4F">
        <w:rPr>
          <w:rFonts w:asciiTheme="minorHAnsi" w:hAnsiTheme="minorHAnsi" w:cstheme="minorHAnsi"/>
        </w:rPr>
        <w:t>While it perhaps too early to assess the lasting impact of these reforms, initial findings are not encouraging.</w:t>
      </w:r>
      <w:r w:rsidRPr="007C0B4F">
        <w:rPr>
          <w:rFonts w:asciiTheme="minorHAnsi" w:hAnsiTheme="minorHAnsi" w:cstheme="minorHAnsi"/>
        </w:rPr>
        <w:t xml:space="preserve">   </w:t>
      </w:r>
    </w:p>
    <w:p w14:paraId="475C9A03" w14:textId="77777777" w:rsidR="00873635" w:rsidRPr="007C0B4F" w:rsidRDefault="00873635" w:rsidP="00873635">
      <w:pPr>
        <w:pStyle w:val="Heading2"/>
        <w:rPr>
          <w:rFonts w:cstheme="minorHAnsi"/>
        </w:rPr>
      </w:pPr>
      <w:bookmarkStart w:id="13" w:name="_Toc361407139"/>
      <w:bookmarkStart w:id="14" w:name="_Toc365366028"/>
      <w:r w:rsidRPr="007C0B4F">
        <w:rPr>
          <w:rFonts w:cstheme="minorHAnsi"/>
        </w:rPr>
        <w:t>The evolving role of AusAID</w:t>
      </w:r>
      <w:bookmarkEnd w:id="13"/>
      <w:bookmarkEnd w:id="14"/>
    </w:p>
    <w:p w14:paraId="475C9A04" w14:textId="77777777" w:rsidR="00873635" w:rsidRPr="007C0B4F" w:rsidRDefault="00446C74" w:rsidP="00873635">
      <w:pPr>
        <w:rPr>
          <w:rFonts w:asciiTheme="minorHAnsi" w:hAnsiTheme="minorHAnsi" w:cstheme="minorHAnsi"/>
        </w:rPr>
      </w:pPr>
      <w:r w:rsidRPr="007C0B4F">
        <w:rPr>
          <w:rFonts w:asciiTheme="minorHAnsi" w:hAnsiTheme="minorHAnsi" w:cstheme="minorHAnsi"/>
          <w:b/>
        </w:rPr>
        <w:t xml:space="preserve">Large </w:t>
      </w:r>
      <w:r w:rsidR="00873635" w:rsidRPr="007C0B4F">
        <w:rPr>
          <w:rFonts w:asciiTheme="minorHAnsi" w:hAnsiTheme="minorHAnsi" w:cstheme="minorHAnsi"/>
          <w:b/>
        </w:rPr>
        <w:t xml:space="preserve">public expenditure on education </w:t>
      </w:r>
      <w:r w:rsidRPr="007C0B4F">
        <w:rPr>
          <w:rFonts w:asciiTheme="minorHAnsi" w:hAnsiTheme="minorHAnsi" w:cstheme="minorHAnsi"/>
          <w:b/>
        </w:rPr>
        <w:t>has caused the main role of donors to shift from funding programs to helping shape public investments</w:t>
      </w:r>
      <w:r w:rsidR="00873635" w:rsidRPr="007C0B4F">
        <w:rPr>
          <w:rFonts w:asciiTheme="minorHAnsi" w:hAnsiTheme="minorHAnsi" w:cstheme="minorHAnsi"/>
          <w:b/>
        </w:rPr>
        <w:t>.</w:t>
      </w:r>
      <w:r w:rsidR="00873635" w:rsidRPr="007C0B4F">
        <w:rPr>
          <w:rFonts w:asciiTheme="minorHAnsi" w:hAnsiTheme="minorHAnsi" w:cstheme="minorHAnsi"/>
        </w:rPr>
        <w:t xml:space="preserve">  </w:t>
      </w:r>
      <w:r w:rsidR="00613127" w:rsidRPr="007C0B4F">
        <w:rPr>
          <w:rFonts w:asciiTheme="minorHAnsi" w:hAnsiTheme="minorHAnsi" w:cstheme="minorHAnsi"/>
        </w:rPr>
        <w:t xml:space="preserve">The donor landscape is changing: while GoI are </w:t>
      </w:r>
      <w:r w:rsidR="00873635" w:rsidRPr="007C0B4F">
        <w:rPr>
          <w:rFonts w:asciiTheme="minorHAnsi" w:hAnsiTheme="minorHAnsi" w:cstheme="minorHAnsi"/>
        </w:rPr>
        <w:t xml:space="preserve">no longer </w:t>
      </w:r>
      <w:r w:rsidR="00613127" w:rsidRPr="007C0B4F">
        <w:rPr>
          <w:rFonts w:asciiTheme="minorHAnsi" w:hAnsiTheme="minorHAnsi" w:cstheme="minorHAnsi"/>
        </w:rPr>
        <w:t xml:space="preserve">accessing </w:t>
      </w:r>
      <w:r w:rsidR="00873635" w:rsidRPr="007C0B4F">
        <w:rPr>
          <w:rFonts w:asciiTheme="minorHAnsi" w:hAnsiTheme="minorHAnsi" w:cstheme="minorHAnsi"/>
        </w:rPr>
        <w:t xml:space="preserve">concessional loans </w:t>
      </w:r>
      <w:r w:rsidR="00613127" w:rsidRPr="007C0B4F">
        <w:rPr>
          <w:rFonts w:asciiTheme="minorHAnsi" w:hAnsiTheme="minorHAnsi" w:cstheme="minorHAnsi"/>
        </w:rPr>
        <w:t>for</w:t>
      </w:r>
      <w:r w:rsidR="00873635" w:rsidRPr="007C0B4F">
        <w:rPr>
          <w:rFonts w:asciiTheme="minorHAnsi" w:hAnsiTheme="minorHAnsi" w:cstheme="minorHAnsi"/>
        </w:rPr>
        <w:t xml:space="preserve"> basic education</w:t>
      </w:r>
      <w:r w:rsidR="00613127" w:rsidRPr="007C0B4F">
        <w:rPr>
          <w:rFonts w:asciiTheme="minorHAnsi" w:hAnsiTheme="minorHAnsi" w:cstheme="minorHAnsi"/>
        </w:rPr>
        <w:t xml:space="preserve"> they are seeking intellectual input into the policy process</w:t>
      </w:r>
      <w:r w:rsidR="00D245F3" w:rsidRPr="007C0B4F">
        <w:rPr>
          <w:rFonts w:asciiTheme="minorHAnsi" w:hAnsiTheme="minorHAnsi" w:cstheme="minorHAnsi"/>
        </w:rPr>
        <w:t>,</w:t>
      </w:r>
      <w:r w:rsidR="00613127" w:rsidRPr="007C0B4F">
        <w:rPr>
          <w:rFonts w:asciiTheme="minorHAnsi" w:hAnsiTheme="minorHAnsi" w:cstheme="minorHAnsi"/>
        </w:rPr>
        <w:t xml:space="preserve"> particularly in respect to addressing </w:t>
      </w:r>
      <w:r w:rsidR="00D245F3" w:rsidRPr="007C0B4F">
        <w:rPr>
          <w:rFonts w:asciiTheme="minorHAnsi" w:hAnsiTheme="minorHAnsi" w:cstheme="minorHAnsi"/>
        </w:rPr>
        <w:t>equity</w:t>
      </w:r>
      <w:r w:rsidR="00613127" w:rsidRPr="007C0B4F">
        <w:rPr>
          <w:rFonts w:asciiTheme="minorHAnsi" w:hAnsiTheme="minorHAnsi" w:cstheme="minorHAnsi"/>
        </w:rPr>
        <w:t xml:space="preserve"> and learning shortfalls; the ADB and the US are shifting their focus </w:t>
      </w:r>
      <w:r w:rsidR="00B92099" w:rsidRPr="007C0B4F">
        <w:rPr>
          <w:rFonts w:asciiTheme="minorHAnsi" w:hAnsiTheme="minorHAnsi" w:cstheme="minorHAnsi"/>
        </w:rPr>
        <w:t>to include both b</w:t>
      </w:r>
      <w:r w:rsidR="00613127" w:rsidRPr="007C0B4F">
        <w:rPr>
          <w:rFonts w:asciiTheme="minorHAnsi" w:hAnsiTheme="minorHAnsi" w:cstheme="minorHAnsi"/>
        </w:rPr>
        <w:t xml:space="preserve">asic </w:t>
      </w:r>
      <w:r w:rsidR="00B92099" w:rsidRPr="007C0B4F">
        <w:rPr>
          <w:rFonts w:asciiTheme="minorHAnsi" w:hAnsiTheme="minorHAnsi" w:cstheme="minorHAnsi"/>
        </w:rPr>
        <w:t xml:space="preserve">and </w:t>
      </w:r>
      <w:r w:rsidR="00613127" w:rsidRPr="007C0B4F">
        <w:rPr>
          <w:rFonts w:asciiTheme="minorHAnsi" w:hAnsiTheme="minorHAnsi" w:cstheme="minorHAnsi"/>
        </w:rPr>
        <w:t>post-secondary education and; th</w:t>
      </w:r>
      <w:r w:rsidR="00873635" w:rsidRPr="007C0B4F">
        <w:rPr>
          <w:rFonts w:asciiTheme="minorHAnsi" w:hAnsiTheme="minorHAnsi" w:cstheme="minorHAnsi"/>
        </w:rPr>
        <w:t>e number of donors providing assistance is shrinking</w:t>
      </w:r>
      <w:r w:rsidR="00613127" w:rsidRPr="007C0B4F">
        <w:rPr>
          <w:rFonts w:asciiTheme="minorHAnsi" w:hAnsiTheme="minorHAnsi" w:cstheme="minorHAnsi"/>
        </w:rPr>
        <w:t xml:space="preserve"> (t</w:t>
      </w:r>
      <w:r w:rsidR="00873635" w:rsidRPr="007C0B4F">
        <w:rPr>
          <w:rFonts w:asciiTheme="minorHAnsi" w:hAnsiTheme="minorHAnsi" w:cstheme="minorHAnsi"/>
        </w:rPr>
        <w:t xml:space="preserve">he UK, Netherlands and EU have or will </w:t>
      </w:r>
      <w:r w:rsidR="001B362F" w:rsidRPr="007C0B4F">
        <w:rPr>
          <w:rFonts w:asciiTheme="minorHAnsi" w:hAnsiTheme="minorHAnsi" w:cstheme="minorHAnsi"/>
        </w:rPr>
        <w:t xml:space="preserve">shortly </w:t>
      </w:r>
      <w:r w:rsidR="00873635" w:rsidRPr="007C0B4F">
        <w:rPr>
          <w:rFonts w:asciiTheme="minorHAnsi" w:hAnsiTheme="minorHAnsi" w:cstheme="minorHAnsi"/>
        </w:rPr>
        <w:t>withdraw their assistance</w:t>
      </w:r>
      <w:r w:rsidR="001B362F" w:rsidRPr="007C0B4F">
        <w:rPr>
          <w:rFonts w:asciiTheme="minorHAnsi" w:hAnsiTheme="minorHAnsi" w:cstheme="minorHAnsi"/>
        </w:rPr>
        <w:t xml:space="preserve"> to the sector).</w:t>
      </w:r>
    </w:p>
    <w:p w14:paraId="475C9A05" w14:textId="77777777" w:rsidR="00873635" w:rsidRPr="007C0B4F" w:rsidRDefault="004C1052" w:rsidP="00873635">
      <w:pPr>
        <w:rPr>
          <w:rFonts w:asciiTheme="minorHAnsi" w:hAnsiTheme="minorHAnsi" w:cstheme="minorHAnsi"/>
        </w:rPr>
      </w:pPr>
      <w:r w:rsidRPr="007C0B4F">
        <w:rPr>
          <w:rFonts w:asciiTheme="minorHAnsi" w:hAnsiTheme="minorHAnsi" w:cstheme="minorHAnsi"/>
          <w:b/>
        </w:rPr>
        <w:t xml:space="preserve">AusAID </w:t>
      </w:r>
      <w:r w:rsidR="00D245F3" w:rsidRPr="007C0B4F">
        <w:rPr>
          <w:rFonts w:asciiTheme="minorHAnsi" w:hAnsiTheme="minorHAnsi" w:cstheme="minorHAnsi"/>
          <w:b/>
        </w:rPr>
        <w:t>is responding to this shift in demand</w:t>
      </w:r>
      <w:r w:rsidR="00D245F3" w:rsidRPr="007C0B4F">
        <w:rPr>
          <w:rFonts w:asciiTheme="minorHAnsi" w:hAnsiTheme="minorHAnsi" w:cstheme="minorHAnsi"/>
        </w:rPr>
        <w:t xml:space="preserve">.  </w:t>
      </w:r>
      <w:r w:rsidR="001B362F" w:rsidRPr="007C0B4F">
        <w:rPr>
          <w:rFonts w:asciiTheme="minorHAnsi" w:hAnsiTheme="minorHAnsi" w:cstheme="minorHAnsi"/>
        </w:rPr>
        <w:t xml:space="preserve">Alongside GoI, </w:t>
      </w:r>
      <w:r w:rsidR="00873635" w:rsidRPr="007C0B4F">
        <w:rPr>
          <w:rFonts w:asciiTheme="minorHAnsi" w:hAnsiTheme="minorHAnsi" w:cstheme="minorHAnsi"/>
        </w:rPr>
        <w:t xml:space="preserve">AusAID has </w:t>
      </w:r>
      <w:r w:rsidR="001B362F" w:rsidRPr="007C0B4F">
        <w:rPr>
          <w:rFonts w:asciiTheme="minorHAnsi" w:hAnsiTheme="minorHAnsi" w:cstheme="minorHAnsi"/>
        </w:rPr>
        <w:t xml:space="preserve">shifted its focus and, while continuing to be a </w:t>
      </w:r>
      <w:r w:rsidR="00873635" w:rsidRPr="007C0B4F">
        <w:rPr>
          <w:rFonts w:asciiTheme="minorHAnsi" w:hAnsiTheme="minorHAnsi" w:cstheme="minorHAnsi"/>
        </w:rPr>
        <w:t>strong supporter of expand</w:t>
      </w:r>
      <w:r w:rsidR="001B362F" w:rsidRPr="007C0B4F">
        <w:rPr>
          <w:rFonts w:asciiTheme="minorHAnsi" w:hAnsiTheme="minorHAnsi" w:cstheme="minorHAnsi"/>
        </w:rPr>
        <w:t>ing</w:t>
      </w:r>
      <w:r w:rsidR="00561D65" w:rsidRPr="007C0B4F">
        <w:rPr>
          <w:rFonts w:asciiTheme="minorHAnsi" w:hAnsiTheme="minorHAnsi" w:cstheme="minorHAnsi"/>
        </w:rPr>
        <w:t xml:space="preserve"> participation in </w:t>
      </w:r>
      <w:r w:rsidR="00873635" w:rsidRPr="007C0B4F">
        <w:rPr>
          <w:rFonts w:asciiTheme="minorHAnsi" w:hAnsiTheme="minorHAnsi" w:cstheme="minorHAnsi"/>
        </w:rPr>
        <w:t>basic education</w:t>
      </w:r>
      <w:r w:rsidR="00873635" w:rsidRPr="007C0B4F">
        <w:rPr>
          <w:rStyle w:val="FootnoteReference"/>
          <w:rFonts w:asciiTheme="minorHAnsi" w:hAnsiTheme="minorHAnsi" w:cstheme="minorHAnsi"/>
        </w:rPr>
        <w:footnoteReference w:id="8"/>
      </w:r>
      <w:r w:rsidR="001B362F" w:rsidRPr="007C0B4F">
        <w:rPr>
          <w:rFonts w:asciiTheme="minorHAnsi" w:hAnsiTheme="minorHAnsi" w:cstheme="minorHAnsi"/>
        </w:rPr>
        <w:t>,</w:t>
      </w:r>
      <w:r w:rsidR="00873635" w:rsidRPr="007C0B4F">
        <w:rPr>
          <w:rFonts w:asciiTheme="minorHAnsi" w:hAnsiTheme="minorHAnsi" w:cstheme="minorHAnsi"/>
        </w:rPr>
        <w:t xml:space="preserve"> </w:t>
      </w:r>
      <w:r w:rsidR="001B362F" w:rsidRPr="007C0B4F">
        <w:rPr>
          <w:rFonts w:asciiTheme="minorHAnsi" w:hAnsiTheme="minorHAnsi" w:cstheme="minorHAnsi"/>
        </w:rPr>
        <w:t xml:space="preserve">has broadened its support to include a </w:t>
      </w:r>
      <w:r w:rsidR="006763C2" w:rsidRPr="007C0B4F">
        <w:rPr>
          <w:rFonts w:asciiTheme="minorHAnsi" w:hAnsiTheme="minorHAnsi" w:cstheme="minorHAnsi"/>
        </w:rPr>
        <w:t xml:space="preserve">large investment to improve school management and the quality of Madrasah education via the </w:t>
      </w:r>
      <w:r w:rsidR="00873635" w:rsidRPr="007C0B4F">
        <w:rPr>
          <w:rFonts w:asciiTheme="minorHAnsi" w:hAnsiTheme="minorHAnsi" w:cstheme="minorHAnsi"/>
        </w:rPr>
        <w:t>Education Partners</w:t>
      </w:r>
      <w:r w:rsidR="006763C2" w:rsidRPr="007C0B4F">
        <w:rPr>
          <w:rFonts w:asciiTheme="minorHAnsi" w:hAnsiTheme="minorHAnsi" w:cstheme="minorHAnsi"/>
        </w:rPr>
        <w:t>hip</w:t>
      </w:r>
      <w:r w:rsidR="000049F8" w:rsidRPr="007C0B4F">
        <w:rPr>
          <w:rFonts w:asciiTheme="minorHAnsi" w:hAnsiTheme="minorHAnsi" w:cstheme="minorHAnsi"/>
        </w:rPr>
        <w:t xml:space="preserve"> (EP) (2011-16,  AUD</w:t>
      </w:r>
      <w:r w:rsidR="006763C2" w:rsidRPr="007C0B4F">
        <w:rPr>
          <w:rFonts w:asciiTheme="minorHAnsi" w:hAnsiTheme="minorHAnsi" w:cstheme="minorHAnsi"/>
        </w:rPr>
        <w:t>524 million)</w:t>
      </w:r>
      <w:r w:rsidR="00873635" w:rsidRPr="007C0B4F">
        <w:rPr>
          <w:rFonts w:asciiTheme="minorHAnsi" w:hAnsiTheme="minorHAnsi" w:cstheme="minorHAnsi"/>
        </w:rPr>
        <w:t>.</w:t>
      </w:r>
      <w:r w:rsidR="006763C2" w:rsidRPr="007C0B4F">
        <w:rPr>
          <w:rFonts w:asciiTheme="minorHAnsi" w:hAnsiTheme="minorHAnsi" w:cstheme="minorHAnsi"/>
        </w:rPr>
        <w:t xml:space="preserve">  Although both </w:t>
      </w:r>
      <w:r w:rsidR="00EA683F" w:rsidRPr="007C0B4F">
        <w:rPr>
          <w:rFonts w:asciiTheme="minorHAnsi" w:hAnsiTheme="minorHAnsi" w:cstheme="minorHAnsi"/>
        </w:rPr>
        <w:t>the</w:t>
      </w:r>
      <w:r w:rsidR="006763C2" w:rsidRPr="007C0B4F">
        <w:rPr>
          <w:rFonts w:asciiTheme="minorHAnsi" w:hAnsiTheme="minorHAnsi" w:cstheme="minorHAnsi"/>
        </w:rPr>
        <w:t xml:space="preserve"> </w:t>
      </w:r>
      <w:r w:rsidR="00873635" w:rsidRPr="007C0B4F">
        <w:rPr>
          <w:rFonts w:asciiTheme="minorHAnsi" w:hAnsiTheme="minorHAnsi" w:cstheme="minorHAnsi"/>
        </w:rPr>
        <w:t>current</w:t>
      </w:r>
      <w:r w:rsidR="006763C2" w:rsidRPr="007C0B4F">
        <w:rPr>
          <w:rFonts w:asciiTheme="minorHAnsi" w:hAnsiTheme="minorHAnsi" w:cstheme="minorHAnsi"/>
        </w:rPr>
        <w:t xml:space="preserve"> (2008-13) and draft (2014-19) country p</w:t>
      </w:r>
      <w:r w:rsidR="00873635" w:rsidRPr="007C0B4F">
        <w:rPr>
          <w:rFonts w:asciiTheme="minorHAnsi" w:hAnsiTheme="minorHAnsi" w:cstheme="minorHAnsi"/>
        </w:rPr>
        <w:t>rogram strateg</w:t>
      </w:r>
      <w:r w:rsidR="006763C2" w:rsidRPr="007C0B4F">
        <w:rPr>
          <w:rFonts w:asciiTheme="minorHAnsi" w:hAnsiTheme="minorHAnsi" w:cstheme="minorHAnsi"/>
        </w:rPr>
        <w:t>ies</w:t>
      </w:r>
      <w:r w:rsidR="00873635" w:rsidRPr="007C0B4F">
        <w:rPr>
          <w:rFonts w:asciiTheme="minorHAnsi" w:hAnsiTheme="minorHAnsi" w:cstheme="minorHAnsi"/>
        </w:rPr>
        <w:t xml:space="preserve"> </w:t>
      </w:r>
      <w:r w:rsidR="006763C2" w:rsidRPr="007C0B4F">
        <w:rPr>
          <w:rFonts w:asciiTheme="minorHAnsi" w:hAnsiTheme="minorHAnsi" w:cstheme="minorHAnsi"/>
        </w:rPr>
        <w:t>confirm that education is a</w:t>
      </w:r>
      <w:r w:rsidR="00873635" w:rsidRPr="007C0B4F">
        <w:rPr>
          <w:rFonts w:asciiTheme="minorHAnsi" w:hAnsiTheme="minorHAnsi" w:cstheme="minorHAnsi"/>
        </w:rPr>
        <w:t xml:space="preserve"> priority sector for investment</w:t>
      </w:r>
      <w:r w:rsidR="006763C2" w:rsidRPr="007C0B4F">
        <w:rPr>
          <w:rFonts w:asciiTheme="minorHAnsi" w:hAnsiTheme="minorHAnsi" w:cstheme="minorHAnsi"/>
        </w:rPr>
        <w:t xml:space="preserve">, the </w:t>
      </w:r>
      <w:r w:rsidR="00873635" w:rsidRPr="007C0B4F">
        <w:rPr>
          <w:rFonts w:asciiTheme="minorHAnsi" w:hAnsiTheme="minorHAnsi" w:cstheme="minorHAnsi"/>
        </w:rPr>
        <w:t xml:space="preserve">draft Country Strategy sharpens the aid program’s focus on reaching </w:t>
      </w:r>
      <w:r w:rsidR="006763C2" w:rsidRPr="007C0B4F">
        <w:rPr>
          <w:rFonts w:asciiTheme="minorHAnsi" w:hAnsiTheme="minorHAnsi" w:cstheme="minorHAnsi"/>
        </w:rPr>
        <w:t xml:space="preserve">the poor </w:t>
      </w:r>
      <w:r w:rsidR="00873635" w:rsidRPr="007C0B4F">
        <w:rPr>
          <w:rFonts w:asciiTheme="minorHAnsi" w:hAnsiTheme="minorHAnsi" w:cstheme="minorHAnsi"/>
        </w:rPr>
        <w:t xml:space="preserve">with tailored approaches to reach those most at risk of exclusion from the benefits of growth and development.  </w:t>
      </w:r>
    </w:p>
    <w:p w14:paraId="475C9A06" w14:textId="77777777" w:rsidR="00873635" w:rsidRPr="007C0B4F" w:rsidRDefault="00873635" w:rsidP="00873635">
      <w:pPr>
        <w:rPr>
          <w:rFonts w:asciiTheme="minorHAnsi" w:hAnsiTheme="minorHAnsi" w:cstheme="minorHAnsi"/>
          <w:szCs w:val="22"/>
        </w:rPr>
      </w:pPr>
      <w:r w:rsidRPr="007C0B4F">
        <w:rPr>
          <w:rFonts w:asciiTheme="minorHAnsi" w:hAnsiTheme="minorHAnsi" w:cstheme="minorHAnsi"/>
          <w:b/>
        </w:rPr>
        <w:t xml:space="preserve">AusAID </w:t>
      </w:r>
      <w:r w:rsidR="00BC45CD" w:rsidRPr="007C0B4F">
        <w:rPr>
          <w:rFonts w:asciiTheme="minorHAnsi" w:hAnsiTheme="minorHAnsi" w:cstheme="minorHAnsi"/>
          <w:b/>
        </w:rPr>
        <w:t xml:space="preserve">is in a </w:t>
      </w:r>
      <w:r w:rsidRPr="007C0B4F">
        <w:rPr>
          <w:rFonts w:asciiTheme="minorHAnsi" w:hAnsiTheme="minorHAnsi" w:cstheme="minorHAnsi"/>
          <w:b/>
        </w:rPr>
        <w:t>position</w:t>
      </w:r>
      <w:r w:rsidR="00D10DDA" w:rsidRPr="007C0B4F">
        <w:rPr>
          <w:rFonts w:asciiTheme="minorHAnsi" w:hAnsiTheme="minorHAnsi" w:cstheme="minorHAnsi"/>
          <w:b/>
        </w:rPr>
        <w:t xml:space="preserve"> </w:t>
      </w:r>
      <w:r w:rsidR="00BC45CD" w:rsidRPr="007C0B4F">
        <w:rPr>
          <w:rFonts w:asciiTheme="minorHAnsi" w:hAnsiTheme="minorHAnsi" w:cstheme="minorHAnsi"/>
          <w:b/>
        </w:rPr>
        <w:t xml:space="preserve">to become </w:t>
      </w:r>
      <w:r w:rsidR="00D10DDA" w:rsidRPr="007C0B4F">
        <w:rPr>
          <w:rFonts w:asciiTheme="minorHAnsi" w:hAnsiTheme="minorHAnsi" w:cstheme="minorHAnsi"/>
          <w:b/>
        </w:rPr>
        <w:t xml:space="preserve">one of </w:t>
      </w:r>
      <w:r w:rsidRPr="007C0B4F">
        <w:rPr>
          <w:rFonts w:asciiTheme="minorHAnsi" w:hAnsiTheme="minorHAnsi" w:cstheme="minorHAnsi"/>
          <w:b/>
        </w:rPr>
        <w:t xml:space="preserve">the Government’s </w:t>
      </w:r>
      <w:r w:rsidR="00D10DDA" w:rsidRPr="007C0B4F">
        <w:rPr>
          <w:rFonts w:asciiTheme="minorHAnsi" w:hAnsiTheme="minorHAnsi" w:cstheme="minorHAnsi"/>
          <w:b/>
        </w:rPr>
        <w:t xml:space="preserve">leading </w:t>
      </w:r>
      <w:r w:rsidRPr="007C0B4F">
        <w:rPr>
          <w:rFonts w:asciiTheme="minorHAnsi" w:hAnsiTheme="minorHAnsi" w:cstheme="minorHAnsi"/>
          <w:b/>
        </w:rPr>
        <w:t>intellectual partner</w:t>
      </w:r>
      <w:r w:rsidR="00D10DDA" w:rsidRPr="007C0B4F">
        <w:rPr>
          <w:rFonts w:asciiTheme="minorHAnsi" w:hAnsiTheme="minorHAnsi" w:cstheme="minorHAnsi"/>
          <w:b/>
        </w:rPr>
        <w:t>s</w:t>
      </w:r>
      <w:r w:rsidRPr="007C0B4F">
        <w:rPr>
          <w:rFonts w:asciiTheme="minorHAnsi" w:hAnsiTheme="minorHAnsi" w:cstheme="minorHAnsi"/>
          <w:b/>
        </w:rPr>
        <w:t xml:space="preserve"> </w:t>
      </w:r>
      <w:r w:rsidR="00D10DDA" w:rsidRPr="007C0B4F">
        <w:rPr>
          <w:rFonts w:asciiTheme="minorHAnsi" w:hAnsiTheme="minorHAnsi" w:cstheme="minorHAnsi"/>
          <w:b/>
        </w:rPr>
        <w:t>in the sector a</w:t>
      </w:r>
      <w:r w:rsidR="00BC45CD" w:rsidRPr="007C0B4F">
        <w:rPr>
          <w:rFonts w:asciiTheme="minorHAnsi" w:hAnsiTheme="minorHAnsi" w:cstheme="minorHAnsi"/>
          <w:b/>
        </w:rPr>
        <w:t xml:space="preserve">s it </w:t>
      </w:r>
      <w:r w:rsidRPr="007C0B4F">
        <w:rPr>
          <w:rFonts w:asciiTheme="minorHAnsi" w:hAnsiTheme="minorHAnsi" w:cstheme="minorHAnsi"/>
          <w:b/>
        </w:rPr>
        <w:t>shift</w:t>
      </w:r>
      <w:r w:rsidR="00BC45CD" w:rsidRPr="007C0B4F">
        <w:rPr>
          <w:rFonts w:asciiTheme="minorHAnsi" w:hAnsiTheme="minorHAnsi" w:cstheme="minorHAnsi"/>
          <w:b/>
        </w:rPr>
        <w:t>s</w:t>
      </w:r>
      <w:r w:rsidRPr="007C0B4F">
        <w:rPr>
          <w:rFonts w:asciiTheme="minorHAnsi" w:hAnsiTheme="minorHAnsi" w:cstheme="minorHAnsi"/>
          <w:b/>
        </w:rPr>
        <w:t xml:space="preserve"> </w:t>
      </w:r>
      <w:r w:rsidR="00D10DDA" w:rsidRPr="007C0B4F">
        <w:rPr>
          <w:rFonts w:asciiTheme="minorHAnsi" w:hAnsiTheme="minorHAnsi" w:cstheme="minorHAnsi"/>
          <w:b/>
        </w:rPr>
        <w:t xml:space="preserve">its support more fully to a </w:t>
      </w:r>
      <w:r w:rsidRPr="007C0B4F">
        <w:rPr>
          <w:rFonts w:asciiTheme="minorHAnsi" w:hAnsiTheme="minorHAnsi" w:cstheme="minorHAnsi"/>
          <w:b/>
        </w:rPr>
        <w:t>quality improvement agenda</w:t>
      </w:r>
      <w:r w:rsidR="0092235A" w:rsidRPr="007C0B4F">
        <w:rPr>
          <w:rFonts w:asciiTheme="minorHAnsi" w:hAnsiTheme="minorHAnsi" w:cstheme="minorHAnsi"/>
          <w:b/>
        </w:rPr>
        <w:t xml:space="preserve"> (i.e. to helping GoI establish</w:t>
      </w:r>
      <w:r w:rsidR="004C1052" w:rsidRPr="007C0B4F">
        <w:rPr>
          <w:rFonts w:asciiTheme="minorHAnsi" w:hAnsiTheme="minorHAnsi" w:cstheme="minorHAnsi"/>
          <w:b/>
        </w:rPr>
        <w:t xml:space="preserve"> and sustain</w:t>
      </w:r>
      <w:r w:rsidR="0092235A" w:rsidRPr="007C0B4F">
        <w:rPr>
          <w:rFonts w:asciiTheme="minorHAnsi" w:hAnsiTheme="minorHAnsi" w:cstheme="minorHAnsi"/>
          <w:b/>
        </w:rPr>
        <w:t xml:space="preserve"> </w:t>
      </w:r>
      <w:r w:rsidR="00BC45CD" w:rsidRPr="007C0B4F">
        <w:rPr>
          <w:rFonts w:asciiTheme="minorHAnsi" w:hAnsiTheme="minorHAnsi" w:cstheme="minorHAnsi"/>
          <w:b/>
        </w:rPr>
        <w:t>gains in learning</w:t>
      </w:r>
      <w:r w:rsidR="0092235A" w:rsidRPr="007C0B4F">
        <w:rPr>
          <w:rFonts w:asciiTheme="minorHAnsi" w:hAnsiTheme="minorHAnsi" w:cstheme="minorHAnsi"/>
          <w:b/>
        </w:rPr>
        <w:t xml:space="preserve"> outcomes, especially among the poor</w:t>
      </w:r>
      <w:r w:rsidR="004C1052" w:rsidRPr="007C0B4F">
        <w:rPr>
          <w:rFonts w:asciiTheme="minorHAnsi" w:hAnsiTheme="minorHAnsi" w:cstheme="minorHAnsi"/>
          <w:b/>
        </w:rPr>
        <w:t>)</w:t>
      </w:r>
      <w:r w:rsidRPr="007C0B4F">
        <w:rPr>
          <w:rFonts w:asciiTheme="minorHAnsi" w:hAnsiTheme="minorHAnsi" w:cstheme="minorHAnsi"/>
          <w:b/>
        </w:rPr>
        <w:t xml:space="preserve">.  </w:t>
      </w:r>
      <w:r w:rsidR="00F52F2F" w:rsidRPr="007C0B4F">
        <w:rPr>
          <w:rFonts w:asciiTheme="minorHAnsi" w:hAnsiTheme="minorHAnsi" w:cstheme="minorHAnsi"/>
        </w:rPr>
        <w:t>T</w:t>
      </w:r>
      <w:r w:rsidR="0092235A" w:rsidRPr="007C0B4F">
        <w:rPr>
          <w:rFonts w:asciiTheme="minorHAnsi" w:hAnsiTheme="minorHAnsi" w:cstheme="minorHAnsi"/>
        </w:rPr>
        <w:t xml:space="preserve">he </w:t>
      </w:r>
      <w:r w:rsidRPr="007C0B4F">
        <w:rPr>
          <w:rFonts w:asciiTheme="minorHAnsi" w:hAnsiTheme="minorHAnsi" w:cstheme="minorHAnsi"/>
        </w:rPr>
        <w:t xml:space="preserve">education sector can be </w:t>
      </w:r>
      <w:r w:rsidR="0092235A" w:rsidRPr="007C0B4F">
        <w:rPr>
          <w:rFonts w:asciiTheme="minorHAnsi" w:hAnsiTheme="minorHAnsi" w:cstheme="minorHAnsi"/>
        </w:rPr>
        <w:t>characterized</w:t>
      </w:r>
      <w:r w:rsidRPr="007C0B4F">
        <w:rPr>
          <w:rFonts w:asciiTheme="minorHAnsi" w:hAnsiTheme="minorHAnsi" w:cstheme="minorHAnsi"/>
        </w:rPr>
        <w:t xml:space="preserve"> as an environment of opportunity, afforded by GoI policy and budgetary commitment, coupled with entrenched policy and implementation problems, including persistent regional disparities in resourcing and outcomes.  </w:t>
      </w:r>
      <w:r w:rsidR="0092235A" w:rsidRPr="007C0B4F">
        <w:rPr>
          <w:rFonts w:asciiTheme="minorHAnsi" w:hAnsiTheme="minorHAnsi" w:cstheme="minorHAnsi"/>
        </w:rPr>
        <w:t>C</w:t>
      </w:r>
      <w:r w:rsidRPr="007C0B4F">
        <w:rPr>
          <w:rFonts w:asciiTheme="minorHAnsi" w:hAnsiTheme="minorHAnsi" w:cstheme="minorHAnsi"/>
        </w:rPr>
        <w:t xml:space="preserve">omplex questions about the nature of service delivery improvement, community involvement, sector financing, and other issues that require ongoing analysis and learning to help identify new, more effective and/or more efficient solutions.  AusAID’s draft Country Strategy commits AusAID to working in ways that support more effective use of GoI resources and systems; share the risk of innovation; and build the evidence-base of what </w:t>
      </w:r>
      <w:r w:rsidRPr="007C0B4F">
        <w:rPr>
          <w:rFonts w:asciiTheme="minorHAnsi" w:hAnsiTheme="minorHAnsi" w:cstheme="minorHAnsi"/>
          <w:szCs w:val="22"/>
        </w:rPr>
        <w:t>works and what does</w:t>
      </w:r>
      <w:r w:rsidR="00596045" w:rsidRPr="007C0B4F">
        <w:rPr>
          <w:rFonts w:asciiTheme="minorHAnsi" w:hAnsiTheme="minorHAnsi" w:cstheme="minorHAnsi"/>
          <w:szCs w:val="22"/>
        </w:rPr>
        <w:t xml:space="preserve"> not</w:t>
      </w:r>
      <w:r w:rsidRPr="007C0B4F">
        <w:rPr>
          <w:rFonts w:asciiTheme="minorHAnsi" w:hAnsiTheme="minorHAnsi" w:cstheme="minorHAnsi"/>
          <w:szCs w:val="22"/>
        </w:rPr>
        <w:t>.</w:t>
      </w:r>
    </w:p>
    <w:p w14:paraId="475C9A07" w14:textId="77777777" w:rsidR="00596045" w:rsidRPr="007C0B4F" w:rsidRDefault="00596045" w:rsidP="00596045">
      <w:pPr>
        <w:rPr>
          <w:rFonts w:asciiTheme="minorHAnsi" w:hAnsiTheme="minorHAnsi" w:cstheme="minorHAnsi"/>
          <w:szCs w:val="22"/>
        </w:rPr>
      </w:pPr>
      <w:r w:rsidRPr="007C0B4F">
        <w:rPr>
          <w:rFonts w:asciiTheme="minorHAnsi" w:hAnsiTheme="minorHAnsi" w:cstheme="minorHAnsi"/>
          <w:b/>
          <w:szCs w:val="22"/>
        </w:rPr>
        <w:t>AusAID’s comparative advantage is, as the donor landscape changes, characterized by our ability to be flexible and respons</w:t>
      </w:r>
      <w:r w:rsidR="0095178E" w:rsidRPr="007C0B4F">
        <w:rPr>
          <w:rFonts w:asciiTheme="minorHAnsi" w:hAnsiTheme="minorHAnsi" w:cstheme="minorHAnsi"/>
          <w:b/>
          <w:szCs w:val="22"/>
        </w:rPr>
        <w:t xml:space="preserve">ive, and to be a partner in </w:t>
      </w:r>
      <w:r w:rsidR="00E762FA" w:rsidRPr="007C0B4F">
        <w:rPr>
          <w:rFonts w:asciiTheme="minorHAnsi" w:hAnsiTheme="minorHAnsi" w:cstheme="minorHAnsi"/>
          <w:b/>
          <w:szCs w:val="22"/>
        </w:rPr>
        <w:t xml:space="preserve">achieving </w:t>
      </w:r>
      <w:r w:rsidR="0095178E" w:rsidRPr="007C0B4F">
        <w:rPr>
          <w:rFonts w:asciiTheme="minorHAnsi" w:hAnsiTheme="minorHAnsi" w:cstheme="minorHAnsi"/>
          <w:b/>
          <w:szCs w:val="22"/>
        </w:rPr>
        <w:t xml:space="preserve">GoI’s </w:t>
      </w:r>
      <w:r w:rsidR="00E762FA" w:rsidRPr="007C0B4F">
        <w:rPr>
          <w:rFonts w:asciiTheme="minorHAnsi" w:hAnsiTheme="minorHAnsi" w:cstheme="minorHAnsi"/>
          <w:b/>
          <w:szCs w:val="22"/>
        </w:rPr>
        <w:t>policy objectives</w:t>
      </w:r>
      <w:r w:rsidRPr="007C0B4F">
        <w:rPr>
          <w:rFonts w:asciiTheme="minorHAnsi" w:hAnsiTheme="minorHAnsi" w:cstheme="minorHAnsi"/>
          <w:b/>
          <w:szCs w:val="22"/>
        </w:rPr>
        <w:t>.</w:t>
      </w:r>
      <w:r w:rsidRPr="007C0B4F">
        <w:rPr>
          <w:rFonts w:asciiTheme="minorHAnsi" w:hAnsiTheme="minorHAnsi" w:cstheme="minorHAnsi"/>
          <w:szCs w:val="22"/>
        </w:rPr>
        <w:t xml:space="preserve"> Not being a singularly analytical organization we are developing a capacity, that the facility is intended to strengthen, to link analysis and practice in a manner that </w:t>
      </w:r>
      <w:r w:rsidR="0067237C" w:rsidRPr="007C0B4F">
        <w:rPr>
          <w:rFonts w:asciiTheme="minorHAnsi" w:hAnsiTheme="minorHAnsi" w:cstheme="minorHAnsi"/>
          <w:szCs w:val="22"/>
        </w:rPr>
        <w:t>involves working alongside the various levels of government to address challenges</w:t>
      </w:r>
      <w:r w:rsidR="00E762FA" w:rsidRPr="007C0B4F">
        <w:rPr>
          <w:rFonts w:asciiTheme="minorHAnsi" w:hAnsiTheme="minorHAnsi" w:cstheme="minorHAnsi"/>
          <w:szCs w:val="22"/>
        </w:rPr>
        <w:t>,</w:t>
      </w:r>
      <w:r w:rsidR="0067237C" w:rsidRPr="007C0B4F">
        <w:rPr>
          <w:rFonts w:asciiTheme="minorHAnsi" w:hAnsiTheme="minorHAnsi" w:cstheme="minorHAnsi"/>
          <w:szCs w:val="22"/>
        </w:rPr>
        <w:t xml:space="preserve"> solve</w:t>
      </w:r>
      <w:r w:rsidRPr="007C0B4F">
        <w:rPr>
          <w:rFonts w:asciiTheme="minorHAnsi" w:hAnsiTheme="minorHAnsi" w:cstheme="minorHAnsi"/>
          <w:szCs w:val="22"/>
        </w:rPr>
        <w:t xml:space="preserve"> problems</w:t>
      </w:r>
      <w:r w:rsidR="00E762FA" w:rsidRPr="007C0B4F">
        <w:rPr>
          <w:rFonts w:asciiTheme="minorHAnsi" w:hAnsiTheme="minorHAnsi" w:cstheme="minorHAnsi"/>
          <w:szCs w:val="22"/>
        </w:rPr>
        <w:t>, and identify and share lessons</w:t>
      </w:r>
      <w:r w:rsidRPr="007C0B4F">
        <w:rPr>
          <w:rFonts w:asciiTheme="minorHAnsi" w:hAnsiTheme="minorHAnsi" w:cstheme="minorHAnsi"/>
          <w:szCs w:val="22"/>
        </w:rPr>
        <w:t>.</w:t>
      </w:r>
    </w:p>
    <w:p w14:paraId="475C9A08" w14:textId="77777777" w:rsidR="005F5F4A" w:rsidRPr="007C0B4F" w:rsidRDefault="003B46F9" w:rsidP="00B3490A">
      <w:pPr>
        <w:pStyle w:val="Heading1"/>
        <w:rPr>
          <w:rFonts w:asciiTheme="minorHAnsi" w:hAnsiTheme="minorHAnsi" w:cstheme="minorHAnsi"/>
        </w:rPr>
      </w:pPr>
      <w:bookmarkStart w:id="15" w:name="_Toc361407140"/>
      <w:bookmarkStart w:id="16" w:name="_Toc365366029"/>
      <w:r w:rsidRPr="007C0B4F">
        <w:rPr>
          <w:rFonts w:asciiTheme="minorHAnsi" w:hAnsiTheme="minorHAnsi" w:cstheme="minorHAnsi"/>
          <w:lang w:val="en-AU"/>
        </w:rPr>
        <w:t xml:space="preserve">The </w:t>
      </w:r>
      <w:r w:rsidR="005F5F4A" w:rsidRPr="007C0B4F">
        <w:rPr>
          <w:rFonts w:asciiTheme="minorHAnsi" w:hAnsiTheme="minorHAnsi" w:cstheme="minorHAnsi"/>
        </w:rPr>
        <w:t>Rationale for an</w:t>
      </w:r>
      <w:r w:rsidRPr="007C0B4F">
        <w:rPr>
          <w:rFonts w:asciiTheme="minorHAnsi" w:hAnsiTheme="minorHAnsi" w:cstheme="minorHAnsi"/>
          <w:lang w:val="en-AU"/>
        </w:rPr>
        <w:t xml:space="preserve"> Innovation Facility</w:t>
      </w:r>
      <w:bookmarkEnd w:id="15"/>
      <w:bookmarkEnd w:id="16"/>
      <w:r w:rsidR="005F5F4A" w:rsidRPr="007C0B4F">
        <w:rPr>
          <w:rFonts w:asciiTheme="minorHAnsi" w:hAnsiTheme="minorHAnsi" w:cstheme="minorHAnsi"/>
        </w:rPr>
        <w:t xml:space="preserve"> </w:t>
      </w:r>
    </w:p>
    <w:p w14:paraId="475C9A09" w14:textId="77777777" w:rsidR="005F5F4A" w:rsidRPr="007C0B4F" w:rsidRDefault="00FA250B" w:rsidP="00B3490A">
      <w:pPr>
        <w:pStyle w:val="Heading2"/>
        <w:rPr>
          <w:rFonts w:cstheme="minorHAnsi"/>
        </w:rPr>
      </w:pPr>
      <w:bookmarkStart w:id="17" w:name="_Toc361407141"/>
      <w:bookmarkStart w:id="18" w:name="_Toc365366030"/>
      <w:r w:rsidRPr="007C0B4F">
        <w:rPr>
          <w:rFonts w:cstheme="minorHAnsi"/>
          <w:lang w:val="en-AU"/>
        </w:rPr>
        <w:t>The d</w:t>
      </w:r>
      <w:r w:rsidR="003B46F9" w:rsidRPr="007C0B4F">
        <w:rPr>
          <w:rFonts w:cstheme="minorHAnsi"/>
          <w:lang w:val="en-AU"/>
        </w:rPr>
        <w:t>rivers</w:t>
      </w:r>
      <w:bookmarkEnd w:id="17"/>
      <w:bookmarkEnd w:id="18"/>
    </w:p>
    <w:p w14:paraId="475C9A0A" w14:textId="77777777" w:rsidR="00FA431F" w:rsidRPr="007C0B4F" w:rsidRDefault="00FA431F" w:rsidP="00FA431F">
      <w:pPr>
        <w:rPr>
          <w:rFonts w:asciiTheme="minorHAnsi" w:hAnsiTheme="minorHAnsi" w:cstheme="minorHAnsi"/>
        </w:rPr>
      </w:pPr>
      <w:r w:rsidRPr="007C0B4F">
        <w:rPr>
          <w:rFonts w:asciiTheme="minorHAnsi" w:hAnsiTheme="minorHAnsi" w:cstheme="minorHAnsi"/>
          <w:b/>
        </w:rPr>
        <w:t xml:space="preserve">Traditional remedies to addressing many of the challenges facing Indonesia’s education system have not worked well, especially in respect to the improvement of services for the poor and </w:t>
      </w:r>
      <w:r w:rsidR="00873EA5" w:rsidRPr="007C0B4F">
        <w:rPr>
          <w:rFonts w:asciiTheme="minorHAnsi" w:hAnsiTheme="minorHAnsi" w:cstheme="minorHAnsi"/>
          <w:b/>
        </w:rPr>
        <w:t>marginalised</w:t>
      </w:r>
      <w:r w:rsidRPr="007C0B4F">
        <w:rPr>
          <w:rFonts w:asciiTheme="minorHAnsi" w:hAnsiTheme="minorHAnsi" w:cstheme="minorHAnsi"/>
          <w:b/>
        </w:rPr>
        <w:t xml:space="preserve">.  </w:t>
      </w:r>
      <w:r w:rsidRPr="007C0B4F">
        <w:rPr>
          <w:rFonts w:asciiTheme="minorHAnsi" w:hAnsiTheme="minorHAnsi" w:cstheme="minorHAnsi"/>
        </w:rPr>
        <w:t>A considerable body of evidence from national statistics and from studies undertaken or commissioned by development partners show</w:t>
      </w:r>
      <w:r w:rsidR="00561D65" w:rsidRPr="007C0B4F">
        <w:rPr>
          <w:rFonts w:asciiTheme="minorHAnsi" w:hAnsiTheme="minorHAnsi" w:cstheme="minorHAnsi"/>
        </w:rPr>
        <w:t>s</w:t>
      </w:r>
      <w:r w:rsidRPr="007C0B4F">
        <w:rPr>
          <w:rFonts w:asciiTheme="minorHAnsi" w:hAnsiTheme="minorHAnsi" w:cstheme="minorHAnsi"/>
        </w:rPr>
        <w:t xml:space="preserve"> that</w:t>
      </w:r>
      <w:r w:rsidR="007C6B5F" w:rsidRPr="007C0B4F">
        <w:rPr>
          <w:rFonts w:asciiTheme="minorHAnsi" w:hAnsiTheme="minorHAnsi" w:cstheme="minorHAnsi"/>
        </w:rPr>
        <w:t xml:space="preserve"> while</w:t>
      </w:r>
      <w:r w:rsidRPr="007C0B4F">
        <w:rPr>
          <w:rFonts w:asciiTheme="minorHAnsi" w:hAnsiTheme="minorHAnsi" w:cstheme="minorHAnsi"/>
        </w:rPr>
        <w:t xml:space="preserve"> access to basic education in Indonesia is </w:t>
      </w:r>
      <w:r w:rsidRPr="007C0B4F">
        <w:rPr>
          <w:rFonts w:asciiTheme="minorHAnsi" w:hAnsiTheme="minorHAnsi" w:cstheme="minorHAnsi"/>
        </w:rPr>
        <w:lastRenderedPageBreak/>
        <w:t>near universal</w:t>
      </w:r>
      <w:r w:rsidR="007C6B5F" w:rsidRPr="007C0B4F">
        <w:rPr>
          <w:rFonts w:asciiTheme="minorHAnsi" w:hAnsiTheme="minorHAnsi" w:cstheme="minorHAnsi"/>
        </w:rPr>
        <w:t xml:space="preserve">, both </w:t>
      </w:r>
      <w:r w:rsidRPr="007C0B4F">
        <w:rPr>
          <w:rFonts w:asciiTheme="minorHAnsi" w:hAnsiTheme="minorHAnsi" w:cstheme="minorHAnsi"/>
        </w:rPr>
        <w:t xml:space="preserve">the quality of </w:t>
      </w:r>
      <w:r w:rsidR="007C6B5F" w:rsidRPr="007C0B4F">
        <w:rPr>
          <w:rFonts w:asciiTheme="minorHAnsi" w:hAnsiTheme="minorHAnsi" w:cstheme="minorHAnsi"/>
        </w:rPr>
        <w:t>schooling</w:t>
      </w:r>
      <w:r w:rsidRPr="007C0B4F">
        <w:rPr>
          <w:rFonts w:asciiTheme="minorHAnsi" w:hAnsiTheme="minorHAnsi" w:cstheme="minorHAnsi"/>
        </w:rPr>
        <w:t xml:space="preserve"> and </w:t>
      </w:r>
      <w:r w:rsidR="00561D65" w:rsidRPr="007C0B4F">
        <w:rPr>
          <w:rFonts w:asciiTheme="minorHAnsi" w:hAnsiTheme="minorHAnsi" w:cstheme="minorHAnsi"/>
        </w:rPr>
        <w:t>participation levels are lowest for child</w:t>
      </w:r>
      <w:r w:rsidRPr="007C0B4F">
        <w:rPr>
          <w:rFonts w:asciiTheme="minorHAnsi" w:hAnsiTheme="minorHAnsi" w:cstheme="minorHAnsi"/>
        </w:rPr>
        <w:t xml:space="preserve">ren in the lowest poverty quintile and </w:t>
      </w:r>
      <w:r w:rsidR="00561D65" w:rsidRPr="007C0B4F">
        <w:rPr>
          <w:rFonts w:asciiTheme="minorHAnsi" w:hAnsiTheme="minorHAnsi" w:cstheme="minorHAnsi"/>
        </w:rPr>
        <w:t xml:space="preserve">from </w:t>
      </w:r>
      <w:r w:rsidR="0036054A" w:rsidRPr="007C0B4F">
        <w:rPr>
          <w:rFonts w:asciiTheme="minorHAnsi" w:hAnsiTheme="minorHAnsi" w:cstheme="minorHAnsi"/>
        </w:rPr>
        <w:t xml:space="preserve">marginalized populations or </w:t>
      </w:r>
      <w:r w:rsidRPr="007C0B4F">
        <w:rPr>
          <w:rFonts w:asciiTheme="minorHAnsi" w:hAnsiTheme="minorHAnsi" w:cstheme="minorHAnsi"/>
        </w:rPr>
        <w:t xml:space="preserve">remote </w:t>
      </w:r>
      <w:r w:rsidR="00D230C6" w:rsidRPr="007C0B4F">
        <w:rPr>
          <w:rFonts w:asciiTheme="minorHAnsi" w:hAnsiTheme="minorHAnsi" w:cstheme="minorHAnsi"/>
        </w:rPr>
        <w:t>areas</w:t>
      </w:r>
      <w:r w:rsidRPr="007C0B4F">
        <w:rPr>
          <w:rFonts w:asciiTheme="minorHAnsi" w:hAnsiTheme="minorHAnsi" w:cstheme="minorHAnsi"/>
        </w:rPr>
        <w:t xml:space="preserve">.     </w:t>
      </w:r>
    </w:p>
    <w:p w14:paraId="475C9A0B" w14:textId="77777777" w:rsidR="007C6B5F" w:rsidRPr="007C0B4F" w:rsidRDefault="00D230C6" w:rsidP="005F5F4A">
      <w:pPr>
        <w:rPr>
          <w:rFonts w:asciiTheme="minorHAnsi" w:hAnsiTheme="minorHAnsi" w:cstheme="minorHAnsi"/>
        </w:rPr>
      </w:pPr>
      <w:r w:rsidRPr="007C0B4F">
        <w:rPr>
          <w:rFonts w:asciiTheme="minorHAnsi" w:hAnsiTheme="minorHAnsi" w:cstheme="minorHAnsi"/>
          <w:b/>
        </w:rPr>
        <w:t xml:space="preserve">It is difficult to assess the impact of government </w:t>
      </w:r>
      <w:r w:rsidR="005F5F4A" w:rsidRPr="007C0B4F">
        <w:rPr>
          <w:rFonts w:asciiTheme="minorHAnsi" w:hAnsiTheme="minorHAnsi" w:cstheme="minorHAnsi"/>
          <w:b/>
        </w:rPr>
        <w:t xml:space="preserve">efforts to improve the quality of education </w:t>
      </w:r>
      <w:r w:rsidR="007A51B3" w:rsidRPr="007C0B4F">
        <w:rPr>
          <w:rFonts w:asciiTheme="minorHAnsi" w:hAnsiTheme="minorHAnsi" w:cstheme="minorHAnsi"/>
          <w:b/>
        </w:rPr>
        <w:t xml:space="preserve">as reforms do not appear to be implemented widely </w:t>
      </w:r>
      <w:r w:rsidR="00BF05A1" w:rsidRPr="007C0B4F">
        <w:rPr>
          <w:rFonts w:asciiTheme="minorHAnsi" w:hAnsiTheme="minorHAnsi" w:cstheme="minorHAnsi"/>
          <w:b/>
        </w:rPr>
        <w:t>nor sufficiently monitored or assessed to determine impact.</w:t>
      </w:r>
      <w:r w:rsidR="007A51B3" w:rsidRPr="007C0B4F">
        <w:rPr>
          <w:rFonts w:asciiTheme="minorHAnsi" w:hAnsiTheme="minorHAnsi" w:cstheme="minorHAnsi"/>
        </w:rPr>
        <w:t xml:space="preserve">   While there are service standards and quality assurance and school accountability processes, most are only being implemented in a handful of districts</w:t>
      </w:r>
      <w:r w:rsidR="001A2F8B" w:rsidRPr="007C0B4F">
        <w:rPr>
          <w:rFonts w:asciiTheme="minorHAnsi" w:hAnsiTheme="minorHAnsi" w:cstheme="minorHAnsi"/>
        </w:rPr>
        <w:t xml:space="preserve"> -</w:t>
      </w:r>
      <w:r w:rsidR="005F5F4A" w:rsidRPr="007C0B4F">
        <w:rPr>
          <w:rFonts w:asciiTheme="minorHAnsi" w:hAnsiTheme="minorHAnsi" w:cstheme="minorHAnsi"/>
        </w:rPr>
        <w:t xml:space="preserve"> the application of the Education Quality Assurance System (EQAS) and Minimum Service Standards (MSS)</w:t>
      </w:r>
      <w:r w:rsidR="00884769" w:rsidRPr="007C0B4F">
        <w:rPr>
          <w:rFonts w:asciiTheme="minorHAnsi" w:hAnsiTheme="minorHAnsi" w:cstheme="minorHAnsi"/>
        </w:rPr>
        <w:t>,</w:t>
      </w:r>
      <w:r w:rsidR="00C12B3F" w:rsidRPr="007C0B4F">
        <w:rPr>
          <w:rFonts w:asciiTheme="minorHAnsi" w:hAnsiTheme="minorHAnsi" w:cstheme="minorHAnsi"/>
        </w:rPr>
        <w:t xml:space="preserve"> </w:t>
      </w:r>
      <w:r w:rsidR="00884769" w:rsidRPr="007C0B4F">
        <w:rPr>
          <w:rFonts w:asciiTheme="minorHAnsi" w:hAnsiTheme="minorHAnsi" w:cstheme="minorHAnsi"/>
        </w:rPr>
        <w:t xml:space="preserve">for example.  </w:t>
      </w:r>
      <w:r w:rsidR="005F5F4A" w:rsidRPr="007C0B4F">
        <w:rPr>
          <w:rFonts w:asciiTheme="minorHAnsi" w:hAnsiTheme="minorHAnsi" w:cstheme="minorHAnsi"/>
        </w:rPr>
        <w:t xml:space="preserve">In addition, the provincial quality assurance institutes, </w:t>
      </w:r>
      <w:r w:rsidR="007C6B5F" w:rsidRPr="007C0B4F">
        <w:rPr>
          <w:rFonts w:asciiTheme="minorHAnsi" w:hAnsiTheme="minorHAnsi" w:cstheme="minorHAnsi"/>
        </w:rPr>
        <w:t xml:space="preserve">the </w:t>
      </w:r>
      <w:r w:rsidR="005F5F4A" w:rsidRPr="007C0B4F">
        <w:rPr>
          <w:rFonts w:asciiTheme="minorHAnsi" w:hAnsiTheme="minorHAnsi" w:cstheme="minorHAnsi"/>
        </w:rPr>
        <w:t xml:space="preserve">LPMP, are </w:t>
      </w:r>
      <w:r w:rsidR="00884769" w:rsidRPr="007C0B4F">
        <w:rPr>
          <w:rFonts w:asciiTheme="minorHAnsi" w:hAnsiTheme="minorHAnsi" w:cstheme="minorHAnsi"/>
        </w:rPr>
        <w:t>substantially under</w:t>
      </w:r>
      <w:r w:rsidR="001A2F8B" w:rsidRPr="007C0B4F">
        <w:rPr>
          <w:rFonts w:asciiTheme="minorHAnsi" w:hAnsiTheme="minorHAnsi" w:cstheme="minorHAnsi"/>
        </w:rPr>
        <w:noBreakHyphen/>
      </w:r>
      <w:r w:rsidR="005F5F4A" w:rsidRPr="007C0B4F">
        <w:rPr>
          <w:rFonts w:asciiTheme="minorHAnsi" w:hAnsiTheme="minorHAnsi" w:cstheme="minorHAnsi"/>
        </w:rPr>
        <w:t>resourced for their tasks of delivering in-service training and mapping school quality.</w:t>
      </w:r>
      <w:r w:rsidR="00C12B3F" w:rsidRPr="007C0B4F">
        <w:rPr>
          <w:rFonts w:asciiTheme="minorHAnsi" w:hAnsiTheme="minorHAnsi" w:cstheme="minorHAnsi"/>
        </w:rPr>
        <w:t xml:space="preserve">  </w:t>
      </w:r>
    </w:p>
    <w:p w14:paraId="475C9A0C" w14:textId="77777777" w:rsidR="005F5F4A" w:rsidRPr="007C0B4F" w:rsidRDefault="00FD5056" w:rsidP="005F5F4A">
      <w:pPr>
        <w:rPr>
          <w:rFonts w:asciiTheme="minorHAnsi" w:hAnsiTheme="minorHAnsi" w:cstheme="minorHAnsi"/>
        </w:rPr>
      </w:pPr>
      <w:r w:rsidRPr="007C0B4F">
        <w:rPr>
          <w:rFonts w:asciiTheme="minorHAnsi" w:hAnsiTheme="minorHAnsi" w:cstheme="minorHAnsi"/>
          <w:b/>
        </w:rPr>
        <w:t>T</w:t>
      </w:r>
      <w:r w:rsidR="005F5F4A" w:rsidRPr="007C0B4F">
        <w:rPr>
          <w:rFonts w:asciiTheme="minorHAnsi" w:hAnsiTheme="minorHAnsi" w:cstheme="minorHAnsi"/>
          <w:b/>
        </w:rPr>
        <w:t>eacher professionalism, as indicated by attendance</w:t>
      </w:r>
      <w:r w:rsidR="007C6B5F" w:rsidRPr="007C0B4F">
        <w:rPr>
          <w:rFonts w:asciiTheme="minorHAnsi" w:hAnsiTheme="minorHAnsi" w:cstheme="minorHAnsi"/>
          <w:b/>
        </w:rPr>
        <w:t xml:space="preserve">, is </w:t>
      </w:r>
      <w:r w:rsidR="005F5F4A" w:rsidRPr="007C0B4F">
        <w:rPr>
          <w:rFonts w:asciiTheme="minorHAnsi" w:hAnsiTheme="minorHAnsi" w:cstheme="minorHAnsi"/>
          <w:b/>
        </w:rPr>
        <w:t>low</w:t>
      </w:r>
      <w:r w:rsidR="005F5F4A" w:rsidRPr="007C0B4F">
        <w:rPr>
          <w:rFonts w:asciiTheme="minorHAnsi" w:hAnsiTheme="minorHAnsi" w:cstheme="minorHAnsi"/>
        </w:rPr>
        <w:t xml:space="preserve">. </w:t>
      </w:r>
      <w:r w:rsidR="00C12B3F" w:rsidRPr="007C0B4F">
        <w:rPr>
          <w:rFonts w:asciiTheme="minorHAnsi" w:hAnsiTheme="minorHAnsi" w:cstheme="minorHAnsi"/>
        </w:rPr>
        <w:t xml:space="preserve"> </w:t>
      </w:r>
      <w:r w:rsidR="007C6B5F" w:rsidRPr="007C0B4F">
        <w:rPr>
          <w:rFonts w:asciiTheme="minorHAnsi" w:hAnsiTheme="minorHAnsi" w:cstheme="minorHAnsi"/>
        </w:rPr>
        <w:t>S</w:t>
      </w:r>
      <w:r w:rsidR="005F5F4A" w:rsidRPr="007C0B4F">
        <w:rPr>
          <w:rFonts w:asciiTheme="minorHAnsi" w:hAnsiTheme="minorHAnsi" w:cstheme="minorHAnsi"/>
        </w:rPr>
        <w:t xml:space="preserve">urveys of teacher absenteeism </w:t>
      </w:r>
      <w:r w:rsidR="007C6B5F" w:rsidRPr="007C0B4F">
        <w:rPr>
          <w:rFonts w:asciiTheme="minorHAnsi" w:hAnsiTheme="minorHAnsi" w:cstheme="minorHAnsi"/>
        </w:rPr>
        <w:t xml:space="preserve">reliably </w:t>
      </w:r>
      <w:r w:rsidR="005F5F4A" w:rsidRPr="007C0B4F">
        <w:rPr>
          <w:rFonts w:asciiTheme="minorHAnsi" w:hAnsiTheme="minorHAnsi" w:cstheme="minorHAnsi"/>
        </w:rPr>
        <w:t xml:space="preserve">reveal </w:t>
      </w:r>
      <w:r w:rsidR="007C6B5F" w:rsidRPr="007C0B4F">
        <w:rPr>
          <w:rFonts w:asciiTheme="minorHAnsi" w:hAnsiTheme="minorHAnsi" w:cstheme="minorHAnsi"/>
        </w:rPr>
        <w:t>high rates absenteeism (</w:t>
      </w:r>
      <w:r w:rsidR="00857E90" w:rsidRPr="007C0B4F">
        <w:rPr>
          <w:rFonts w:asciiTheme="minorHAnsi" w:hAnsiTheme="minorHAnsi" w:cstheme="minorHAnsi"/>
        </w:rPr>
        <w:t>approaching 50 per cent</w:t>
      </w:r>
      <w:r w:rsidR="005F5F4A" w:rsidRPr="007C0B4F">
        <w:rPr>
          <w:rFonts w:asciiTheme="minorHAnsi" w:hAnsiTheme="minorHAnsi" w:cstheme="minorHAnsi"/>
        </w:rPr>
        <w:t xml:space="preserve"> in </w:t>
      </w:r>
      <w:r w:rsidR="00E762FA" w:rsidRPr="007C0B4F">
        <w:rPr>
          <w:rFonts w:asciiTheme="minorHAnsi" w:hAnsiTheme="minorHAnsi" w:cstheme="minorHAnsi"/>
        </w:rPr>
        <w:t xml:space="preserve">some </w:t>
      </w:r>
      <w:r w:rsidR="005F5F4A" w:rsidRPr="007C0B4F">
        <w:rPr>
          <w:rFonts w:asciiTheme="minorHAnsi" w:hAnsiTheme="minorHAnsi" w:cstheme="minorHAnsi"/>
        </w:rPr>
        <w:t>remote areas</w:t>
      </w:r>
      <w:r w:rsidR="007C6B5F" w:rsidRPr="007C0B4F">
        <w:rPr>
          <w:rFonts w:asciiTheme="minorHAnsi" w:hAnsiTheme="minorHAnsi" w:cstheme="minorHAnsi"/>
        </w:rPr>
        <w:t>)</w:t>
      </w:r>
      <w:r w:rsidR="005F5F4A" w:rsidRPr="007C0B4F">
        <w:rPr>
          <w:rFonts w:asciiTheme="minorHAnsi" w:hAnsiTheme="minorHAnsi" w:cstheme="minorHAnsi"/>
        </w:rPr>
        <w:t xml:space="preserve"> suggesting this is not a problem that can be alleviated by existing national solutions such as incentive allowances and teacher housing alone.   </w:t>
      </w:r>
    </w:p>
    <w:p w14:paraId="475C9A0D" w14:textId="77777777" w:rsidR="00BF05A1" w:rsidRPr="007C0B4F" w:rsidRDefault="007A51B3" w:rsidP="005F5F4A">
      <w:pPr>
        <w:rPr>
          <w:rFonts w:asciiTheme="minorHAnsi" w:hAnsiTheme="minorHAnsi" w:cstheme="minorHAnsi"/>
        </w:rPr>
      </w:pPr>
      <w:r w:rsidRPr="007C0B4F">
        <w:rPr>
          <w:rFonts w:asciiTheme="minorHAnsi" w:hAnsiTheme="minorHAnsi" w:cstheme="minorHAnsi"/>
          <w:b/>
        </w:rPr>
        <w:t>Low local capacity and an absence of innovation</w:t>
      </w:r>
      <w:r w:rsidR="000A08B3" w:rsidRPr="007C0B4F">
        <w:rPr>
          <w:rFonts w:asciiTheme="minorHAnsi" w:hAnsiTheme="minorHAnsi" w:cstheme="minorHAnsi"/>
          <w:b/>
        </w:rPr>
        <w:t>,</w:t>
      </w:r>
      <w:r w:rsidRPr="007C0B4F">
        <w:rPr>
          <w:rFonts w:asciiTheme="minorHAnsi" w:hAnsiTheme="minorHAnsi" w:cstheme="minorHAnsi"/>
          <w:b/>
        </w:rPr>
        <w:t xml:space="preserve"> knowledge </w:t>
      </w:r>
      <w:r w:rsidR="000A08B3" w:rsidRPr="007C0B4F">
        <w:rPr>
          <w:rFonts w:asciiTheme="minorHAnsi" w:hAnsiTheme="minorHAnsi" w:cstheme="minorHAnsi"/>
          <w:b/>
        </w:rPr>
        <w:t xml:space="preserve">and motivation </w:t>
      </w:r>
      <w:r w:rsidRPr="007C0B4F">
        <w:rPr>
          <w:rFonts w:asciiTheme="minorHAnsi" w:hAnsiTheme="minorHAnsi" w:cstheme="minorHAnsi"/>
          <w:b/>
        </w:rPr>
        <w:t>are factors strongly influencing the impact of key programs</w:t>
      </w:r>
      <w:r w:rsidR="00BF05A1" w:rsidRPr="007C0B4F">
        <w:rPr>
          <w:rFonts w:asciiTheme="minorHAnsi" w:hAnsiTheme="minorHAnsi" w:cstheme="minorHAnsi"/>
          <w:b/>
        </w:rPr>
        <w:t xml:space="preserve"> </w:t>
      </w:r>
      <w:r w:rsidR="00BF05A1" w:rsidRPr="007C0B4F">
        <w:rPr>
          <w:rFonts w:asciiTheme="minorHAnsi" w:hAnsiTheme="minorHAnsi" w:cstheme="minorHAnsi"/>
        </w:rPr>
        <w:t>(</w:t>
      </w:r>
      <w:r w:rsidR="000A08B3" w:rsidRPr="007C0B4F">
        <w:rPr>
          <w:rFonts w:asciiTheme="minorHAnsi" w:hAnsiTheme="minorHAnsi" w:cstheme="minorHAnsi"/>
        </w:rPr>
        <w:t xml:space="preserve">such as </w:t>
      </w:r>
      <w:r w:rsidR="00BF05A1" w:rsidRPr="007C0B4F">
        <w:rPr>
          <w:rFonts w:asciiTheme="minorHAnsi" w:hAnsiTheme="minorHAnsi" w:cstheme="minorHAnsi"/>
        </w:rPr>
        <w:t>teacher up-grading and certification investments)</w:t>
      </w:r>
      <w:r w:rsidRPr="007C0B4F">
        <w:rPr>
          <w:rFonts w:asciiTheme="minorHAnsi" w:hAnsiTheme="minorHAnsi" w:cstheme="minorHAnsi"/>
        </w:rPr>
        <w:t xml:space="preserve">.  </w:t>
      </w:r>
      <w:r w:rsidR="000A08B3" w:rsidRPr="007C0B4F">
        <w:rPr>
          <w:rFonts w:asciiTheme="minorHAnsi" w:hAnsiTheme="minorHAnsi" w:cstheme="minorHAnsi"/>
        </w:rPr>
        <w:t>T</w:t>
      </w:r>
      <w:r w:rsidR="005F5F4A" w:rsidRPr="007C0B4F">
        <w:rPr>
          <w:rFonts w:asciiTheme="minorHAnsi" w:hAnsiTheme="minorHAnsi" w:cstheme="minorHAnsi"/>
        </w:rPr>
        <w:t xml:space="preserve">here is a significant disconnect between national policies and local capacity to implement. </w:t>
      </w:r>
      <w:r w:rsidR="00C12B3F" w:rsidRPr="007C0B4F">
        <w:rPr>
          <w:rFonts w:asciiTheme="minorHAnsi" w:hAnsiTheme="minorHAnsi" w:cstheme="minorHAnsi"/>
        </w:rPr>
        <w:t xml:space="preserve">  </w:t>
      </w:r>
      <w:r w:rsidR="00BF05A1" w:rsidRPr="007C0B4F">
        <w:rPr>
          <w:rFonts w:asciiTheme="minorHAnsi" w:hAnsiTheme="minorHAnsi" w:cstheme="minorHAnsi"/>
        </w:rPr>
        <w:t xml:space="preserve">This shortfall is compounded by a near absence of </w:t>
      </w:r>
      <w:r w:rsidR="005F5F4A" w:rsidRPr="007C0B4F">
        <w:rPr>
          <w:rFonts w:asciiTheme="minorHAnsi" w:hAnsiTheme="minorHAnsi" w:cstheme="minorHAnsi"/>
        </w:rPr>
        <w:t>innovation and rigorous knowledge production about what happens in classrooms</w:t>
      </w:r>
      <w:r w:rsidR="000A08B3" w:rsidRPr="007C0B4F">
        <w:rPr>
          <w:rFonts w:asciiTheme="minorHAnsi" w:hAnsiTheme="minorHAnsi" w:cstheme="minorHAnsi"/>
        </w:rPr>
        <w:t xml:space="preserve"> or what motivates teachers and students in the Indonesian context</w:t>
      </w:r>
      <w:r w:rsidR="00BF05A1" w:rsidRPr="007C0B4F">
        <w:rPr>
          <w:rFonts w:asciiTheme="minorHAnsi" w:hAnsiTheme="minorHAnsi" w:cstheme="minorHAnsi"/>
        </w:rPr>
        <w:t xml:space="preserve">.  There is little known </w:t>
      </w:r>
      <w:r w:rsidR="005F5F4A" w:rsidRPr="007C0B4F">
        <w:rPr>
          <w:rFonts w:asciiTheme="minorHAnsi" w:hAnsiTheme="minorHAnsi" w:cstheme="minorHAnsi"/>
        </w:rPr>
        <w:t xml:space="preserve">on which to base improvement efforts and to scale up and replicate good practices locally, let alone nationally. </w:t>
      </w:r>
      <w:r w:rsidR="00C12B3F" w:rsidRPr="007C0B4F">
        <w:rPr>
          <w:rFonts w:asciiTheme="minorHAnsi" w:hAnsiTheme="minorHAnsi" w:cstheme="minorHAnsi"/>
        </w:rPr>
        <w:t xml:space="preserve"> </w:t>
      </w:r>
      <w:r w:rsidR="005F5F4A" w:rsidRPr="007C0B4F">
        <w:rPr>
          <w:rFonts w:asciiTheme="minorHAnsi" w:hAnsiTheme="minorHAnsi" w:cstheme="minorHAnsi"/>
        </w:rPr>
        <w:t xml:space="preserve">A recent (2006-09) EU-funded project aimed at identifying and disseminating good practice (UNICEF Mainstreaming Good Practices in Basic Education in Indonesia) had a strong focus on the classroom and was shown to have a positive impact on changing practices but it was not apparent that the selection of activities was research-based, nor did the program have a direct link back to policy or implementation more broadly. </w:t>
      </w:r>
      <w:r w:rsidR="00C12B3F" w:rsidRPr="007C0B4F">
        <w:rPr>
          <w:rFonts w:asciiTheme="minorHAnsi" w:hAnsiTheme="minorHAnsi" w:cstheme="minorHAnsi"/>
        </w:rPr>
        <w:t xml:space="preserve"> </w:t>
      </w:r>
    </w:p>
    <w:p w14:paraId="475C9A0E" w14:textId="77777777" w:rsidR="00955B02" w:rsidRPr="007C0B4F" w:rsidRDefault="000A08B3" w:rsidP="006B315A">
      <w:pPr>
        <w:rPr>
          <w:rFonts w:asciiTheme="minorHAnsi" w:hAnsiTheme="minorHAnsi" w:cstheme="minorHAnsi"/>
        </w:rPr>
      </w:pPr>
      <w:r w:rsidRPr="007C0B4F">
        <w:rPr>
          <w:rFonts w:asciiTheme="minorHAnsi" w:hAnsiTheme="minorHAnsi" w:cstheme="minorHAnsi"/>
          <w:b/>
        </w:rPr>
        <w:t>However, a few studies have thrown light on the classroom experience</w:t>
      </w:r>
      <w:r w:rsidRPr="007C0B4F">
        <w:rPr>
          <w:rFonts w:asciiTheme="minorHAnsi" w:hAnsiTheme="minorHAnsi" w:cstheme="minorHAnsi"/>
        </w:rPr>
        <w:t>. T</w:t>
      </w:r>
      <w:r w:rsidR="005F5F4A" w:rsidRPr="007C0B4F">
        <w:rPr>
          <w:rFonts w:asciiTheme="minorHAnsi" w:hAnsiTheme="minorHAnsi" w:cstheme="minorHAnsi"/>
        </w:rPr>
        <w:t>he World Bank TIMSS Video study (2011-12)</w:t>
      </w:r>
      <w:r w:rsidRPr="007C0B4F">
        <w:rPr>
          <w:rFonts w:asciiTheme="minorHAnsi" w:hAnsiTheme="minorHAnsi" w:cstheme="minorHAnsi"/>
        </w:rPr>
        <w:t xml:space="preserve">, for example, </w:t>
      </w:r>
      <w:r w:rsidR="00955B02" w:rsidRPr="007C0B4F">
        <w:rPr>
          <w:rFonts w:asciiTheme="minorHAnsi" w:hAnsiTheme="minorHAnsi" w:cstheme="minorHAnsi"/>
        </w:rPr>
        <w:t xml:space="preserve">observed </w:t>
      </w:r>
      <w:r w:rsidR="005F5F4A" w:rsidRPr="007C0B4F">
        <w:rPr>
          <w:rFonts w:asciiTheme="minorHAnsi" w:hAnsiTheme="minorHAnsi" w:cstheme="minorHAnsi"/>
        </w:rPr>
        <w:t xml:space="preserve">teachers of Year 9 </w:t>
      </w:r>
      <w:r w:rsidR="00B3490A" w:rsidRPr="007C0B4F">
        <w:rPr>
          <w:rFonts w:asciiTheme="minorHAnsi" w:hAnsiTheme="minorHAnsi" w:cstheme="minorHAnsi"/>
        </w:rPr>
        <w:t>m</w:t>
      </w:r>
      <w:r w:rsidR="005F5F4A" w:rsidRPr="007C0B4F">
        <w:rPr>
          <w:rFonts w:asciiTheme="minorHAnsi" w:hAnsiTheme="minorHAnsi" w:cstheme="minorHAnsi"/>
        </w:rPr>
        <w:t xml:space="preserve">ath closely </w:t>
      </w:r>
      <w:r w:rsidR="00955B02" w:rsidRPr="007C0B4F">
        <w:rPr>
          <w:rFonts w:asciiTheme="minorHAnsi" w:hAnsiTheme="minorHAnsi" w:cstheme="minorHAnsi"/>
        </w:rPr>
        <w:t xml:space="preserve">to assess the impact of teaching methods on </w:t>
      </w:r>
      <w:r w:rsidR="005F5F4A" w:rsidRPr="007C0B4F">
        <w:rPr>
          <w:rFonts w:asciiTheme="minorHAnsi" w:hAnsiTheme="minorHAnsi" w:cstheme="minorHAnsi"/>
        </w:rPr>
        <w:t xml:space="preserve">student achievement on a TIMSS </w:t>
      </w:r>
      <w:r w:rsidR="00B3490A" w:rsidRPr="007C0B4F">
        <w:rPr>
          <w:rFonts w:asciiTheme="minorHAnsi" w:hAnsiTheme="minorHAnsi" w:cstheme="minorHAnsi"/>
        </w:rPr>
        <w:t>m</w:t>
      </w:r>
      <w:r w:rsidR="00BF05A1" w:rsidRPr="007C0B4F">
        <w:rPr>
          <w:rFonts w:asciiTheme="minorHAnsi" w:hAnsiTheme="minorHAnsi" w:cstheme="minorHAnsi"/>
        </w:rPr>
        <w:t>ath</w:t>
      </w:r>
      <w:r w:rsidR="005F5F4A" w:rsidRPr="007C0B4F">
        <w:rPr>
          <w:rFonts w:asciiTheme="minorHAnsi" w:hAnsiTheme="minorHAnsi" w:cstheme="minorHAnsi"/>
        </w:rPr>
        <w:t xml:space="preserve"> test</w:t>
      </w:r>
      <w:r w:rsidR="00727545" w:rsidRPr="007C0B4F">
        <w:rPr>
          <w:rFonts w:asciiTheme="minorHAnsi" w:hAnsiTheme="minorHAnsi" w:cstheme="minorHAnsi"/>
        </w:rPr>
        <w:t>.  The study</w:t>
      </w:r>
      <w:r w:rsidR="00BF05A1" w:rsidRPr="007C0B4F">
        <w:rPr>
          <w:rFonts w:asciiTheme="minorHAnsi" w:hAnsiTheme="minorHAnsi" w:cstheme="minorHAnsi"/>
        </w:rPr>
        <w:t xml:space="preserve"> found that, a</w:t>
      </w:r>
      <w:r w:rsidR="005F5F4A" w:rsidRPr="007C0B4F">
        <w:rPr>
          <w:rFonts w:asciiTheme="minorHAnsi" w:hAnsiTheme="minorHAnsi" w:cstheme="minorHAnsi"/>
        </w:rPr>
        <w:t>mong other findings, teaching methods</w:t>
      </w:r>
      <w:r w:rsidR="00727545" w:rsidRPr="007C0B4F">
        <w:rPr>
          <w:rFonts w:asciiTheme="minorHAnsi" w:hAnsiTheme="minorHAnsi" w:cstheme="minorHAnsi"/>
        </w:rPr>
        <w:t xml:space="preserve"> that encourage active student engagement and participation</w:t>
      </w:r>
      <w:r w:rsidR="005F5F4A" w:rsidRPr="007C0B4F">
        <w:rPr>
          <w:rFonts w:asciiTheme="minorHAnsi" w:hAnsiTheme="minorHAnsi" w:cstheme="minorHAnsi"/>
        </w:rPr>
        <w:t xml:space="preserve"> such as investigation, practical work and problem solving, had a positive relationship with student achievement whereas exposition, a predominantly lecturing method</w:t>
      </w:r>
      <w:r w:rsidR="00E762FA" w:rsidRPr="007C0B4F">
        <w:rPr>
          <w:rFonts w:asciiTheme="minorHAnsi" w:hAnsiTheme="minorHAnsi" w:cstheme="minorHAnsi"/>
        </w:rPr>
        <w:t>,</w:t>
      </w:r>
      <w:r w:rsidR="005F5F4A" w:rsidRPr="007C0B4F">
        <w:rPr>
          <w:rFonts w:asciiTheme="minorHAnsi" w:hAnsiTheme="minorHAnsi" w:cstheme="minorHAnsi"/>
        </w:rPr>
        <w:t xml:space="preserve"> was negatively associated with student outcomes. </w:t>
      </w:r>
      <w:r w:rsidR="00BF05A1" w:rsidRPr="007C0B4F">
        <w:rPr>
          <w:rFonts w:asciiTheme="minorHAnsi" w:hAnsiTheme="minorHAnsi" w:cstheme="minorHAnsi"/>
        </w:rPr>
        <w:t xml:space="preserve"> </w:t>
      </w:r>
      <w:r w:rsidR="005F5F4A" w:rsidRPr="007C0B4F">
        <w:rPr>
          <w:rFonts w:asciiTheme="minorHAnsi" w:hAnsiTheme="minorHAnsi" w:cstheme="minorHAnsi"/>
        </w:rPr>
        <w:t>In addition to what teachers do, the important areas which need to be investigated include the relevance of the curriculum, national assessment, school organization and culture, super</w:t>
      </w:r>
      <w:r w:rsidR="00E762FA" w:rsidRPr="007C0B4F">
        <w:rPr>
          <w:rFonts w:asciiTheme="minorHAnsi" w:hAnsiTheme="minorHAnsi" w:cstheme="minorHAnsi"/>
        </w:rPr>
        <w:t>vision</w:t>
      </w:r>
      <w:r w:rsidR="005F5F4A" w:rsidRPr="007C0B4F">
        <w:rPr>
          <w:rFonts w:asciiTheme="minorHAnsi" w:hAnsiTheme="minorHAnsi" w:cstheme="minorHAnsi"/>
        </w:rPr>
        <w:t xml:space="preserve"> </w:t>
      </w:r>
      <w:r w:rsidR="005413A2" w:rsidRPr="007C0B4F">
        <w:rPr>
          <w:rFonts w:asciiTheme="minorHAnsi" w:hAnsiTheme="minorHAnsi" w:cstheme="minorHAnsi"/>
        </w:rPr>
        <w:t xml:space="preserve">and </w:t>
      </w:r>
      <w:r w:rsidR="005F5F4A" w:rsidRPr="007C0B4F">
        <w:rPr>
          <w:rFonts w:asciiTheme="minorHAnsi" w:hAnsiTheme="minorHAnsi" w:cstheme="minorHAnsi"/>
        </w:rPr>
        <w:t>support</w:t>
      </w:r>
      <w:r w:rsidR="00E762FA" w:rsidRPr="007C0B4F">
        <w:rPr>
          <w:rFonts w:asciiTheme="minorHAnsi" w:hAnsiTheme="minorHAnsi" w:cstheme="minorHAnsi"/>
        </w:rPr>
        <w:t>,</w:t>
      </w:r>
      <w:r w:rsidR="005F5F4A" w:rsidRPr="007C0B4F">
        <w:rPr>
          <w:rFonts w:asciiTheme="minorHAnsi" w:hAnsiTheme="minorHAnsi" w:cstheme="minorHAnsi"/>
        </w:rPr>
        <w:t xml:space="preserve"> and effective partnership with the community for learning.  Few of these factors have been the subject of high quality research and analysis at the classroom level.  </w:t>
      </w:r>
      <w:r w:rsidRPr="007C0B4F">
        <w:rPr>
          <w:rFonts w:asciiTheme="minorHAnsi" w:hAnsiTheme="minorHAnsi" w:cstheme="minorHAnsi"/>
        </w:rPr>
        <w:t xml:space="preserve">Other more recent programs which have focused on basic education include AusAID’s Support for Education Development </w:t>
      </w:r>
      <w:r w:rsidR="00561D65" w:rsidRPr="007C0B4F">
        <w:rPr>
          <w:rFonts w:asciiTheme="minorHAnsi" w:hAnsiTheme="minorHAnsi" w:cstheme="minorHAnsi"/>
        </w:rPr>
        <w:t>i</w:t>
      </w:r>
      <w:r w:rsidRPr="007C0B4F">
        <w:rPr>
          <w:rFonts w:asciiTheme="minorHAnsi" w:hAnsiTheme="minorHAnsi" w:cstheme="minorHAnsi"/>
        </w:rPr>
        <w:t xml:space="preserve">n Aceh (SEDIA) program and USAID’s Decentralized Basic Education (DBE) program, but their activity focus has been management, planning and capacity development of leaders and government officials, not the classroom.  </w:t>
      </w:r>
    </w:p>
    <w:p w14:paraId="475C9A0F" w14:textId="77777777" w:rsidR="00955B02" w:rsidRPr="007C0B4F" w:rsidRDefault="00955B02" w:rsidP="006B315A">
      <w:pPr>
        <w:rPr>
          <w:rFonts w:asciiTheme="minorHAnsi" w:hAnsiTheme="minorHAnsi" w:cstheme="minorHAnsi"/>
          <w:b/>
        </w:rPr>
      </w:pPr>
    </w:p>
    <w:p w14:paraId="475C9A10" w14:textId="77777777" w:rsidR="006B315A" w:rsidRPr="007C0B4F" w:rsidRDefault="00955B02" w:rsidP="006B315A">
      <w:pPr>
        <w:rPr>
          <w:rFonts w:asciiTheme="minorHAnsi" w:hAnsiTheme="minorHAnsi" w:cstheme="minorHAnsi"/>
        </w:rPr>
      </w:pPr>
      <w:r w:rsidRPr="007C0B4F">
        <w:rPr>
          <w:rFonts w:asciiTheme="minorHAnsi" w:hAnsiTheme="minorHAnsi" w:cstheme="minorHAnsi"/>
          <w:b/>
        </w:rPr>
        <w:t>AusAID is proposing that a</w:t>
      </w:r>
      <w:r w:rsidR="005F5F4A" w:rsidRPr="007C0B4F">
        <w:rPr>
          <w:rFonts w:asciiTheme="minorHAnsi" w:hAnsiTheme="minorHAnsi" w:cstheme="minorHAnsi"/>
          <w:b/>
        </w:rPr>
        <w:t xml:space="preserve"> sub-national</w:t>
      </w:r>
      <w:r w:rsidR="006B315A" w:rsidRPr="007C0B4F">
        <w:rPr>
          <w:rFonts w:asciiTheme="minorHAnsi" w:hAnsiTheme="minorHAnsi" w:cstheme="minorHAnsi"/>
          <w:b/>
        </w:rPr>
        <w:t xml:space="preserve"> mechanism (the Facility)</w:t>
      </w:r>
      <w:r w:rsidRPr="007C0B4F">
        <w:rPr>
          <w:rFonts w:asciiTheme="minorHAnsi" w:hAnsiTheme="minorHAnsi" w:cstheme="minorHAnsi"/>
          <w:b/>
        </w:rPr>
        <w:t xml:space="preserve"> be established to test and develop knowledge about </w:t>
      </w:r>
      <w:r w:rsidRPr="007C0B4F">
        <w:rPr>
          <w:rFonts w:asciiTheme="minorHAnsi" w:hAnsiTheme="minorHAnsi" w:cstheme="minorHAnsi"/>
          <w:b/>
          <w:u w:val="single"/>
        </w:rPr>
        <w:t>locally-based</w:t>
      </w:r>
      <w:r w:rsidRPr="007C0B4F">
        <w:rPr>
          <w:rFonts w:asciiTheme="minorHAnsi" w:hAnsiTheme="minorHAnsi" w:cstheme="minorHAnsi"/>
          <w:b/>
        </w:rPr>
        <w:t xml:space="preserve"> innovations and reforms that can improve classroom performance and positively influence </w:t>
      </w:r>
      <w:r w:rsidR="00561D65" w:rsidRPr="007C0B4F">
        <w:rPr>
          <w:rFonts w:asciiTheme="minorHAnsi" w:hAnsiTheme="minorHAnsi" w:cstheme="minorHAnsi"/>
          <w:b/>
        </w:rPr>
        <w:t>marginalized children’s participation in the learning process</w:t>
      </w:r>
      <w:r w:rsidRPr="007C0B4F">
        <w:rPr>
          <w:rFonts w:asciiTheme="minorHAnsi" w:hAnsiTheme="minorHAnsi" w:cstheme="minorHAnsi"/>
          <w:b/>
        </w:rPr>
        <w:t xml:space="preserve">.   </w:t>
      </w:r>
      <w:bookmarkStart w:id="19" w:name="_Toc361407142"/>
    </w:p>
    <w:p w14:paraId="475C9A11" w14:textId="77777777" w:rsidR="00EF7F32" w:rsidRPr="007C0B4F" w:rsidRDefault="00FA250B" w:rsidP="006B315A">
      <w:pPr>
        <w:pStyle w:val="Heading2"/>
      </w:pPr>
      <w:bookmarkStart w:id="20" w:name="_Toc365366031"/>
      <w:r w:rsidRPr="007C0B4F">
        <w:t xml:space="preserve">Intended </w:t>
      </w:r>
      <w:r w:rsidRPr="007C0B4F">
        <w:rPr>
          <w:lang w:val="en-AU"/>
        </w:rPr>
        <w:t>f</w:t>
      </w:r>
      <w:r w:rsidR="00EF7F32" w:rsidRPr="007C0B4F">
        <w:t>ocus</w:t>
      </w:r>
      <w:r w:rsidRPr="007C0B4F">
        <w:t xml:space="preserve">: </w:t>
      </w:r>
      <w:r w:rsidRPr="007C0B4F">
        <w:rPr>
          <w:lang w:val="en-AU"/>
        </w:rPr>
        <w:t>o</w:t>
      </w:r>
      <w:r w:rsidRPr="007C0B4F">
        <w:t xml:space="preserve">bjectives and </w:t>
      </w:r>
      <w:r w:rsidRPr="007C0B4F">
        <w:rPr>
          <w:lang w:val="en-AU"/>
        </w:rPr>
        <w:t>o</w:t>
      </w:r>
      <w:r w:rsidR="00E2428E" w:rsidRPr="007C0B4F">
        <w:t>utcomes</w:t>
      </w:r>
      <w:bookmarkEnd w:id="19"/>
      <w:bookmarkEnd w:id="20"/>
    </w:p>
    <w:p w14:paraId="475C9A12" w14:textId="77777777" w:rsidR="00841F08" w:rsidRPr="007C0B4F" w:rsidRDefault="00841F08" w:rsidP="0048191E">
      <w:pPr>
        <w:rPr>
          <w:rFonts w:asciiTheme="minorHAnsi" w:hAnsiTheme="minorHAnsi" w:cstheme="minorHAnsi"/>
        </w:rPr>
      </w:pPr>
      <w:r w:rsidRPr="007C0B4F">
        <w:rPr>
          <w:rFonts w:asciiTheme="minorHAnsi" w:hAnsiTheme="minorHAnsi" w:cstheme="minorHAnsi"/>
        </w:rPr>
        <w:t xml:space="preserve">The </w:t>
      </w:r>
      <w:r w:rsidRPr="007C0B4F">
        <w:rPr>
          <w:rFonts w:asciiTheme="minorHAnsi" w:hAnsiTheme="minorHAnsi" w:cstheme="minorHAnsi"/>
          <w:b/>
        </w:rPr>
        <w:t>goal</w:t>
      </w:r>
      <w:r w:rsidRPr="007C0B4F">
        <w:rPr>
          <w:rFonts w:asciiTheme="minorHAnsi" w:hAnsiTheme="minorHAnsi" w:cstheme="minorHAnsi"/>
        </w:rPr>
        <w:t xml:space="preserve"> of the Facility is to:</w:t>
      </w:r>
    </w:p>
    <w:p w14:paraId="475C9A13" w14:textId="77777777" w:rsidR="00841F08" w:rsidRPr="007C0B4F" w:rsidRDefault="00841F08" w:rsidP="0048191E">
      <w:pPr>
        <w:rPr>
          <w:rFonts w:asciiTheme="minorHAnsi" w:hAnsiTheme="minorHAnsi" w:cstheme="minorHAnsi"/>
          <w:b/>
          <w:i/>
        </w:rPr>
      </w:pPr>
      <w:r w:rsidRPr="007C0B4F">
        <w:rPr>
          <w:rFonts w:asciiTheme="minorHAnsi" w:hAnsiTheme="minorHAnsi" w:cstheme="minorHAnsi"/>
          <w:b/>
          <w:i/>
        </w:rPr>
        <w:t>Support replication and scale-up of practical, sustainable, affordable, and tested policy and practice changes in education service delivery that improve learning and encourage participation.</w:t>
      </w:r>
    </w:p>
    <w:p w14:paraId="475C9A14" w14:textId="77777777" w:rsidR="00841F08" w:rsidRPr="007C0B4F" w:rsidRDefault="00841F08" w:rsidP="0048191E">
      <w:pPr>
        <w:rPr>
          <w:rFonts w:asciiTheme="minorHAnsi" w:hAnsiTheme="minorHAnsi" w:cstheme="minorHAnsi"/>
        </w:rPr>
      </w:pPr>
    </w:p>
    <w:p w14:paraId="475C9A15" w14:textId="77777777" w:rsidR="00841F08" w:rsidRPr="007C0B4F" w:rsidRDefault="00841F08" w:rsidP="0048191E">
      <w:pPr>
        <w:rPr>
          <w:rFonts w:asciiTheme="minorHAnsi" w:hAnsiTheme="minorHAnsi" w:cstheme="minorHAnsi"/>
        </w:rPr>
      </w:pPr>
      <w:r w:rsidRPr="007C0B4F">
        <w:rPr>
          <w:rFonts w:asciiTheme="minorHAnsi" w:hAnsiTheme="minorHAnsi" w:cstheme="minorHAnsi"/>
        </w:rPr>
        <w:lastRenderedPageBreak/>
        <w:t xml:space="preserve">The Facility will not achieve that goal in isolation – it will not have the resources to support replication or scale-up directly - but it will seek to influence that process, </w:t>
      </w:r>
      <w:r w:rsidR="0049559F" w:rsidRPr="007C0B4F">
        <w:rPr>
          <w:rFonts w:asciiTheme="minorHAnsi" w:hAnsiTheme="minorHAnsi" w:cstheme="minorHAnsi"/>
        </w:rPr>
        <w:t>including</w:t>
      </w:r>
      <w:r w:rsidRPr="007C0B4F">
        <w:rPr>
          <w:rFonts w:asciiTheme="minorHAnsi" w:hAnsiTheme="minorHAnsi" w:cstheme="minorHAnsi"/>
        </w:rPr>
        <w:t xml:space="preserve"> the allocation of resources by GoI, AusAID, and other stakeholders.</w:t>
      </w:r>
    </w:p>
    <w:p w14:paraId="475C9A16" w14:textId="77777777" w:rsidR="0049559F" w:rsidRPr="007C0B4F" w:rsidRDefault="0049559F" w:rsidP="0049559F">
      <w:pPr>
        <w:rPr>
          <w:rFonts w:asciiTheme="minorHAnsi" w:hAnsiTheme="minorHAnsi" w:cstheme="minorHAnsi"/>
        </w:rPr>
      </w:pPr>
      <w:r w:rsidRPr="007C0B4F">
        <w:rPr>
          <w:rFonts w:asciiTheme="minorHAnsi" w:hAnsiTheme="minorHAnsi" w:cstheme="minorHAnsi"/>
        </w:rPr>
        <w:t>To contribute to that goal, the Facility will have</w:t>
      </w:r>
      <w:r w:rsidRPr="007C0B4F">
        <w:rPr>
          <w:rFonts w:asciiTheme="minorHAnsi" w:hAnsiTheme="minorHAnsi" w:cstheme="minorHAnsi"/>
          <w:b/>
        </w:rPr>
        <w:t xml:space="preserve"> two end of program outcomes:  </w:t>
      </w:r>
    </w:p>
    <w:p w14:paraId="475C9A17" w14:textId="77777777" w:rsidR="0049559F" w:rsidRPr="007C0B4F" w:rsidRDefault="0049559F" w:rsidP="0049559F">
      <w:pPr>
        <w:pStyle w:val="ListParagraph"/>
        <w:numPr>
          <w:ilvl w:val="0"/>
          <w:numId w:val="31"/>
        </w:numPr>
        <w:rPr>
          <w:rFonts w:asciiTheme="minorHAnsi" w:hAnsiTheme="minorHAnsi" w:cstheme="minorHAnsi"/>
          <w:i/>
        </w:rPr>
      </w:pPr>
      <w:r w:rsidRPr="007C0B4F">
        <w:rPr>
          <w:rFonts w:asciiTheme="minorHAnsi" w:hAnsiTheme="minorHAnsi" w:cstheme="minorHAnsi"/>
          <w:b/>
          <w:i/>
        </w:rPr>
        <w:t>Identifying workable (practical, sustainable and affordable) policy and practice changes for participating districts and schools to make demonstrable gains in learning outcomes and participation</w:t>
      </w:r>
      <w:r w:rsidRPr="007C0B4F">
        <w:rPr>
          <w:rFonts w:asciiTheme="minorHAnsi" w:hAnsiTheme="minorHAnsi" w:cstheme="minorHAnsi"/>
          <w:i/>
        </w:rPr>
        <w:t xml:space="preserve">.  </w:t>
      </w:r>
    </w:p>
    <w:p w14:paraId="475C9A18" w14:textId="77777777" w:rsidR="0049559F" w:rsidRPr="007C0B4F" w:rsidRDefault="0049559F" w:rsidP="0049559F">
      <w:pPr>
        <w:pStyle w:val="ListParagraph"/>
        <w:numPr>
          <w:ilvl w:val="0"/>
          <w:numId w:val="31"/>
        </w:numPr>
        <w:rPr>
          <w:rFonts w:asciiTheme="minorHAnsi" w:hAnsiTheme="minorHAnsi" w:cstheme="minorHAnsi"/>
          <w:i/>
        </w:rPr>
      </w:pPr>
      <w:r w:rsidRPr="007C0B4F">
        <w:rPr>
          <w:rFonts w:asciiTheme="minorHAnsi" w:hAnsiTheme="minorHAnsi" w:cstheme="minorHAnsi"/>
          <w:b/>
          <w:i/>
        </w:rPr>
        <w:t>Expanding the knowledge base within GoI, AusAID, and other sector stakeholders about what impacts learning and encourages participation</w:t>
      </w:r>
      <w:r w:rsidRPr="007C0B4F">
        <w:rPr>
          <w:rFonts w:asciiTheme="minorHAnsi" w:hAnsiTheme="minorHAnsi" w:cstheme="minorHAnsi"/>
          <w:i/>
        </w:rPr>
        <w:t xml:space="preserve">.  </w:t>
      </w:r>
    </w:p>
    <w:p w14:paraId="475C9A19" w14:textId="77777777" w:rsidR="0049559F" w:rsidRPr="007C0B4F" w:rsidRDefault="0049559F" w:rsidP="0049559F">
      <w:pPr>
        <w:rPr>
          <w:rFonts w:asciiTheme="minorHAnsi" w:hAnsiTheme="minorHAnsi" w:cstheme="minorHAnsi"/>
        </w:rPr>
      </w:pPr>
      <w:r w:rsidRPr="007C0B4F">
        <w:rPr>
          <w:rFonts w:asciiTheme="minorHAnsi" w:hAnsiTheme="minorHAnsi" w:cstheme="minorHAnsi"/>
        </w:rPr>
        <w:t>To meet these two outcomes the Facility will need to demonstrate what works (and, in some cases, what does not) at the local level to improve learning outcomes</w:t>
      </w:r>
      <w:r w:rsidRPr="007C0B4F">
        <w:rPr>
          <w:rFonts w:asciiTheme="minorHAnsi" w:hAnsiTheme="minorHAnsi" w:cstheme="minorHAnsi"/>
          <w:b/>
        </w:rPr>
        <w:t xml:space="preserve"> </w:t>
      </w:r>
      <w:r w:rsidRPr="007C0B4F">
        <w:rPr>
          <w:rFonts w:asciiTheme="minorHAnsi" w:hAnsiTheme="minorHAnsi" w:cstheme="minorHAnsi"/>
        </w:rPr>
        <w:t>(measured by sustained reading and numeracy gains) and improve participation by marginalized children.</w:t>
      </w:r>
    </w:p>
    <w:p w14:paraId="475C9A1A" w14:textId="77777777" w:rsidR="00E762FA" w:rsidRPr="007C0B4F" w:rsidRDefault="00E762FA" w:rsidP="0048191E">
      <w:pPr>
        <w:rPr>
          <w:rFonts w:asciiTheme="minorHAnsi" w:hAnsiTheme="minorHAnsi" w:cstheme="minorHAnsi"/>
        </w:rPr>
      </w:pPr>
      <w:r w:rsidRPr="007C0B4F">
        <w:rPr>
          <w:rFonts w:asciiTheme="minorHAnsi" w:hAnsiTheme="minorHAnsi" w:cstheme="minorHAnsi"/>
        </w:rPr>
        <w:t xml:space="preserve">The Facility would develop and implement activities at pilot scale, </w:t>
      </w:r>
      <w:r w:rsidR="0049559F" w:rsidRPr="007C0B4F">
        <w:rPr>
          <w:rFonts w:asciiTheme="minorHAnsi" w:hAnsiTheme="minorHAnsi" w:cstheme="minorHAnsi"/>
        </w:rPr>
        <w:t xml:space="preserve">accompanied by rigorous monitoring and evaluation, and supplemented by analysis, research, and local policy dialogue, </w:t>
      </w:r>
      <w:r w:rsidRPr="007C0B4F">
        <w:rPr>
          <w:rFonts w:asciiTheme="minorHAnsi" w:hAnsiTheme="minorHAnsi" w:cstheme="minorHAnsi"/>
        </w:rPr>
        <w:t>which would contribute to one of the following two objectives:</w:t>
      </w:r>
    </w:p>
    <w:p w14:paraId="475C9A1B" w14:textId="77777777" w:rsidR="00E762FA" w:rsidRPr="007C0B4F" w:rsidRDefault="00E762FA" w:rsidP="00E762FA">
      <w:pPr>
        <w:pStyle w:val="ListParagraph"/>
        <w:numPr>
          <w:ilvl w:val="0"/>
          <w:numId w:val="32"/>
        </w:numPr>
        <w:rPr>
          <w:rFonts w:asciiTheme="minorHAnsi" w:hAnsiTheme="minorHAnsi" w:cstheme="minorHAnsi"/>
          <w:b/>
          <w:i/>
        </w:rPr>
      </w:pPr>
      <w:r w:rsidRPr="007C0B4F">
        <w:rPr>
          <w:rFonts w:asciiTheme="minorHAnsi" w:hAnsiTheme="minorHAnsi" w:cstheme="minorHAnsi"/>
          <w:b/>
          <w:i/>
        </w:rPr>
        <w:t>Improved learning outcomes (measured by sustained literacy and numeracy gains)</w:t>
      </w:r>
      <w:r w:rsidR="00F728DE" w:rsidRPr="007C0B4F">
        <w:rPr>
          <w:rFonts w:asciiTheme="minorHAnsi" w:hAnsiTheme="minorHAnsi" w:cstheme="minorHAnsi"/>
          <w:b/>
          <w:i/>
        </w:rPr>
        <w:t>.</w:t>
      </w:r>
    </w:p>
    <w:p w14:paraId="475C9A1C" w14:textId="77777777" w:rsidR="00E762FA" w:rsidRPr="007C0B4F" w:rsidRDefault="00E762FA" w:rsidP="00E762FA">
      <w:pPr>
        <w:pStyle w:val="ListParagraph"/>
        <w:numPr>
          <w:ilvl w:val="0"/>
          <w:numId w:val="32"/>
        </w:numPr>
        <w:rPr>
          <w:rFonts w:asciiTheme="minorHAnsi" w:hAnsiTheme="minorHAnsi" w:cstheme="minorHAnsi"/>
          <w:b/>
          <w:i/>
        </w:rPr>
      </w:pPr>
      <w:r w:rsidRPr="007C0B4F">
        <w:rPr>
          <w:rFonts w:asciiTheme="minorHAnsi" w:hAnsiTheme="minorHAnsi" w:cstheme="minorHAnsi"/>
          <w:b/>
          <w:i/>
        </w:rPr>
        <w:t>Improved participation by marginalised children (measured by relative gains in learning outcomes amongst targeted groups).</w:t>
      </w:r>
    </w:p>
    <w:p w14:paraId="475C9A1D" w14:textId="77777777" w:rsidR="000C2ED0" w:rsidRPr="007C0B4F" w:rsidRDefault="000C2ED0" w:rsidP="0048191E">
      <w:pPr>
        <w:rPr>
          <w:rFonts w:asciiTheme="minorHAnsi" w:hAnsiTheme="minorHAnsi" w:cstheme="minorHAnsi"/>
        </w:rPr>
      </w:pPr>
      <w:r w:rsidRPr="007C0B4F">
        <w:rPr>
          <w:rFonts w:asciiTheme="minorHAnsi" w:hAnsiTheme="minorHAnsi" w:cstheme="minorHAnsi"/>
        </w:rPr>
        <w:t xml:space="preserve">What will be critical to </w:t>
      </w:r>
      <w:r w:rsidR="0066254C" w:rsidRPr="007C0B4F">
        <w:rPr>
          <w:rFonts w:asciiTheme="minorHAnsi" w:hAnsiTheme="minorHAnsi" w:cstheme="minorHAnsi"/>
        </w:rPr>
        <w:t xml:space="preserve">realizing </w:t>
      </w:r>
      <w:r w:rsidR="0049559F" w:rsidRPr="007C0B4F">
        <w:rPr>
          <w:rFonts w:asciiTheme="minorHAnsi" w:hAnsiTheme="minorHAnsi" w:cstheme="minorHAnsi"/>
        </w:rPr>
        <w:t>the end of program outcomes</w:t>
      </w:r>
      <w:r w:rsidRPr="007C0B4F">
        <w:rPr>
          <w:rFonts w:asciiTheme="minorHAnsi" w:hAnsiTheme="minorHAnsi" w:cstheme="minorHAnsi"/>
        </w:rPr>
        <w:t xml:space="preserve"> will be </w:t>
      </w:r>
      <w:r w:rsidR="0066254C" w:rsidRPr="007C0B4F">
        <w:rPr>
          <w:rFonts w:asciiTheme="minorHAnsi" w:hAnsiTheme="minorHAnsi" w:cstheme="minorHAnsi"/>
        </w:rPr>
        <w:t>the ability</w:t>
      </w:r>
      <w:r w:rsidRPr="007C0B4F">
        <w:rPr>
          <w:rFonts w:asciiTheme="minorHAnsi" w:hAnsiTheme="minorHAnsi" w:cstheme="minorHAnsi"/>
        </w:rPr>
        <w:t xml:space="preserve"> for Australia, perhaps partially through the Facility, to facilitate districts taking up or continuing proven intervention</w:t>
      </w:r>
      <w:r w:rsidR="0049559F" w:rsidRPr="007C0B4F">
        <w:rPr>
          <w:rFonts w:asciiTheme="minorHAnsi" w:hAnsiTheme="minorHAnsi" w:cstheme="minorHAnsi"/>
        </w:rPr>
        <w:t>s</w:t>
      </w:r>
      <w:r w:rsidRPr="007C0B4F">
        <w:rPr>
          <w:rFonts w:asciiTheme="minorHAnsi" w:hAnsiTheme="minorHAnsi" w:cstheme="minorHAnsi"/>
        </w:rPr>
        <w:t>, adapting or adopting mechanism</w:t>
      </w:r>
      <w:r w:rsidR="0049559F" w:rsidRPr="007C0B4F">
        <w:rPr>
          <w:rFonts w:asciiTheme="minorHAnsi" w:hAnsiTheme="minorHAnsi" w:cstheme="minorHAnsi"/>
        </w:rPr>
        <w:t>s</w:t>
      </w:r>
      <w:r w:rsidRPr="007C0B4F">
        <w:rPr>
          <w:rFonts w:asciiTheme="minorHAnsi" w:hAnsiTheme="minorHAnsi" w:cstheme="minorHAnsi"/>
        </w:rPr>
        <w:t xml:space="preserve"> as appropriate.  Essential to that process will be ensuring that </w:t>
      </w:r>
      <w:r w:rsidR="00F33850" w:rsidRPr="007C0B4F">
        <w:rPr>
          <w:rFonts w:asciiTheme="minorHAnsi" w:hAnsiTheme="minorHAnsi" w:cstheme="minorHAnsi"/>
        </w:rPr>
        <w:t xml:space="preserve">successful </w:t>
      </w:r>
      <w:r w:rsidRPr="007C0B4F">
        <w:rPr>
          <w:rFonts w:asciiTheme="minorHAnsi" w:hAnsiTheme="minorHAnsi" w:cstheme="minorHAnsi"/>
        </w:rPr>
        <w:t>intervention</w:t>
      </w:r>
      <w:r w:rsidR="00F33850" w:rsidRPr="007C0B4F">
        <w:rPr>
          <w:rFonts w:asciiTheme="minorHAnsi" w:hAnsiTheme="minorHAnsi" w:cstheme="minorHAnsi"/>
        </w:rPr>
        <w:t xml:space="preserve">s are </w:t>
      </w:r>
      <w:r w:rsidRPr="007C0B4F">
        <w:rPr>
          <w:rFonts w:asciiTheme="minorHAnsi" w:hAnsiTheme="minorHAnsi" w:cstheme="minorHAnsi"/>
        </w:rPr>
        <w:t xml:space="preserve">adequately “packaged” and disseminated to appropriate districts, provinces and </w:t>
      </w:r>
      <w:r w:rsidR="00F33850" w:rsidRPr="007C0B4F">
        <w:rPr>
          <w:rFonts w:asciiTheme="minorHAnsi" w:hAnsiTheme="minorHAnsi" w:cstheme="minorHAnsi"/>
        </w:rPr>
        <w:t xml:space="preserve">to </w:t>
      </w:r>
      <w:r w:rsidRPr="007C0B4F">
        <w:rPr>
          <w:rFonts w:asciiTheme="minorHAnsi" w:hAnsiTheme="minorHAnsi" w:cstheme="minorHAnsi"/>
        </w:rPr>
        <w:t>the national government.  The potential for local or national policy reform will also need to be understood and articulated to appropriate stakeholders</w:t>
      </w:r>
      <w:r w:rsidR="00F33850" w:rsidRPr="007C0B4F">
        <w:rPr>
          <w:rFonts w:asciiTheme="minorHAnsi" w:hAnsiTheme="minorHAnsi" w:cstheme="minorHAnsi"/>
        </w:rPr>
        <w:t>, bearing in mind and also articulating an understanding of the contextual circumstances that constrain or allow policy reform.</w:t>
      </w:r>
    </w:p>
    <w:p w14:paraId="475C9A1E" w14:textId="77777777" w:rsidR="000C2ED0" w:rsidRPr="007C0B4F" w:rsidRDefault="000C2ED0" w:rsidP="000C2ED0">
      <w:pPr>
        <w:pStyle w:val="Heading2"/>
      </w:pPr>
      <w:bookmarkStart w:id="21" w:name="_Toc365366032"/>
      <w:r w:rsidRPr="007C0B4F">
        <w:t xml:space="preserve">The proposed </w:t>
      </w:r>
      <w:r w:rsidRPr="007C0B4F">
        <w:rPr>
          <w:lang w:val="en-AU"/>
        </w:rPr>
        <w:t>r</w:t>
      </w:r>
      <w:r w:rsidRPr="007C0B4F">
        <w:t xml:space="preserve">esearch </w:t>
      </w:r>
      <w:r w:rsidRPr="007C0B4F">
        <w:rPr>
          <w:lang w:val="en-AU"/>
        </w:rPr>
        <w:t>p</w:t>
      </w:r>
      <w:r w:rsidRPr="007C0B4F">
        <w:t>rocess</w:t>
      </w:r>
      <w:bookmarkEnd w:id="21"/>
    </w:p>
    <w:p w14:paraId="475C9A1F" w14:textId="77777777" w:rsidR="000C2ED0" w:rsidRPr="007C0B4F" w:rsidRDefault="000C2ED0" w:rsidP="000C2ED0">
      <w:pPr>
        <w:rPr>
          <w:rFonts w:asciiTheme="minorHAnsi" w:hAnsiTheme="minorHAnsi" w:cstheme="minorHAnsi"/>
          <w:lang w:val="en-GB"/>
        </w:rPr>
      </w:pPr>
      <w:r w:rsidRPr="007C0B4F">
        <w:rPr>
          <w:rFonts w:asciiTheme="minorHAnsi" w:hAnsiTheme="minorHAnsi" w:cstheme="minorHAnsi"/>
          <w:lang w:val="en-GB"/>
        </w:rPr>
        <w:t xml:space="preserve">With the clear focus on contributing to the process of improving learning outcomes </w:t>
      </w:r>
      <w:r w:rsidR="00354B04" w:rsidRPr="007C0B4F">
        <w:rPr>
          <w:rFonts w:asciiTheme="minorHAnsi" w:hAnsiTheme="minorHAnsi" w:cstheme="minorHAnsi"/>
          <w:lang w:val="en-GB"/>
        </w:rPr>
        <w:t xml:space="preserve">and improving participation </w:t>
      </w:r>
      <w:r w:rsidRPr="007C0B4F">
        <w:rPr>
          <w:rFonts w:asciiTheme="minorHAnsi" w:hAnsiTheme="minorHAnsi" w:cstheme="minorHAnsi"/>
          <w:lang w:val="en-GB"/>
        </w:rPr>
        <w:t>is a sustainable way, the Facility’s research process may be thought of as:</w:t>
      </w:r>
    </w:p>
    <w:p w14:paraId="475C9A20" w14:textId="77777777" w:rsidR="000C2ED0" w:rsidRPr="007C0B4F" w:rsidRDefault="000C2ED0" w:rsidP="000C2ED0">
      <w:pPr>
        <w:pStyle w:val="ListParagraph"/>
        <w:numPr>
          <w:ilvl w:val="0"/>
          <w:numId w:val="13"/>
        </w:numPr>
        <w:rPr>
          <w:rFonts w:asciiTheme="minorHAnsi" w:hAnsiTheme="minorHAnsi" w:cstheme="minorHAnsi"/>
        </w:rPr>
      </w:pPr>
      <w:r w:rsidRPr="007C0B4F">
        <w:rPr>
          <w:rFonts w:asciiTheme="minorHAnsi" w:eastAsiaTheme="minorEastAsia" w:hAnsiTheme="minorHAnsi" w:cstheme="minorHAnsi"/>
          <w:b/>
        </w:rPr>
        <w:t>Identifying</w:t>
      </w:r>
      <w:r w:rsidRPr="007C0B4F">
        <w:rPr>
          <w:rFonts w:asciiTheme="minorHAnsi" w:eastAsiaTheme="minorEastAsia" w:hAnsiTheme="minorHAnsi" w:cstheme="minorHAnsi"/>
        </w:rPr>
        <w:t xml:space="preserve"> local priorities</w:t>
      </w:r>
      <w:r w:rsidRPr="007C0B4F">
        <w:rPr>
          <w:rFonts w:asciiTheme="minorHAnsi" w:hAnsiTheme="minorHAnsi" w:cstheme="minorHAnsi"/>
        </w:rPr>
        <w:t xml:space="preserve">, </w:t>
      </w:r>
      <w:r w:rsidRPr="007C0B4F">
        <w:rPr>
          <w:rFonts w:asciiTheme="minorHAnsi" w:eastAsiaTheme="minorEastAsia" w:hAnsiTheme="minorHAnsi" w:cstheme="minorHAnsi"/>
        </w:rPr>
        <w:t>key local partners and the scope of support the Facility might provide in target provinces and districts (demand led).</w:t>
      </w:r>
    </w:p>
    <w:p w14:paraId="475C9A21" w14:textId="77777777" w:rsidR="000C2ED0" w:rsidRPr="007C0B4F" w:rsidRDefault="000C2ED0" w:rsidP="000C2ED0">
      <w:pPr>
        <w:pStyle w:val="ListParagraph"/>
        <w:numPr>
          <w:ilvl w:val="0"/>
          <w:numId w:val="13"/>
        </w:numPr>
        <w:rPr>
          <w:rFonts w:asciiTheme="minorHAnsi" w:hAnsiTheme="minorHAnsi" w:cstheme="minorHAnsi"/>
        </w:rPr>
      </w:pPr>
      <w:r w:rsidRPr="007C0B4F">
        <w:rPr>
          <w:rFonts w:asciiTheme="minorHAnsi" w:eastAsiaTheme="minorEastAsia" w:hAnsiTheme="minorHAnsi" w:cstheme="minorHAnsi"/>
          <w:b/>
        </w:rPr>
        <w:t>Designing</w:t>
      </w:r>
      <w:r w:rsidRPr="007C0B4F">
        <w:rPr>
          <w:rFonts w:asciiTheme="minorHAnsi" w:eastAsiaTheme="minorEastAsia" w:hAnsiTheme="minorHAnsi" w:cstheme="minorHAnsi"/>
        </w:rPr>
        <w:t xml:space="preserve"> of action research/pilots that support the identification, trial &amp;/or further testing of innovations/effective practices (building on what is already known).</w:t>
      </w:r>
    </w:p>
    <w:p w14:paraId="475C9A22" w14:textId="77777777" w:rsidR="000C2ED0" w:rsidRPr="007C0B4F" w:rsidRDefault="000C2ED0" w:rsidP="000C2ED0">
      <w:pPr>
        <w:pStyle w:val="ListParagraph"/>
        <w:numPr>
          <w:ilvl w:val="0"/>
          <w:numId w:val="13"/>
        </w:numPr>
        <w:rPr>
          <w:rFonts w:asciiTheme="minorHAnsi" w:hAnsiTheme="minorHAnsi" w:cstheme="minorHAnsi"/>
        </w:rPr>
      </w:pPr>
      <w:r w:rsidRPr="007C0B4F">
        <w:rPr>
          <w:rFonts w:asciiTheme="minorHAnsi" w:eastAsiaTheme="minorEastAsia" w:hAnsiTheme="minorHAnsi" w:cstheme="minorHAnsi"/>
          <w:b/>
        </w:rPr>
        <w:t>Mobilising</w:t>
      </w:r>
      <w:r w:rsidRPr="007C0B4F">
        <w:rPr>
          <w:rFonts w:asciiTheme="minorHAnsi" w:eastAsiaTheme="minorEastAsia" w:hAnsiTheme="minorHAnsi" w:cstheme="minorHAnsi"/>
        </w:rPr>
        <w:t xml:space="preserve"> resources for implementation of action research (from various sources, not just the Facility).</w:t>
      </w:r>
    </w:p>
    <w:p w14:paraId="475C9A23" w14:textId="77777777" w:rsidR="000C2ED0" w:rsidRPr="007C0B4F" w:rsidRDefault="000C2ED0" w:rsidP="000C2ED0">
      <w:pPr>
        <w:pStyle w:val="ListParagraph"/>
        <w:numPr>
          <w:ilvl w:val="0"/>
          <w:numId w:val="13"/>
        </w:numPr>
        <w:rPr>
          <w:rFonts w:asciiTheme="minorHAnsi" w:hAnsiTheme="minorHAnsi" w:cstheme="minorHAnsi"/>
        </w:rPr>
      </w:pPr>
      <w:r w:rsidRPr="007C0B4F">
        <w:rPr>
          <w:rFonts w:asciiTheme="minorHAnsi" w:eastAsiaTheme="minorEastAsia" w:hAnsiTheme="minorHAnsi" w:cstheme="minorHAnsi"/>
          <w:b/>
        </w:rPr>
        <w:t>Monitoring</w:t>
      </w:r>
      <w:r w:rsidRPr="007C0B4F">
        <w:rPr>
          <w:rFonts w:asciiTheme="minorHAnsi" w:eastAsiaTheme="minorEastAsia" w:hAnsiTheme="minorHAnsi" w:cstheme="minorHAnsi"/>
        </w:rPr>
        <w:t xml:space="preserve"> the research processes.</w:t>
      </w:r>
    </w:p>
    <w:p w14:paraId="475C9A24" w14:textId="77777777" w:rsidR="000C2ED0" w:rsidRPr="007C0B4F" w:rsidRDefault="000C2ED0" w:rsidP="000C2ED0">
      <w:pPr>
        <w:pStyle w:val="ListParagraph"/>
        <w:numPr>
          <w:ilvl w:val="0"/>
          <w:numId w:val="13"/>
        </w:numPr>
        <w:rPr>
          <w:rFonts w:asciiTheme="minorHAnsi" w:hAnsiTheme="minorHAnsi" w:cstheme="minorHAnsi"/>
        </w:rPr>
      </w:pPr>
      <w:r w:rsidRPr="007C0B4F">
        <w:rPr>
          <w:rFonts w:asciiTheme="minorHAnsi" w:eastAsiaTheme="minorEastAsia" w:hAnsiTheme="minorHAnsi" w:cstheme="minorHAnsi"/>
          <w:b/>
        </w:rPr>
        <w:t xml:space="preserve">Evaluating </w:t>
      </w:r>
      <w:r w:rsidRPr="007C0B4F">
        <w:rPr>
          <w:rFonts w:asciiTheme="minorHAnsi" w:eastAsiaTheme="minorEastAsia" w:hAnsiTheme="minorHAnsi" w:cstheme="minorHAnsi"/>
        </w:rPr>
        <w:t>results/findings/lessons learned through action research.</w:t>
      </w:r>
    </w:p>
    <w:p w14:paraId="475C9A25" w14:textId="77777777" w:rsidR="000C2ED0" w:rsidRPr="007C0B4F" w:rsidRDefault="000C2ED0" w:rsidP="000C2ED0">
      <w:pPr>
        <w:pStyle w:val="ListParagraph"/>
        <w:numPr>
          <w:ilvl w:val="0"/>
          <w:numId w:val="13"/>
        </w:numPr>
        <w:rPr>
          <w:rFonts w:asciiTheme="minorHAnsi" w:hAnsiTheme="minorHAnsi" w:cstheme="minorHAnsi"/>
        </w:rPr>
      </w:pPr>
      <w:r w:rsidRPr="007C0B4F">
        <w:rPr>
          <w:rFonts w:asciiTheme="minorHAnsi" w:eastAsiaTheme="minorEastAsia" w:hAnsiTheme="minorHAnsi" w:cstheme="minorHAnsi"/>
          <w:b/>
        </w:rPr>
        <w:t xml:space="preserve">Translating </w:t>
      </w:r>
      <w:r w:rsidRPr="007C0B4F">
        <w:rPr>
          <w:rFonts w:asciiTheme="minorHAnsi" w:eastAsiaTheme="minorEastAsia" w:hAnsiTheme="minorHAnsi" w:cstheme="minorHAnsi"/>
        </w:rPr>
        <w:t xml:space="preserve">analysis in the context of enabling/restricting factors that may affect the sustainability and replication of improvement in practices/behaviours.  </w:t>
      </w:r>
    </w:p>
    <w:p w14:paraId="475C9A26" w14:textId="77777777" w:rsidR="000C2ED0" w:rsidRPr="007C0B4F" w:rsidRDefault="000C2ED0" w:rsidP="000C2ED0">
      <w:pPr>
        <w:pStyle w:val="ListParagraph"/>
        <w:numPr>
          <w:ilvl w:val="0"/>
          <w:numId w:val="13"/>
        </w:numPr>
        <w:rPr>
          <w:rFonts w:asciiTheme="minorHAnsi" w:hAnsiTheme="minorHAnsi" w:cstheme="minorHAnsi"/>
        </w:rPr>
      </w:pPr>
      <w:r w:rsidRPr="007C0B4F">
        <w:rPr>
          <w:rFonts w:asciiTheme="minorHAnsi" w:eastAsiaTheme="minorEastAsia" w:hAnsiTheme="minorHAnsi" w:cstheme="minorHAnsi"/>
          <w:b/>
        </w:rPr>
        <w:t xml:space="preserve">Communicating </w:t>
      </w:r>
      <w:r w:rsidRPr="007C0B4F">
        <w:rPr>
          <w:rFonts w:asciiTheme="minorHAnsi" w:eastAsiaTheme="minorEastAsia" w:hAnsiTheme="minorHAnsi" w:cstheme="minorHAnsi"/>
        </w:rPr>
        <w:t xml:space="preserve">in a timely and effective manner the results/lessons learned to key stakeholders, to help inform policy making and future programming/budgeting by both GoI and AusAID. </w:t>
      </w:r>
    </w:p>
    <w:p w14:paraId="475C9A27" w14:textId="77777777" w:rsidR="0066254C" w:rsidRPr="007C0B4F" w:rsidRDefault="0066254C" w:rsidP="006B315A">
      <w:pPr>
        <w:rPr>
          <w:rFonts w:asciiTheme="minorHAnsi" w:hAnsiTheme="minorHAnsi" w:cstheme="minorHAnsi"/>
        </w:rPr>
      </w:pPr>
      <w:r w:rsidRPr="007C0B4F">
        <w:rPr>
          <w:rFonts w:asciiTheme="minorHAnsi" w:hAnsiTheme="minorHAnsi" w:cstheme="minorHAnsi"/>
          <w:b/>
        </w:rPr>
        <w:t xml:space="preserve">An early task of the proposed Facility would be to prepare a summary of the probable </w:t>
      </w:r>
      <w:r w:rsidR="0049559F" w:rsidRPr="007C0B4F">
        <w:rPr>
          <w:rFonts w:asciiTheme="minorHAnsi" w:hAnsiTheme="minorHAnsi" w:cstheme="minorHAnsi"/>
          <w:b/>
        </w:rPr>
        <w:t xml:space="preserve">root </w:t>
      </w:r>
      <w:r w:rsidRPr="007C0B4F">
        <w:rPr>
          <w:rFonts w:asciiTheme="minorHAnsi" w:hAnsiTheme="minorHAnsi" w:cstheme="minorHAnsi"/>
          <w:b/>
        </w:rPr>
        <w:t>causes of low learning outcomes and poor participation by marginalized children.</w:t>
      </w:r>
      <w:r w:rsidRPr="007C0B4F">
        <w:rPr>
          <w:rFonts w:asciiTheme="minorHAnsi" w:hAnsiTheme="minorHAnsi" w:cstheme="minorHAnsi"/>
        </w:rPr>
        <w:t xml:space="preserve">  While many of the </w:t>
      </w:r>
      <w:r w:rsidRPr="007C0B4F">
        <w:rPr>
          <w:rFonts w:asciiTheme="minorHAnsi" w:hAnsiTheme="minorHAnsi" w:cstheme="minorHAnsi"/>
        </w:rPr>
        <w:lastRenderedPageBreak/>
        <w:t>shortcomings of service delivery are well known, an analysis has not yet been produced that highlights in a single location the probable root causes of the most critical of the system’s challenges in influencing a shift to higher standards of quality teaching and learning and more equitable access to quality schooling.  While the analysis is not intended to be definitive in cataloguing the causes of all the system’s inefficiencies, it should identify with an acceptable degree of certainty which of the underlying causes of low system performance could perhaps be best addressed at a sub-national level.</w:t>
      </w:r>
    </w:p>
    <w:p w14:paraId="475C9A28" w14:textId="77777777" w:rsidR="006B315A" w:rsidRPr="007C0B4F" w:rsidRDefault="00ED2087" w:rsidP="006B315A">
      <w:pPr>
        <w:rPr>
          <w:rFonts w:asciiTheme="minorHAnsi" w:hAnsiTheme="minorHAnsi" w:cstheme="minorHAnsi"/>
        </w:rPr>
      </w:pPr>
      <w:r w:rsidRPr="007C0B4F">
        <w:rPr>
          <w:rFonts w:asciiTheme="minorHAnsi" w:hAnsiTheme="minorHAnsi" w:cstheme="minorHAnsi"/>
          <w:b/>
        </w:rPr>
        <w:t>The Facility would target</w:t>
      </w:r>
      <w:r w:rsidR="00851331" w:rsidRPr="007C0B4F">
        <w:rPr>
          <w:rFonts w:asciiTheme="minorHAnsi" w:hAnsiTheme="minorHAnsi" w:cstheme="minorHAnsi"/>
          <w:b/>
        </w:rPr>
        <w:t xml:space="preserve"> </w:t>
      </w:r>
      <w:r w:rsidRPr="007C0B4F">
        <w:rPr>
          <w:rFonts w:asciiTheme="minorHAnsi" w:hAnsiTheme="minorHAnsi" w:cstheme="minorHAnsi"/>
          <w:b/>
        </w:rPr>
        <w:t>resources on a limited number of strategic issues that are of particular concern to each targeted locality</w:t>
      </w:r>
      <w:r w:rsidRPr="007C0B4F">
        <w:rPr>
          <w:rFonts w:asciiTheme="minorHAnsi" w:hAnsiTheme="minorHAnsi" w:cstheme="minorHAnsi"/>
        </w:rPr>
        <w:t xml:space="preserve"> (province, district, school or clusters of schools).  </w:t>
      </w:r>
      <w:r w:rsidR="00B35304" w:rsidRPr="007C0B4F">
        <w:rPr>
          <w:rFonts w:asciiTheme="minorHAnsi" w:hAnsiTheme="minorHAnsi" w:cstheme="minorHAnsi"/>
        </w:rPr>
        <w:t xml:space="preserve">Drawing </w:t>
      </w:r>
      <w:r w:rsidR="00354B04" w:rsidRPr="007C0B4F">
        <w:rPr>
          <w:rFonts w:asciiTheme="minorHAnsi" w:hAnsiTheme="minorHAnsi" w:cstheme="minorHAnsi"/>
        </w:rPr>
        <w:t xml:space="preserve">also </w:t>
      </w:r>
      <w:r w:rsidR="00B35304" w:rsidRPr="007C0B4F">
        <w:rPr>
          <w:rFonts w:asciiTheme="minorHAnsi" w:hAnsiTheme="minorHAnsi" w:cstheme="minorHAnsi"/>
        </w:rPr>
        <w:t xml:space="preserve">on the </w:t>
      </w:r>
      <w:r w:rsidR="0049559F" w:rsidRPr="007C0B4F">
        <w:rPr>
          <w:rFonts w:asciiTheme="minorHAnsi" w:hAnsiTheme="minorHAnsi" w:cstheme="minorHAnsi"/>
        </w:rPr>
        <w:t xml:space="preserve">root </w:t>
      </w:r>
      <w:r w:rsidR="00354B04" w:rsidRPr="007C0B4F">
        <w:rPr>
          <w:rFonts w:asciiTheme="minorHAnsi" w:hAnsiTheme="minorHAnsi" w:cstheme="minorHAnsi"/>
        </w:rPr>
        <w:t xml:space="preserve">cause </w:t>
      </w:r>
      <w:r w:rsidR="00B35304" w:rsidRPr="007C0B4F">
        <w:rPr>
          <w:rFonts w:asciiTheme="minorHAnsi" w:hAnsiTheme="minorHAnsi" w:cstheme="minorHAnsi"/>
        </w:rPr>
        <w:t>analys</w:t>
      </w:r>
      <w:r w:rsidR="00354B04" w:rsidRPr="007C0B4F">
        <w:rPr>
          <w:rFonts w:asciiTheme="minorHAnsi" w:hAnsiTheme="minorHAnsi" w:cstheme="minorHAnsi"/>
        </w:rPr>
        <w:t xml:space="preserve">is </w:t>
      </w:r>
      <w:r w:rsidR="00B35304" w:rsidRPr="007C0B4F">
        <w:rPr>
          <w:rFonts w:asciiTheme="minorHAnsi" w:hAnsiTheme="minorHAnsi" w:cstheme="minorHAnsi"/>
        </w:rPr>
        <w:t>referred to above, these issues, for</w:t>
      </w:r>
      <w:r w:rsidRPr="007C0B4F">
        <w:rPr>
          <w:rFonts w:asciiTheme="minorHAnsi" w:hAnsiTheme="minorHAnsi" w:cstheme="minorHAnsi"/>
        </w:rPr>
        <w:t xml:space="preserve"> example, could include: improv</w:t>
      </w:r>
      <w:r w:rsidR="0049559F" w:rsidRPr="007C0B4F">
        <w:rPr>
          <w:rFonts w:asciiTheme="minorHAnsi" w:hAnsiTheme="minorHAnsi" w:cstheme="minorHAnsi"/>
        </w:rPr>
        <w:t>ing</w:t>
      </w:r>
      <w:r w:rsidRPr="007C0B4F">
        <w:rPr>
          <w:rFonts w:asciiTheme="minorHAnsi" w:hAnsiTheme="minorHAnsi" w:cstheme="minorHAnsi"/>
        </w:rPr>
        <w:t xml:space="preserve"> learning assessment tools and systems; </w:t>
      </w:r>
      <w:r w:rsidR="00B35304" w:rsidRPr="007C0B4F">
        <w:rPr>
          <w:rFonts w:asciiTheme="minorHAnsi" w:hAnsiTheme="minorHAnsi" w:cstheme="minorHAnsi"/>
        </w:rPr>
        <w:t xml:space="preserve">introducing the pedagogy of reading </w:t>
      </w:r>
      <w:r w:rsidR="007D0CAF" w:rsidRPr="007C0B4F">
        <w:rPr>
          <w:rFonts w:asciiTheme="minorHAnsi" w:hAnsiTheme="minorHAnsi" w:cstheme="minorHAnsi"/>
        </w:rPr>
        <w:t xml:space="preserve">and numeracy </w:t>
      </w:r>
      <w:r w:rsidR="00B35304" w:rsidRPr="007C0B4F">
        <w:rPr>
          <w:rFonts w:asciiTheme="minorHAnsi" w:hAnsiTheme="minorHAnsi" w:cstheme="minorHAnsi"/>
        </w:rPr>
        <w:t xml:space="preserve">to early </w:t>
      </w:r>
      <w:r w:rsidR="007D0CAF" w:rsidRPr="007C0B4F">
        <w:rPr>
          <w:rFonts w:asciiTheme="minorHAnsi" w:hAnsiTheme="minorHAnsi" w:cstheme="minorHAnsi"/>
        </w:rPr>
        <w:t>grade</w:t>
      </w:r>
      <w:r w:rsidR="00B35304" w:rsidRPr="007C0B4F">
        <w:rPr>
          <w:rFonts w:asciiTheme="minorHAnsi" w:hAnsiTheme="minorHAnsi" w:cstheme="minorHAnsi"/>
        </w:rPr>
        <w:t xml:space="preserve"> teachers; </w:t>
      </w:r>
      <w:r w:rsidRPr="007C0B4F">
        <w:rPr>
          <w:rFonts w:asciiTheme="minorHAnsi" w:hAnsiTheme="minorHAnsi" w:cstheme="minorHAnsi"/>
        </w:rPr>
        <w:t>m</w:t>
      </w:r>
      <w:r w:rsidR="00B35304" w:rsidRPr="007C0B4F">
        <w:rPr>
          <w:rFonts w:asciiTheme="minorHAnsi" w:hAnsiTheme="minorHAnsi" w:cstheme="minorHAnsi"/>
        </w:rPr>
        <w:t>aking</w:t>
      </w:r>
      <w:r w:rsidRPr="007C0B4F">
        <w:rPr>
          <w:rFonts w:asciiTheme="minorHAnsi" w:hAnsiTheme="minorHAnsi" w:cstheme="minorHAnsi"/>
        </w:rPr>
        <w:t xml:space="preserve"> the teaching-learning process more interactive;</w:t>
      </w:r>
      <w:r w:rsidR="00B35304" w:rsidRPr="007C0B4F">
        <w:rPr>
          <w:rFonts w:asciiTheme="minorHAnsi" w:hAnsiTheme="minorHAnsi" w:cstheme="minorHAnsi"/>
        </w:rPr>
        <w:t xml:space="preserve"> </w:t>
      </w:r>
      <w:r w:rsidRPr="007C0B4F">
        <w:rPr>
          <w:rFonts w:asciiTheme="minorHAnsi" w:hAnsiTheme="minorHAnsi" w:cstheme="minorHAnsi"/>
        </w:rPr>
        <w:t>foster</w:t>
      </w:r>
      <w:r w:rsidR="00B35304" w:rsidRPr="007C0B4F">
        <w:rPr>
          <w:rFonts w:asciiTheme="minorHAnsi" w:hAnsiTheme="minorHAnsi" w:cstheme="minorHAnsi"/>
        </w:rPr>
        <w:t>ing</w:t>
      </w:r>
      <w:r w:rsidRPr="007C0B4F">
        <w:rPr>
          <w:rFonts w:asciiTheme="minorHAnsi" w:hAnsiTheme="minorHAnsi" w:cstheme="minorHAnsi"/>
        </w:rPr>
        <w:t xml:space="preserve"> higher order thinking and problem solving; </w:t>
      </w:r>
      <w:r w:rsidR="00B35304" w:rsidRPr="007C0B4F">
        <w:rPr>
          <w:rFonts w:asciiTheme="minorHAnsi" w:hAnsiTheme="minorHAnsi" w:cstheme="minorHAnsi"/>
        </w:rPr>
        <w:t>engaging</w:t>
      </w:r>
      <w:r w:rsidRPr="007C0B4F">
        <w:rPr>
          <w:rFonts w:asciiTheme="minorHAnsi" w:hAnsiTheme="minorHAnsi" w:cstheme="minorHAnsi"/>
        </w:rPr>
        <w:t xml:space="preserve"> parents and communities as active partners in learning</w:t>
      </w:r>
      <w:r w:rsidR="00B35304" w:rsidRPr="007C0B4F">
        <w:rPr>
          <w:rFonts w:asciiTheme="minorHAnsi" w:hAnsiTheme="minorHAnsi" w:cstheme="minorHAnsi"/>
        </w:rPr>
        <w:t>; attracting and retain</w:t>
      </w:r>
      <w:r w:rsidR="0049559F" w:rsidRPr="007C0B4F">
        <w:rPr>
          <w:rFonts w:asciiTheme="minorHAnsi" w:hAnsiTheme="minorHAnsi" w:cstheme="minorHAnsi"/>
        </w:rPr>
        <w:t>ing</w:t>
      </w:r>
      <w:r w:rsidR="00B35304" w:rsidRPr="007C0B4F">
        <w:rPr>
          <w:rFonts w:asciiTheme="minorHAnsi" w:hAnsiTheme="minorHAnsi" w:cstheme="minorHAnsi"/>
        </w:rPr>
        <w:t xml:space="preserve"> marginalized students; and harmonizing teacher deployment to ensure their equitable distribution among localities</w:t>
      </w:r>
      <w:r w:rsidRPr="007C0B4F">
        <w:rPr>
          <w:rFonts w:asciiTheme="minorHAnsi" w:hAnsiTheme="minorHAnsi" w:cstheme="minorHAnsi"/>
        </w:rPr>
        <w:t xml:space="preserve">.  The knowledge generated </w:t>
      </w:r>
      <w:r w:rsidR="00B35304" w:rsidRPr="007C0B4F">
        <w:rPr>
          <w:rFonts w:asciiTheme="minorHAnsi" w:hAnsiTheme="minorHAnsi" w:cstheme="minorHAnsi"/>
        </w:rPr>
        <w:t>w</w:t>
      </w:r>
      <w:r w:rsidRPr="007C0B4F">
        <w:rPr>
          <w:rFonts w:asciiTheme="minorHAnsi" w:hAnsiTheme="minorHAnsi" w:cstheme="minorHAnsi"/>
        </w:rPr>
        <w:t>ould contribute to better understanding among Indonesian education system stakeholders and development partners of the conditions which are needed to replicate and sustain successful practices more broadly.</w:t>
      </w:r>
      <w:r w:rsidR="00C316D3" w:rsidRPr="007C0B4F">
        <w:rPr>
          <w:rFonts w:asciiTheme="minorHAnsi" w:hAnsiTheme="minorHAnsi" w:cstheme="minorHAnsi"/>
        </w:rPr>
        <w:t xml:space="preserve"> </w:t>
      </w:r>
      <w:r w:rsidR="00B35304" w:rsidRPr="007C0B4F">
        <w:rPr>
          <w:rFonts w:asciiTheme="minorHAnsi" w:hAnsiTheme="minorHAnsi" w:cstheme="minorHAnsi"/>
        </w:rPr>
        <w:t>The Facility will p</w:t>
      </w:r>
      <w:r w:rsidR="002A0134" w:rsidRPr="007C0B4F">
        <w:rPr>
          <w:rFonts w:asciiTheme="minorHAnsi" w:hAnsiTheme="minorHAnsi" w:cstheme="minorHAnsi"/>
        </w:rPr>
        <w:t>rovid</w:t>
      </w:r>
      <w:r w:rsidR="00B35304" w:rsidRPr="007C0B4F">
        <w:rPr>
          <w:rFonts w:asciiTheme="minorHAnsi" w:hAnsiTheme="minorHAnsi" w:cstheme="minorHAnsi"/>
        </w:rPr>
        <w:t>e</w:t>
      </w:r>
      <w:r w:rsidR="002A0134" w:rsidRPr="007C0B4F">
        <w:rPr>
          <w:rFonts w:asciiTheme="minorHAnsi" w:hAnsiTheme="minorHAnsi" w:cstheme="minorHAnsi"/>
        </w:rPr>
        <w:t xml:space="preserve"> </w:t>
      </w:r>
      <w:r w:rsidR="00B35304" w:rsidRPr="007C0B4F">
        <w:rPr>
          <w:rFonts w:asciiTheme="minorHAnsi" w:hAnsiTheme="minorHAnsi" w:cstheme="minorHAnsi"/>
        </w:rPr>
        <w:t xml:space="preserve">the three levels of </w:t>
      </w:r>
      <w:r w:rsidR="00EF7F32" w:rsidRPr="007C0B4F">
        <w:rPr>
          <w:rFonts w:asciiTheme="minorHAnsi" w:hAnsiTheme="minorHAnsi" w:cstheme="minorHAnsi"/>
        </w:rPr>
        <w:t xml:space="preserve">GoI and </w:t>
      </w:r>
      <w:r w:rsidR="00B35304" w:rsidRPr="007C0B4F">
        <w:rPr>
          <w:rFonts w:asciiTheme="minorHAnsi" w:hAnsiTheme="minorHAnsi" w:cstheme="minorHAnsi"/>
        </w:rPr>
        <w:t>their</w:t>
      </w:r>
      <w:r w:rsidR="002A0134" w:rsidRPr="007C0B4F">
        <w:rPr>
          <w:rFonts w:asciiTheme="minorHAnsi" w:hAnsiTheme="minorHAnsi" w:cstheme="minorHAnsi"/>
        </w:rPr>
        <w:t xml:space="preserve"> </w:t>
      </w:r>
      <w:r w:rsidR="00EF7F32" w:rsidRPr="007C0B4F">
        <w:rPr>
          <w:rFonts w:asciiTheme="minorHAnsi" w:hAnsiTheme="minorHAnsi" w:cstheme="minorHAnsi"/>
        </w:rPr>
        <w:t xml:space="preserve">development partners </w:t>
      </w:r>
      <w:r w:rsidR="00B35304" w:rsidRPr="007C0B4F">
        <w:rPr>
          <w:rFonts w:asciiTheme="minorHAnsi" w:hAnsiTheme="minorHAnsi" w:cstheme="minorHAnsi"/>
        </w:rPr>
        <w:t xml:space="preserve">with </w:t>
      </w:r>
      <w:r w:rsidR="00C316D3" w:rsidRPr="007C0B4F">
        <w:rPr>
          <w:rFonts w:asciiTheme="minorHAnsi" w:hAnsiTheme="minorHAnsi" w:cstheme="minorHAnsi"/>
        </w:rPr>
        <w:t xml:space="preserve">(i) </w:t>
      </w:r>
      <w:r w:rsidR="002A0134" w:rsidRPr="007C0B4F">
        <w:rPr>
          <w:rFonts w:asciiTheme="minorHAnsi" w:hAnsiTheme="minorHAnsi" w:cstheme="minorHAnsi"/>
        </w:rPr>
        <w:t>a</w:t>
      </w:r>
      <w:r w:rsidR="0036054A" w:rsidRPr="007C0B4F">
        <w:rPr>
          <w:rFonts w:asciiTheme="minorHAnsi" w:hAnsiTheme="minorHAnsi" w:cstheme="minorHAnsi"/>
        </w:rPr>
        <w:t>n</w:t>
      </w:r>
      <w:r w:rsidR="002A0134" w:rsidRPr="007C0B4F">
        <w:rPr>
          <w:rFonts w:asciiTheme="minorHAnsi" w:hAnsiTheme="minorHAnsi" w:cstheme="minorHAnsi"/>
        </w:rPr>
        <w:t xml:space="preserve"> </w:t>
      </w:r>
      <w:r w:rsidR="00EF7F32" w:rsidRPr="007C0B4F">
        <w:rPr>
          <w:rFonts w:asciiTheme="minorHAnsi" w:hAnsiTheme="minorHAnsi" w:cstheme="minorHAnsi"/>
        </w:rPr>
        <w:t xml:space="preserve">understanding of </w:t>
      </w:r>
      <w:r w:rsidR="00B35304" w:rsidRPr="007C0B4F">
        <w:rPr>
          <w:rFonts w:asciiTheme="minorHAnsi" w:hAnsiTheme="minorHAnsi" w:cstheme="minorHAnsi"/>
        </w:rPr>
        <w:t>what has worked (or not worked) to address specific issues at the local or school level</w:t>
      </w:r>
      <w:r w:rsidR="00354B04" w:rsidRPr="007C0B4F">
        <w:rPr>
          <w:rFonts w:asciiTheme="minorHAnsi" w:hAnsiTheme="minorHAnsi" w:cstheme="minorHAnsi"/>
        </w:rPr>
        <w:t xml:space="preserve">, </w:t>
      </w:r>
      <w:r w:rsidR="00B35304" w:rsidRPr="007C0B4F">
        <w:rPr>
          <w:rFonts w:asciiTheme="minorHAnsi" w:hAnsiTheme="minorHAnsi" w:cstheme="minorHAnsi"/>
        </w:rPr>
        <w:t xml:space="preserve">and </w:t>
      </w:r>
      <w:r w:rsidR="00C316D3" w:rsidRPr="007C0B4F">
        <w:rPr>
          <w:rFonts w:asciiTheme="minorHAnsi" w:hAnsiTheme="minorHAnsi" w:cstheme="minorHAnsi"/>
        </w:rPr>
        <w:t xml:space="preserve">(ii) the costs of local-based replication of those interventions.  </w:t>
      </w:r>
    </w:p>
    <w:p w14:paraId="475C9A29" w14:textId="77777777" w:rsidR="007C1888" w:rsidRPr="007C0B4F" w:rsidRDefault="007C1888" w:rsidP="00645785">
      <w:pPr>
        <w:pStyle w:val="Heading2"/>
      </w:pPr>
      <w:bookmarkStart w:id="22" w:name="_Toc365366033"/>
      <w:bookmarkStart w:id="23" w:name="_Toc361407143"/>
      <w:r w:rsidRPr="007C0B4F">
        <w:t>Who the Facility would benefit: stakeholders and beneficiaries</w:t>
      </w:r>
      <w:bookmarkEnd w:id="22"/>
    </w:p>
    <w:p w14:paraId="475C9A2A" w14:textId="77777777" w:rsidR="007C1888" w:rsidRPr="007C0B4F" w:rsidRDefault="007C1888" w:rsidP="007C1888">
      <w:pPr>
        <w:rPr>
          <w:rFonts w:asciiTheme="minorHAnsi" w:hAnsiTheme="minorHAnsi" w:cstheme="minorHAnsi"/>
          <w:lang w:val="en-AU" w:eastAsia="x-none"/>
        </w:rPr>
      </w:pPr>
      <w:r w:rsidRPr="007C0B4F">
        <w:rPr>
          <w:rFonts w:asciiTheme="minorHAnsi" w:hAnsiTheme="minorHAnsi" w:cstheme="minorHAnsi"/>
          <w:lang w:val="en-AU" w:eastAsia="x-none"/>
        </w:rPr>
        <w:t>Key stakeholders are those with a role in supporting or delivering quality education in schools</w:t>
      </w:r>
      <w:r w:rsidR="004E013E" w:rsidRPr="007C0B4F">
        <w:rPr>
          <w:rFonts w:asciiTheme="minorHAnsi" w:hAnsiTheme="minorHAnsi" w:cstheme="minorHAnsi"/>
          <w:lang w:val="en-AU" w:eastAsia="x-none"/>
        </w:rPr>
        <w:t xml:space="preserve"> to all children</w:t>
      </w:r>
      <w:r w:rsidRPr="007C0B4F">
        <w:rPr>
          <w:rFonts w:asciiTheme="minorHAnsi" w:hAnsiTheme="minorHAnsi" w:cstheme="minorHAnsi"/>
          <w:lang w:val="en-AU" w:eastAsia="x-none"/>
        </w:rPr>
        <w:t>.</w:t>
      </w:r>
      <w:r w:rsidR="00A25D99" w:rsidRPr="007C0B4F">
        <w:rPr>
          <w:rFonts w:asciiTheme="minorHAnsi" w:hAnsiTheme="minorHAnsi" w:cstheme="minorHAnsi"/>
          <w:lang w:val="en-AU" w:eastAsia="x-none"/>
        </w:rPr>
        <w:t xml:space="preserve">  While the Facility is expected </w:t>
      </w:r>
      <w:r w:rsidR="004E013E" w:rsidRPr="007C0B4F">
        <w:rPr>
          <w:rFonts w:asciiTheme="minorHAnsi" w:hAnsiTheme="minorHAnsi" w:cstheme="minorHAnsi"/>
          <w:lang w:val="en-AU" w:eastAsia="x-none"/>
        </w:rPr>
        <w:t xml:space="preserve">to engage with </w:t>
      </w:r>
      <w:r w:rsidR="00A25D99" w:rsidRPr="007C0B4F">
        <w:rPr>
          <w:rFonts w:asciiTheme="minorHAnsi" w:hAnsiTheme="minorHAnsi" w:cstheme="minorHAnsi"/>
          <w:lang w:val="en-AU" w:eastAsia="x-none"/>
        </w:rPr>
        <w:t>the following stakeholders</w:t>
      </w:r>
      <w:r w:rsidR="004E013E" w:rsidRPr="007C0B4F">
        <w:rPr>
          <w:rFonts w:asciiTheme="minorHAnsi" w:hAnsiTheme="minorHAnsi" w:cstheme="minorHAnsi"/>
          <w:lang w:val="en-AU" w:eastAsia="x-none"/>
        </w:rPr>
        <w:t xml:space="preserve"> and beneficiaries</w:t>
      </w:r>
      <w:r w:rsidR="00A25D99" w:rsidRPr="007C0B4F">
        <w:rPr>
          <w:rFonts w:asciiTheme="minorHAnsi" w:hAnsiTheme="minorHAnsi" w:cstheme="minorHAnsi"/>
          <w:lang w:val="en-AU" w:eastAsia="x-none"/>
        </w:rPr>
        <w:t>, the policy dialogue on education sector issues arising will be led by AusAID</w:t>
      </w:r>
      <w:r w:rsidR="004E013E" w:rsidRPr="007C0B4F">
        <w:rPr>
          <w:rFonts w:asciiTheme="minorHAnsi" w:hAnsiTheme="minorHAnsi" w:cstheme="minorHAnsi"/>
          <w:lang w:val="en-AU" w:eastAsia="x-none"/>
        </w:rPr>
        <w:t>:</w:t>
      </w:r>
    </w:p>
    <w:p w14:paraId="475C9A2B" w14:textId="77777777" w:rsidR="0049627F" w:rsidRPr="007C0B4F" w:rsidRDefault="0049627F" w:rsidP="00A25D99">
      <w:pPr>
        <w:pStyle w:val="ListParagraph"/>
        <w:numPr>
          <w:ilvl w:val="0"/>
          <w:numId w:val="22"/>
        </w:numPr>
        <w:rPr>
          <w:rFonts w:asciiTheme="minorHAnsi" w:hAnsiTheme="minorHAnsi" w:cstheme="minorHAnsi"/>
          <w:lang w:val="en-AU" w:eastAsia="x-none"/>
        </w:rPr>
      </w:pPr>
      <w:r w:rsidRPr="007C0B4F">
        <w:rPr>
          <w:rFonts w:asciiTheme="minorHAnsi" w:hAnsiTheme="minorHAnsi" w:cstheme="minorHAnsi"/>
          <w:b/>
          <w:lang w:val="en-AU" w:eastAsia="x-none"/>
        </w:rPr>
        <w:t xml:space="preserve">Students: </w:t>
      </w:r>
      <w:r w:rsidRPr="007C0B4F">
        <w:rPr>
          <w:rFonts w:asciiTheme="minorHAnsi" w:hAnsiTheme="minorHAnsi" w:cstheme="minorHAnsi"/>
          <w:lang w:val="en-AU" w:eastAsia="x-none"/>
        </w:rPr>
        <w:t>while students are more ‘beneficiaries’ than stakeholders, they are critical to our planning and should be at the centre of all efforts to improve the qualit</w:t>
      </w:r>
      <w:r w:rsidR="0049559F" w:rsidRPr="007C0B4F">
        <w:rPr>
          <w:rFonts w:asciiTheme="minorHAnsi" w:hAnsiTheme="minorHAnsi" w:cstheme="minorHAnsi"/>
          <w:lang w:val="en-AU" w:eastAsia="x-none"/>
        </w:rPr>
        <w:t>y of educational outcomes.  And</w:t>
      </w:r>
      <w:r w:rsidRPr="007C0B4F">
        <w:rPr>
          <w:rFonts w:asciiTheme="minorHAnsi" w:hAnsiTheme="minorHAnsi" w:cstheme="minorHAnsi"/>
          <w:lang w:val="en-AU" w:eastAsia="x-none"/>
        </w:rPr>
        <w:t xml:space="preserve"> if the Facility does, in future</w:t>
      </w:r>
      <w:r w:rsidR="0049559F" w:rsidRPr="007C0B4F">
        <w:rPr>
          <w:rFonts w:asciiTheme="minorHAnsi" w:hAnsiTheme="minorHAnsi" w:cstheme="minorHAnsi"/>
          <w:lang w:val="en-AU" w:eastAsia="x-none"/>
        </w:rPr>
        <w:t>,</w:t>
      </w:r>
      <w:r w:rsidRPr="007C0B4F">
        <w:rPr>
          <w:rFonts w:asciiTheme="minorHAnsi" w:hAnsiTheme="minorHAnsi" w:cstheme="minorHAnsi"/>
          <w:lang w:val="en-AU" w:eastAsia="x-none"/>
        </w:rPr>
        <w:t xml:space="preserve"> cover areas of secondary and/or technical and vocational education, then it becomes appropriate that student</w:t>
      </w:r>
      <w:r w:rsidR="0049559F" w:rsidRPr="007C0B4F">
        <w:rPr>
          <w:rFonts w:asciiTheme="minorHAnsi" w:hAnsiTheme="minorHAnsi" w:cstheme="minorHAnsi"/>
          <w:lang w:val="en-AU" w:eastAsia="x-none"/>
        </w:rPr>
        <w:t>s</w:t>
      </w:r>
      <w:r w:rsidRPr="007C0B4F">
        <w:rPr>
          <w:rFonts w:asciiTheme="minorHAnsi" w:hAnsiTheme="minorHAnsi" w:cstheme="minorHAnsi"/>
          <w:lang w:val="en-AU" w:eastAsia="x-none"/>
        </w:rPr>
        <w:t xml:space="preserve"> also be considered stakeholders in making decisions about their learning.</w:t>
      </w:r>
    </w:p>
    <w:p w14:paraId="475C9A2C" w14:textId="77777777" w:rsidR="00A3445B" w:rsidRPr="007C0B4F" w:rsidRDefault="00A3445B" w:rsidP="00A25D99">
      <w:pPr>
        <w:pStyle w:val="ListParagraph"/>
        <w:numPr>
          <w:ilvl w:val="0"/>
          <w:numId w:val="22"/>
        </w:numPr>
        <w:rPr>
          <w:rFonts w:asciiTheme="minorHAnsi" w:hAnsiTheme="minorHAnsi" w:cstheme="minorHAnsi"/>
          <w:b/>
          <w:lang w:val="en-AU" w:eastAsia="x-none"/>
        </w:rPr>
      </w:pPr>
      <w:r w:rsidRPr="007C0B4F">
        <w:rPr>
          <w:rFonts w:asciiTheme="minorHAnsi" w:hAnsiTheme="minorHAnsi" w:cstheme="minorHAnsi"/>
          <w:b/>
          <w:lang w:val="en-AU" w:eastAsia="x-none"/>
        </w:rPr>
        <w:t>Teachers and principals:</w:t>
      </w:r>
      <w:r w:rsidR="00677457" w:rsidRPr="007C0B4F">
        <w:rPr>
          <w:rFonts w:asciiTheme="minorHAnsi" w:hAnsiTheme="minorHAnsi" w:cstheme="minorHAnsi"/>
          <w:lang w:val="en-AU" w:eastAsia="x-none"/>
        </w:rPr>
        <w:t xml:space="preserve"> teachers and principals are </w:t>
      </w:r>
      <w:r w:rsidR="003F5503" w:rsidRPr="007C0B4F">
        <w:rPr>
          <w:rFonts w:asciiTheme="minorHAnsi" w:hAnsiTheme="minorHAnsi" w:cstheme="minorHAnsi"/>
          <w:lang w:val="en-AU" w:eastAsia="x-none"/>
        </w:rPr>
        <w:t>the locus of change in improving education quality and student learning outcomes in particular.</w:t>
      </w:r>
    </w:p>
    <w:p w14:paraId="475C9A2D" w14:textId="77777777" w:rsidR="00A3445B" w:rsidRPr="007C0B4F" w:rsidRDefault="00A3445B" w:rsidP="00A25D99">
      <w:pPr>
        <w:pStyle w:val="ListParagraph"/>
        <w:numPr>
          <w:ilvl w:val="0"/>
          <w:numId w:val="22"/>
        </w:numPr>
        <w:rPr>
          <w:rFonts w:asciiTheme="minorHAnsi" w:hAnsiTheme="minorHAnsi" w:cstheme="minorHAnsi"/>
          <w:b/>
          <w:lang w:val="en-AU" w:eastAsia="x-none"/>
        </w:rPr>
      </w:pPr>
      <w:r w:rsidRPr="007C0B4F">
        <w:rPr>
          <w:rFonts w:asciiTheme="minorHAnsi" w:hAnsiTheme="minorHAnsi" w:cstheme="minorHAnsi"/>
          <w:b/>
          <w:lang w:val="en-AU" w:eastAsia="x-none"/>
        </w:rPr>
        <w:t>Communities:</w:t>
      </w:r>
      <w:r w:rsidR="003F5503" w:rsidRPr="007C0B4F">
        <w:rPr>
          <w:rFonts w:asciiTheme="minorHAnsi" w:hAnsiTheme="minorHAnsi" w:cstheme="minorHAnsi"/>
          <w:b/>
          <w:lang w:val="en-AU" w:eastAsia="x-none"/>
        </w:rPr>
        <w:t xml:space="preserve"> </w:t>
      </w:r>
      <w:r w:rsidR="003F5503" w:rsidRPr="007C0B4F">
        <w:rPr>
          <w:rFonts w:asciiTheme="minorHAnsi" w:hAnsiTheme="minorHAnsi" w:cstheme="minorHAnsi"/>
          <w:lang w:val="en-AU" w:eastAsia="x-none"/>
        </w:rPr>
        <w:t>community-school partnerships are important to strengthen the so-called “short route” of accountability, which can play a strong role in improving the quality of education service delivery.</w:t>
      </w:r>
    </w:p>
    <w:p w14:paraId="475C9A2E" w14:textId="77777777" w:rsidR="00A3445B" w:rsidRPr="007C0B4F" w:rsidRDefault="00A3445B" w:rsidP="00A25D99">
      <w:pPr>
        <w:pStyle w:val="ListParagraph"/>
        <w:numPr>
          <w:ilvl w:val="0"/>
          <w:numId w:val="22"/>
        </w:numPr>
        <w:rPr>
          <w:rFonts w:asciiTheme="minorHAnsi" w:hAnsiTheme="minorHAnsi" w:cstheme="minorHAnsi"/>
          <w:lang w:val="en-AU" w:eastAsia="x-none"/>
        </w:rPr>
      </w:pPr>
      <w:r w:rsidRPr="007C0B4F">
        <w:rPr>
          <w:rFonts w:asciiTheme="minorHAnsi" w:hAnsiTheme="minorHAnsi" w:cstheme="minorHAnsi"/>
          <w:b/>
          <w:lang w:val="en-AU" w:eastAsia="x-none"/>
        </w:rPr>
        <w:t xml:space="preserve">Provincial and District </w:t>
      </w:r>
      <w:r w:rsidR="00A25D99" w:rsidRPr="007C0B4F">
        <w:rPr>
          <w:rFonts w:asciiTheme="minorHAnsi" w:hAnsiTheme="minorHAnsi" w:cstheme="minorHAnsi"/>
          <w:b/>
          <w:lang w:val="en-AU" w:eastAsia="x-none"/>
        </w:rPr>
        <w:t>authorities</w:t>
      </w:r>
      <w:r w:rsidRPr="007C0B4F">
        <w:rPr>
          <w:rFonts w:asciiTheme="minorHAnsi" w:hAnsiTheme="minorHAnsi" w:cstheme="minorHAnsi"/>
          <w:b/>
          <w:lang w:val="en-AU" w:eastAsia="x-none"/>
        </w:rPr>
        <w:t>:</w:t>
      </w:r>
      <w:r w:rsidR="0045597E" w:rsidRPr="007C0B4F">
        <w:rPr>
          <w:rFonts w:asciiTheme="minorHAnsi" w:hAnsiTheme="minorHAnsi" w:cstheme="minorHAnsi"/>
          <w:lang w:val="en-AU" w:eastAsia="x-none"/>
        </w:rPr>
        <w:t xml:space="preserve"> t</w:t>
      </w:r>
      <w:r w:rsidRPr="007C0B4F">
        <w:rPr>
          <w:rFonts w:asciiTheme="minorHAnsi" w:hAnsiTheme="minorHAnsi" w:cstheme="minorHAnsi"/>
          <w:lang w:val="en-AU" w:eastAsia="x-none"/>
        </w:rPr>
        <w:t xml:space="preserve">he Facility would work most directly with, and through, the established provincial and district authorities and agencies responsible for the planning, delivery and monitoring of basic education service delivery (Dinas Pendidikan and MDC) as well as key political figures such as Provincial Governors, Bupati and Walikota in order to understand and respond appropriately to the political economy.  </w:t>
      </w:r>
    </w:p>
    <w:p w14:paraId="475C9A2F" w14:textId="77777777" w:rsidR="00A25D99" w:rsidRPr="007C0B4F" w:rsidRDefault="00A25D99" w:rsidP="00A25D99">
      <w:pPr>
        <w:pStyle w:val="ListParagraph"/>
        <w:numPr>
          <w:ilvl w:val="0"/>
          <w:numId w:val="22"/>
        </w:numPr>
        <w:rPr>
          <w:rFonts w:asciiTheme="minorHAnsi" w:hAnsiTheme="minorHAnsi" w:cstheme="minorHAnsi"/>
          <w:lang w:val="en-AU" w:eastAsia="x-none"/>
        </w:rPr>
      </w:pPr>
      <w:r w:rsidRPr="007C0B4F">
        <w:rPr>
          <w:rFonts w:asciiTheme="minorHAnsi" w:hAnsiTheme="minorHAnsi" w:cstheme="minorHAnsi"/>
          <w:b/>
          <w:lang w:val="en-AU" w:eastAsia="x-none"/>
        </w:rPr>
        <w:t>National authorities:</w:t>
      </w:r>
      <w:r w:rsidR="0045597E" w:rsidRPr="007C0B4F">
        <w:rPr>
          <w:rFonts w:asciiTheme="minorHAnsi" w:hAnsiTheme="minorHAnsi" w:cstheme="minorHAnsi"/>
          <w:b/>
          <w:lang w:val="en-AU" w:eastAsia="x-none"/>
        </w:rPr>
        <w:t xml:space="preserve"> </w:t>
      </w:r>
      <w:r w:rsidR="0045597E" w:rsidRPr="007C0B4F">
        <w:rPr>
          <w:rFonts w:asciiTheme="minorHAnsi" w:hAnsiTheme="minorHAnsi" w:cstheme="minorHAnsi"/>
          <w:lang w:val="en-AU" w:eastAsia="x-none"/>
        </w:rPr>
        <w:t>in terms of the Facility’s work on analysis and promoting scalability and sustainability of promising approaches engagement with MoEC and MoRA will be critical.  Engagement with non-education sector specific stakeholders (such as Bappenas, MoHA, MoF and political figures) will be equally important.</w:t>
      </w:r>
    </w:p>
    <w:p w14:paraId="475C9A30" w14:textId="77777777" w:rsidR="00A25D99" w:rsidRPr="007C0B4F" w:rsidRDefault="00A25D99" w:rsidP="00A25D99">
      <w:pPr>
        <w:pStyle w:val="ListParagraph"/>
        <w:numPr>
          <w:ilvl w:val="0"/>
          <w:numId w:val="22"/>
        </w:numPr>
        <w:rPr>
          <w:rFonts w:asciiTheme="minorHAnsi" w:hAnsiTheme="minorHAnsi" w:cstheme="minorHAnsi"/>
          <w:b/>
          <w:lang w:val="en-AU" w:eastAsia="x-none"/>
        </w:rPr>
      </w:pPr>
      <w:r w:rsidRPr="007C0B4F">
        <w:rPr>
          <w:rFonts w:asciiTheme="minorHAnsi" w:hAnsiTheme="minorHAnsi" w:cstheme="minorHAnsi"/>
          <w:b/>
          <w:lang w:val="en-AU" w:eastAsia="x-none"/>
        </w:rPr>
        <w:t xml:space="preserve">Other players: </w:t>
      </w:r>
      <w:r w:rsidR="006E5F90" w:rsidRPr="007C0B4F">
        <w:rPr>
          <w:rFonts w:asciiTheme="minorHAnsi" w:hAnsiTheme="minorHAnsi" w:cstheme="minorHAnsi"/>
          <w:lang w:val="en-AU" w:eastAsia="x-none"/>
        </w:rPr>
        <w:t>private providers, particularly madrasah, make up around 20 per cent of education providers in Indonesia and often serve the poorest households.</w:t>
      </w:r>
    </w:p>
    <w:p w14:paraId="475C9A31" w14:textId="77777777" w:rsidR="00A25D99" w:rsidRPr="007C0B4F" w:rsidRDefault="00A25D99" w:rsidP="00A25D99">
      <w:pPr>
        <w:pStyle w:val="ListParagraph"/>
        <w:numPr>
          <w:ilvl w:val="0"/>
          <w:numId w:val="22"/>
        </w:numPr>
        <w:rPr>
          <w:rFonts w:asciiTheme="minorHAnsi" w:hAnsiTheme="minorHAnsi" w:cstheme="minorHAnsi"/>
          <w:lang w:val="en-AU" w:eastAsia="x-none"/>
        </w:rPr>
      </w:pPr>
      <w:r w:rsidRPr="007C0B4F">
        <w:rPr>
          <w:rFonts w:asciiTheme="minorHAnsi" w:hAnsiTheme="minorHAnsi" w:cstheme="minorHAnsi"/>
          <w:b/>
          <w:lang w:val="en-AU" w:eastAsia="x-none"/>
        </w:rPr>
        <w:lastRenderedPageBreak/>
        <w:t>Development partners:</w:t>
      </w:r>
      <w:r w:rsidR="00A554D1" w:rsidRPr="007C0B4F">
        <w:rPr>
          <w:rFonts w:asciiTheme="minorHAnsi" w:hAnsiTheme="minorHAnsi" w:cstheme="minorHAnsi"/>
          <w:b/>
          <w:lang w:val="en-AU" w:eastAsia="x-none"/>
        </w:rPr>
        <w:t xml:space="preserve"> </w:t>
      </w:r>
      <w:r w:rsidR="00A554D1" w:rsidRPr="007C0B4F">
        <w:rPr>
          <w:rFonts w:asciiTheme="minorHAnsi" w:hAnsiTheme="minorHAnsi" w:cstheme="minorHAnsi"/>
          <w:lang w:val="en-AU" w:eastAsia="x-none"/>
        </w:rPr>
        <w:t xml:space="preserve">coordination with other donor programs will be essential, particularly USAID’s PRIORITAS </w:t>
      </w:r>
      <w:r w:rsidR="00841698" w:rsidRPr="007C0B4F">
        <w:rPr>
          <w:rFonts w:asciiTheme="minorHAnsi" w:hAnsiTheme="minorHAnsi" w:cstheme="minorHAnsi"/>
          <w:lang w:val="en-AU" w:eastAsia="x-none"/>
        </w:rPr>
        <w:t>(</w:t>
      </w:r>
      <w:r w:rsidR="00A554D1" w:rsidRPr="007C0B4F">
        <w:rPr>
          <w:rFonts w:asciiTheme="minorHAnsi" w:hAnsiTheme="minorHAnsi" w:cstheme="minorHAnsi"/>
          <w:lang w:val="en-AU" w:eastAsia="x-none"/>
        </w:rPr>
        <w:t>which is also a sub-national basic education program</w:t>
      </w:r>
      <w:r w:rsidR="00841698" w:rsidRPr="007C0B4F">
        <w:rPr>
          <w:rFonts w:asciiTheme="minorHAnsi" w:hAnsiTheme="minorHAnsi" w:cstheme="minorHAnsi"/>
          <w:lang w:val="en-AU" w:eastAsia="x-none"/>
        </w:rPr>
        <w:t xml:space="preserve">) and the World Bank’s research program that targets classroom practices and teacher incentives.  </w:t>
      </w:r>
    </w:p>
    <w:p w14:paraId="475C9A32" w14:textId="77777777" w:rsidR="00841698" w:rsidRPr="007C0B4F" w:rsidRDefault="00841698" w:rsidP="00A25D99">
      <w:pPr>
        <w:pStyle w:val="ListParagraph"/>
        <w:numPr>
          <w:ilvl w:val="0"/>
          <w:numId w:val="22"/>
        </w:numPr>
        <w:rPr>
          <w:rFonts w:asciiTheme="minorHAnsi" w:hAnsiTheme="minorHAnsi" w:cstheme="minorHAnsi"/>
          <w:lang w:val="en-AU" w:eastAsia="x-none"/>
        </w:rPr>
      </w:pPr>
      <w:r w:rsidRPr="007C0B4F">
        <w:rPr>
          <w:rFonts w:asciiTheme="minorHAnsi" w:hAnsiTheme="minorHAnsi" w:cstheme="minorHAnsi"/>
          <w:b/>
          <w:lang w:val="en-AU" w:eastAsia="x-none"/>
        </w:rPr>
        <w:t>AusAID:</w:t>
      </w:r>
      <w:r w:rsidRPr="007C0B4F">
        <w:rPr>
          <w:rFonts w:asciiTheme="minorHAnsi" w:hAnsiTheme="minorHAnsi" w:cstheme="minorHAnsi"/>
          <w:lang w:val="en-AU" w:eastAsia="x-none"/>
        </w:rPr>
        <w:t xml:space="preserve"> the Facility will assist to shape </w:t>
      </w:r>
      <w:r w:rsidR="0049559F" w:rsidRPr="007C0B4F">
        <w:rPr>
          <w:rFonts w:asciiTheme="minorHAnsi" w:hAnsiTheme="minorHAnsi" w:cstheme="minorHAnsi"/>
          <w:lang w:val="en-AU" w:eastAsia="x-none"/>
        </w:rPr>
        <w:t>current and</w:t>
      </w:r>
      <w:r w:rsidRPr="007C0B4F">
        <w:rPr>
          <w:rFonts w:asciiTheme="minorHAnsi" w:hAnsiTheme="minorHAnsi" w:cstheme="minorHAnsi"/>
          <w:lang w:val="en-AU" w:eastAsia="x-none"/>
        </w:rPr>
        <w:t xml:space="preserve"> future programs</w:t>
      </w:r>
      <w:r w:rsidR="00D8240E" w:rsidRPr="007C0B4F">
        <w:rPr>
          <w:rFonts w:asciiTheme="minorHAnsi" w:hAnsiTheme="minorHAnsi" w:cstheme="minorHAnsi"/>
          <w:lang w:val="en-AU" w:eastAsia="x-none"/>
        </w:rPr>
        <w:t xml:space="preserve"> and inform policy dialogue</w:t>
      </w:r>
      <w:r w:rsidRPr="007C0B4F">
        <w:rPr>
          <w:rFonts w:asciiTheme="minorHAnsi" w:hAnsiTheme="minorHAnsi" w:cstheme="minorHAnsi"/>
          <w:lang w:val="en-AU" w:eastAsia="x-none"/>
        </w:rPr>
        <w:t xml:space="preserve">. </w:t>
      </w:r>
      <w:r w:rsidR="00D8240E" w:rsidRPr="007C0B4F">
        <w:rPr>
          <w:rFonts w:asciiTheme="minorHAnsi" w:hAnsiTheme="minorHAnsi" w:cstheme="minorHAnsi"/>
          <w:lang w:val="en-AU" w:eastAsia="x-none"/>
        </w:rPr>
        <w:t xml:space="preserve"> While the exact role of AusAID as a stakeholder and as a primary investor in the Facility and its product</w:t>
      </w:r>
      <w:r w:rsidR="0049559F" w:rsidRPr="007C0B4F">
        <w:rPr>
          <w:rFonts w:asciiTheme="minorHAnsi" w:hAnsiTheme="minorHAnsi" w:cstheme="minorHAnsi"/>
          <w:lang w:val="en-AU" w:eastAsia="x-none"/>
        </w:rPr>
        <w:t>s will need to negotiated with G</w:t>
      </w:r>
      <w:r w:rsidR="00D8240E" w:rsidRPr="007C0B4F">
        <w:rPr>
          <w:rFonts w:asciiTheme="minorHAnsi" w:hAnsiTheme="minorHAnsi" w:cstheme="minorHAnsi"/>
          <w:lang w:val="en-AU" w:eastAsia="x-none"/>
        </w:rPr>
        <w:t>overnment</w:t>
      </w:r>
      <w:r w:rsidR="0049559F" w:rsidRPr="007C0B4F">
        <w:rPr>
          <w:rFonts w:asciiTheme="minorHAnsi" w:hAnsiTheme="minorHAnsi" w:cstheme="minorHAnsi"/>
          <w:lang w:val="en-AU" w:eastAsia="x-none"/>
        </w:rPr>
        <w:t xml:space="preserve"> of Indonesia</w:t>
      </w:r>
      <w:r w:rsidR="00D8240E" w:rsidRPr="007C0B4F">
        <w:rPr>
          <w:rFonts w:asciiTheme="minorHAnsi" w:hAnsiTheme="minorHAnsi" w:cstheme="minorHAnsi"/>
          <w:lang w:val="en-AU" w:eastAsia="x-none"/>
        </w:rPr>
        <w:t>, it is anticipated that the agency will be an active partner in determining the scope of research undertake, the manner in which findings are disseminated and the face of the Facility in related policy dialogue, particularly at district, province and national levels.</w:t>
      </w:r>
    </w:p>
    <w:p w14:paraId="475C9A33" w14:textId="77777777" w:rsidR="00B06511" w:rsidRPr="007C0B4F" w:rsidRDefault="00B06511" w:rsidP="00645785">
      <w:pPr>
        <w:pStyle w:val="Heading2"/>
        <w:rPr>
          <w:lang w:val="en-AU"/>
        </w:rPr>
      </w:pPr>
      <w:bookmarkStart w:id="24" w:name="_Toc365366034"/>
      <w:r w:rsidRPr="007C0B4F">
        <w:rPr>
          <w:lang w:val="en-AU"/>
        </w:rPr>
        <w:t>What the Facility would cost</w:t>
      </w:r>
      <w:bookmarkEnd w:id="24"/>
    </w:p>
    <w:p w14:paraId="475C9A34" w14:textId="77777777" w:rsidR="00341269" w:rsidRPr="007C0B4F" w:rsidRDefault="00341269" w:rsidP="00B06511">
      <w:pPr>
        <w:rPr>
          <w:rFonts w:asciiTheme="minorHAnsi" w:hAnsiTheme="minorHAnsi" w:cstheme="minorHAnsi"/>
          <w:lang w:val="en-AU"/>
        </w:rPr>
      </w:pPr>
      <w:r w:rsidRPr="007C0B4F">
        <w:rPr>
          <w:rFonts w:asciiTheme="minorHAnsi" w:hAnsiTheme="minorHAnsi" w:cstheme="minorHAnsi"/>
          <w:lang w:val="en-AU"/>
        </w:rPr>
        <w:t>Con</w:t>
      </w:r>
      <w:r w:rsidR="00CC468B" w:rsidRPr="007C0B4F">
        <w:rPr>
          <w:rFonts w:asciiTheme="minorHAnsi" w:hAnsiTheme="minorHAnsi" w:cstheme="minorHAnsi"/>
          <w:lang w:val="en-AU"/>
        </w:rPr>
        <w:t xml:space="preserve">servative estimates </w:t>
      </w:r>
      <w:r w:rsidR="00841698" w:rsidRPr="007C0B4F">
        <w:rPr>
          <w:rFonts w:asciiTheme="minorHAnsi" w:hAnsiTheme="minorHAnsi" w:cstheme="minorHAnsi"/>
          <w:lang w:val="en-AU"/>
        </w:rPr>
        <w:t xml:space="preserve">indicate that, at the low-end, </w:t>
      </w:r>
      <w:r w:rsidR="0066598B" w:rsidRPr="007C0B4F">
        <w:rPr>
          <w:rFonts w:asciiTheme="minorHAnsi" w:hAnsiTheme="minorHAnsi" w:cstheme="minorHAnsi"/>
          <w:lang w:val="en-AU"/>
        </w:rPr>
        <w:t>the Facility would cost approximately $</w:t>
      </w:r>
      <w:r w:rsidR="00841698" w:rsidRPr="007C0B4F">
        <w:rPr>
          <w:rFonts w:asciiTheme="minorHAnsi" w:hAnsiTheme="minorHAnsi" w:cstheme="minorHAnsi"/>
          <w:lang w:val="en-AU"/>
        </w:rPr>
        <w:t xml:space="preserve">36 </w:t>
      </w:r>
      <w:r w:rsidR="0066598B" w:rsidRPr="007C0B4F">
        <w:rPr>
          <w:rFonts w:asciiTheme="minorHAnsi" w:hAnsiTheme="minorHAnsi" w:cstheme="minorHAnsi"/>
          <w:lang w:val="en-AU"/>
        </w:rPr>
        <w:t>million over four years (</w:t>
      </w:r>
      <w:r w:rsidR="00841698" w:rsidRPr="007C0B4F">
        <w:rPr>
          <w:rFonts w:asciiTheme="minorHAnsi" w:hAnsiTheme="minorHAnsi" w:cstheme="minorHAnsi"/>
          <w:lang w:val="en-AU"/>
        </w:rPr>
        <w:t xml:space="preserve">an average of </w:t>
      </w:r>
      <w:r w:rsidR="0066598B" w:rsidRPr="007C0B4F">
        <w:rPr>
          <w:rFonts w:asciiTheme="minorHAnsi" w:hAnsiTheme="minorHAnsi" w:cstheme="minorHAnsi"/>
          <w:lang w:val="en-AU"/>
        </w:rPr>
        <w:t>$</w:t>
      </w:r>
      <w:r w:rsidR="00841698" w:rsidRPr="007C0B4F">
        <w:rPr>
          <w:rFonts w:asciiTheme="minorHAnsi" w:hAnsiTheme="minorHAnsi" w:cstheme="minorHAnsi"/>
          <w:lang w:val="en-AU"/>
        </w:rPr>
        <w:t>9</w:t>
      </w:r>
      <w:r w:rsidR="0066598B" w:rsidRPr="007C0B4F">
        <w:rPr>
          <w:rFonts w:asciiTheme="minorHAnsi" w:hAnsiTheme="minorHAnsi" w:cstheme="minorHAnsi"/>
          <w:lang w:val="en-AU"/>
        </w:rPr>
        <w:t xml:space="preserve"> million per year), but that it </w:t>
      </w:r>
      <w:r w:rsidR="00841698" w:rsidRPr="007C0B4F">
        <w:rPr>
          <w:rFonts w:asciiTheme="minorHAnsi" w:hAnsiTheme="minorHAnsi" w:cstheme="minorHAnsi"/>
          <w:lang w:val="en-AU"/>
        </w:rPr>
        <w:t xml:space="preserve">may be able to </w:t>
      </w:r>
      <w:r w:rsidR="0066598B" w:rsidRPr="007C0B4F">
        <w:rPr>
          <w:rFonts w:asciiTheme="minorHAnsi" w:hAnsiTheme="minorHAnsi" w:cstheme="minorHAnsi"/>
          <w:lang w:val="en-AU"/>
        </w:rPr>
        <w:t xml:space="preserve">absorb </w:t>
      </w:r>
      <w:r w:rsidR="00841698" w:rsidRPr="007C0B4F">
        <w:rPr>
          <w:rFonts w:asciiTheme="minorHAnsi" w:hAnsiTheme="minorHAnsi" w:cstheme="minorHAnsi"/>
          <w:lang w:val="en-AU"/>
        </w:rPr>
        <w:t>and increasing budget as it becomes established</w:t>
      </w:r>
      <w:r w:rsidR="0066598B" w:rsidRPr="007C0B4F">
        <w:rPr>
          <w:rFonts w:asciiTheme="minorHAnsi" w:hAnsiTheme="minorHAnsi" w:cstheme="minorHAnsi"/>
          <w:lang w:val="en-AU"/>
        </w:rPr>
        <w:t>.</w:t>
      </w:r>
      <w:r w:rsidR="006716A4" w:rsidRPr="007C0B4F">
        <w:rPr>
          <w:rFonts w:asciiTheme="minorHAnsi" w:hAnsiTheme="minorHAnsi" w:cstheme="minorHAnsi"/>
          <w:lang w:val="en-AU"/>
        </w:rPr>
        <w:t xml:space="preserve">  A comprehensive assessment of cost will be a critical part of the design work.  It will be essential at that point to carefully estimate action research (pilot) costs, the extent of technical support that may be needed, and to adequately budget the comprehensive M&amp;E agenda that will be needed. </w:t>
      </w:r>
    </w:p>
    <w:p w14:paraId="475C9A35" w14:textId="77777777" w:rsidR="00E2428E" w:rsidRPr="007C0B4F" w:rsidRDefault="00645785" w:rsidP="00645785">
      <w:pPr>
        <w:pStyle w:val="Heading2"/>
      </w:pPr>
      <w:bookmarkStart w:id="25" w:name="_Toc365366035"/>
      <w:r w:rsidRPr="007C0B4F">
        <w:t>How the Facility would function</w:t>
      </w:r>
      <w:bookmarkEnd w:id="23"/>
      <w:bookmarkEnd w:id="25"/>
    </w:p>
    <w:p w14:paraId="475C9A36" w14:textId="77777777" w:rsidR="00EF7F32" w:rsidRPr="007C0B4F" w:rsidRDefault="00C35322" w:rsidP="00EF7F32">
      <w:pPr>
        <w:rPr>
          <w:rFonts w:asciiTheme="minorHAnsi" w:hAnsiTheme="minorHAnsi" w:cstheme="minorHAnsi"/>
          <w:lang w:val="en-AU"/>
        </w:rPr>
      </w:pPr>
      <w:r w:rsidRPr="007C0B4F">
        <w:rPr>
          <w:rFonts w:asciiTheme="minorHAnsi" w:hAnsiTheme="minorHAnsi" w:cstheme="minorHAnsi"/>
          <w:b/>
        </w:rPr>
        <w:t xml:space="preserve">The Facility would be designed primarily to </w:t>
      </w:r>
      <w:r w:rsidR="00EF7F32" w:rsidRPr="007C0B4F">
        <w:rPr>
          <w:rFonts w:asciiTheme="minorHAnsi" w:hAnsiTheme="minorHAnsi" w:cstheme="minorHAnsi"/>
          <w:b/>
        </w:rPr>
        <w:t>support</w:t>
      </w:r>
      <w:r w:rsidRPr="007C0B4F">
        <w:rPr>
          <w:rFonts w:asciiTheme="minorHAnsi" w:hAnsiTheme="minorHAnsi" w:cstheme="minorHAnsi"/>
          <w:b/>
        </w:rPr>
        <w:t xml:space="preserve"> </w:t>
      </w:r>
      <w:r w:rsidR="00EF7F32" w:rsidRPr="007C0B4F">
        <w:rPr>
          <w:rFonts w:asciiTheme="minorHAnsi" w:hAnsiTheme="minorHAnsi" w:cstheme="minorHAnsi"/>
          <w:b/>
        </w:rPr>
        <w:t>pilots.</w:t>
      </w:r>
      <w:r w:rsidR="00EF7F32" w:rsidRPr="007C0B4F">
        <w:rPr>
          <w:rFonts w:asciiTheme="minorHAnsi" w:hAnsiTheme="minorHAnsi" w:cstheme="minorHAnsi"/>
        </w:rPr>
        <w:t xml:space="preserve">  </w:t>
      </w:r>
      <w:r w:rsidRPr="007C0B4F">
        <w:rPr>
          <w:rFonts w:asciiTheme="minorHAnsi" w:hAnsiTheme="minorHAnsi" w:cstheme="minorHAnsi"/>
        </w:rPr>
        <w:t xml:space="preserve">That is to say, it would invest in </w:t>
      </w:r>
      <w:r w:rsidR="00EF7F32" w:rsidRPr="007C0B4F">
        <w:rPr>
          <w:rFonts w:asciiTheme="minorHAnsi" w:hAnsiTheme="minorHAnsi" w:cstheme="minorHAnsi"/>
        </w:rPr>
        <w:t>action research</w:t>
      </w:r>
      <w:r w:rsidRPr="007C0B4F">
        <w:rPr>
          <w:rFonts w:asciiTheme="minorHAnsi" w:hAnsiTheme="minorHAnsi" w:cstheme="minorHAnsi"/>
        </w:rPr>
        <w:t xml:space="preserve"> (the pilots) </w:t>
      </w:r>
      <w:r w:rsidR="00EF7F32" w:rsidRPr="007C0B4F">
        <w:rPr>
          <w:rFonts w:asciiTheme="minorHAnsi" w:hAnsiTheme="minorHAnsi" w:cstheme="minorHAnsi"/>
        </w:rPr>
        <w:t xml:space="preserve">in which </w:t>
      </w:r>
      <w:r w:rsidR="00EF7F32" w:rsidRPr="007C0B4F">
        <w:rPr>
          <w:rFonts w:asciiTheme="minorHAnsi" w:hAnsiTheme="minorHAnsi" w:cstheme="minorHAnsi"/>
          <w:lang w:val="en-AU"/>
        </w:rPr>
        <w:t xml:space="preserve">a strong emphasis is given to: (i) verifying underlying assumptions about the issue being addressed; (ii) testing data collection tools or methods of intervention to identify and eliminate potential problems that might compromise the validity of </w:t>
      </w:r>
      <w:r w:rsidR="00B32B1C" w:rsidRPr="007C0B4F">
        <w:rPr>
          <w:rFonts w:asciiTheme="minorHAnsi" w:hAnsiTheme="minorHAnsi" w:cstheme="minorHAnsi"/>
          <w:lang w:val="en-AU"/>
        </w:rPr>
        <w:t>findings;</w:t>
      </w:r>
      <w:r w:rsidR="00EF7F32" w:rsidRPr="007C0B4F">
        <w:rPr>
          <w:rFonts w:asciiTheme="minorHAnsi" w:hAnsiTheme="minorHAnsi" w:cstheme="minorHAnsi"/>
          <w:lang w:val="en-AU"/>
        </w:rPr>
        <w:t xml:space="preserve"> and (iii) communicating lessons learned in appropriate ways to key stakeholders, with a focus on supporting the subsequent development and implementation of policies and p</w:t>
      </w:r>
      <w:r w:rsidR="00B32B1C" w:rsidRPr="007C0B4F">
        <w:rPr>
          <w:rFonts w:asciiTheme="minorHAnsi" w:hAnsiTheme="minorHAnsi" w:cstheme="minorHAnsi"/>
          <w:lang w:val="en-AU"/>
        </w:rPr>
        <w:t>ractices</w:t>
      </w:r>
      <w:r w:rsidR="00EF7F32" w:rsidRPr="007C0B4F">
        <w:rPr>
          <w:rFonts w:asciiTheme="minorHAnsi" w:hAnsiTheme="minorHAnsi" w:cstheme="minorHAnsi"/>
          <w:lang w:val="en-AU"/>
        </w:rPr>
        <w:t xml:space="preserve"> that effectively promote improved learning outcomes for students on a wider scale.  </w:t>
      </w:r>
      <w:r w:rsidR="00EF7F32" w:rsidRPr="007C0B4F">
        <w:rPr>
          <w:rFonts w:asciiTheme="minorHAnsi" w:hAnsiTheme="minorHAnsi" w:cstheme="minorHAnsi"/>
        </w:rPr>
        <w:t xml:space="preserve">The Facility would </w:t>
      </w:r>
      <w:r w:rsidR="00B32B1C" w:rsidRPr="007C0B4F">
        <w:rPr>
          <w:rFonts w:asciiTheme="minorHAnsi" w:hAnsiTheme="minorHAnsi" w:cstheme="minorHAnsi"/>
        </w:rPr>
        <w:t xml:space="preserve">work </w:t>
      </w:r>
      <w:r w:rsidR="006D37A0" w:rsidRPr="007C0B4F">
        <w:rPr>
          <w:rFonts w:asciiTheme="minorHAnsi" w:hAnsiTheme="minorHAnsi" w:cstheme="minorHAnsi"/>
        </w:rPr>
        <w:t xml:space="preserve">through </w:t>
      </w:r>
      <w:r w:rsidR="00EF7F32" w:rsidRPr="007C0B4F">
        <w:rPr>
          <w:rFonts w:asciiTheme="minorHAnsi" w:hAnsiTheme="minorHAnsi" w:cstheme="minorHAnsi"/>
        </w:rPr>
        <w:t>partnerships</w:t>
      </w:r>
      <w:r w:rsidR="006D37A0" w:rsidRPr="007C0B4F">
        <w:rPr>
          <w:rFonts w:asciiTheme="minorHAnsi" w:hAnsiTheme="minorHAnsi" w:cstheme="minorHAnsi"/>
        </w:rPr>
        <w:t xml:space="preserve">, established at the local </w:t>
      </w:r>
      <w:r w:rsidR="00EF7F32" w:rsidRPr="007C0B4F">
        <w:rPr>
          <w:rFonts w:asciiTheme="minorHAnsi" w:hAnsiTheme="minorHAnsi" w:cstheme="minorHAnsi"/>
        </w:rPr>
        <w:t>level</w:t>
      </w:r>
      <w:r w:rsidR="006D37A0" w:rsidRPr="007C0B4F">
        <w:rPr>
          <w:rFonts w:asciiTheme="minorHAnsi" w:hAnsiTheme="minorHAnsi" w:cstheme="minorHAnsi"/>
        </w:rPr>
        <w:t>,</w:t>
      </w:r>
      <w:r w:rsidR="00EF7F32" w:rsidRPr="007C0B4F">
        <w:rPr>
          <w:rFonts w:asciiTheme="minorHAnsi" w:hAnsiTheme="minorHAnsi" w:cstheme="minorHAnsi"/>
        </w:rPr>
        <w:t xml:space="preserve"> for action research and learning, with a focus on what is happening in the classroom/at schools to either support or impede learning outcomes.  </w:t>
      </w:r>
    </w:p>
    <w:p w14:paraId="475C9A37" w14:textId="77777777" w:rsidR="00EF7F32" w:rsidRPr="007C0B4F" w:rsidRDefault="006D37A0" w:rsidP="00EF7F32">
      <w:pPr>
        <w:rPr>
          <w:rFonts w:asciiTheme="minorHAnsi" w:hAnsiTheme="minorHAnsi" w:cstheme="minorHAnsi"/>
        </w:rPr>
      </w:pPr>
      <w:r w:rsidRPr="007C0B4F">
        <w:rPr>
          <w:rFonts w:asciiTheme="minorHAnsi" w:hAnsiTheme="minorHAnsi" w:cstheme="minorHAnsi"/>
          <w:b/>
        </w:rPr>
        <w:t xml:space="preserve">Critically, the </w:t>
      </w:r>
      <w:r w:rsidR="00EF7F32" w:rsidRPr="007C0B4F">
        <w:rPr>
          <w:rFonts w:asciiTheme="minorHAnsi" w:hAnsiTheme="minorHAnsi" w:cstheme="minorHAnsi"/>
          <w:b/>
        </w:rPr>
        <w:t>Facility would also investigate specific features of the broader operating environment i</w:t>
      </w:r>
      <w:r w:rsidR="00B32B1C" w:rsidRPr="007C0B4F">
        <w:rPr>
          <w:rFonts w:asciiTheme="minorHAnsi" w:hAnsiTheme="minorHAnsi" w:cstheme="minorHAnsi"/>
          <w:b/>
        </w:rPr>
        <w:t>n order to help identify which</w:t>
      </w:r>
      <w:r w:rsidR="00EF7F32" w:rsidRPr="007C0B4F">
        <w:rPr>
          <w:rFonts w:asciiTheme="minorHAnsi" w:hAnsiTheme="minorHAnsi" w:cstheme="minorHAnsi"/>
          <w:b/>
        </w:rPr>
        <w:t xml:space="preserve"> factors maintain the status quo and block change, and which enable transformations in practice.</w:t>
      </w:r>
      <w:r w:rsidR="00EF7F32" w:rsidRPr="007C0B4F">
        <w:rPr>
          <w:rFonts w:asciiTheme="minorHAnsi" w:hAnsiTheme="minorHAnsi" w:cstheme="minorHAnsi"/>
        </w:rPr>
        <w:t xml:space="preserve">  This would re</w:t>
      </w:r>
      <w:r w:rsidR="00B32B1C" w:rsidRPr="007C0B4F">
        <w:rPr>
          <w:rFonts w:asciiTheme="minorHAnsi" w:hAnsiTheme="minorHAnsi" w:cstheme="minorHAnsi"/>
        </w:rPr>
        <w:t>quire analysis of</w:t>
      </w:r>
      <w:r w:rsidR="00EF7F32" w:rsidRPr="007C0B4F">
        <w:rPr>
          <w:rFonts w:asciiTheme="minorHAnsi" w:hAnsiTheme="minorHAnsi" w:cstheme="minorHAnsi"/>
        </w:rPr>
        <w:t>: (i) relevant aspects of decentralization laws and regulations relatin</w:t>
      </w:r>
      <w:r w:rsidR="009F7D05" w:rsidRPr="007C0B4F">
        <w:rPr>
          <w:rFonts w:asciiTheme="minorHAnsi" w:hAnsiTheme="minorHAnsi" w:cstheme="minorHAnsi"/>
        </w:rPr>
        <w:t>g to education service delivery; (ii) recurrent cost implications of sustaining and replicating good practice;</w:t>
      </w:r>
      <w:r w:rsidR="00EF7F32" w:rsidRPr="007C0B4F">
        <w:rPr>
          <w:rFonts w:asciiTheme="minorHAnsi" w:hAnsiTheme="minorHAnsi" w:cstheme="minorHAnsi"/>
        </w:rPr>
        <w:t xml:space="preserve"> (</w:t>
      </w:r>
      <w:r w:rsidR="009F7D05" w:rsidRPr="007C0B4F">
        <w:rPr>
          <w:rFonts w:asciiTheme="minorHAnsi" w:hAnsiTheme="minorHAnsi" w:cstheme="minorHAnsi"/>
        </w:rPr>
        <w:t>i</w:t>
      </w:r>
      <w:r w:rsidR="00EF7F32" w:rsidRPr="007C0B4F">
        <w:rPr>
          <w:rFonts w:asciiTheme="minorHAnsi" w:hAnsiTheme="minorHAnsi" w:cstheme="minorHAnsi"/>
        </w:rPr>
        <w:t>ii) relevant MoEC and MoRA policies</w:t>
      </w:r>
      <w:r w:rsidR="00B32B1C" w:rsidRPr="007C0B4F">
        <w:rPr>
          <w:rFonts w:asciiTheme="minorHAnsi" w:hAnsiTheme="minorHAnsi" w:cstheme="minorHAnsi"/>
        </w:rPr>
        <w:t xml:space="preserve">, </w:t>
      </w:r>
      <w:r w:rsidR="00EF7F32" w:rsidRPr="007C0B4F">
        <w:rPr>
          <w:rFonts w:asciiTheme="minorHAnsi" w:hAnsiTheme="minorHAnsi" w:cstheme="minorHAnsi"/>
        </w:rPr>
        <w:t>practices</w:t>
      </w:r>
      <w:r w:rsidR="00B32B1C" w:rsidRPr="007C0B4F">
        <w:rPr>
          <w:rFonts w:asciiTheme="minorHAnsi" w:hAnsiTheme="minorHAnsi" w:cstheme="minorHAnsi"/>
        </w:rPr>
        <w:t xml:space="preserve"> and behaviors</w:t>
      </w:r>
      <w:r w:rsidR="00EF7F32" w:rsidRPr="007C0B4F">
        <w:rPr>
          <w:rFonts w:asciiTheme="minorHAnsi" w:hAnsiTheme="minorHAnsi" w:cstheme="minorHAnsi"/>
        </w:rPr>
        <w:t xml:space="preserve"> (e.g. role and appointment of personnel, funding channels, accoun</w:t>
      </w:r>
      <w:r w:rsidR="009F7D05" w:rsidRPr="007C0B4F">
        <w:rPr>
          <w:rFonts w:asciiTheme="minorHAnsi" w:hAnsiTheme="minorHAnsi" w:cstheme="minorHAnsi"/>
        </w:rPr>
        <w:t>tability arrangements); and (iv</w:t>
      </w:r>
      <w:r w:rsidR="00EF7F32" w:rsidRPr="007C0B4F">
        <w:rPr>
          <w:rFonts w:asciiTheme="minorHAnsi" w:hAnsiTheme="minorHAnsi" w:cstheme="minorHAnsi"/>
        </w:rPr>
        <w:t xml:space="preserve">) the political economy </w:t>
      </w:r>
      <w:r w:rsidR="00B32B1C" w:rsidRPr="007C0B4F">
        <w:rPr>
          <w:rFonts w:asciiTheme="minorHAnsi" w:hAnsiTheme="minorHAnsi" w:cstheme="minorHAnsi"/>
        </w:rPr>
        <w:t xml:space="preserve">of service delivery </w:t>
      </w:r>
      <w:r w:rsidR="00EF7F32" w:rsidRPr="007C0B4F">
        <w:rPr>
          <w:rFonts w:asciiTheme="minorHAnsi" w:hAnsiTheme="minorHAnsi" w:cstheme="minorHAnsi"/>
        </w:rPr>
        <w:t xml:space="preserve">at different levels, including at </w:t>
      </w:r>
      <w:r w:rsidR="00B32B1C" w:rsidRPr="007C0B4F">
        <w:rPr>
          <w:rFonts w:asciiTheme="minorHAnsi" w:hAnsiTheme="minorHAnsi" w:cstheme="minorHAnsi"/>
        </w:rPr>
        <w:t xml:space="preserve">the </w:t>
      </w:r>
      <w:r w:rsidR="00EF7F32" w:rsidRPr="007C0B4F">
        <w:rPr>
          <w:rFonts w:asciiTheme="minorHAnsi" w:hAnsiTheme="minorHAnsi" w:cstheme="minorHAnsi"/>
        </w:rPr>
        <w:t xml:space="preserve">school and community level.  This systems-oriented work may prove more complex to implement than the school-focused action research, and could also have political risks if not managed sensitively and with the full support of counterparts at all levels.  However, the advantage would be a deeper understanding of what is required to achieve and sustain improvements in learning outcomes.  </w:t>
      </w:r>
    </w:p>
    <w:p w14:paraId="475C9A38" w14:textId="77777777" w:rsidR="007C1888" w:rsidRPr="007C0B4F" w:rsidRDefault="007C1888" w:rsidP="00EF7F32">
      <w:pPr>
        <w:rPr>
          <w:rFonts w:asciiTheme="minorHAnsi" w:hAnsiTheme="minorHAnsi" w:cstheme="minorHAnsi"/>
        </w:rPr>
      </w:pPr>
      <w:r w:rsidRPr="007C0B4F">
        <w:rPr>
          <w:rFonts w:asciiTheme="minorHAnsi" w:hAnsiTheme="minorHAnsi" w:cstheme="minorHAnsi"/>
          <w:b/>
        </w:rPr>
        <w:t>The Facility will give specific focus to supporting innovations that promote implementation of inclusive education policies and practices.</w:t>
      </w:r>
      <w:r w:rsidRPr="007C0B4F">
        <w:rPr>
          <w:rFonts w:asciiTheme="minorHAnsi" w:hAnsiTheme="minorHAnsi" w:cstheme="minorHAnsi"/>
        </w:rPr>
        <w:t xml:space="preserve">  This will include helping address issues such as the specific challenges faced by schools in remote areas or </w:t>
      </w:r>
      <w:r w:rsidR="00A27038" w:rsidRPr="007C0B4F">
        <w:rPr>
          <w:rFonts w:asciiTheme="minorHAnsi" w:hAnsiTheme="minorHAnsi" w:cstheme="minorHAnsi"/>
        </w:rPr>
        <w:t>marginalized</w:t>
      </w:r>
      <w:r w:rsidRPr="007C0B4F">
        <w:rPr>
          <w:rFonts w:asciiTheme="minorHAnsi" w:hAnsiTheme="minorHAnsi" w:cstheme="minorHAnsi"/>
        </w:rPr>
        <w:t xml:space="preserve"> communities and low participation rates among children with learning difficulties or other disabilities.  The Facility will also help address identified gender equity issues in basic education, such as gender stereotyping in teaching material and restricting girls’ or boys’ participation in certain types of activities or roles.  </w:t>
      </w:r>
    </w:p>
    <w:p w14:paraId="475C9A39" w14:textId="77777777" w:rsidR="00F705DB" w:rsidRPr="007C0B4F" w:rsidRDefault="00245C01" w:rsidP="00561D65">
      <w:pPr>
        <w:pStyle w:val="Heading2"/>
      </w:pPr>
      <w:bookmarkStart w:id="26" w:name="_Toc361407144"/>
      <w:bookmarkStart w:id="27" w:name="_Toc365366036"/>
      <w:r w:rsidRPr="007C0B4F">
        <w:t xml:space="preserve">What </w:t>
      </w:r>
      <w:r w:rsidR="00561D65" w:rsidRPr="007C0B4F">
        <w:rPr>
          <w:lang w:val="en-AU"/>
        </w:rPr>
        <w:t xml:space="preserve">will </w:t>
      </w:r>
      <w:r w:rsidR="00561D65" w:rsidRPr="007C0B4F">
        <w:t>success</w:t>
      </w:r>
      <w:r w:rsidRPr="007C0B4F">
        <w:t xml:space="preserve"> look </w:t>
      </w:r>
      <w:bookmarkEnd w:id="26"/>
      <w:r w:rsidRPr="007C0B4F">
        <w:t>like</w:t>
      </w:r>
      <w:r w:rsidRPr="007C0B4F">
        <w:rPr>
          <w:lang w:val="en-AU"/>
        </w:rPr>
        <w:t>?</w:t>
      </w:r>
      <w:bookmarkEnd w:id="27"/>
    </w:p>
    <w:p w14:paraId="475C9A3A" w14:textId="77777777" w:rsidR="00A27038" w:rsidRPr="007C0B4F" w:rsidRDefault="00A27038" w:rsidP="006A2C70">
      <w:pPr>
        <w:rPr>
          <w:rFonts w:asciiTheme="minorHAnsi" w:hAnsiTheme="minorHAnsi" w:cstheme="minorHAnsi"/>
        </w:rPr>
      </w:pPr>
      <w:r w:rsidRPr="007C0B4F">
        <w:rPr>
          <w:rFonts w:asciiTheme="minorHAnsi" w:hAnsiTheme="minorHAnsi" w:cstheme="minorHAnsi"/>
        </w:rPr>
        <w:t>The facility will be successful if it:</w:t>
      </w:r>
    </w:p>
    <w:p w14:paraId="475C9A3B" w14:textId="77777777" w:rsidR="00A27038" w:rsidRPr="007C0B4F" w:rsidRDefault="00A27038" w:rsidP="00A27038">
      <w:pPr>
        <w:pStyle w:val="ListParagraph"/>
        <w:numPr>
          <w:ilvl w:val="0"/>
          <w:numId w:val="33"/>
        </w:numPr>
        <w:rPr>
          <w:rFonts w:asciiTheme="minorHAnsi" w:hAnsiTheme="minorHAnsi" w:cstheme="minorHAnsi"/>
          <w:lang w:val="en-AU"/>
        </w:rPr>
      </w:pPr>
      <w:r w:rsidRPr="007C0B4F">
        <w:rPr>
          <w:rFonts w:asciiTheme="minorHAnsi" w:hAnsiTheme="minorHAnsi" w:cstheme="minorHAnsi"/>
          <w:b/>
        </w:rPr>
        <w:lastRenderedPageBreak/>
        <w:t>Brings together education stakeholders</w:t>
      </w:r>
      <w:r w:rsidRPr="007C0B4F">
        <w:rPr>
          <w:rFonts w:asciiTheme="minorHAnsi" w:hAnsiTheme="minorHAnsi" w:cstheme="minorHAnsi"/>
        </w:rPr>
        <w:t xml:space="preserve"> from within and outside government at province and district levels to build shared understanding, based on evidence, of sector challenges, commitment to action and accountability for decisions taken.</w:t>
      </w:r>
    </w:p>
    <w:p w14:paraId="475C9A3C" w14:textId="77777777" w:rsidR="009D4810" w:rsidRPr="007C0B4F" w:rsidRDefault="00A27038" w:rsidP="00A27038">
      <w:pPr>
        <w:pStyle w:val="ListParagraph"/>
        <w:numPr>
          <w:ilvl w:val="0"/>
          <w:numId w:val="33"/>
        </w:numPr>
        <w:rPr>
          <w:rFonts w:asciiTheme="minorHAnsi" w:hAnsiTheme="minorHAnsi" w:cstheme="minorHAnsi"/>
          <w:lang w:val="en-AU"/>
        </w:rPr>
      </w:pPr>
      <w:r w:rsidRPr="007C0B4F">
        <w:rPr>
          <w:rFonts w:asciiTheme="minorHAnsi" w:hAnsiTheme="minorHAnsi" w:cstheme="minorHAnsi"/>
          <w:b/>
        </w:rPr>
        <w:t>Id</w:t>
      </w:r>
      <w:r w:rsidR="009D4810" w:rsidRPr="007C0B4F">
        <w:rPr>
          <w:rFonts w:asciiTheme="minorHAnsi" w:hAnsiTheme="minorHAnsi" w:cstheme="minorHAnsi"/>
          <w:b/>
        </w:rPr>
        <w:t>entifies practical, affordable strategies</w:t>
      </w:r>
      <w:r w:rsidR="009D4810" w:rsidRPr="007C0B4F">
        <w:rPr>
          <w:rFonts w:asciiTheme="minorHAnsi" w:hAnsiTheme="minorHAnsi" w:cstheme="minorHAnsi"/>
        </w:rPr>
        <w:t xml:space="preserve"> to improve learning outcomes and increase equity in participation in schools.</w:t>
      </w:r>
      <w:r w:rsidR="003E2B17" w:rsidRPr="007C0B4F">
        <w:rPr>
          <w:rFonts w:asciiTheme="minorHAnsi" w:hAnsiTheme="minorHAnsi" w:cstheme="minorHAnsi"/>
        </w:rPr>
        <w:t xml:space="preserve"> </w:t>
      </w:r>
      <w:r w:rsidR="003E2B17" w:rsidRPr="007C0B4F">
        <w:rPr>
          <w:rFonts w:asciiTheme="minorHAnsi" w:hAnsiTheme="minorHAnsi"/>
        </w:rPr>
        <w:t>The extent to which participating schools and districts institutionalise successfully tested interventions will also be considered a success factor.</w:t>
      </w:r>
    </w:p>
    <w:p w14:paraId="475C9A3D" w14:textId="77777777" w:rsidR="009D4810" w:rsidRPr="007C0B4F" w:rsidRDefault="009D4810" w:rsidP="00A27038">
      <w:pPr>
        <w:pStyle w:val="ListParagraph"/>
        <w:numPr>
          <w:ilvl w:val="0"/>
          <w:numId w:val="33"/>
        </w:numPr>
        <w:rPr>
          <w:rFonts w:asciiTheme="minorHAnsi" w:hAnsiTheme="minorHAnsi" w:cstheme="minorHAnsi"/>
          <w:lang w:val="en-AU"/>
        </w:rPr>
      </w:pPr>
      <w:r w:rsidRPr="007C0B4F">
        <w:rPr>
          <w:rFonts w:asciiTheme="minorHAnsi" w:hAnsiTheme="minorHAnsi" w:cstheme="minorHAnsi"/>
          <w:b/>
        </w:rPr>
        <w:t>Influences AusAID programming</w:t>
      </w:r>
      <w:r w:rsidRPr="007C0B4F">
        <w:rPr>
          <w:rFonts w:asciiTheme="minorHAnsi" w:hAnsiTheme="minorHAnsi" w:cstheme="minorHAnsi"/>
        </w:rPr>
        <w:t>.</w:t>
      </w:r>
      <w:r w:rsidRPr="007C0B4F">
        <w:rPr>
          <w:rFonts w:asciiTheme="minorHAnsi" w:hAnsiTheme="minorHAnsi" w:cstheme="minorHAnsi"/>
          <w:lang w:val="en-AU"/>
        </w:rPr>
        <w:t xml:space="preserve"> To achieve this and to contribute to shaping AusAID’s forward agenda in education assistance the information flow from pilot activities would need to be timely and framed in the context of contributing to a continually evolving agenda that focuses increasingly on learning outcomes and on better services for the poor.</w:t>
      </w:r>
    </w:p>
    <w:p w14:paraId="475C9A3E" w14:textId="77777777" w:rsidR="00645785" w:rsidRPr="007C0B4F" w:rsidRDefault="009D4810" w:rsidP="00645785">
      <w:pPr>
        <w:pStyle w:val="ListParagraph"/>
        <w:numPr>
          <w:ilvl w:val="0"/>
          <w:numId w:val="33"/>
        </w:numPr>
        <w:rPr>
          <w:rFonts w:asciiTheme="minorHAnsi" w:hAnsiTheme="minorHAnsi" w:cstheme="minorHAnsi"/>
          <w:lang w:val="en-AU"/>
        </w:rPr>
      </w:pPr>
      <w:r w:rsidRPr="007C0B4F">
        <w:rPr>
          <w:rFonts w:asciiTheme="minorHAnsi" w:hAnsiTheme="minorHAnsi" w:cstheme="minorHAnsi"/>
          <w:b/>
        </w:rPr>
        <w:t>Influences</w:t>
      </w:r>
      <w:r w:rsidR="00645785" w:rsidRPr="007C0B4F">
        <w:rPr>
          <w:rFonts w:asciiTheme="minorHAnsi" w:hAnsiTheme="minorHAnsi" w:cstheme="minorHAnsi"/>
          <w:b/>
        </w:rPr>
        <w:t xml:space="preserve"> systemic change</w:t>
      </w:r>
      <w:r w:rsidR="00645785" w:rsidRPr="007C0B4F">
        <w:rPr>
          <w:rFonts w:asciiTheme="minorHAnsi" w:hAnsiTheme="minorHAnsi" w:cstheme="minorHAnsi"/>
        </w:rPr>
        <w:t xml:space="preserve">.  In other words, by analyzing and improving practices at the district, school and </w:t>
      </w:r>
      <w:r w:rsidR="00B32B1C" w:rsidRPr="007C0B4F">
        <w:rPr>
          <w:rFonts w:asciiTheme="minorHAnsi" w:hAnsiTheme="minorHAnsi" w:cstheme="minorHAnsi"/>
        </w:rPr>
        <w:t>classroom</w:t>
      </w:r>
      <w:r w:rsidR="00645785" w:rsidRPr="007C0B4F">
        <w:rPr>
          <w:rFonts w:asciiTheme="minorHAnsi" w:hAnsiTheme="minorHAnsi" w:cstheme="minorHAnsi"/>
        </w:rPr>
        <w:t xml:space="preserve"> levels </w:t>
      </w:r>
      <w:r w:rsidRPr="007C0B4F">
        <w:rPr>
          <w:rFonts w:asciiTheme="minorHAnsi" w:hAnsiTheme="minorHAnsi" w:cstheme="minorHAnsi"/>
        </w:rPr>
        <w:t>it is intended that the</w:t>
      </w:r>
      <w:r w:rsidR="00645785" w:rsidRPr="007C0B4F">
        <w:rPr>
          <w:rFonts w:asciiTheme="minorHAnsi" w:hAnsiTheme="minorHAnsi" w:cstheme="minorHAnsi"/>
        </w:rPr>
        <w:t xml:space="preserve">  </w:t>
      </w:r>
      <w:r w:rsidR="00F705DB" w:rsidRPr="007C0B4F">
        <w:rPr>
          <w:rFonts w:asciiTheme="minorHAnsi" w:hAnsiTheme="minorHAnsi" w:cstheme="minorHAnsi"/>
        </w:rPr>
        <w:t xml:space="preserve">knowledge and experience gained will influence how MoEC and/or MoRA view possible remedies to issues facing the sector more broadly.  </w:t>
      </w:r>
      <w:r w:rsidRPr="007C0B4F">
        <w:rPr>
          <w:rFonts w:asciiTheme="minorHAnsi" w:hAnsiTheme="minorHAnsi" w:cstheme="minorHAnsi"/>
        </w:rPr>
        <w:t xml:space="preserve">To do this, </w:t>
      </w:r>
      <w:r w:rsidR="00F705DB" w:rsidRPr="007C0B4F">
        <w:rPr>
          <w:rFonts w:asciiTheme="minorHAnsi" w:hAnsiTheme="minorHAnsi" w:cstheme="minorHAnsi"/>
        </w:rPr>
        <w:t xml:space="preserve">the Facility will need to </w:t>
      </w:r>
      <w:r w:rsidRPr="007C0B4F">
        <w:rPr>
          <w:rFonts w:asciiTheme="minorHAnsi" w:hAnsiTheme="minorHAnsi" w:cstheme="minorHAnsi"/>
        </w:rPr>
        <w:t>analyse</w:t>
      </w:r>
      <w:r w:rsidR="00F705DB" w:rsidRPr="007C0B4F">
        <w:rPr>
          <w:rFonts w:asciiTheme="minorHAnsi" w:hAnsiTheme="minorHAnsi" w:cstheme="minorHAnsi"/>
        </w:rPr>
        <w:t xml:space="preserve"> its results and lessons </w:t>
      </w:r>
      <w:r w:rsidRPr="007C0B4F">
        <w:rPr>
          <w:rFonts w:asciiTheme="minorHAnsi" w:hAnsiTheme="minorHAnsi" w:cstheme="minorHAnsi"/>
        </w:rPr>
        <w:t>with due regard to</w:t>
      </w:r>
      <w:r w:rsidR="00F705DB" w:rsidRPr="007C0B4F">
        <w:rPr>
          <w:rFonts w:asciiTheme="minorHAnsi" w:hAnsiTheme="minorHAnsi" w:cstheme="minorHAnsi"/>
        </w:rPr>
        <w:t xml:space="preserve"> </w:t>
      </w:r>
      <w:r w:rsidR="00645785" w:rsidRPr="007C0B4F">
        <w:rPr>
          <w:rFonts w:asciiTheme="minorHAnsi" w:hAnsiTheme="minorHAnsi" w:cstheme="minorHAnsi"/>
        </w:rPr>
        <w:t>scalability and sustainability</w:t>
      </w:r>
      <w:r w:rsidRPr="007C0B4F">
        <w:rPr>
          <w:rFonts w:asciiTheme="minorHAnsi" w:hAnsiTheme="minorHAnsi" w:cstheme="minorHAnsi"/>
        </w:rPr>
        <w:t>, including consideration of</w:t>
      </w:r>
      <w:r w:rsidR="00645785" w:rsidRPr="007C0B4F">
        <w:rPr>
          <w:rFonts w:asciiTheme="minorHAnsi" w:hAnsiTheme="minorHAnsi" w:cstheme="minorHAnsi"/>
        </w:rPr>
        <w:t xml:space="preserve"> </w:t>
      </w:r>
      <w:r w:rsidRPr="007C0B4F">
        <w:rPr>
          <w:rFonts w:asciiTheme="minorHAnsi" w:hAnsiTheme="minorHAnsi" w:cstheme="minorHAnsi"/>
        </w:rPr>
        <w:t xml:space="preserve">enabling environment </w:t>
      </w:r>
      <w:r w:rsidR="00F705DB" w:rsidRPr="007C0B4F">
        <w:rPr>
          <w:rFonts w:asciiTheme="minorHAnsi" w:hAnsiTheme="minorHAnsi" w:cstheme="minorHAnsi"/>
        </w:rPr>
        <w:t>factors</w:t>
      </w:r>
      <w:r w:rsidR="00645785" w:rsidRPr="007C0B4F">
        <w:rPr>
          <w:rFonts w:asciiTheme="minorHAnsi" w:hAnsiTheme="minorHAnsi" w:cstheme="minorHAnsi"/>
        </w:rPr>
        <w:t xml:space="preserve"> </w:t>
      </w:r>
      <w:r w:rsidRPr="007C0B4F">
        <w:rPr>
          <w:rFonts w:asciiTheme="minorHAnsi" w:hAnsiTheme="minorHAnsi" w:cstheme="minorHAnsi"/>
        </w:rPr>
        <w:t>such as</w:t>
      </w:r>
      <w:r w:rsidR="00645785" w:rsidRPr="007C0B4F">
        <w:rPr>
          <w:rFonts w:asciiTheme="minorHAnsi" w:hAnsiTheme="minorHAnsi" w:cstheme="minorHAnsi"/>
        </w:rPr>
        <w:t xml:space="preserve"> GoI funding, governance arrangements, </w:t>
      </w:r>
      <w:r w:rsidR="00C303C1" w:rsidRPr="007C0B4F">
        <w:rPr>
          <w:rFonts w:asciiTheme="minorHAnsi" w:hAnsiTheme="minorHAnsi" w:cstheme="minorHAnsi"/>
        </w:rPr>
        <w:t xml:space="preserve">legislation, </w:t>
      </w:r>
      <w:r w:rsidR="00645785" w:rsidRPr="007C0B4F">
        <w:rPr>
          <w:rFonts w:asciiTheme="minorHAnsi" w:hAnsiTheme="minorHAnsi" w:cstheme="minorHAnsi"/>
        </w:rPr>
        <w:t>policies</w:t>
      </w:r>
      <w:r w:rsidR="00B32B1C" w:rsidRPr="007C0B4F">
        <w:rPr>
          <w:rFonts w:asciiTheme="minorHAnsi" w:hAnsiTheme="minorHAnsi" w:cstheme="minorHAnsi"/>
        </w:rPr>
        <w:t>, established</w:t>
      </w:r>
      <w:r w:rsidR="00645785" w:rsidRPr="007C0B4F">
        <w:rPr>
          <w:rFonts w:asciiTheme="minorHAnsi" w:hAnsiTheme="minorHAnsi" w:cstheme="minorHAnsi"/>
        </w:rPr>
        <w:t xml:space="preserve"> </w:t>
      </w:r>
      <w:r w:rsidR="00B32B1C" w:rsidRPr="007C0B4F">
        <w:rPr>
          <w:rFonts w:asciiTheme="minorHAnsi" w:hAnsiTheme="minorHAnsi" w:cstheme="minorHAnsi"/>
        </w:rPr>
        <w:t xml:space="preserve">administrator and teacher behaviors, </w:t>
      </w:r>
      <w:r w:rsidR="00645785" w:rsidRPr="007C0B4F">
        <w:rPr>
          <w:rFonts w:asciiTheme="minorHAnsi" w:hAnsiTheme="minorHAnsi" w:cstheme="minorHAnsi"/>
        </w:rPr>
        <w:t>etc.</w:t>
      </w:r>
    </w:p>
    <w:p w14:paraId="475C9A3F" w14:textId="77777777" w:rsidR="00E52F5A" w:rsidRPr="007C0B4F" w:rsidRDefault="00E52F5A" w:rsidP="00645785">
      <w:pPr>
        <w:rPr>
          <w:rFonts w:asciiTheme="minorHAnsi" w:hAnsiTheme="minorHAnsi" w:cstheme="minorHAnsi"/>
          <w:lang w:val="en-AU"/>
        </w:rPr>
      </w:pPr>
    </w:p>
    <w:p w14:paraId="475C9A40" w14:textId="77777777" w:rsidR="005B0E72" w:rsidRPr="007C0B4F" w:rsidRDefault="00315114" w:rsidP="00645785">
      <w:pPr>
        <w:rPr>
          <w:rFonts w:asciiTheme="minorHAnsi" w:hAnsiTheme="minorHAnsi" w:cstheme="minorHAnsi"/>
          <w:lang w:val="en-AU"/>
        </w:rPr>
      </w:pPr>
      <w:r w:rsidRPr="007C0B4F">
        <w:rPr>
          <w:rFonts w:asciiTheme="minorHAnsi" w:hAnsiTheme="minorHAnsi" w:cstheme="minorHAnsi"/>
          <w:lang w:val="en-AU"/>
        </w:rPr>
        <w:t>Box 1</w:t>
      </w:r>
      <w:r w:rsidR="005B0E72" w:rsidRPr="007C0B4F">
        <w:rPr>
          <w:rFonts w:asciiTheme="minorHAnsi" w:hAnsiTheme="minorHAnsi" w:cstheme="minorHAnsi"/>
          <w:lang w:val="en-AU"/>
        </w:rPr>
        <w:t xml:space="preserve"> provides examples of areas of enquiry of the Facility based on key areas identified in consultations with national, provincial and district stakeholders so far (see Annex 2).  Specific interventions in each area would be designed in partnership with local stakeholders and may include a range of information, formal accountability, capacity, cultural/attitudinal and/or community engagement-oriented interventions.</w:t>
      </w:r>
    </w:p>
    <w:p w14:paraId="475C9A41" w14:textId="77777777" w:rsidR="00C61439" w:rsidRPr="007C0B4F" w:rsidRDefault="00C61439" w:rsidP="00645785">
      <w:pPr>
        <w:rPr>
          <w:rFonts w:asciiTheme="minorHAnsi" w:hAnsiTheme="minorHAnsi" w:cstheme="minorHAnsi"/>
          <w:lang w:val="en-AU"/>
        </w:rPr>
      </w:pPr>
      <w:r w:rsidRPr="007C0B4F">
        <w:rPr>
          <w:rFonts w:asciiTheme="minorHAnsi" w:hAnsiTheme="minorHAnsi" w:cstheme="minorHAnsi"/>
          <w:noProof/>
          <w:lang w:val="en-AU" w:eastAsia="en-AU"/>
        </w:rPr>
        <mc:AlternateContent>
          <mc:Choice Requires="wps">
            <w:drawing>
              <wp:inline distT="0" distB="0" distL="0" distR="0" wp14:anchorId="475C9BBA" wp14:editId="475C9BBB">
                <wp:extent cx="5744095" cy="3217025"/>
                <wp:effectExtent l="0" t="0" r="28575" b="2159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095" cy="32170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75C9BDB" w14:textId="77777777" w:rsidR="00C64A5B" w:rsidRPr="005B0E72" w:rsidRDefault="00C64A5B">
                            <w:pPr>
                              <w:rPr>
                                <w:rFonts w:asciiTheme="minorHAnsi" w:hAnsiTheme="minorHAnsi" w:cstheme="minorHAnsi"/>
                              </w:rPr>
                            </w:pPr>
                            <w:r>
                              <w:rPr>
                                <w:rFonts w:asciiTheme="minorHAnsi" w:hAnsiTheme="minorHAnsi" w:cstheme="minorHAnsi"/>
                                <w:b/>
                              </w:rPr>
                              <w:t xml:space="preserve">Box 1: </w:t>
                            </w:r>
                            <w:r w:rsidRPr="005B0E72">
                              <w:rPr>
                                <w:rFonts w:asciiTheme="minorHAnsi" w:hAnsiTheme="minorHAnsi" w:cstheme="minorHAnsi"/>
                                <w:b/>
                              </w:rPr>
                              <w:t>Requested areas of enquiry</w:t>
                            </w:r>
                          </w:p>
                          <w:p w14:paraId="475C9BDC" w14:textId="77777777" w:rsidR="00C64A5B" w:rsidRPr="005B0E72" w:rsidRDefault="00C64A5B">
                            <w:pPr>
                              <w:rPr>
                                <w:rFonts w:asciiTheme="minorHAnsi" w:hAnsiTheme="minorHAnsi" w:cstheme="minorHAnsi"/>
                              </w:rPr>
                            </w:pPr>
                            <w:r w:rsidRPr="005B0E72">
                              <w:rPr>
                                <w:rFonts w:asciiTheme="minorHAnsi" w:hAnsiTheme="minorHAnsi" w:cstheme="minorHAnsi"/>
                                <w:i/>
                              </w:rPr>
                              <w:t>Teacher performance and incentives:</w:t>
                            </w:r>
                            <w:r w:rsidRPr="005B0E72">
                              <w:rPr>
                                <w:rFonts w:asciiTheme="minorHAnsi" w:hAnsiTheme="minorHAnsi" w:cstheme="minorHAnsi"/>
                              </w:rPr>
                              <w:t xml:space="preserve"> The national government’s teacher certification policy has emphasized teacher welfare rather than quality and has suffered from a lack of consistency and quality control in implementation.  </w:t>
                            </w:r>
                          </w:p>
                          <w:p w14:paraId="475C9BDD" w14:textId="77777777" w:rsidR="00C64A5B" w:rsidRPr="005B0E72" w:rsidRDefault="00C64A5B">
                            <w:pPr>
                              <w:rPr>
                                <w:rFonts w:asciiTheme="minorHAnsi" w:hAnsiTheme="minorHAnsi" w:cstheme="minorHAnsi"/>
                              </w:rPr>
                            </w:pPr>
                            <w:r w:rsidRPr="005B0E72">
                              <w:rPr>
                                <w:rFonts w:asciiTheme="minorHAnsi" w:hAnsiTheme="minorHAnsi" w:cstheme="minorHAnsi"/>
                                <w:i/>
                              </w:rPr>
                              <w:t>Student assessment</w:t>
                            </w:r>
                            <w:r w:rsidRPr="005B0E72">
                              <w:rPr>
                                <w:rFonts w:asciiTheme="minorHAnsi" w:hAnsiTheme="minorHAnsi" w:cstheme="minorHAnsi"/>
                              </w:rPr>
                              <w:t>: Indonesia currently relies predominantly on high-stakes testing, which fails to deliver many positive outcomes of student assessment systems such as feedback and continual improvement.  High quality, formative classroom assessment activities are one of the least expensive innovations in education reform and have been linked with better learning outcomes.  Ensuring teachers, principals, and district government can interpret and respond to findings is critical.</w:t>
                            </w:r>
                          </w:p>
                          <w:p w14:paraId="475C9BDE" w14:textId="77777777" w:rsidR="00C64A5B" w:rsidRPr="005B0E72" w:rsidRDefault="00C64A5B">
                            <w:pPr>
                              <w:rPr>
                                <w:rFonts w:asciiTheme="minorHAnsi" w:hAnsiTheme="minorHAnsi" w:cstheme="minorHAnsi"/>
                              </w:rPr>
                            </w:pPr>
                            <w:r w:rsidRPr="005B0E72">
                              <w:rPr>
                                <w:rFonts w:asciiTheme="minorHAnsi" w:hAnsiTheme="minorHAnsi" w:cstheme="minorHAnsi"/>
                                <w:i/>
                              </w:rPr>
                              <w:t>Reducing inequality in service delivery in rural and remote areas:</w:t>
                            </w:r>
                            <w:r w:rsidRPr="005B0E72">
                              <w:rPr>
                                <w:rFonts w:asciiTheme="minorHAnsi" w:hAnsiTheme="minorHAnsi" w:cstheme="minorHAnsi"/>
                              </w:rPr>
                              <w:t xml:space="preserve"> delivering services to disadvantaged communities, remote communities, or children from backgrounds of intergenerational poverty is challenging and costly.  In terms of</w:t>
                            </w:r>
                            <w:r>
                              <w:rPr>
                                <w:rFonts w:asciiTheme="minorHAnsi" w:hAnsiTheme="minorHAnsi" w:cstheme="minorHAnsi"/>
                              </w:rPr>
                              <w:t xml:space="preserve"> participation</w:t>
                            </w:r>
                            <w:r w:rsidRPr="005B0E72">
                              <w:rPr>
                                <w:rFonts w:asciiTheme="minorHAnsi" w:hAnsiTheme="minorHAnsi" w:cstheme="minorHAnsi"/>
                              </w:rPr>
                              <w:t>, districts and schools need to better understand where the out</w:t>
                            </w:r>
                            <w:r w:rsidRPr="005B0E72">
                              <w:rPr>
                                <w:rFonts w:asciiTheme="minorHAnsi" w:hAnsiTheme="minorHAnsi" w:cstheme="minorHAnsi"/>
                              </w:rPr>
                              <w:noBreakHyphen/>
                              <w:t>of</w:t>
                            </w:r>
                            <w:r w:rsidRPr="005B0E72">
                              <w:rPr>
                                <w:rFonts w:asciiTheme="minorHAnsi" w:hAnsiTheme="minorHAnsi" w:cstheme="minorHAnsi"/>
                              </w:rPr>
                              <w:noBreakHyphen/>
                              <w:t xml:space="preserve">school children are and what barriers to </w:t>
                            </w:r>
                            <w:r>
                              <w:rPr>
                                <w:rFonts w:asciiTheme="minorHAnsi" w:hAnsiTheme="minorHAnsi" w:cstheme="minorHAnsi"/>
                              </w:rPr>
                              <w:t>participation</w:t>
                            </w:r>
                            <w:r w:rsidRPr="005B0E72">
                              <w:rPr>
                                <w:rFonts w:asciiTheme="minorHAnsi" w:hAnsiTheme="minorHAnsi" w:cstheme="minorHAnsi"/>
                              </w:rPr>
                              <w:t xml:space="preserve"> exist, so that better targeted schemes can be implemented.  With regards to quality, available data on variation (urban-rural, by wealth quintiles etc</w:t>
                            </w:r>
                            <w:r>
                              <w:rPr>
                                <w:rFonts w:asciiTheme="minorHAnsi" w:hAnsiTheme="minorHAnsi" w:cstheme="minorHAnsi"/>
                              </w:rPr>
                              <w:t>.</w:t>
                            </w:r>
                            <w:r w:rsidRPr="005B0E72">
                              <w:rPr>
                                <w:rFonts w:asciiTheme="minorHAnsi" w:hAnsiTheme="minorHAnsi" w:cstheme="minorHAnsi"/>
                              </w:rPr>
                              <w:t xml:space="preserve">) in indicators suggest that specialized schemes are warranted to reduce inequity in the sector.  </w:t>
                            </w:r>
                          </w:p>
                          <w:p w14:paraId="475C9BDF" w14:textId="77777777" w:rsidR="00C64A5B" w:rsidRPr="005803D0" w:rsidRDefault="00C64A5B">
                            <w:pPr>
                              <w:rPr>
                                <w:i/>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2.3pt;height:2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" fillcolor="white [3201]" strokecolor="#4f81bd [3204]" strokeweight="2pt">
                <v:textbox>
                  <w:txbxContent>
                    <w:p w:rsidR="003E2B17" w:rsidRPr="005B0E72" w:rsidRDefault="003E2B17">
                      <w:pPr>
                        <w:rPr>
                          <w:rFonts w:asciiTheme="minorHAnsi" w:hAnsiTheme="minorHAnsi" w:cstheme="minorHAnsi"/>
                        </w:rPr>
                      </w:pPr>
                      <w:r>
                        <w:rPr>
                          <w:rFonts w:asciiTheme="minorHAnsi" w:hAnsiTheme="minorHAnsi" w:cstheme="minorHAnsi"/>
                          <w:b/>
                        </w:rPr>
                        <w:t xml:space="preserve">Box 1: </w:t>
                      </w:r>
                      <w:r w:rsidRPr="005B0E72">
                        <w:rPr>
                          <w:rFonts w:asciiTheme="minorHAnsi" w:hAnsiTheme="minorHAnsi" w:cstheme="minorHAnsi"/>
                          <w:b/>
                        </w:rPr>
                        <w:t>Requested areas of enquiry</w:t>
                      </w:r>
                    </w:p>
                    <w:p w:rsidR="003E2B17" w:rsidRPr="005B0E72" w:rsidRDefault="003E2B17">
                      <w:pPr>
                        <w:rPr>
                          <w:rFonts w:asciiTheme="minorHAnsi" w:hAnsiTheme="minorHAnsi" w:cstheme="minorHAnsi"/>
                        </w:rPr>
                      </w:pPr>
                      <w:r w:rsidRPr="005B0E72">
                        <w:rPr>
                          <w:rFonts w:asciiTheme="minorHAnsi" w:hAnsiTheme="minorHAnsi" w:cstheme="minorHAnsi"/>
                          <w:i/>
                        </w:rPr>
                        <w:t>Teacher performance and incentives:</w:t>
                      </w:r>
                      <w:r w:rsidRPr="005B0E72">
                        <w:rPr>
                          <w:rFonts w:asciiTheme="minorHAnsi" w:hAnsiTheme="minorHAnsi" w:cstheme="minorHAnsi"/>
                        </w:rPr>
                        <w:t xml:space="preserve"> The national government’s teacher certification policy has emphasized teacher welfare rather than quality and has suffered from a lack of consistency and quality control in implementation.  </w:t>
                      </w:r>
                    </w:p>
                    <w:p w:rsidR="003E2B17" w:rsidRPr="005B0E72" w:rsidRDefault="003E2B17">
                      <w:pPr>
                        <w:rPr>
                          <w:rFonts w:asciiTheme="minorHAnsi" w:hAnsiTheme="minorHAnsi" w:cstheme="minorHAnsi"/>
                        </w:rPr>
                      </w:pPr>
                      <w:r w:rsidRPr="005B0E72">
                        <w:rPr>
                          <w:rFonts w:asciiTheme="minorHAnsi" w:hAnsiTheme="minorHAnsi" w:cstheme="minorHAnsi"/>
                          <w:i/>
                        </w:rPr>
                        <w:t>Student assessment</w:t>
                      </w:r>
                      <w:r w:rsidRPr="005B0E72">
                        <w:rPr>
                          <w:rFonts w:asciiTheme="minorHAnsi" w:hAnsiTheme="minorHAnsi" w:cstheme="minorHAnsi"/>
                        </w:rPr>
                        <w:t>: Indonesia currently relies predominantly on high-stakes testing, which fails to deliver many positive outcomes of student assessment systems such as feedback and continual improvement.  High quality, formative classroom assessment activities are one of the least expensive innovations in education reform and have been linked with better learning outcomes.  Ensuring teachers, principals, and district government can interpret and respond to findings is critical.</w:t>
                      </w:r>
                    </w:p>
                    <w:p w:rsidR="003E2B17" w:rsidRPr="005B0E72" w:rsidRDefault="003E2B17">
                      <w:pPr>
                        <w:rPr>
                          <w:rFonts w:asciiTheme="minorHAnsi" w:hAnsiTheme="minorHAnsi" w:cstheme="minorHAnsi"/>
                        </w:rPr>
                      </w:pPr>
                      <w:r w:rsidRPr="005B0E72">
                        <w:rPr>
                          <w:rFonts w:asciiTheme="minorHAnsi" w:hAnsiTheme="minorHAnsi" w:cstheme="minorHAnsi"/>
                          <w:i/>
                        </w:rPr>
                        <w:t>Reducing inequality in service delivery in rural and remote areas:</w:t>
                      </w:r>
                      <w:r w:rsidRPr="005B0E72">
                        <w:rPr>
                          <w:rFonts w:asciiTheme="minorHAnsi" w:hAnsiTheme="minorHAnsi" w:cstheme="minorHAnsi"/>
                        </w:rPr>
                        <w:t xml:space="preserve"> delivering services to disadvantaged communities, remote communities, or children from backgrounds of intergenerational poverty is challenging and costly.  In terms of</w:t>
                      </w:r>
                      <w:r>
                        <w:rPr>
                          <w:rFonts w:asciiTheme="minorHAnsi" w:hAnsiTheme="minorHAnsi" w:cstheme="minorHAnsi"/>
                        </w:rPr>
                        <w:t xml:space="preserve"> participation</w:t>
                      </w:r>
                      <w:r w:rsidRPr="005B0E72">
                        <w:rPr>
                          <w:rFonts w:asciiTheme="minorHAnsi" w:hAnsiTheme="minorHAnsi" w:cstheme="minorHAnsi"/>
                        </w:rPr>
                        <w:t>, districts and schools need to better understand where the out</w:t>
                      </w:r>
                      <w:r w:rsidRPr="005B0E72">
                        <w:rPr>
                          <w:rFonts w:asciiTheme="minorHAnsi" w:hAnsiTheme="minorHAnsi" w:cstheme="minorHAnsi"/>
                        </w:rPr>
                        <w:noBreakHyphen/>
                        <w:t>of</w:t>
                      </w:r>
                      <w:r w:rsidRPr="005B0E72">
                        <w:rPr>
                          <w:rFonts w:asciiTheme="minorHAnsi" w:hAnsiTheme="minorHAnsi" w:cstheme="minorHAnsi"/>
                        </w:rPr>
                        <w:noBreakHyphen/>
                        <w:t xml:space="preserve">school children are and what barriers to </w:t>
                      </w:r>
                      <w:r>
                        <w:rPr>
                          <w:rFonts w:asciiTheme="minorHAnsi" w:hAnsiTheme="minorHAnsi" w:cstheme="minorHAnsi"/>
                        </w:rPr>
                        <w:t>participation</w:t>
                      </w:r>
                      <w:r w:rsidRPr="005B0E72">
                        <w:rPr>
                          <w:rFonts w:asciiTheme="minorHAnsi" w:hAnsiTheme="minorHAnsi" w:cstheme="minorHAnsi"/>
                        </w:rPr>
                        <w:t xml:space="preserve"> exist, so that better targeted schemes can be implemented.  With regards to quality, available data on variation (urban-rural, by wealth quintiles etc</w:t>
                      </w:r>
                      <w:r>
                        <w:rPr>
                          <w:rFonts w:asciiTheme="minorHAnsi" w:hAnsiTheme="minorHAnsi" w:cstheme="minorHAnsi"/>
                        </w:rPr>
                        <w:t>.</w:t>
                      </w:r>
                      <w:r w:rsidRPr="005B0E72">
                        <w:rPr>
                          <w:rFonts w:asciiTheme="minorHAnsi" w:hAnsiTheme="minorHAnsi" w:cstheme="minorHAnsi"/>
                        </w:rPr>
                        <w:t xml:space="preserve">) in indicators suggest that specialized schemes are warranted to reduce inequity in the sector.  </w:t>
                      </w:r>
                    </w:p>
                    <w:p w:rsidR="003E2B17" w:rsidRPr="005803D0" w:rsidRDefault="003E2B17">
                      <w:pPr>
                        <w:rPr>
                          <w:i/>
                        </w:rPr>
                      </w:pPr>
                    </w:p>
                  </w:txbxContent>
                </v:textbox>
                <w10:anchorlock/>
              </v:shape>
            </w:pict>
          </mc:Fallback>
        </mc:AlternateContent>
      </w:r>
    </w:p>
    <w:p w14:paraId="475C9A42" w14:textId="77777777" w:rsidR="00053994" w:rsidRPr="007C0B4F" w:rsidRDefault="00245C01" w:rsidP="00053994">
      <w:pPr>
        <w:pStyle w:val="Heading2"/>
        <w:rPr>
          <w:rFonts w:cstheme="minorHAnsi"/>
          <w:lang w:val="en-AU"/>
        </w:rPr>
      </w:pPr>
      <w:bookmarkStart w:id="28" w:name="_Toc361407145"/>
      <w:bookmarkStart w:id="29" w:name="_Toc365366037"/>
      <w:r w:rsidRPr="007C0B4F">
        <w:rPr>
          <w:rFonts w:cstheme="minorHAnsi"/>
          <w:lang w:val="en-AU"/>
        </w:rPr>
        <w:lastRenderedPageBreak/>
        <w:t>The learning a</w:t>
      </w:r>
      <w:r w:rsidR="00053994" w:rsidRPr="007C0B4F">
        <w:rPr>
          <w:rFonts w:cstheme="minorHAnsi"/>
          <w:lang w:val="en-AU"/>
        </w:rPr>
        <w:t>genda</w:t>
      </w:r>
      <w:bookmarkEnd w:id="28"/>
      <w:bookmarkEnd w:id="29"/>
      <w:r w:rsidR="00053994" w:rsidRPr="007C0B4F">
        <w:rPr>
          <w:rFonts w:cstheme="minorHAnsi"/>
          <w:lang w:val="en-AU"/>
        </w:rPr>
        <w:t xml:space="preserve"> </w:t>
      </w:r>
    </w:p>
    <w:p w14:paraId="475C9A43" w14:textId="77777777" w:rsidR="00A5417A" w:rsidRPr="007C0B4F" w:rsidRDefault="00A5417A" w:rsidP="00740211">
      <w:pPr>
        <w:pStyle w:val="Heading3"/>
        <w:numPr>
          <w:ilvl w:val="0"/>
          <w:numId w:val="0"/>
        </w:numPr>
        <w:ind w:left="431"/>
        <w:rPr>
          <w:b w:val="0"/>
          <w:i/>
          <w:u w:val="single"/>
        </w:rPr>
      </w:pPr>
      <w:bookmarkStart w:id="30" w:name="_Toc361407146"/>
      <w:bookmarkStart w:id="31" w:name="_Toc365366038"/>
      <w:r w:rsidRPr="007C0B4F">
        <w:rPr>
          <w:b w:val="0"/>
          <w:i/>
          <w:u w:val="single"/>
        </w:rPr>
        <w:t>Gain</w:t>
      </w:r>
      <w:r w:rsidR="0097610B" w:rsidRPr="007C0B4F">
        <w:rPr>
          <w:b w:val="0"/>
          <w:i/>
          <w:u w:val="single"/>
        </w:rPr>
        <w:t>ing</w:t>
      </w:r>
      <w:r w:rsidRPr="007C0B4F">
        <w:rPr>
          <w:b w:val="0"/>
          <w:i/>
          <w:u w:val="single"/>
        </w:rPr>
        <w:t xml:space="preserve"> </w:t>
      </w:r>
      <w:r w:rsidR="00B32B1C" w:rsidRPr="007C0B4F">
        <w:rPr>
          <w:b w:val="0"/>
          <w:i/>
          <w:u w:val="single"/>
        </w:rPr>
        <w:t>and applying new k</w:t>
      </w:r>
      <w:r w:rsidRPr="007C0B4F">
        <w:rPr>
          <w:b w:val="0"/>
          <w:i/>
          <w:u w:val="single"/>
        </w:rPr>
        <w:t>nowledge</w:t>
      </w:r>
      <w:bookmarkEnd w:id="30"/>
      <w:bookmarkEnd w:id="31"/>
      <w:r w:rsidRPr="007C0B4F">
        <w:rPr>
          <w:b w:val="0"/>
          <w:i/>
          <w:u w:val="single"/>
        </w:rPr>
        <w:t xml:space="preserve"> </w:t>
      </w:r>
    </w:p>
    <w:p w14:paraId="475C9A44" w14:textId="77777777" w:rsidR="00A5417A" w:rsidRPr="007C0B4F" w:rsidRDefault="00A5417A" w:rsidP="00A5417A">
      <w:pPr>
        <w:rPr>
          <w:rFonts w:asciiTheme="minorHAnsi" w:hAnsiTheme="minorHAnsi" w:cstheme="minorHAnsi"/>
          <w:lang w:val="en-GB"/>
        </w:rPr>
      </w:pPr>
      <w:r w:rsidRPr="007C0B4F">
        <w:rPr>
          <w:rFonts w:asciiTheme="minorHAnsi" w:hAnsiTheme="minorHAnsi" w:cstheme="minorHAnsi"/>
          <w:b/>
          <w:lang w:val="en-GB"/>
        </w:rPr>
        <w:t xml:space="preserve">Five principles </w:t>
      </w:r>
      <w:r w:rsidR="0097610B" w:rsidRPr="007C0B4F">
        <w:rPr>
          <w:rFonts w:asciiTheme="minorHAnsi" w:hAnsiTheme="minorHAnsi" w:cstheme="minorHAnsi"/>
          <w:b/>
          <w:lang w:val="en-GB"/>
        </w:rPr>
        <w:t xml:space="preserve">will </w:t>
      </w:r>
      <w:r w:rsidRPr="007C0B4F">
        <w:rPr>
          <w:rFonts w:asciiTheme="minorHAnsi" w:hAnsiTheme="minorHAnsi" w:cstheme="minorHAnsi"/>
          <w:b/>
          <w:lang w:val="en-GB"/>
        </w:rPr>
        <w:t>govern knowledge</w:t>
      </w:r>
      <w:r w:rsidR="0097610B" w:rsidRPr="007C0B4F">
        <w:rPr>
          <w:rFonts w:asciiTheme="minorHAnsi" w:hAnsiTheme="minorHAnsi" w:cstheme="minorHAnsi"/>
          <w:b/>
          <w:lang w:val="en-GB"/>
        </w:rPr>
        <w:t xml:space="preserve"> creation </w:t>
      </w:r>
      <w:r w:rsidRPr="007C0B4F">
        <w:rPr>
          <w:rFonts w:asciiTheme="minorHAnsi" w:hAnsiTheme="minorHAnsi" w:cstheme="minorHAnsi"/>
          <w:b/>
          <w:lang w:val="en-GB"/>
        </w:rPr>
        <w:t>through the Facility</w:t>
      </w:r>
      <w:r w:rsidR="009D4810" w:rsidRPr="007C0B4F">
        <w:rPr>
          <w:rFonts w:asciiTheme="minorHAnsi" w:hAnsiTheme="minorHAnsi" w:cstheme="minorHAnsi"/>
          <w:lang w:val="en-GB"/>
        </w:rPr>
        <w:t>.  The Facility’</w:t>
      </w:r>
      <w:r w:rsidRPr="007C0B4F">
        <w:rPr>
          <w:rFonts w:asciiTheme="minorHAnsi" w:hAnsiTheme="minorHAnsi" w:cstheme="minorHAnsi"/>
          <w:lang w:val="en-GB"/>
        </w:rPr>
        <w:t>s learning strategy requires an upfront acceptance by key stakeholders of five quality related considerations:</w:t>
      </w:r>
    </w:p>
    <w:p w14:paraId="475C9A45" w14:textId="77777777" w:rsidR="00A5417A" w:rsidRPr="007C0B4F" w:rsidRDefault="00A5417A" w:rsidP="00720B96">
      <w:pPr>
        <w:numPr>
          <w:ilvl w:val="0"/>
          <w:numId w:val="8"/>
        </w:numPr>
        <w:rPr>
          <w:rFonts w:asciiTheme="minorHAnsi" w:hAnsiTheme="minorHAnsi" w:cstheme="minorHAnsi"/>
          <w:lang w:val="en-GB"/>
        </w:rPr>
      </w:pPr>
      <w:r w:rsidRPr="007C0B4F">
        <w:rPr>
          <w:rFonts w:asciiTheme="minorHAnsi" w:hAnsiTheme="minorHAnsi" w:cstheme="minorHAnsi"/>
          <w:b/>
          <w:lang w:val="en-GB"/>
        </w:rPr>
        <w:t>Expectations must be realistic</w:t>
      </w:r>
      <w:r w:rsidRPr="007C0B4F">
        <w:rPr>
          <w:rFonts w:asciiTheme="minorHAnsi" w:hAnsiTheme="minorHAnsi" w:cstheme="minorHAnsi"/>
          <w:lang w:val="en-GB"/>
        </w:rPr>
        <w:t xml:space="preserve">. Assessing measurable/verifiable changes in the quality of education, namely learning outcomes for children, takes time.  There will be very few, if any, opportunities for rapid results to be demonstrated.  The need for the Facility to also monitor process changes (e.g. intermediate results, such as changes in teacher practices) that occur as a result of pilot implementation may </w:t>
      </w:r>
      <w:r w:rsidR="00B32B1C" w:rsidRPr="007C0B4F">
        <w:rPr>
          <w:rFonts w:asciiTheme="minorHAnsi" w:hAnsiTheme="minorHAnsi" w:cstheme="minorHAnsi"/>
          <w:lang w:val="en-GB"/>
        </w:rPr>
        <w:t>also</w:t>
      </w:r>
      <w:r w:rsidRPr="007C0B4F">
        <w:rPr>
          <w:rFonts w:asciiTheme="minorHAnsi" w:hAnsiTheme="minorHAnsi" w:cstheme="minorHAnsi"/>
          <w:lang w:val="en-GB"/>
        </w:rPr>
        <w:t xml:space="preserve"> delay the possible application of findings/new knowledge  </w:t>
      </w:r>
    </w:p>
    <w:p w14:paraId="475C9A46" w14:textId="77777777" w:rsidR="00A5417A" w:rsidRPr="007C0B4F" w:rsidRDefault="00A5417A" w:rsidP="00720B96">
      <w:pPr>
        <w:numPr>
          <w:ilvl w:val="0"/>
          <w:numId w:val="8"/>
        </w:numPr>
        <w:rPr>
          <w:rFonts w:asciiTheme="minorHAnsi" w:hAnsiTheme="minorHAnsi" w:cstheme="minorHAnsi"/>
          <w:lang w:val="en-GB"/>
        </w:rPr>
      </w:pPr>
      <w:r w:rsidRPr="007C0B4F">
        <w:rPr>
          <w:rFonts w:asciiTheme="minorHAnsi" w:hAnsiTheme="minorHAnsi" w:cstheme="minorHAnsi"/>
          <w:b/>
          <w:lang w:val="en-GB"/>
        </w:rPr>
        <w:t>Pilots must be adequately designed</w:t>
      </w:r>
      <w:r w:rsidRPr="007C0B4F">
        <w:rPr>
          <w:rFonts w:asciiTheme="minorHAnsi" w:hAnsiTheme="minorHAnsi" w:cstheme="minorHAnsi"/>
          <w:lang w:val="en-GB"/>
        </w:rPr>
        <w:t xml:space="preserve">. The quality of the design of each pilot will significantly determine the quality of M&amp;E and learning that is possible.  The action research methods and tools must be adequately robust, including establishment of clear baselines, theories of change, and appropriate indicators for measuring change.  Robust impact assessment methodologies, where appropriate, must be considered as the pilot is being designed.  There will be value in ensuring that all designs are peer reviewed. </w:t>
      </w:r>
    </w:p>
    <w:p w14:paraId="475C9A47" w14:textId="77777777" w:rsidR="00A5417A" w:rsidRPr="007C0B4F" w:rsidRDefault="00A5417A" w:rsidP="00720B96">
      <w:pPr>
        <w:numPr>
          <w:ilvl w:val="0"/>
          <w:numId w:val="8"/>
        </w:numPr>
        <w:rPr>
          <w:rFonts w:asciiTheme="minorHAnsi" w:hAnsiTheme="minorHAnsi" w:cstheme="minorHAnsi"/>
          <w:lang w:val="en-GB"/>
        </w:rPr>
      </w:pPr>
      <w:r w:rsidRPr="007C0B4F">
        <w:rPr>
          <w:rFonts w:asciiTheme="minorHAnsi" w:hAnsiTheme="minorHAnsi" w:cstheme="minorHAnsi"/>
          <w:b/>
          <w:lang w:val="en-GB"/>
        </w:rPr>
        <w:t>Local capacity must be understood</w:t>
      </w:r>
      <w:r w:rsidRPr="007C0B4F">
        <w:rPr>
          <w:rFonts w:asciiTheme="minorHAnsi" w:hAnsiTheme="minorHAnsi" w:cstheme="minorHAnsi"/>
          <w:lang w:val="en-GB"/>
        </w:rPr>
        <w:t xml:space="preserve">.  While adequate rigour in research methods is critical to the validity of findings, the Facility must also take account of local capacities to participate in the work and understand the results being achieved (or not) and the lessons learned.  In addition to being robust, monitoring and evaluation tools must also be practical and relevant in the eyes of key local partners.  Partners must be engaged in the M&amp;E process if they are to </w:t>
      </w:r>
      <w:r w:rsidR="009D4810" w:rsidRPr="007C0B4F">
        <w:rPr>
          <w:rFonts w:asciiTheme="minorHAnsi" w:hAnsiTheme="minorHAnsi" w:cstheme="minorHAnsi"/>
          <w:lang w:val="en-GB"/>
        </w:rPr>
        <w:t xml:space="preserve">be </w:t>
      </w:r>
      <w:r w:rsidRPr="007C0B4F">
        <w:rPr>
          <w:rFonts w:asciiTheme="minorHAnsi" w:hAnsiTheme="minorHAnsi" w:cstheme="minorHAnsi"/>
          <w:lang w:val="en-GB"/>
        </w:rPr>
        <w:t xml:space="preserve">part of the learning agenda.  </w:t>
      </w:r>
    </w:p>
    <w:p w14:paraId="475C9A48" w14:textId="77777777" w:rsidR="00A5417A" w:rsidRPr="007C0B4F" w:rsidRDefault="00A5417A" w:rsidP="00720B96">
      <w:pPr>
        <w:numPr>
          <w:ilvl w:val="0"/>
          <w:numId w:val="8"/>
        </w:numPr>
        <w:rPr>
          <w:rFonts w:asciiTheme="minorHAnsi" w:hAnsiTheme="minorHAnsi" w:cstheme="minorHAnsi"/>
          <w:lang w:val="en-GB"/>
        </w:rPr>
      </w:pPr>
      <w:r w:rsidRPr="007C0B4F">
        <w:rPr>
          <w:rFonts w:asciiTheme="minorHAnsi" w:hAnsiTheme="minorHAnsi" w:cstheme="minorHAnsi"/>
          <w:b/>
          <w:lang w:val="en-GB"/>
        </w:rPr>
        <w:t>Appropriate analys</w:t>
      </w:r>
      <w:r w:rsidR="00B32B1C" w:rsidRPr="007C0B4F">
        <w:rPr>
          <w:rFonts w:asciiTheme="minorHAnsi" w:hAnsiTheme="minorHAnsi" w:cstheme="minorHAnsi"/>
          <w:b/>
          <w:lang w:val="en-GB"/>
        </w:rPr>
        <w:t xml:space="preserve">is is </w:t>
      </w:r>
      <w:r w:rsidRPr="007C0B4F">
        <w:rPr>
          <w:rFonts w:asciiTheme="minorHAnsi" w:hAnsiTheme="minorHAnsi" w:cstheme="minorHAnsi"/>
          <w:b/>
          <w:lang w:val="en-GB"/>
        </w:rPr>
        <w:t>essential</w:t>
      </w:r>
      <w:r w:rsidRPr="007C0B4F">
        <w:rPr>
          <w:rFonts w:asciiTheme="minorHAnsi" w:hAnsiTheme="minorHAnsi" w:cstheme="minorHAnsi"/>
          <w:lang w:val="en-GB"/>
        </w:rPr>
        <w:t xml:space="preserve">.  The Facility must be able to undertake sophisticated analysis to help assess and verify higher level impacts or complex change processes.  </w:t>
      </w:r>
    </w:p>
    <w:p w14:paraId="475C9A49" w14:textId="77777777" w:rsidR="00A5417A" w:rsidRPr="007C0B4F" w:rsidRDefault="00A5417A" w:rsidP="00720B96">
      <w:pPr>
        <w:numPr>
          <w:ilvl w:val="0"/>
          <w:numId w:val="8"/>
        </w:numPr>
        <w:rPr>
          <w:rFonts w:asciiTheme="minorHAnsi" w:hAnsiTheme="minorHAnsi" w:cstheme="minorHAnsi"/>
          <w:lang w:val="en-GB"/>
        </w:rPr>
      </w:pPr>
      <w:r w:rsidRPr="007C0B4F">
        <w:rPr>
          <w:rFonts w:asciiTheme="minorHAnsi" w:hAnsiTheme="minorHAnsi" w:cstheme="minorHAnsi"/>
          <w:b/>
          <w:lang w:val="en-GB"/>
        </w:rPr>
        <w:t>Actual and potential beneficiaries must be identified</w:t>
      </w:r>
      <w:r w:rsidRPr="007C0B4F">
        <w:rPr>
          <w:rFonts w:asciiTheme="minorHAnsi" w:hAnsiTheme="minorHAnsi" w:cstheme="minorHAnsi"/>
          <w:lang w:val="en-GB"/>
        </w:rPr>
        <w:t xml:space="preserve">.  The Facility must help key stakeholders to understand who is or is not benefiting most from improved practices/ innovations.  Attention to gender equality and inclusiveness must be a core element of all monitoring and evaluation work.  </w:t>
      </w:r>
    </w:p>
    <w:p w14:paraId="475C9A4A" w14:textId="77777777" w:rsidR="00053994" w:rsidRPr="007C0B4F" w:rsidRDefault="005B414C" w:rsidP="00053994">
      <w:pPr>
        <w:rPr>
          <w:rFonts w:asciiTheme="minorHAnsi" w:hAnsiTheme="minorHAnsi" w:cstheme="minorHAnsi"/>
          <w:lang w:val="en-GB"/>
        </w:rPr>
      </w:pPr>
      <w:r w:rsidRPr="007C0B4F">
        <w:rPr>
          <w:rFonts w:asciiTheme="minorHAnsi" w:hAnsiTheme="minorHAnsi" w:cstheme="minorHAnsi"/>
          <w:b/>
          <w:lang w:val="en-GB"/>
        </w:rPr>
        <w:t xml:space="preserve">Verifiable results and a tight feedback loop for lessons learned will be essential if the </w:t>
      </w:r>
      <w:r w:rsidR="00053994" w:rsidRPr="007C0B4F">
        <w:rPr>
          <w:rFonts w:asciiTheme="minorHAnsi" w:hAnsiTheme="minorHAnsi" w:cstheme="minorHAnsi"/>
          <w:b/>
          <w:lang w:val="en-GB"/>
        </w:rPr>
        <w:t xml:space="preserve">Facility </w:t>
      </w:r>
      <w:r w:rsidRPr="007C0B4F">
        <w:rPr>
          <w:rFonts w:asciiTheme="minorHAnsi" w:hAnsiTheme="minorHAnsi" w:cstheme="minorHAnsi"/>
          <w:b/>
          <w:lang w:val="en-GB"/>
        </w:rPr>
        <w:t xml:space="preserve">is </w:t>
      </w:r>
      <w:r w:rsidR="00053994" w:rsidRPr="007C0B4F">
        <w:rPr>
          <w:rFonts w:asciiTheme="minorHAnsi" w:hAnsiTheme="minorHAnsi" w:cstheme="minorHAnsi"/>
          <w:b/>
          <w:lang w:val="en-GB"/>
        </w:rPr>
        <w:t xml:space="preserve">to demonstrate its </w:t>
      </w:r>
      <w:r w:rsidRPr="007C0B4F">
        <w:rPr>
          <w:rFonts w:asciiTheme="minorHAnsi" w:hAnsiTheme="minorHAnsi" w:cstheme="minorHAnsi"/>
          <w:b/>
          <w:lang w:val="en-GB"/>
        </w:rPr>
        <w:t xml:space="preserve">capacity to </w:t>
      </w:r>
      <w:r w:rsidR="00053994" w:rsidRPr="007C0B4F">
        <w:rPr>
          <w:rFonts w:asciiTheme="minorHAnsi" w:hAnsiTheme="minorHAnsi" w:cstheme="minorHAnsi"/>
          <w:b/>
          <w:lang w:val="en-GB"/>
        </w:rPr>
        <w:t>contribut</w:t>
      </w:r>
      <w:r w:rsidRPr="007C0B4F">
        <w:rPr>
          <w:rFonts w:asciiTheme="minorHAnsi" w:hAnsiTheme="minorHAnsi" w:cstheme="minorHAnsi"/>
          <w:b/>
          <w:lang w:val="en-GB"/>
        </w:rPr>
        <w:t>e</w:t>
      </w:r>
      <w:r w:rsidR="00053994" w:rsidRPr="007C0B4F">
        <w:rPr>
          <w:rFonts w:asciiTheme="minorHAnsi" w:hAnsiTheme="minorHAnsi" w:cstheme="minorHAnsi"/>
          <w:b/>
          <w:lang w:val="en-GB"/>
        </w:rPr>
        <w:t xml:space="preserve"> to improving the quality of education in schools and to identify</w:t>
      </w:r>
      <w:r w:rsidRPr="007C0B4F">
        <w:rPr>
          <w:rFonts w:asciiTheme="minorHAnsi" w:hAnsiTheme="minorHAnsi" w:cstheme="minorHAnsi"/>
          <w:b/>
          <w:lang w:val="en-GB"/>
        </w:rPr>
        <w:t xml:space="preserve"> </w:t>
      </w:r>
      <w:r w:rsidR="00053994" w:rsidRPr="007C0B4F">
        <w:rPr>
          <w:rFonts w:asciiTheme="minorHAnsi" w:hAnsiTheme="minorHAnsi" w:cstheme="minorHAnsi"/>
          <w:b/>
          <w:lang w:val="en-GB"/>
        </w:rPr>
        <w:t>options for possible replication and scale-up of innovations</w:t>
      </w:r>
      <w:r w:rsidR="00053994" w:rsidRPr="007C0B4F">
        <w:rPr>
          <w:rFonts w:asciiTheme="minorHAnsi" w:hAnsiTheme="minorHAnsi" w:cstheme="minorHAnsi"/>
          <w:lang w:val="en-GB"/>
        </w:rPr>
        <w:t xml:space="preserve">.  In order to </w:t>
      </w:r>
      <w:r w:rsidRPr="007C0B4F">
        <w:rPr>
          <w:rFonts w:asciiTheme="minorHAnsi" w:hAnsiTheme="minorHAnsi" w:cstheme="minorHAnsi"/>
          <w:lang w:val="en-GB"/>
        </w:rPr>
        <w:t xml:space="preserve">meet this requirement </w:t>
      </w:r>
      <w:r w:rsidR="00053994" w:rsidRPr="007C0B4F">
        <w:rPr>
          <w:rFonts w:asciiTheme="minorHAnsi" w:hAnsiTheme="minorHAnsi" w:cstheme="minorHAnsi"/>
          <w:lang w:val="en-GB"/>
        </w:rPr>
        <w:t xml:space="preserve">the Facility will need to establish </w:t>
      </w:r>
      <w:r w:rsidRPr="007C0B4F">
        <w:rPr>
          <w:rFonts w:asciiTheme="minorHAnsi" w:hAnsiTheme="minorHAnsi" w:cstheme="minorHAnsi"/>
          <w:lang w:val="en-GB"/>
        </w:rPr>
        <w:t xml:space="preserve">assessment </w:t>
      </w:r>
      <w:r w:rsidR="00053994" w:rsidRPr="007C0B4F">
        <w:rPr>
          <w:rFonts w:asciiTheme="minorHAnsi" w:hAnsiTheme="minorHAnsi" w:cstheme="minorHAnsi"/>
          <w:lang w:val="en-GB"/>
        </w:rPr>
        <w:t>mechanisms and support learning</w:t>
      </w:r>
      <w:r w:rsidR="00C133C5" w:rsidRPr="007C0B4F">
        <w:rPr>
          <w:rFonts w:asciiTheme="minorHAnsi" w:hAnsiTheme="minorHAnsi" w:cstheme="minorHAnsi"/>
          <w:lang w:val="en-GB"/>
        </w:rPr>
        <w:t xml:space="preserve"> and engagement</w:t>
      </w:r>
      <w:r w:rsidR="00053994" w:rsidRPr="007C0B4F">
        <w:rPr>
          <w:rFonts w:asciiTheme="minorHAnsi" w:hAnsiTheme="minorHAnsi" w:cstheme="minorHAnsi"/>
          <w:lang w:val="en-GB"/>
        </w:rPr>
        <w:t xml:space="preserve"> strategies at various levels.  For example: </w:t>
      </w:r>
    </w:p>
    <w:p w14:paraId="475C9A4B" w14:textId="77777777" w:rsidR="00053994" w:rsidRPr="007C0B4F" w:rsidRDefault="00053994" w:rsidP="00720B96">
      <w:pPr>
        <w:pStyle w:val="ListParagraph"/>
        <w:numPr>
          <w:ilvl w:val="0"/>
          <w:numId w:val="14"/>
        </w:numPr>
        <w:rPr>
          <w:rFonts w:asciiTheme="minorHAnsi" w:hAnsiTheme="minorHAnsi" w:cstheme="minorHAnsi"/>
        </w:rPr>
      </w:pPr>
      <w:r w:rsidRPr="007C0B4F">
        <w:rPr>
          <w:rFonts w:asciiTheme="minorHAnsi" w:hAnsiTheme="minorHAnsi" w:cstheme="minorHAnsi"/>
          <w:b/>
          <w:i/>
        </w:rPr>
        <w:t>Individual pilot level</w:t>
      </w:r>
      <w:r w:rsidRPr="007C0B4F">
        <w:rPr>
          <w:rFonts w:asciiTheme="minorHAnsi" w:hAnsiTheme="minorHAnsi" w:cstheme="minorHAnsi"/>
        </w:rPr>
        <w:t xml:space="preserve">:  The Facility will ensure that each pilot is well designed, and that it uses appropriate data collection, recording and analysis methods and tools, including the establishment of clear baselines against which any improvements in the quality of education and learning outcomes can be assessed.  The development and implementation of each pilot will be conducted collaboratively with key partners (including participating schools) so that they learn from the process and take ownership of the results.  For a selection of individual pilot activities, or clusters of similar activities in different locations, rigorous impact evaluations will be conducted to help ensure the validity and </w:t>
      </w:r>
      <w:r w:rsidR="00FD1D6B" w:rsidRPr="007C0B4F">
        <w:rPr>
          <w:rFonts w:asciiTheme="minorHAnsi" w:hAnsiTheme="minorHAnsi" w:cstheme="minorHAnsi"/>
        </w:rPr>
        <w:t>utility</w:t>
      </w:r>
      <w:r w:rsidRPr="007C0B4F">
        <w:rPr>
          <w:rFonts w:asciiTheme="minorHAnsi" w:hAnsiTheme="minorHAnsi" w:cstheme="minorHAnsi"/>
        </w:rPr>
        <w:t xml:space="preserve"> of results.  </w:t>
      </w:r>
    </w:p>
    <w:p w14:paraId="475C9A4C" w14:textId="77777777" w:rsidR="00053994" w:rsidRPr="007C0B4F" w:rsidRDefault="00053994" w:rsidP="00720B96">
      <w:pPr>
        <w:pStyle w:val="ListParagraph"/>
        <w:numPr>
          <w:ilvl w:val="0"/>
          <w:numId w:val="14"/>
        </w:numPr>
        <w:rPr>
          <w:rFonts w:asciiTheme="minorHAnsi" w:hAnsiTheme="minorHAnsi" w:cstheme="minorHAnsi"/>
        </w:rPr>
      </w:pPr>
      <w:r w:rsidRPr="007C0B4F">
        <w:rPr>
          <w:rFonts w:asciiTheme="minorHAnsi" w:hAnsiTheme="minorHAnsi" w:cstheme="minorHAnsi"/>
          <w:b/>
          <w:i/>
        </w:rPr>
        <w:t xml:space="preserve">District and </w:t>
      </w:r>
      <w:r w:rsidR="00FB3F41" w:rsidRPr="007C0B4F">
        <w:rPr>
          <w:rFonts w:asciiTheme="minorHAnsi" w:hAnsiTheme="minorHAnsi" w:cstheme="minorHAnsi"/>
          <w:b/>
          <w:i/>
        </w:rPr>
        <w:t>p</w:t>
      </w:r>
      <w:r w:rsidRPr="007C0B4F">
        <w:rPr>
          <w:rFonts w:asciiTheme="minorHAnsi" w:hAnsiTheme="minorHAnsi" w:cstheme="minorHAnsi"/>
          <w:b/>
          <w:i/>
        </w:rPr>
        <w:t>rovincial levels</w:t>
      </w:r>
      <w:r w:rsidR="00FD1D6B" w:rsidRPr="007C0B4F">
        <w:rPr>
          <w:rFonts w:asciiTheme="minorHAnsi" w:hAnsiTheme="minorHAnsi" w:cstheme="minorHAnsi"/>
        </w:rPr>
        <w:t>:  The d</w:t>
      </w:r>
      <w:r w:rsidRPr="007C0B4F">
        <w:rPr>
          <w:rFonts w:asciiTheme="minorHAnsi" w:hAnsiTheme="minorHAnsi" w:cstheme="minorHAnsi"/>
        </w:rPr>
        <w:t xml:space="preserve">istrict and </w:t>
      </w:r>
      <w:r w:rsidR="00FD1D6B" w:rsidRPr="007C0B4F">
        <w:rPr>
          <w:rFonts w:asciiTheme="minorHAnsi" w:hAnsiTheme="minorHAnsi" w:cstheme="minorHAnsi"/>
        </w:rPr>
        <w:t>p</w:t>
      </w:r>
      <w:r w:rsidRPr="007C0B4F">
        <w:rPr>
          <w:rFonts w:asciiTheme="minorHAnsi" w:hAnsiTheme="minorHAnsi" w:cstheme="minorHAnsi"/>
        </w:rPr>
        <w:t xml:space="preserve">rovincial authorities </w:t>
      </w:r>
      <w:r w:rsidR="00B150A8" w:rsidRPr="007C0B4F">
        <w:rPr>
          <w:rFonts w:asciiTheme="minorHAnsi" w:hAnsiTheme="minorHAnsi" w:cstheme="minorHAnsi"/>
        </w:rPr>
        <w:t xml:space="preserve">that partner with </w:t>
      </w:r>
      <w:r w:rsidRPr="007C0B4F">
        <w:rPr>
          <w:rFonts w:asciiTheme="minorHAnsi" w:hAnsiTheme="minorHAnsi" w:cstheme="minorHAnsi"/>
        </w:rPr>
        <w:t xml:space="preserve">the Facility will be engaged in the development of the overall action research agenda within their respective areas, as well as the design of specific pilots.  </w:t>
      </w:r>
      <w:r w:rsidR="00524FEB" w:rsidRPr="007C0B4F">
        <w:rPr>
          <w:rFonts w:asciiTheme="minorHAnsi" w:hAnsiTheme="minorHAnsi" w:cstheme="minorHAnsi"/>
        </w:rPr>
        <w:t>Related i</w:t>
      </w:r>
      <w:r w:rsidRPr="007C0B4F">
        <w:rPr>
          <w:rFonts w:asciiTheme="minorHAnsi" w:hAnsiTheme="minorHAnsi" w:cstheme="minorHAnsi"/>
        </w:rPr>
        <w:t>nformation needs at District and Provincial level will be explicitly incorporated into the Facility’s M&amp;E</w:t>
      </w:r>
      <w:r w:rsidR="00524FEB" w:rsidRPr="007C0B4F">
        <w:rPr>
          <w:rFonts w:asciiTheme="minorHAnsi" w:hAnsiTheme="minorHAnsi" w:cstheme="minorHAnsi"/>
        </w:rPr>
        <w:t xml:space="preserve"> agenda</w:t>
      </w:r>
      <w:r w:rsidRPr="007C0B4F">
        <w:rPr>
          <w:rFonts w:asciiTheme="minorHAnsi" w:hAnsiTheme="minorHAnsi" w:cstheme="minorHAnsi"/>
        </w:rPr>
        <w:t xml:space="preserve">, so that key decision makers are actively engaged in the learning agenda.  It will be important </w:t>
      </w:r>
      <w:r w:rsidR="00524FEB" w:rsidRPr="007C0B4F">
        <w:rPr>
          <w:rFonts w:asciiTheme="minorHAnsi" w:hAnsiTheme="minorHAnsi" w:cstheme="minorHAnsi"/>
        </w:rPr>
        <w:t xml:space="preserve">for </w:t>
      </w:r>
      <w:r w:rsidRPr="007C0B4F">
        <w:rPr>
          <w:rFonts w:asciiTheme="minorHAnsi" w:hAnsiTheme="minorHAnsi" w:cstheme="minorHAnsi"/>
        </w:rPr>
        <w:t xml:space="preserve">the </w:t>
      </w:r>
      <w:r w:rsidRPr="007C0B4F">
        <w:rPr>
          <w:rFonts w:asciiTheme="minorHAnsi" w:hAnsiTheme="minorHAnsi" w:cstheme="minorHAnsi"/>
        </w:rPr>
        <w:lastRenderedPageBreak/>
        <w:t xml:space="preserve">Facility </w:t>
      </w:r>
      <w:r w:rsidR="00524FEB" w:rsidRPr="007C0B4F">
        <w:rPr>
          <w:rFonts w:asciiTheme="minorHAnsi" w:hAnsiTheme="minorHAnsi" w:cstheme="minorHAnsi"/>
        </w:rPr>
        <w:t xml:space="preserve">to </w:t>
      </w:r>
      <w:r w:rsidRPr="007C0B4F">
        <w:rPr>
          <w:rFonts w:asciiTheme="minorHAnsi" w:hAnsiTheme="minorHAnsi" w:cstheme="minorHAnsi"/>
        </w:rPr>
        <w:t>promote opportunities for sharing lessons-learned within Districts, across Districts (within Provinces) as well as between Provinces.  Opportunities for such knowledge sharing would be enhanced through the Facility’s collaboration with</w:t>
      </w:r>
      <w:r w:rsidR="005325AE" w:rsidRPr="007C0B4F">
        <w:rPr>
          <w:rFonts w:asciiTheme="minorHAnsi" w:hAnsiTheme="minorHAnsi" w:cstheme="minorHAnsi"/>
        </w:rPr>
        <w:t xml:space="preserve"> other elements of AusAID’s sub </w:t>
      </w:r>
      <w:r w:rsidRPr="007C0B4F">
        <w:rPr>
          <w:rFonts w:asciiTheme="minorHAnsi" w:hAnsiTheme="minorHAnsi" w:cstheme="minorHAnsi"/>
        </w:rPr>
        <w:t xml:space="preserve">national program, including with such programs as AIPD, which have their own established networks of partners and influence.  Links with AusAID’s support to the Knowledge Sector will also be important. </w:t>
      </w:r>
    </w:p>
    <w:p w14:paraId="475C9A4D" w14:textId="77777777" w:rsidR="00053994" w:rsidRPr="007C0B4F" w:rsidRDefault="00FB3F41" w:rsidP="00720B96">
      <w:pPr>
        <w:pStyle w:val="ListParagraph"/>
        <w:numPr>
          <w:ilvl w:val="0"/>
          <w:numId w:val="14"/>
        </w:numPr>
        <w:rPr>
          <w:rFonts w:asciiTheme="minorHAnsi" w:hAnsiTheme="minorHAnsi" w:cstheme="minorHAnsi"/>
        </w:rPr>
      </w:pPr>
      <w:r w:rsidRPr="007C0B4F">
        <w:rPr>
          <w:rFonts w:asciiTheme="minorHAnsi" w:hAnsiTheme="minorHAnsi" w:cstheme="minorHAnsi"/>
          <w:b/>
          <w:i/>
        </w:rPr>
        <w:t>AusAID and GoI at the n</w:t>
      </w:r>
      <w:r w:rsidR="00053994" w:rsidRPr="007C0B4F">
        <w:rPr>
          <w:rFonts w:asciiTheme="minorHAnsi" w:hAnsiTheme="minorHAnsi" w:cstheme="minorHAnsi"/>
          <w:b/>
          <w:i/>
        </w:rPr>
        <w:t>ational level</w:t>
      </w:r>
      <w:r w:rsidR="00053994" w:rsidRPr="007C0B4F">
        <w:rPr>
          <w:rFonts w:asciiTheme="minorHAnsi" w:hAnsiTheme="minorHAnsi" w:cstheme="minorHAnsi"/>
        </w:rPr>
        <w:t xml:space="preserve">:  In order to support GoI national-level policy making, as well as AusAID’s policy dialogue with GoI on how best to improve the quality of basic education in schools, the Facility will periodically report to national level stakeholders on the range of results being achieved and lessons being learned across the Facility’s portfolio of work.  The Facility will do this by presenting AusAID with clear information, in appropriate formats/media, that can then be used by AusAID to inform its policy dialogue with key GoI partners.  The Facility’s reporting to AusAID will also have a specific focus on helping to inform the design and implementation of other elements of the Australian aid program to the education sector.  </w:t>
      </w:r>
    </w:p>
    <w:p w14:paraId="475C9A4E" w14:textId="77777777" w:rsidR="00FB3F41" w:rsidRPr="007C0B4F" w:rsidRDefault="00FB3F41" w:rsidP="00740211">
      <w:pPr>
        <w:pStyle w:val="Heading3"/>
        <w:numPr>
          <w:ilvl w:val="0"/>
          <w:numId w:val="0"/>
        </w:numPr>
        <w:ind w:left="431"/>
        <w:rPr>
          <w:b w:val="0"/>
          <w:i/>
          <w:u w:val="single"/>
        </w:rPr>
      </w:pPr>
      <w:bookmarkStart w:id="32" w:name="_Toc361407148"/>
      <w:bookmarkStart w:id="33" w:name="_Toc365366039"/>
      <w:r w:rsidRPr="007C0B4F">
        <w:rPr>
          <w:b w:val="0"/>
          <w:i/>
          <w:u w:val="single"/>
        </w:rPr>
        <w:t>Facility Monitoring and Evaluation</w:t>
      </w:r>
      <w:bookmarkEnd w:id="32"/>
      <w:bookmarkEnd w:id="33"/>
    </w:p>
    <w:p w14:paraId="475C9A4F" w14:textId="77777777" w:rsidR="00283420" w:rsidRPr="007C0B4F" w:rsidRDefault="00FB3F41" w:rsidP="007E5EEE">
      <w:pPr>
        <w:rPr>
          <w:rFonts w:asciiTheme="minorHAnsi" w:hAnsiTheme="minorHAnsi" w:cstheme="minorHAnsi"/>
        </w:rPr>
      </w:pPr>
      <w:r w:rsidRPr="007C0B4F">
        <w:rPr>
          <w:rFonts w:asciiTheme="minorHAnsi" w:hAnsiTheme="minorHAnsi" w:cstheme="minorHAnsi"/>
          <w:b/>
        </w:rPr>
        <w:t xml:space="preserve">A rigorous M&amp;E regime will ensure that Facility </w:t>
      </w:r>
      <w:r w:rsidR="00053994" w:rsidRPr="007C0B4F">
        <w:rPr>
          <w:rFonts w:asciiTheme="minorHAnsi" w:hAnsiTheme="minorHAnsi" w:cstheme="minorHAnsi"/>
          <w:b/>
        </w:rPr>
        <w:t xml:space="preserve">resources are </w:t>
      </w:r>
      <w:r w:rsidRPr="007C0B4F">
        <w:rPr>
          <w:rFonts w:asciiTheme="minorHAnsi" w:hAnsiTheme="minorHAnsi" w:cstheme="minorHAnsi"/>
          <w:b/>
        </w:rPr>
        <w:t>employed efficiently and effectively</w:t>
      </w:r>
      <w:r w:rsidR="00A46F86" w:rsidRPr="007C0B4F">
        <w:rPr>
          <w:rFonts w:asciiTheme="minorHAnsi" w:hAnsiTheme="minorHAnsi" w:cstheme="minorHAnsi"/>
          <w:b/>
        </w:rPr>
        <w:t xml:space="preserve"> and regular external reviews and/or independent evaluations of the Facility will be conducted to assess its relevance and use to AusAID and GoI</w:t>
      </w:r>
      <w:r w:rsidR="008F5D53" w:rsidRPr="007C0B4F">
        <w:rPr>
          <w:rFonts w:asciiTheme="minorHAnsi" w:hAnsiTheme="minorHAnsi" w:cstheme="minorHAnsi"/>
          <w:b/>
        </w:rPr>
        <w:t xml:space="preserve"> (particularly MoF and Bappenas).</w:t>
      </w:r>
      <w:r w:rsidR="00053994" w:rsidRPr="007C0B4F">
        <w:rPr>
          <w:rFonts w:asciiTheme="minorHAnsi" w:hAnsiTheme="minorHAnsi" w:cstheme="minorHAnsi"/>
        </w:rPr>
        <w:t xml:space="preserve"> </w:t>
      </w:r>
      <w:r w:rsidRPr="007C0B4F">
        <w:rPr>
          <w:rFonts w:asciiTheme="minorHAnsi" w:hAnsiTheme="minorHAnsi" w:cstheme="minorHAnsi"/>
        </w:rPr>
        <w:t xml:space="preserve">In addition to the customary </w:t>
      </w:r>
      <w:r w:rsidR="00053994" w:rsidRPr="007C0B4F">
        <w:rPr>
          <w:rFonts w:asciiTheme="minorHAnsi" w:hAnsiTheme="minorHAnsi" w:cstheme="minorHAnsi"/>
        </w:rPr>
        <w:t>suite of activity management and monitoring tools</w:t>
      </w:r>
      <w:r w:rsidRPr="007C0B4F">
        <w:rPr>
          <w:rFonts w:asciiTheme="minorHAnsi" w:hAnsiTheme="minorHAnsi" w:cstheme="minorHAnsi"/>
        </w:rPr>
        <w:t xml:space="preserve"> (</w:t>
      </w:r>
      <w:r w:rsidR="00053994" w:rsidRPr="007C0B4F">
        <w:rPr>
          <w:rFonts w:asciiTheme="minorHAnsi" w:hAnsiTheme="minorHAnsi" w:cstheme="minorHAnsi"/>
        </w:rPr>
        <w:t>planning, budgeting, financial management, staff management, quality assurance of processes and products, data collection and reporting, etc.</w:t>
      </w:r>
      <w:r w:rsidRPr="007C0B4F">
        <w:rPr>
          <w:rFonts w:asciiTheme="minorHAnsi" w:hAnsiTheme="minorHAnsi" w:cstheme="minorHAnsi"/>
        </w:rPr>
        <w:t>) and A</w:t>
      </w:r>
      <w:r w:rsidR="00053994" w:rsidRPr="007C0B4F">
        <w:rPr>
          <w:rFonts w:asciiTheme="minorHAnsi" w:hAnsiTheme="minorHAnsi" w:cstheme="minorHAnsi"/>
        </w:rPr>
        <w:t>usAID</w:t>
      </w:r>
      <w:r w:rsidRPr="007C0B4F">
        <w:rPr>
          <w:rFonts w:asciiTheme="minorHAnsi" w:hAnsiTheme="minorHAnsi" w:cstheme="minorHAnsi"/>
        </w:rPr>
        <w:t xml:space="preserve">’s </w:t>
      </w:r>
      <w:r w:rsidR="00053994" w:rsidRPr="007C0B4F">
        <w:rPr>
          <w:rFonts w:asciiTheme="minorHAnsi" w:hAnsiTheme="minorHAnsi" w:cstheme="minorHAnsi"/>
        </w:rPr>
        <w:t>QAI assessments of the Facility</w:t>
      </w:r>
      <w:r w:rsidRPr="007C0B4F">
        <w:rPr>
          <w:rFonts w:asciiTheme="minorHAnsi" w:hAnsiTheme="minorHAnsi" w:cstheme="minorHAnsi"/>
        </w:rPr>
        <w:t xml:space="preserve">, regular </w:t>
      </w:r>
      <w:r w:rsidR="00053994" w:rsidRPr="007C0B4F">
        <w:rPr>
          <w:rFonts w:asciiTheme="minorHAnsi" w:hAnsiTheme="minorHAnsi" w:cstheme="minorHAnsi"/>
        </w:rPr>
        <w:t xml:space="preserve">external review and/or independent evaluation of the Facility </w:t>
      </w:r>
      <w:r w:rsidR="00B52121" w:rsidRPr="007C0B4F">
        <w:rPr>
          <w:rFonts w:asciiTheme="minorHAnsi" w:hAnsiTheme="minorHAnsi" w:cstheme="minorHAnsi"/>
        </w:rPr>
        <w:t>are expected t</w:t>
      </w:r>
      <w:r w:rsidRPr="007C0B4F">
        <w:rPr>
          <w:rFonts w:asciiTheme="minorHAnsi" w:hAnsiTheme="minorHAnsi" w:cstheme="minorHAnsi"/>
        </w:rPr>
        <w:t xml:space="preserve">o </w:t>
      </w:r>
      <w:r w:rsidR="00B52121" w:rsidRPr="007C0B4F">
        <w:rPr>
          <w:rFonts w:asciiTheme="minorHAnsi" w:hAnsiTheme="minorHAnsi" w:cstheme="minorHAnsi"/>
        </w:rPr>
        <w:t>refine</w:t>
      </w:r>
      <w:r w:rsidRPr="007C0B4F">
        <w:rPr>
          <w:rFonts w:asciiTheme="minorHAnsi" w:hAnsiTheme="minorHAnsi" w:cstheme="minorHAnsi"/>
        </w:rPr>
        <w:t xml:space="preserve"> </w:t>
      </w:r>
      <w:r w:rsidR="00B52121" w:rsidRPr="007C0B4F">
        <w:rPr>
          <w:rFonts w:asciiTheme="minorHAnsi" w:hAnsiTheme="minorHAnsi" w:cstheme="minorHAnsi"/>
        </w:rPr>
        <w:t xml:space="preserve">and sharpen its focus on those areas where it can have most impact.  It is also expected that </w:t>
      </w:r>
      <w:r w:rsidR="0020141C" w:rsidRPr="007C0B4F">
        <w:rPr>
          <w:rFonts w:asciiTheme="minorHAnsi" w:hAnsiTheme="minorHAnsi" w:cstheme="minorHAnsi"/>
        </w:rPr>
        <w:t>annual program and performance reviews will be conducted to ensure focu</w:t>
      </w:r>
      <w:r w:rsidR="008F5D53" w:rsidRPr="007C0B4F">
        <w:rPr>
          <w:rFonts w:asciiTheme="minorHAnsi" w:hAnsiTheme="minorHAnsi" w:cstheme="minorHAnsi"/>
        </w:rPr>
        <w:t xml:space="preserve">s on timely, useful products.  </w:t>
      </w:r>
      <w:r w:rsidR="007E5EEE" w:rsidRPr="007C0B4F">
        <w:rPr>
          <w:rFonts w:asciiTheme="minorHAnsi" w:hAnsiTheme="minorHAnsi" w:cstheme="minorHAnsi"/>
        </w:rPr>
        <w:t>This information would also feed into discussions with GoI (particularly Ministry of Finance and Bappenas) regarding expenditure quality and value for money.</w:t>
      </w:r>
    </w:p>
    <w:p w14:paraId="475C9A50" w14:textId="77777777" w:rsidR="005F5F4A" w:rsidRPr="007C0B4F" w:rsidRDefault="00EF7F32" w:rsidP="00B3490A">
      <w:pPr>
        <w:pStyle w:val="Heading2"/>
        <w:rPr>
          <w:rFonts w:cstheme="minorHAnsi"/>
        </w:rPr>
      </w:pPr>
      <w:bookmarkStart w:id="34" w:name="_Toc361407149"/>
      <w:bookmarkStart w:id="35" w:name="_Toc365366040"/>
      <w:r w:rsidRPr="007C0B4F">
        <w:rPr>
          <w:rFonts w:cstheme="minorHAnsi"/>
          <w:lang w:val="en-AU"/>
        </w:rPr>
        <w:t xml:space="preserve">The </w:t>
      </w:r>
      <w:r w:rsidR="00245C01" w:rsidRPr="007C0B4F">
        <w:rPr>
          <w:rFonts w:cstheme="minorHAnsi"/>
          <w:lang w:val="en-AU"/>
        </w:rPr>
        <w:t>p</w:t>
      </w:r>
      <w:r w:rsidR="00142D4A" w:rsidRPr="007C0B4F">
        <w:rPr>
          <w:rFonts w:cstheme="minorHAnsi"/>
          <w:lang w:val="en-AU"/>
        </w:rPr>
        <w:t xml:space="preserve">roposed </w:t>
      </w:r>
      <w:r w:rsidR="00A5417A" w:rsidRPr="007C0B4F">
        <w:rPr>
          <w:rFonts w:cstheme="minorHAnsi"/>
          <w:lang w:val="en-AU"/>
        </w:rPr>
        <w:t xml:space="preserve">Facility: A </w:t>
      </w:r>
      <w:r w:rsidRPr="007C0B4F">
        <w:rPr>
          <w:rFonts w:cstheme="minorHAnsi"/>
          <w:lang w:val="en-AU"/>
        </w:rPr>
        <w:t>Preferred Model</w:t>
      </w:r>
      <w:bookmarkEnd w:id="34"/>
      <w:bookmarkEnd w:id="35"/>
      <w:r w:rsidRPr="007C0B4F">
        <w:rPr>
          <w:rFonts w:cstheme="minorHAnsi"/>
          <w:lang w:val="en-AU"/>
        </w:rPr>
        <w:t xml:space="preserve"> </w:t>
      </w:r>
    </w:p>
    <w:p w14:paraId="475C9A51" w14:textId="77777777" w:rsidR="004D614E" w:rsidRPr="007C0B4F" w:rsidRDefault="005F5F4A" w:rsidP="005F5F4A">
      <w:pPr>
        <w:rPr>
          <w:rFonts w:asciiTheme="minorHAnsi" w:hAnsiTheme="minorHAnsi" w:cstheme="minorHAnsi"/>
        </w:rPr>
      </w:pPr>
      <w:r w:rsidRPr="007C0B4F">
        <w:rPr>
          <w:rFonts w:asciiTheme="minorHAnsi" w:hAnsiTheme="minorHAnsi" w:cstheme="minorHAnsi"/>
          <w:b/>
        </w:rPr>
        <w:t xml:space="preserve">AusAID already has several facilities or </w:t>
      </w:r>
      <w:r w:rsidR="00361929" w:rsidRPr="007C0B4F">
        <w:rPr>
          <w:rFonts w:asciiTheme="minorHAnsi" w:hAnsiTheme="minorHAnsi" w:cstheme="minorHAnsi"/>
          <w:b/>
        </w:rPr>
        <w:t>Facility</w:t>
      </w:r>
      <w:r w:rsidRPr="007C0B4F">
        <w:rPr>
          <w:rFonts w:asciiTheme="minorHAnsi" w:hAnsiTheme="minorHAnsi" w:cstheme="minorHAnsi"/>
          <w:b/>
        </w:rPr>
        <w:t xml:space="preserve">-like </w:t>
      </w:r>
      <w:r w:rsidR="000D45E0" w:rsidRPr="007C0B4F">
        <w:rPr>
          <w:rFonts w:asciiTheme="minorHAnsi" w:hAnsiTheme="minorHAnsi" w:cstheme="minorHAnsi"/>
          <w:b/>
        </w:rPr>
        <w:t xml:space="preserve">initiatives </w:t>
      </w:r>
      <w:r w:rsidRPr="007C0B4F">
        <w:rPr>
          <w:rFonts w:asciiTheme="minorHAnsi" w:hAnsiTheme="minorHAnsi" w:cstheme="minorHAnsi"/>
          <w:b/>
        </w:rPr>
        <w:t>in Indonesia</w:t>
      </w:r>
      <w:r w:rsidRPr="007C0B4F">
        <w:rPr>
          <w:rFonts w:asciiTheme="minorHAnsi" w:hAnsiTheme="minorHAnsi" w:cstheme="minorHAnsi"/>
        </w:rPr>
        <w:t xml:space="preserve">. </w:t>
      </w:r>
      <w:r w:rsidR="000D45E0" w:rsidRPr="007C0B4F">
        <w:rPr>
          <w:rFonts w:asciiTheme="minorHAnsi" w:hAnsiTheme="minorHAnsi" w:cstheme="minorHAnsi"/>
        </w:rPr>
        <w:t xml:space="preserve"> </w:t>
      </w:r>
      <w:r w:rsidRPr="007C0B4F">
        <w:rPr>
          <w:rFonts w:asciiTheme="minorHAnsi" w:hAnsiTheme="minorHAnsi" w:cstheme="minorHAnsi"/>
        </w:rPr>
        <w:t>These include the Poverty Reduction Support Facility (PRSF), the Analytic</w:t>
      </w:r>
      <w:r w:rsidR="00DB61CF" w:rsidRPr="007C0B4F">
        <w:rPr>
          <w:rFonts w:asciiTheme="minorHAnsi" w:hAnsiTheme="minorHAnsi" w:cstheme="minorHAnsi"/>
        </w:rPr>
        <w:t>al</w:t>
      </w:r>
      <w:r w:rsidRPr="007C0B4F">
        <w:rPr>
          <w:rFonts w:asciiTheme="minorHAnsi" w:hAnsiTheme="minorHAnsi" w:cstheme="minorHAnsi"/>
        </w:rPr>
        <w:t xml:space="preserve"> and Capacity Development Partnership (ACDP) and the Indonesia Infrastructure Initiative (INDI</w:t>
      </w:r>
      <w:r w:rsidR="00DB61CF" w:rsidRPr="007C0B4F">
        <w:rPr>
          <w:rFonts w:asciiTheme="minorHAnsi" w:hAnsiTheme="minorHAnsi" w:cstheme="minorHAnsi"/>
        </w:rPr>
        <w:t>I</w:t>
      </w:r>
      <w:r w:rsidRPr="007C0B4F">
        <w:rPr>
          <w:rFonts w:asciiTheme="minorHAnsi" w:hAnsiTheme="minorHAnsi" w:cstheme="minorHAnsi"/>
        </w:rPr>
        <w:t xml:space="preserve">). </w:t>
      </w:r>
      <w:r w:rsidR="000D45E0" w:rsidRPr="007C0B4F">
        <w:rPr>
          <w:rFonts w:asciiTheme="minorHAnsi" w:hAnsiTheme="minorHAnsi" w:cstheme="minorHAnsi"/>
        </w:rPr>
        <w:t xml:space="preserve"> </w:t>
      </w:r>
      <w:r w:rsidR="00142D4A" w:rsidRPr="007C0B4F">
        <w:rPr>
          <w:rFonts w:asciiTheme="minorHAnsi" w:hAnsiTheme="minorHAnsi" w:cstheme="minorHAnsi"/>
        </w:rPr>
        <w:t>While these t</w:t>
      </w:r>
      <w:r w:rsidRPr="007C0B4F">
        <w:rPr>
          <w:rFonts w:asciiTheme="minorHAnsi" w:hAnsiTheme="minorHAnsi" w:cstheme="minorHAnsi"/>
        </w:rPr>
        <w:t>hree entities operate in different ways</w:t>
      </w:r>
      <w:r w:rsidR="000D45E0" w:rsidRPr="007C0B4F">
        <w:rPr>
          <w:rFonts w:asciiTheme="minorHAnsi" w:hAnsiTheme="minorHAnsi" w:cstheme="minorHAnsi"/>
        </w:rPr>
        <w:t>,</w:t>
      </w:r>
      <w:r w:rsidRPr="007C0B4F">
        <w:rPr>
          <w:rFonts w:asciiTheme="minorHAnsi" w:hAnsiTheme="minorHAnsi" w:cstheme="minorHAnsi"/>
        </w:rPr>
        <w:t xml:space="preserve"> </w:t>
      </w:r>
      <w:r w:rsidR="00142D4A" w:rsidRPr="007C0B4F">
        <w:rPr>
          <w:rFonts w:asciiTheme="minorHAnsi" w:hAnsiTheme="minorHAnsi" w:cstheme="minorHAnsi"/>
        </w:rPr>
        <w:t xml:space="preserve">what </w:t>
      </w:r>
      <w:r w:rsidRPr="007C0B4F">
        <w:rPr>
          <w:rFonts w:asciiTheme="minorHAnsi" w:hAnsiTheme="minorHAnsi" w:cstheme="minorHAnsi"/>
        </w:rPr>
        <w:t>they have in common is the capacity to support research or innovative practice in key priorit</w:t>
      </w:r>
      <w:r w:rsidR="000D45E0" w:rsidRPr="007C0B4F">
        <w:rPr>
          <w:rFonts w:asciiTheme="minorHAnsi" w:hAnsiTheme="minorHAnsi" w:cstheme="minorHAnsi"/>
        </w:rPr>
        <w:t>y areas</w:t>
      </w:r>
      <w:r w:rsidRPr="007C0B4F">
        <w:rPr>
          <w:rFonts w:asciiTheme="minorHAnsi" w:hAnsiTheme="minorHAnsi" w:cstheme="minorHAnsi"/>
        </w:rPr>
        <w:t>, to operate a rolling work plan in order to be flexible and responsive</w:t>
      </w:r>
      <w:r w:rsidR="000D45E0" w:rsidRPr="007C0B4F">
        <w:rPr>
          <w:rFonts w:asciiTheme="minorHAnsi" w:hAnsiTheme="minorHAnsi" w:cstheme="minorHAnsi"/>
        </w:rPr>
        <w:t>,</w:t>
      </w:r>
      <w:r w:rsidRPr="007C0B4F">
        <w:rPr>
          <w:rFonts w:asciiTheme="minorHAnsi" w:hAnsiTheme="minorHAnsi" w:cstheme="minorHAnsi"/>
        </w:rPr>
        <w:t xml:space="preserve"> and to engage GoI at a high level. </w:t>
      </w:r>
      <w:r w:rsidR="000D45E0" w:rsidRPr="007C0B4F">
        <w:rPr>
          <w:rFonts w:asciiTheme="minorHAnsi" w:hAnsiTheme="minorHAnsi" w:cstheme="minorHAnsi"/>
        </w:rPr>
        <w:t xml:space="preserve"> </w:t>
      </w:r>
      <w:r w:rsidRPr="007C0B4F">
        <w:rPr>
          <w:rFonts w:asciiTheme="minorHAnsi" w:hAnsiTheme="minorHAnsi" w:cstheme="minorHAnsi"/>
        </w:rPr>
        <w:t xml:space="preserve">They also provide AusAID with an enhanced knowledge base and opportunities for stronger policy dialogue with GoI. </w:t>
      </w:r>
      <w:r w:rsidR="000D45E0" w:rsidRPr="007C0B4F">
        <w:rPr>
          <w:rFonts w:asciiTheme="minorHAnsi" w:hAnsiTheme="minorHAnsi" w:cstheme="minorHAnsi"/>
        </w:rPr>
        <w:t xml:space="preserve"> </w:t>
      </w:r>
      <w:r w:rsidR="00C559C0" w:rsidRPr="007C0B4F">
        <w:rPr>
          <w:rFonts w:asciiTheme="minorHAnsi" w:hAnsiTheme="minorHAnsi" w:cstheme="minorHAnsi"/>
        </w:rPr>
        <w:t>The INDII model in particular will also provide a strong knowledge base</w:t>
      </w:r>
      <w:r w:rsidR="006351B5" w:rsidRPr="007C0B4F">
        <w:rPr>
          <w:rFonts w:asciiTheme="minorHAnsi" w:hAnsiTheme="minorHAnsi" w:cstheme="minorHAnsi"/>
        </w:rPr>
        <w:t xml:space="preserve"> on</w:t>
      </w:r>
      <w:r w:rsidR="00C559C0" w:rsidRPr="007C0B4F">
        <w:rPr>
          <w:rFonts w:asciiTheme="minorHAnsi" w:hAnsiTheme="minorHAnsi" w:cstheme="minorHAnsi"/>
        </w:rPr>
        <w:t xml:space="preserve"> financing between national and sub-national entities.</w:t>
      </w:r>
    </w:p>
    <w:p w14:paraId="475C9A52" w14:textId="77777777" w:rsidR="00C559C0" w:rsidRPr="007C0B4F" w:rsidRDefault="00142D4A" w:rsidP="005F5F4A">
      <w:pPr>
        <w:rPr>
          <w:rFonts w:asciiTheme="minorHAnsi" w:hAnsiTheme="minorHAnsi" w:cstheme="minorHAnsi"/>
        </w:rPr>
      </w:pPr>
      <w:r w:rsidRPr="007C0B4F">
        <w:rPr>
          <w:rFonts w:asciiTheme="minorHAnsi" w:hAnsiTheme="minorHAnsi" w:cstheme="minorHAnsi"/>
          <w:b/>
        </w:rPr>
        <w:t xml:space="preserve">The proposed </w:t>
      </w:r>
      <w:r w:rsidR="005F5F4A" w:rsidRPr="007C0B4F">
        <w:rPr>
          <w:rFonts w:asciiTheme="minorHAnsi" w:hAnsiTheme="minorHAnsi" w:cstheme="minorHAnsi"/>
          <w:b/>
        </w:rPr>
        <w:t xml:space="preserve">Facility </w:t>
      </w:r>
      <w:r w:rsidRPr="007C0B4F">
        <w:rPr>
          <w:rFonts w:asciiTheme="minorHAnsi" w:hAnsiTheme="minorHAnsi" w:cstheme="minorHAnsi"/>
          <w:b/>
        </w:rPr>
        <w:t xml:space="preserve">would share these common attributes but would differ in one significant way: </w:t>
      </w:r>
      <w:r w:rsidR="004D614E" w:rsidRPr="007C0B4F">
        <w:rPr>
          <w:rFonts w:asciiTheme="minorHAnsi" w:hAnsiTheme="minorHAnsi" w:cstheme="minorHAnsi"/>
          <w:b/>
        </w:rPr>
        <w:t>it would operate primarily at</w:t>
      </w:r>
      <w:r w:rsidR="00C4080C" w:rsidRPr="007C0B4F">
        <w:rPr>
          <w:rFonts w:asciiTheme="minorHAnsi" w:hAnsiTheme="minorHAnsi" w:cstheme="minorHAnsi"/>
          <w:b/>
        </w:rPr>
        <w:t xml:space="preserve"> the</w:t>
      </w:r>
      <w:r w:rsidR="004D614E" w:rsidRPr="007C0B4F">
        <w:rPr>
          <w:rFonts w:asciiTheme="minorHAnsi" w:hAnsiTheme="minorHAnsi" w:cstheme="minorHAnsi"/>
          <w:b/>
        </w:rPr>
        <w:t xml:space="preserve"> sub-national level</w:t>
      </w:r>
      <w:r w:rsidR="004D614E" w:rsidRPr="007C0B4F">
        <w:rPr>
          <w:rFonts w:asciiTheme="minorHAnsi" w:hAnsiTheme="minorHAnsi" w:cstheme="minorHAnsi"/>
        </w:rPr>
        <w:t xml:space="preserve">. </w:t>
      </w:r>
      <w:r w:rsidR="005F5F4A" w:rsidRPr="007C0B4F">
        <w:rPr>
          <w:rFonts w:asciiTheme="minorHAnsi" w:hAnsiTheme="minorHAnsi" w:cstheme="minorHAnsi"/>
        </w:rPr>
        <w:t xml:space="preserve"> </w:t>
      </w:r>
      <w:r w:rsidR="0051766F" w:rsidRPr="007C0B4F">
        <w:rPr>
          <w:rFonts w:asciiTheme="minorHAnsi" w:hAnsiTheme="minorHAnsi" w:cstheme="minorHAnsi"/>
        </w:rPr>
        <w:t xml:space="preserve">It is anticipated that the Facility will operate from a province-based hub, and would have 3 or 4 other provincial offices.  </w:t>
      </w:r>
      <w:r w:rsidR="005F5F4A" w:rsidRPr="007C0B4F">
        <w:rPr>
          <w:rFonts w:asciiTheme="minorHAnsi" w:hAnsiTheme="minorHAnsi" w:cstheme="minorHAnsi"/>
        </w:rPr>
        <w:t xml:space="preserve">Each </w:t>
      </w:r>
      <w:r w:rsidR="004D614E" w:rsidRPr="007C0B4F">
        <w:rPr>
          <w:rFonts w:asciiTheme="minorHAnsi" w:hAnsiTheme="minorHAnsi" w:cstheme="minorHAnsi"/>
        </w:rPr>
        <w:t>participating p</w:t>
      </w:r>
      <w:r w:rsidR="005F5F4A" w:rsidRPr="007C0B4F">
        <w:rPr>
          <w:rFonts w:asciiTheme="minorHAnsi" w:hAnsiTheme="minorHAnsi" w:cstheme="minorHAnsi"/>
        </w:rPr>
        <w:t>rovince would identify 2 or 3 districts to be part of the Facility scope.</w:t>
      </w:r>
      <w:r w:rsidR="00F503B6" w:rsidRPr="007C0B4F">
        <w:rPr>
          <w:rFonts w:asciiTheme="minorHAnsi" w:hAnsiTheme="minorHAnsi" w:cstheme="minorHAnsi"/>
        </w:rPr>
        <w:t xml:space="preserve"> </w:t>
      </w:r>
      <w:r w:rsidR="005F5F4A" w:rsidRPr="007C0B4F">
        <w:rPr>
          <w:rFonts w:asciiTheme="minorHAnsi" w:hAnsiTheme="minorHAnsi" w:cstheme="minorHAnsi"/>
        </w:rPr>
        <w:t xml:space="preserve"> Ideally the selected provinces and districts would be areas where AusAID already has some </w:t>
      </w:r>
      <w:r w:rsidR="00F503B6" w:rsidRPr="007C0B4F">
        <w:rPr>
          <w:rFonts w:asciiTheme="minorHAnsi" w:hAnsiTheme="minorHAnsi" w:cstheme="minorHAnsi"/>
        </w:rPr>
        <w:t xml:space="preserve">operational </w:t>
      </w:r>
      <w:r w:rsidR="005F5F4A" w:rsidRPr="007C0B4F">
        <w:rPr>
          <w:rFonts w:asciiTheme="minorHAnsi" w:hAnsiTheme="minorHAnsi" w:cstheme="minorHAnsi"/>
        </w:rPr>
        <w:t xml:space="preserve">presence and effective </w:t>
      </w:r>
      <w:r w:rsidR="004D614E" w:rsidRPr="007C0B4F">
        <w:rPr>
          <w:rFonts w:asciiTheme="minorHAnsi" w:hAnsiTheme="minorHAnsi" w:cstheme="minorHAnsi"/>
        </w:rPr>
        <w:t xml:space="preserve">working </w:t>
      </w:r>
      <w:r w:rsidR="005F5F4A" w:rsidRPr="007C0B4F">
        <w:rPr>
          <w:rFonts w:asciiTheme="minorHAnsi" w:hAnsiTheme="minorHAnsi" w:cstheme="minorHAnsi"/>
        </w:rPr>
        <w:t>relationships</w:t>
      </w:r>
      <w:r w:rsidR="00F503B6" w:rsidRPr="007C0B4F">
        <w:rPr>
          <w:rFonts w:asciiTheme="minorHAnsi" w:hAnsiTheme="minorHAnsi" w:cstheme="minorHAnsi"/>
        </w:rPr>
        <w:t>.  H</w:t>
      </w:r>
      <w:r w:rsidR="005F5F4A" w:rsidRPr="007C0B4F">
        <w:rPr>
          <w:rFonts w:asciiTheme="minorHAnsi" w:hAnsiTheme="minorHAnsi" w:cstheme="minorHAnsi"/>
        </w:rPr>
        <w:t>owever</w:t>
      </w:r>
      <w:r w:rsidR="00F503B6" w:rsidRPr="007C0B4F">
        <w:rPr>
          <w:rFonts w:asciiTheme="minorHAnsi" w:hAnsiTheme="minorHAnsi" w:cstheme="minorHAnsi"/>
        </w:rPr>
        <w:t>,</w:t>
      </w:r>
      <w:r w:rsidR="005F5F4A" w:rsidRPr="007C0B4F">
        <w:rPr>
          <w:rFonts w:asciiTheme="minorHAnsi" w:hAnsiTheme="minorHAnsi" w:cstheme="minorHAnsi"/>
        </w:rPr>
        <w:t xml:space="preserve"> an essential condition for the final selection for participation </w:t>
      </w:r>
      <w:r w:rsidR="00F503B6" w:rsidRPr="007C0B4F">
        <w:rPr>
          <w:rFonts w:asciiTheme="minorHAnsi" w:hAnsiTheme="minorHAnsi" w:cstheme="minorHAnsi"/>
        </w:rPr>
        <w:t xml:space="preserve">(at both provincial and district levels) </w:t>
      </w:r>
      <w:r w:rsidR="005F5F4A" w:rsidRPr="007C0B4F">
        <w:rPr>
          <w:rFonts w:asciiTheme="minorHAnsi" w:hAnsiTheme="minorHAnsi" w:cstheme="minorHAnsi"/>
        </w:rPr>
        <w:t xml:space="preserve">would be the enthusiastic commitment of local government, both elected and civil service officials. </w:t>
      </w:r>
    </w:p>
    <w:p w14:paraId="475C9A53" w14:textId="77777777" w:rsidR="00C36C4D" w:rsidRPr="007C0B4F" w:rsidRDefault="00142D4A" w:rsidP="005F5F4A">
      <w:pPr>
        <w:rPr>
          <w:rFonts w:asciiTheme="minorHAnsi" w:hAnsiTheme="minorHAnsi" w:cstheme="minorHAnsi"/>
        </w:rPr>
      </w:pPr>
      <w:r w:rsidRPr="007C0B4F">
        <w:rPr>
          <w:rFonts w:asciiTheme="minorHAnsi" w:hAnsiTheme="minorHAnsi" w:cstheme="minorHAnsi"/>
          <w:b/>
        </w:rPr>
        <w:t>The Facility would maintain national engagement</w:t>
      </w:r>
      <w:r w:rsidRPr="007C0B4F">
        <w:rPr>
          <w:rFonts w:asciiTheme="minorHAnsi" w:hAnsiTheme="minorHAnsi" w:cstheme="minorHAnsi"/>
        </w:rPr>
        <w:t xml:space="preserve"> through AusAID’s existing (</w:t>
      </w:r>
      <w:r w:rsidR="00957C09" w:rsidRPr="007C0B4F">
        <w:rPr>
          <w:rFonts w:asciiTheme="minorHAnsi" w:hAnsiTheme="minorHAnsi" w:cstheme="minorHAnsi"/>
        </w:rPr>
        <w:t>and future</w:t>
      </w:r>
      <w:r w:rsidRPr="007C0B4F">
        <w:rPr>
          <w:rFonts w:asciiTheme="minorHAnsi" w:hAnsiTheme="minorHAnsi" w:cstheme="minorHAnsi"/>
        </w:rPr>
        <w:t xml:space="preserve">) education sector program coordinating mechanisms, as well as through regular direct communication with key </w:t>
      </w:r>
      <w:r w:rsidRPr="007C0B4F">
        <w:rPr>
          <w:rFonts w:asciiTheme="minorHAnsi" w:hAnsiTheme="minorHAnsi" w:cstheme="minorHAnsi"/>
        </w:rPr>
        <w:lastRenderedPageBreak/>
        <w:t xml:space="preserve">officials, especially in </w:t>
      </w:r>
      <w:r w:rsidR="005F5F4A" w:rsidRPr="007C0B4F">
        <w:rPr>
          <w:rFonts w:asciiTheme="minorHAnsi" w:hAnsiTheme="minorHAnsi" w:cstheme="minorHAnsi"/>
        </w:rPr>
        <w:t xml:space="preserve">MoEC and </w:t>
      </w:r>
      <w:r w:rsidRPr="007C0B4F">
        <w:rPr>
          <w:rFonts w:asciiTheme="minorHAnsi" w:hAnsiTheme="minorHAnsi" w:cstheme="minorHAnsi"/>
        </w:rPr>
        <w:t xml:space="preserve">MoRA. </w:t>
      </w:r>
      <w:r w:rsidR="009D4810" w:rsidRPr="007C0B4F">
        <w:rPr>
          <w:rFonts w:asciiTheme="minorHAnsi" w:hAnsiTheme="minorHAnsi" w:cstheme="minorHAnsi"/>
        </w:rPr>
        <w:t xml:space="preserve"> It will likely have a national level Line Ministry as Executing Agency.</w:t>
      </w:r>
    </w:p>
    <w:p w14:paraId="475C9A54" w14:textId="77777777" w:rsidR="005F5F4A" w:rsidRPr="007C0B4F" w:rsidRDefault="00142D4A" w:rsidP="005F5F4A">
      <w:pPr>
        <w:rPr>
          <w:rFonts w:asciiTheme="minorHAnsi" w:hAnsiTheme="minorHAnsi" w:cstheme="minorHAnsi"/>
        </w:rPr>
      </w:pPr>
      <w:r w:rsidRPr="007C0B4F">
        <w:rPr>
          <w:rFonts w:asciiTheme="minorHAnsi" w:hAnsiTheme="minorHAnsi" w:cstheme="minorHAnsi"/>
          <w:b/>
        </w:rPr>
        <w:t xml:space="preserve">Six elements are regarded as critical if the Facility is to manage resources effectively, </w:t>
      </w:r>
      <w:r w:rsidR="005F5F4A" w:rsidRPr="007C0B4F">
        <w:rPr>
          <w:rFonts w:asciiTheme="minorHAnsi" w:hAnsiTheme="minorHAnsi" w:cstheme="minorHAnsi"/>
          <w:b/>
        </w:rPr>
        <w:t>generate real re</w:t>
      </w:r>
      <w:r w:rsidR="00F503B6" w:rsidRPr="007C0B4F">
        <w:rPr>
          <w:rFonts w:asciiTheme="minorHAnsi" w:hAnsiTheme="minorHAnsi" w:cstheme="minorHAnsi"/>
          <w:b/>
        </w:rPr>
        <w:t>sults</w:t>
      </w:r>
      <w:r w:rsidR="00ED51F9" w:rsidRPr="007C0B4F">
        <w:rPr>
          <w:rFonts w:asciiTheme="minorHAnsi" w:hAnsiTheme="minorHAnsi" w:cstheme="minorHAnsi"/>
          <w:b/>
        </w:rPr>
        <w:t xml:space="preserve"> and</w:t>
      </w:r>
      <w:r w:rsidRPr="007C0B4F">
        <w:rPr>
          <w:rFonts w:asciiTheme="minorHAnsi" w:hAnsiTheme="minorHAnsi" w:cstheme="minorHAnsi"/>
          <w:b/>
        </w:rPr>
        <w:t xml:space="preserve"> be in a position to influence </w:t>
      </w:r>
      <w:r w:rsidR="004153FE" w:rsidRPr="007C0B4F">
        <w:rPr>
          <w:rFonts w:asciiTheme="minorHAnsi" w:hAnsiTheme="minorHAnsi" w:cstheme="minorHAnsi"/>
          <w:b/>
        </w:rPr>
        <w:t>policy and policy implementation</w:t>
      </w:r>
      <w:r w:rsidR="004153FE" w:rsidRPr="007C0B4F">
        <w:rPr>
          <w:rFonts w:asciiTheme="minorHAnsi" w:hAnsiTheme="minorHAnsi" w:cstheme="minorHAnsi"/>
        </w:rPr>
        <w:t>:</w:t>
      </w:r>
      <w:r w:rsidR="00F503B6" w:rsidRPr="007C0B4F">
        <w:rPr>
          <w:rFonts w:asciiTheme="minorHAnsi" w:hAnsiTheme="minorHAnsi" w:cstheme="minorHAnsi"/>
        </w:rPr>
        <w:t xml:space="preserve"> </w:t>
      </w:r>
    </w:p>
    <w:p w14:paraId="475C9A55" w14:textId="77777777" w:rsidR="00ED51F9" w:rsidRPr="007C0B4F" w:rsidRDefault="00245B90" w:rsidP="00720B96">
      <w:pPr>
        <w:pStyle w:val="ListParagraph"/>
        <w:numPr>
          <w:ilvl w:val="0"/>
          <w:numId w:val="16"/>
        </w:numPr>
        <w:ind w:left="426"/>
        <w:rPr>
          <w:rFonts w:asciiTheme="minorHAnsi" w:hAnsiTheme="minorHAnsi" w:cstheme="minorHAnsi"/>
        </w:rPr>
      </w:pPr>
      <w:r w:rsidRPr="007C0B4F">
        <w:rPr>
          <w:rFonts w:asciiTheme="minorHAnsi" w:hAnsiTheme="minorHAnsi" w:cstheme="minorHAnsi"/>
          <w:b/>
        </w:rPr>
        <w:t>Government ownership</w:t>
      </w:r>
      <w:r w:rsidRPr="007C0B4F">
        <w:rPr>
          <w:rFonts w:asciiTheme="minorHAnsi" w:hAnsiTheme="minorHAnsi" w:cstheme="minorHAnsi"/>
        </w:rPr>
        <w:t>: High level discussions of the concept have indicated that there is strong support for the concept at the national level (MoEC, Bappenas and MoRA). Discussion at the provincial level and in a few districts has also resulted in broad commitment to and support of a facility of the type described in this document. It is anticipated that the Facility Design Team will find the same level of support as other districts and provinces are introduced to the concept –</w:t>
      </w:r>
      <w:r w:rsidR="00C4080C" w:rsidRPr="007C0B4F">
        <w:rPr>
          <w:rFonts w:asciiTheme="minorHAnsi" w:hAnsiTheme="minorHAnsi" w:cstheme="minorHAnsi"/>
        </w:rPr>
        <w:t xml:space="preserve"> if</w:t>
      </w:r>
      <w:r w:rsidRPr="007C0B4F">
        <w:rPr>
          <w:rFonts w:asciiTheme="minorHAnsi" w:hAnsiTheme="minorHAnsi" w:cstheme="minorHAnsi"/>
        </w:rPr>
        <w:t xml:space="preserve"> only because their needs are </w:t>
      </w:r>
      <w:r w:rsidR="00C4080C" w:rsidRPr="007C0B4F">
        <w:rPr>
          <w:rFonts w:asciiTheme="minorHAnsi" w:hAnsiTheme="minorHAnsi" w:cstheme="minorHAnsi"/>
        </w:rPr>
        <w:t xml:space="preserve">just as </w:t>
      </w:r>
      <w:r w:rsidRPr="007C0B4F">
        <w:rPr>
          <w:rFonts w:asciiTheme="minorHAnsi" w:hAnsiTheme="minorHAnsi" w:cstheme="minorHAnsi"/>
        </w:rPr>
        <w:t xml:space="preserve">substantial and </w:t>
      </w:r>
      <w:r w:rsidR="00C4080C" w:rsidRPr="007C0B4F">
        <w:rPr>
          <w:rFonts w:asciiTheme="minorHAnsi" w:hAnsiTheme="minorHAnsi" w:cstheme="minorHAnsi"/>
        </w:rPr>
        <w:t xml:space="preserve">they too are subject to </w:t>
      </w:r>
      <w:r w:rsidRPr="007C0B4F">
        <w:rPr>
          <w:rFonts w:asciiTheme="minorHAnsi" w:hAnsiTheme="minorHAnsi" w:cstheme="minorHAnsi"/>
        </w:rPr>
        <w:t>growing public pressure for schools to produce better results and for local governments to provide better services.  Government ownership at all levels will be essential as it is envisaged that GoI partners  and  AusAID will together provide strategic direction to the work of the Facility through the Facility’s governance structures.  Wherever possible, champions of change will be identified at each level.</w:t>
      </w:r>
    </w:p>
    <w:p w14:paraId="475C9A56" w14:textId="77777777" w:rsidR="00ED51F9" w:rsidRPr="007C0B4F" w:rsidRDefault="00633428" w:rsidP="00720B96">
      <w:pPr>
        <w:pStyle w:val="ListParagraph"/>
        <w:numPr>
          <w:ilvl w:val="0"/>
          <w:numId w:val="16"/>
        </w:numPr>
        <w:ind w:left="426"/>
        <w:rPr>
          <w:rFonts w:asciiTheme="minorHAnsi" w:hAnsiTheme="minorHAnsi" w:cstheme="minorHAnsi"/>
        </w:rPr>
      </w:pPr>
      <w:r w:rsidRPr="007C0B4F">
        <w:rPr>
          <w:rFonts w:asciiTheme="minorHAnsi" w:hAnsiTheme="minorHAnsi" w:cstheme="minorHAnsi"/>
          <w:b/>
        </w:rPr>
        <w:t>Strong technical capacity</w:t>
      </w:r>
      <w:r w:rsidRPr="007C0B4F">
        <w:rPr>
          <w:rFonts w:asciiTheme="minorHAnsi" w:hAnsiTheme="minorHAnsi" w:cstheme="minorHAnsi"/>
        </w:rPr>
        <w:t xml:space="preserve">:  It will be essential to staff the Facility with a highly competent </w:t>
      </w:r>
      <w:r w:rsidR="00C4080C" w:rsidRPr="007C0B4F">
        <w:rPr>
          <w:rFonts w:asciiTheme="minorHAnsi" w:hAnsiTheme="minorHAnsi" w:cstheme="minorHAnsi"/>
        </w:rPr>
        <w:t xml:space="preserve">and experienced </w:t>
      </w:r>
      <w:r w:rsidR="00ED51F9" w:rsidRPr="007C0B4F">
        <w:rPr>
          <w:rFonts w:asciiTheme="minorHAnsi" w:hAnsiTheme="minorHAnsi" w:cstheme="minorHAnsi"/>
        </w:rPr>
        <w:t xml:space="preserve">technical team </w:t>
      </w:r>
      <w:r w:rsidRPr="007C0B4F">
        <w:rPr>
          <w:rFonts w:asciiTheme="minorHAnsi" w:hAnsiTheme="minorHAnsi" w:cstheme="minorHAnsi"/>
        </w:rPr>
        <w:t>t</w:t>
      </w:r>
      <w:r w:rsidR="00ED51F9" w:rsidRPr="007C0B4F">
        <w:rPr>
          <w:rFonts w:asciiTheme="minorHAnsi" w:hAnsiTheme="minorHAnsi" w:cstheme="minorHAnsi"/>
        </w:rPr>
        <w:t>o</w:t>
      </w:r>
      <w:r w:rsidR="00742BF0" w:rsidRPr="007C0B4F">
        <w:rPr>
          <w:rFonts w:asciiTheme="minorHAnsi" w:hAnsiTheme="minorHAnsi" w:cstheme="minorHAnsi"/>
        </w:rPr>
        <w:t>: (i)</w:t>
      </w:r>
      <w:r w:rsidR="00ED51F9" w:rsidRPr="007C0B4F">
        <w:rPr>
          <w:rFonts w:asciiTheme="minorHAnsi" w:hAnsiTheme="minorHAnsi" w:cstheme="minorHAnsi"/>
        </w:rPr>
        <w:t xml:space="preserve"> </w:t>
      </w:r>
      <w:r w:rsidR="00742BF0" w:rsidRPr="007C0B4F">
        <w:rPr>
          <w:rFonts w:asciiTheme="minorHAnsi" w:hAnsiTheme="minorHAnsi" w:cstheme="minorHAnsi"/>
        </w:rPr>
        <w:t xml:space="preserve">assess and </w:t>
      </w:r>
      <w:r w:rsidR="00ED51F9" w:rsidRPr="007C0B4F">
        <w:rPr>
          <w:rFonts w:asciiTheme="minorHAnsi" w:hAnsiTheme="minorHAnsi" w:cstheme="minorHAnsi"/>
        </w:rPr>
        <w:t xml:space="preserve">interpret needs and opportunities; </w:t>
      </w:r>
      <w:r w:rsidR="00742BF0" w:rsidRPr="007C0B4F">
        <w:rPr>
          <w:rFonts w:asciiTheme="minorHAnsi" w:hAnsiTheme="minorHAnsi" w:cstheme="minorHAnsi"/>
        </w:rPr>
        <w:t xml:space="preserve">(ii) </w:t>
      </w:r>
      <w:r w:rsidR="00ED51F9" w:rsidRPr="007C0B4F">
        <w:rPr>
          <w:rFonts w:asciiTheme="minorHAnsi" w:hAnsiTheme="minorHAnsi" w:cstheme="minorHAnsi"/>
        </w:rPr>
        <w:t>stimulate the demand side at national</w:t>
      </w:r>
      <w:r w:rsidR="00742BF0" w:rsidRPr="007C0B4F">
        <w:rPr>
          <w:rFonts w:asciiTheme="minorHAnsi" w:hAnsiTheme="minorHAnsi" w:cstheme="minorHAnsi"/>
        </w:rPr>
        <w:t>, provincial and</w:t>
      </w:r>
      <w:r w:rsidR="00ED51F9" w:rsidRPr="007C0B4F">
        <w:rPr>
          <w:rFonts w:asciiTheme="minorHAnsi" w:hAnsiTheme="minorHAnsi" w:cstheme="minorHAnsi"/>
        </w:rPr>
        <w:t xml:space="preserve"> district level</w:t>
      </w:r>
      <w:r w:rsidR="00742BF0" w:rsidRPr="007C0B4F">
        <w:rPr>
          <w:rFonts w:asciiTheme="minorHAnsi" w:hAnsiTheme="minorHAnsi" w:cstheme="minorHAnsi"/>
        </w:rPr>
        <w:t>s</w:t>
      </w:r>
      <w:r w:rsidR="00ED51F9" w:rsidRPr="007C0B4F">
        <w:rPr>
          <w:rFonts w:asciiTheme="minorHAnsi" w:hAnsiTheme="minorHAnsi" w:cstheme="minorHAnsi"/>
        </w:rPr>
        <w:t xml:space="preserve">; </w:t>
      </w:r>
      <w:r w:rsidR="00742BF0" w:rsidRPr="007C0B4F">
        <w:rPr>
          <w:rFonts w:asciiTheme="minorHAnsi" w:hAnsiTheme="minorHAnsi" w:cstheme="minorHAnsi"/>
        </w:rPr>
        <w:t xml:space="preserve">(iii) </w:t>
      </w:r>
      <w:r w:rsidR="00ED51F9" w:rsidRPr="007C0B4F">
        <w:rPr>
          <w:rFonts w:asciiTheme="minorHAnsi" w:hAnsiTheme="minorHAnsi" w:cstheme="minorHAnsi"/>
        </w:rPr>
        <w:t xml:space="preserve">guide the development </w:t>
      </w:r>
      <w:r w:rsidR="00742BF0" w:rsidRPr="007C0B4F">
        <w:rPr>
          <w:rFonts w:asciiTheme="minorHAnsi" w:hAnsiTheme="minorHAnsi" w:cstheme="minorHAnsi"/>
        </w:rPr>
        <w:t>and implementation of action research activities</w:t>
      </w:r>
      <w:r w:rsidR="00C4080C" w:rsidRPr="007C0B4F">
        <w:rPr>
          <w:rFonts w:asciiTheme="minorHAnsi" w:hAnsiTheme="minorHAnsi" w:cstheme="minorHAnsi"/>
        </w:rPr>
        <w:t xml:space="preserve"> (the</w:t>
      </w:r>
      <w:r w:rsidR="00742BF0" w:rsidRPr="007C0B4F">
        <w:rPr>
          <w:rFonts w:asciiTheme="minorHAnsi" w:hAnsiTheme="minorHAnsi" w:cstheme="minorHAnsi"/>
        </w:rPr>
        <w:t xml:space="preserve"> pilots</w:t>
      </w:r>
      <w:r w:rsidR="00C4080C" w:rsidRPr="007C0B4F">
        <w:rPr>
          <w:rFonts w:asciiTheme="minorHAnsi" w:hAnsiTheme="minorHAnsi" w:cstheme="minorHAnsi"/>
        </w:rPr>
        <w:t>)</w:t>
      </w:r>
      <w:r w:rsidR="00742BF0" w:rsidRPr="007C0B4F">
        <w:rPr>
          <w:rFonts w:asciiTheme="minorHAnsi" w:hAnsiTheme="minorHAnsi" w:cstheme="minorHAnsi"/>
        </w:rPr>
        <w:t xml:space="preserve">; (iv) </w:t>
      </w:r>
      <w:r w:rsidR="00ED51F9" w:rsidRPr="007C0B4F">
        <w:rPr>
          <w:rFonts w:asciiTheme="minorHAnsi" w:hAnsiTheme="minorHAnsi" w:cstheme="minorHAnsi"/>
        </w:rPr>
        <w:t xml:space="preserve">provide advice on the governance and financing issues that impact on innovation and change </w:t>
      </w:r>
      <w:r w:rsidR="00971658" w:rsidRPr="007C0B4F">
        <w:rPr>
          <w:rFonts w:asciiTheme="minorHAnsi" w:hAnsiTheme="minorHAnsi" w:cstheme="minorHAnsi"/>
        </w:rPr>
        <w:t>processes</w:t>
      </w:r>
      <w:r w:rsidR="00ED51F9" w:rsidRPr="007C0B4F">
        <w:rPr>
          <w:rFonts w:asciiTheme="minorHAnsi" w:hAnsiTheme="minorHAnsi" w:cstheme="minorHAnsi"/>
        </w:rPr>
        <w:t xml:space="preserve">; </w:t>
      </w:r>
      <w:r w:rsidR="00742BF0" w:rsidRPr="007C0B4F">
        <w:rPr>
          <w:rFonts w:asciiTheme="minorHAnsi" w:hAnsiTheme="minorHAnsi" w:cstheme="minorHAnsi"/>
        </w:rPr>
        <w:t xml:space="preserve">(v) </w:t>
      </w:r>
      <w:r w:rsidR="00B90048" w:rsidRPr="007C0B4F">
        <w:rPr>
          <w:rFonts w:asciiTheme="minorHAnsi" w:hAnsiTheme="minorHAnsi" w:cstheme="minorHAnsi"/>
        </w:rPr>
        <w:t xml:space="preserve">support rigorous monitoring and evaluation of pilots; and (vi) </w:t>
      </w:r>
      <w:r w:rsidR="00ED51F9" w:rsidRPr="007C0B4F">
        <w:rPr>
          <w:rFonts w:asciiTheme="minorHAnsi" w:hAnsiTheme="minorHAnsi" w:cstheme="minorHAnsi"/>
        </w:rPr>
        <w:t>extract key lessons and implement a continuous cycle of brief, timely reports for GoI and AusAID</w:t>
      </w:r>
      <w:r w:rsidR="00B90048" w:rsidRPr="007C0B4F">
        <w:rPr>
          <w:rFonts w:asciiTheme="minorHAnsi" w:hAnsiTheme="minorHAnsi" w:cstheme="minorHAnsi"/>
        </w:rPr>
        <w:t xml:space="preserve">.  </w:t>
      </w:r>
    </w:p>
    <w:p w14:paraId="475C9A57" w14:textId="77777777" w:rsidR="00633428" w:rsidRPr="007C0B4F" w:rsidRDefault="00633428" w:rsidP="00720B96">
      <w:pPr>
        <w:pStyle w:val="ListParagraph"/>
        <w:numPr>
          <w:ilvl w:val="0"/>
          <w:numId w:val="16"/>
        </w:numPr>
        <w:ind w:left="426"/>
        <w:rPr>
          <w:rFonts w:asciiTheme="minorHAnsi" w:hAnsiTheme="minorHAnsi" w:cstheme="minorHAnsi"/>
        </w:rPr>
      </w:pPr>
      <w:r w:rsidRPr="007C0B4F">
        <w:rPr>
          <w:rFonts w:asciiTheme="minorHAnsi" w:hAnsiTheme="minorHAnsi" w:cstheme="minorHAnsi"/>
          <w:b/>
        </w:rPr>
        <w:t>A capacity to interpret the political economy and to manage stakeholder relationships</w:t>
      </w:r>
      <w:r w:rsidR="002212B8" w:rsidRPr="007C0B4F">
        <w:rPr>
          <w:rFonts w:asciiTheme="minorHAnsi" w:hAnsiTheme="minorHAnsi" w:cstheme="minorHAnsi"/>
          <w:b/>
        </w:rPr>
        <w:t xml:space="preserve">: </w:t>
      </w:r>
      <w:r w:rsidR="002212B8" w:rsidRPr="007C0B4F">
        <w:rPr>
          <w:rFonts w:asciiTheme="minorHAnsi" w:hAnsiTheme="minorHAnsi" w:cstheme="minorHAnsi"/>
        </w:rPr>
        <w:t>It is anticipated that these tasks will be the responsibility of p</w:t>
      </w:r>
      <w:r w:rsidRPr="007C0B4F">
        <w:rPr>
          <w:rFonts w:asciiTheme="minorHAnsi" w:hAnsiTheme="minorHAnsi" w:cstheme="minorHAnsi"/>
        </w:rPr>
        <w:t xml:space="preserve">rovincial level coordinators </w:t>
      </w:r>
      <w:r w:rsidR="002212B8" w:rsidRPr="007C0B4F">
        <w:rPr>
          <w:rFonts w:asciiTheme="minorHAnsi" w:hAnsiTheme="minorHAnsi" w:cstheme="minorHAnsi"/>
        </w:rPr>
        <w:t xml:space="preserve">who </w:t>
      </w:r>
      <w:r w:rsidR="00971658" w:rsidRPr="007C0B4F">
        <w:rPr>
          <w:rFonts w:asciiTheme="minorHAnsi" w:hAnsiTheme="minorHAnsi" w:cstheme="minorHAnsi"/>
        </w:rPr>
        <w:t>are</w:t>
      </w:r>
      <w:r w:rsidR="002212B8" w:rsidRPr="007C0B4F">
        <w:rPr>
          <w:rFonts w:asciiTheme="minorHAnsi" w:hAnsiTheme="minorHAnsi" w:cstheme="minorHAnsi"/>
        </w:rPr>
        <w:t xml:space="preserve"> able to </w:t>
      </w:r>
      <w:r w:rsidRPr="007C0B4F">
        <w:rPr>
          <w:rFonts w:asciiTheme="minorHAnsi" w:hAnsiTheme="minorHAnsi" w:cstheme="minorHAnsi"/>
        </w:rPr>
        <w:t xml:space="preserve">utilise </w:t>
      </w:r>
      <w:r w:rsidR="002212B8" w:rsidRPr="007C0B4F">
        <w:rPr>
          <w:rFonts w:asciiTheme="minorHAnsi" w:hAnsiTheme="minorHAnsi" w:cstheme="minorHAnsi"/>
        </w:rPr>
        <w:t xml:space="preserve">resources within their own Province to facilitate and maintain a process that ensures that the facility is </w:t>
      </w:r>
      <w:r w:rsidR="00E51895" w:rsidRPr="007C0B4F">
        <w:rPr>
          <w:rFonts w:asciiTheme="minorHAnsi" w:hAnsiTheme="minorHAnsi" w:cstheme="minorHAnsi"/>
        </w:rPr>
        <w:t xml:space="preserve">well versed in the political and budget realities of </w:t>
      </w:r>
      <w:r w:rsidR="002212B8" w:rsidRPr="007C0B4F">
        <w:rPr>
          <w:rFonts w:asciiTheme="minorHAnsi" w:hAnsiTheme="minorHAnsi" w:cstheme="minorHAnsi"/>
        </w:rPr>
        <w:t>education activity in the province</w:t>
      </w:r>
      <w:r w:rsidR="00E51895" w:rsidRPr="007C0B4F">
        <w:rPr>
          <w:rFonts w:asciiTheme="minorHAnsi" w:hAnsiTheme="minorHAnsi" w:cstheme="minorHAnsi"/>
        </w:rPr>
        <w:t xml:space="preserve">.   The Provincial Coordinator in the hub province will have lead </w:t>
      </w:r>
      <w:r w:rsidR="00971658" w:rsidRPr="007C0B4F">
        <w:rPr>
          <w:rFonts w:asciiTheme="minorHAnsi" w:hAnsiTheme="minorHAnsi" w:cstheme="minorHAnsi"/>
        </w:rPr>
        <w:t>responsibility</w:t>
      </w:r>
      <w:r w:rsidR="00E51895" w:rsidRPr="007C0B4F">
        <w:rPr>
          <w:rFonts w:asciiTheme="minorHAnsi" w:hAnsiTheme="minorHAnsi" w:cstheme="minorHAnsi"/>
        </w:rPr>
        <w:t xml:space="preserve"> in this area. </w:t>
      </w:r>
    </w:p>
    <w:p w14:paraId="475C9A58" w14:textId="77777777" w:rsidR="00633428" w:rsidRPr="007C0B4F" w:rsidRDefault="00E51895" w:rsidP="00720B96">
      <w:pPr>
        <w:pStyle w:val="ListParagraph"/>
        <w:numPr>
          <w:ilvl w:val="0"/>
          <w:numId w:val="16"/>
        </w:numPr>
        <w:ind w:left="426"/>
        <w:rPr>
          <w:rFonts w:asciiTheme="minorHAnsi" w:hAnsiTheme="minorHAnsi" w:cstheme="minorHAnsi"/>
        </w:rPr>
      </w:pPr>
      <w:r w:rsidRPr="007C0B4F">
        <w:rPr>
          <w:rFonts w:asciiTheme="minorHAnsi" w:hAnsiTheme="minorHAnsi" w:cstheme="minorHAnsi"/>
          <w:b/>
        </w:rPr>
        <w:t>Af</w:t>
      </w:r>
      <w:r w:rsidR="00633428" w:rsidRPr="007C0B4F">
        <w:rPr>
          <w:rFonts w:asciiTheme="minorHAnsi" w:hAnsiTheme="minorHAnsi" w:cstheme="minorHAnsi"/>
          <w:b/>
        </w:rPr>
        <w:t>filiation with one or more international partners who are active in research that sheds light on enhancing quality in the classroom</w:t>
      </w:r>
      <w:r w:rsidRPr="007C0B4F">
        <w:rPr>
          <w:rFonts w:asciiTheme="minorHAnsi" w:hAnsiTheme="minorHAnsi" w:cstheme="minorHAnsi"/>
        </w:rPr>
        <w:t xml:space="preserve">.  While a number of </w:t>
      </w:r>
      <w:r w:rsidR="009D4810" w:rsidRPr="007C0B4F">
        <w:rPr>
          <w:rFonts w:asciiTheme="minorHAnsi" w:hAnsiTheme="minorHAnsi" w:cstheme="minorHAnsi"/>
        </w:rPr>
        <w:t>organisations</w:t>
      </w:r>
      <w:r w:rsidRPr="007C0B4F">
        <w:rPr>
          <w:rFonts w:asciiTheme="minorHAnsi" w:hAnsiTheme="minorHAnsi" w:cstheme="minorHAnsi"/>
        </w:rPr>
        <w:t xml:space="preserve"> fit this bill, potential partners </w:t>
      </w:r>
      <w:r w:rsidR="009D4810" w:rsidRPr="007C0B4F">
        <w:rPr>
          <w:rFonts w:asciiTheme="minorHAnsi" w:hAnsiTheme="minorHAnsi" w:cstheme="minorHAnsi"/>
        </w:rPr>
        <w:t>include</w:t>
      </w:r>
      <w:r w:rsidRPr="007C0B4F">
        <w:rPr>
          <w:rFonts w:asciiTheme="minorHAnsi" w:hAnsiTheme="minorHAnsi" w:cstheme="minorHAnsi"/>
        </w:rPr>
        <w:t xml:space="preserve"> </w:t>
      </w:r>
      <w:r w:rsidR="00971658" w:rsidRPr="007C0B4F">
        <w:rPr>
          <w:rFonts w:asciiTheme="minorHAnsi" w:hAnsiTheme="minorHAnsi" w:cstheme="minorHAnsi"/>
        </w:rPr>
        <w:t xml:space="preserve">the </w:t>
      </w:r>
      <w:r w:rsidR="00633428" w:rsidRPr="007C0B4F">
        <w:rPr>
          <w:rFonts w:asciiTheme="minorHAnsi" w:hAnsiTheme="minorHAnsi" w:cstheme="minorHAnsi"/>
        </w:rPr>
        <w:t>Jameel Poverty Action Lab (J-P</w:t>
      </w:r>
      <w:r w:rsidR="00DB61CF" w:rsidRPr="007C0B4F">
        <w:rPr>
          <w:rFonts w:asciiTheme="minorHAnsi" w:hAnsiTheme="minorHAnsi" w:cstheme="minorHAnsi"/>
        </w:rPr>
        <w:t>AL</w:t>
      </w:r>
      <w:r w:rsidR="00633428" w:rsidRPr="007C0B4F">
        <w:rPr>
          <w:rFonts w:asciiTheme="minorHAnsi" w:hAnsiTheme="minorHAnsi" w:cstheme="minorHAnsi"/>
        </w:rPr>
        <w:t>)</w:t>
      </w:r>
      <w:r w:rsidR="00DB61CF" w:rsidRPr="007C0B4F">
        <w:rPr>
          <w:rFonts w:asciiTheme="minorHAnsi" w:hAnsiTheme="minorHAnsi" w:cstheme="minorHAnsi"/>
        </w:rPr>
        <w:t xml:space="preserve"> which has recently established an office in Indonesia</w:t>
      </w:r>
      <w:r w:rsidRPr="007C0B4F">
        <w:rPr>
          <w:rFonts w:asciiTheme="minorHAnsi" w:hAnsiTheme="minorHAnsi" w:cstheme="minorHAnsi"/>
        </w:rPr>
        <w:t>, Consortium</w:t>
      </w:r>
      <w:r w:rsidR="00633428" w:rsidRPr="007C0B4F">
        <w:rPr>
          <w:rFonts w:asciiTheme="minorHAnsi" w:hAnsiTheme="minorHAnsi" w:cstheme="minorHAnsi"/>
        </w:rPr>
        <w:t xml:space="preserve"> for Education Access, Transitions and Equity (CREATE) </w:t>
      </w:r>
      <w:r w:rsidR="00971658" w:rsidRPr="007C0B4F">
        <w:rPr>
          <w:rFonts w:asciiTheme="minorHAnsi" w:hAnsiTheme="minorHAnsi" w:cstheme="minorHAnsi"/>
        </w:rPr>
        <w:t>and</w:t>
      </w:r>
      <w:r w:rsidR="00633428" w:rsidRPr="007C0B4F">
        <w:rPr>
          <w:rFonts w:asciiTheme="minorHAnsi" w:hAnsiTheme="minorHAnsi" w:cstheme="minorHAnsi"/>
        </w:rPr>
        <w:t xml:space="preserve"> the Australian Council for</w:t>
      </w:r>
      <w:r w:rsidRPr="007C0B4F">
        <w:rPr>
          <w:rFonts w:asciiTheme="minorHAnsi" w:hAnsiTheme="minorHAnsi" w:cstheme="minorHAnsi"/>
        </w:rPr>
        <w:t xml:space="preserve"> Educational Research (ACER) – all of whom AusAID has a working relationship with.</w:t>
      </w:r>
    </w:p>
    <w:p w14:paraId="475C9A59" w14:textId="77777777" w:rsidR="005F5F4A" w:rsidRPr="007C0B4F" w:rsidRDefault="00633428" w:rsidP="00720B96">
      <w:pPr>
        <w:pStyle w:val="ListParagraph"/>
        <w:numPr>
          <w:ilvl w:val="0"/>
          <w:numId w:val="16"/>
        </w:numPr>
        <w:ind w:left="426"/>
        <w:rPr>
          <w:rFonts w:asciiTheme="minorHAnsi" w:hAnsiTheme="minorHAnsi" w:cstheme="minorHAnsi"/>
        </w:rPr>
      </w:pPr>
      <w:r w:rsidRPr="007C0B4F">
        <w:rPr>
          <w:rFonts w:asciiTheme="minorHAnsi" w:hAnsiTheme="minorHAnsi" w:cstheme="minorHAnsi"/>
          <w:b/>
        </w:rPr>
        <w:t>Strong financial management capacity</w:t>
      </w:r>
      <w:r w:rsidRPr="007C0B4F">
        <w:rPr>
          <w:rFonts w:asciiTheme="minorHAnsi" w:hAnsiTheme="minorHAnsi" w:cstheme="minorHAnsi"/>
        </w:rPr>
        <w:t xml:space="preserve">:  </w:t>
      </w:r>
      <w:r w:rsidR="00DB61CF" w:rsidRPr="007C0B4F">
        <w:rPr>
          <w:rFonts w:asciiTheme="minorHAnsi" w:hAnsiTheme="minorHAnsi" w:cstheme="minorHAnsi"/>
        </w:rPr>
        <w:t>a</w:t>
      </w:r>
      <w:r w:rsidRPr="007C0B4F">
        <w:rPr>
          <w:rFonts w:asciiTheme="minorHAnsi" w:hAnsiTheme="minorHAnsi" w:cstheme="minorHAnsi"/>
        </w:rPr>
        <w:t>lso essential</w:t>
      </w:r>
      <w:r w:rsidR="00971658" w:rsidRPr="007C0B4F">
        <w:rPr>
          <w:rFonts w:asciiTheme="minorHAnsi" w:hAnsiTheme="minorHAnsi" w:cstheme="minorHAnsi"/>
        </w:rPr>
        <w:t xml:space="preserve"> will be </w:t>
      </w:r>
      <w:r w:rsidRPr="007C0B4F">
        <w:rPr>
          <w:rFonts w:asciiTheme="minorHAnsi" w:hAnsiTheme="minorHAnsi" w:cstheme="minorHAnsi"/>
        </w:rPr>
        <w:t xml:space="preserve">an experienced </w:t>
      </w:r>
      <w:r w:rsidR="005F5F4A" w:rsidRPr="007C0B4F">
        <w:rPr>
          <w:rFonts w:asciiTheme="minorHAnsi" w:hAnsiTheme="minorHAnsi" w:cstheme="minorHAnsi"/>
        </w:rPr>
        <w:t xml:space="preserve">core financial management </w:t>
      </w:r>
      <w:r w:rsidR="00934DB7" w:rsidRPr="007C0B4F">
        <w:rPr>
          <w:rFonts w:asciiTheme="minorHAnsi" w:hAnsiTheme="minorHAnsi" w:cstheme="minorHAnsi"/>
        </w:rPr>
        <w:t xml:space="preserve">and administrative </w:t>
      </w:r>
      <w:r w:rsidR="005F5F4A" w:rsidRPr="007C0B4F">
        <w:rPr>
          <w:rFonts w:asciiTheme="minorHAnsi" w:hAnsiTheme="minorHAnsi" w:cstheme="minorHAnsi"/>
        </w:rPr>
        <w:t xml:space="preserve">team </w:t>
      </w:r>
      <w:r w:rsidR="00971658" w:rsidRPr="007C0B4F">
        <w:rPr>
          <w:rFonts w:asciiTheme="minorHAnsi" w:hAnsiTheme="minorHAnsi" w:cstheme="minorHAnsi"/>
        </w:rPr>
        <w:t xml:space="preserve">at the hub province </w:t>
      </w:r>
      <w:r w:rsidR="005F5F4A" w:rsidRPr="007C0B4F">
        <w:rPr>
          <w:rFonts w:asciiTheme="minorHAnsi" w:hAnsiTheme="minorHAnsi" w:cstheme="minorHAnsi"/>
        </w:rPr>
        <w:t xml:space="preserve">to manage </w:t>
      </w:r>
      <w:r w:rsidR="004D614E" w:rsidRPr="007C0B4F">
        <w:rPr>
          <w:rFonts w:asciiTheme="minorHAnsi" w:hAnsiTheme="minorHAnsi" w:cstheme="minorHAnsi"/>
        </w:rPr>
        <w:t xml:space="preserve">resources (e.g. staff, logistics, </w:t>
      </w:r>
      <w:r w:rsidR="005F5F4A" w:rsidRPr="007C0B4F">
        <w:rPr>
          <w:rFonts w:asciiTheme="minorHAnsi" w:hAnsiTheme="minorHAnsi" w:cstheme="minorHAnsi"/>
        </w:rPr>
        <w:t>grants</w:t>
      </w:r>
      <w:r w:rsidR="004D614E" w:rsidRPr="007C0B4F">
        <w:rPr>
          <w:rFonts w:asciiTheme="minorHAnsi" w:hAnsiTheme="minorHAnsi" w:cstheme="minorHAnsi"/>
        </w:rPr>
        <w:t>,</w:t>
      </w:r>
      <w:r w:rsidR="005F5F4A" w:rsidRPr="007C0B4F">
        <w:rPr>
          <w:rFonts w:asciiTheme="minorHAnsi" w:hAnsiTheme="minorHAnsi" w:cstheme="minorHAnsi"/>
        </w:rPr>
        <w:t xml:space="preserve"> procurement</w:t>
      </w:r>
      <w:r w:rsidR="004D614E" w:rsidRPr="007C0B4F">
        <w:rPr>
          <w:rFonts w:asciiTheme="minorHAnsi" w:hAnsiTheme="minorHAnsi" w:cstheme="minorHAnsi"/>
        </w:rPr>
        <w:t>, etc</w:t>
      </w:r>
      <w:r w:rsidRPr="007C0B4F">
        <w:rPr>
          <w:rFonts w:asciiTheme="minorHAnsi" w:hAnsiTheme="minorHAnsi" w:cstheme="minorHAnsi"/>
        </w:rPr>
        <w:t>.</w:t>
      </w:r>
      <w:r w:rsidR="004D614E" w:rsidRPr="007C0B4F">
        <w:rPr>
          <w:rFonts w:asciiTheme="minorHAnsi" w:hAnsiTheme="minorHAnsi" w:cstheme="minorHAnsi"/>
        </w:rPr>
        <w:t>)</w:t>
      </w:r>
      <w:r w:rsidRPr="007C0B4F">
        <w:rPr>
          <w:rFonts w:asciiTheme="minorHAnsi" w:hAnsiTheme="minorHAnsi" w:cstheme="minorHAnsi"/>
        </w:rPr>
        <w:t>.</w:t>
      </w:r>
      <w:r w:rsidR="005F5F4A" w:rsidRPr="007C0B4F">
        <w:rPr>
          <w:rFonts w:asciiTheme="minorHAnsi" w:hAnsiTheme="minorHAnsi" w:cstheme="minorHAnsi"/>
        </w:rPr>
        <w:t xml:space="preserve"> </w:t>
      </w:r>
    </w:p>
    <w:p w14:paraId="475C9A5A" w14:textId="77777777" w:rsidR="005F5F4A" w:rsidRPr="007C0B4F" w:rsidRDefault="00633428" w:rsidP="00720B96">
      <w:pPr>
        <w:pStyle w:val="ListParagraph"/>
        <w:numPr>
          <w:ilvl w:val="0"/>
          <w:numId w:val="16"/>
        </w:numPr>
        <w:ind w:left="426"/>
        <w:rPr>
          <w:rFonts w:asciiTheme="minorHAnsi" w:hAnsiTheme="minorHAnsi" w:cstheme="minorHAnsi"/>
        </w:rPr>
      </w:pPr>
      <w:r w:rsidRPr="007C0B4F">
        <w:rPr>
          <w:rFonts w:asciiTheme="minorHAnsi" w:hAnsiTheme="minorHAnsi" w:cstheme="minorHAnsi"/>
          <w:b/>
        </w:rPr>
        <w:t>A strong communication and learning focus</w:t>
      </w:r>
      <w:r w:rsidRPr="007C0B4F">
        <w:rPr>
          <w:rFonts w:asciiTheme="minorHAnsi" w:hAnsiTheme="minorHAnsi" w:cstheme="minorHAnsi"/>
        </w:rPr>
        <w:t>: C</w:t>
      </w:r>
      <w:r w:rsidR="005F5F4A" w:rsidRPr="007C0B4F">
        <w:rPr>
          <w:rFonts w:asciiTheme="minorHAnsi" w:hAnsiTheme="minorHAnsi" w:cstheme="minorHAnsi"/>
        </w:rPr>
        <w:t xml:space="preserve">ommunications and knowledge management expertise located at the hub province </w:t>
      </w:r>
      <w:r w:rsidRPr="007C0B4F">
        <w:rPr>
          <w:rFonts w:asciiTheme="minorHAnsi" w:hAnsiTheme="minorHAnsi" w:cstheme="minorHAnsi"/>
        </w:rPr>
        <w:t xml:space="preserve">must be able to </w:t>
      </w:r>
      <w:r w:rsidR="005F5F4A" w:rsidRPr="007C0B4F">
        <w:rPr>
          <w:rFonts w:asciiTheme="minorHAnsi" w:hAnsiTheme="minorHAnsi" w:cstheme="minorHAnsi"/>
        </w:rPr>
        <w:t xml:space="preserve">continuously feed information back into the </w:t>
      </w:r>
      <w:r w:rsidR="00B90048" w:rsidRPr="007C0B4F">
        <w:rPr>
          <w:rFonts w:asciiTheme="minorHAnsi" w:hAnsiTheme="minorHAnsi" w:cstheme="minorHAnsi"/>
        </w:rPr>
        <w:t xml:space="preserve">education </w:t>
      </w:r>
      <w:r w:rsidR="005F5F4A" w:rsidRPr="007C0B4F">
        <w:rPr>
          <w:rFonts w:asciiTheme="minorHAnsi" w:hAnsiTheme="minorHAnsi" w:cstheme="minorHAnsi"/>
        </w:rPr>
        <w:t>system at all levels and to AusAID</w:t>
      </w:r>
      <w:r w:rsidRPr="007C0B4F">
        <w:rPr>
          <w:rFonts w:asciiTheme="minorHAnsi" w:hAnsiTheme="minorHAnsi" w:cstheme="minorHAnsi"/>
        </w:rPr>
        <w:t>.</w:t>
      </w:r>
      <w:r w:rsidR="00971658" w:rsidRPr="007C0B4F">
        <w:rPr>
          <w:rFonts w:asciiTheme="minorHAnsi" w:hAnsiTheme="minorHAnsi" w:cstheme="minorHAnsi"/>
        </w:rPr>
        <w:t xml:space="preserve"> This is central to the work of the Facility.</w:t>
      </w:r>
    </w:p>
    <w:p w14:paraId="475C9A5B" w14:textId="77777777" w:rsidR="00A117FD" w:rsidRPr="007C0B4F" w:rsidRDefault="00E51895" w:rsidP="00D22745">
      <w:pPr>
        <w:rPr>
          <w:rFonts w:asciiTheme="minorHAnsi" w:hAnsiTheme="minorHAnsi" w:cstheme="minorHAnsi"/>
        </w:rPr>
      </w:pPr>
      <w:r w:rsidRPr="007C0B4F">
        <w:rPr>
          <w:rFonts w:asciiTheme="minorHAnsi" w:hAnsiTheme="minorHAnsi" w:cstheme="minorHAnsi"/>
        </w:rPr>
        <w:t xml:space="preserve">Assuming a contractor will be engaged to </w:t>
      </w:r>
      <w:r w:rsidR="00A117FD" w:rsidRPr="007C0B4F">
        <w:rPr>
          <w:rFonts w:asciiTheme="minorHAnsi" w:hAnsiTheme="minorHAnsi" w:cstheme="minorHAnsi"/>
        </w:rPr>
        <w:t xml:space="preserve">implement the Facility, </w:t>
      </w:r>
      <w:r w:rsidR="00A117FD" w:rsidRPr="007C0B4F">
        <w:rPr>
          <w:rFonts w:asciiTheme="minorHAnsi" w:hAnsiTheme="minorHAnsi" w:cstheme="minorHAnsi"/>
          <w:b/>
        </w:rPr>
        <w:t xml:space="preserve">the </w:t>
      </w:r>
      <w:r w:rsidR="005F5F4A" w:rsidRPr="007C0B4F">
        <w:rPr>
          <w:rFonts w:asciiTheme="minorHAnsi" w:hAnsiTheme="minorHAnsi" w:cstheme="minorHAnsi"/>
          <w:b/>
        </w:rPr>
        <w:t>respective roles of AusAID and the contractor need to be clearly defined</w:t>
      </w:r>
      <w:r w:rsidR="005F5F4A" w:rsidRPr="007C0B4F">
        <w:rPr>
          <w:rFonts w:asciiTheme="minorHAnsi" w:hAnsiTheme="minorHAnsi" w:cstheme="minorHAnsi"/>
        </w:rPr>
        <w:t xml:space="preserve">. </w:t>
      </w:r>
      <w:r w:rsidR="00D418D8" w:rsidRPr="007C0B4F">
        <w:rPr>
          <w:rFonts w:asciiTheme="minorHAnsi" w:hAnsiTheme="minorHAnsi" w:cstheme="minorHAnsi"/>
        </w:rPr>
        <w:t xml:space="preserve"> </w:t>
      </w:r>
      <w:r w:rsidR="005F5F4A" w:rsidRPr="007C0B4F">
        <w:rPr>
          <w:rFonts w:asciiTheme="minorHAnsi" w:hAnsiTheme="minorHAnsi" w:cstheme="minorHAnsi"/>
        </w:rPr>
        <w:t xml:space="preserve">In brief, </w:t>
      </w:r>
      <w:r w:rsidR="00A117FD" w:rsidRPr="007C0B4F">
        <w:rPr>
          <w:rFonts w:asciiTheme="minorHAnsi" w:hAnsiTheme="minorHAnsi" w:cstheme="minorHAnsi"/>
        </w:rPr>
        <w:t xml:space="preserve">it is expected that </w:t>
      </w:r>
      <w:r w:rsidR="005F5F4A" w:rsidRPr="007C0B4F">
        <w:rPr>
          <w:rFonts w:asciiTheme="minorHAnsi" w:hAnsiTheme="minorHAnsi" w:cstheme="minorHAnsi"/>
        </w:rPr>
        <w:t xml:space="preserve">the contractor’s role </w:t>
      </w:r>
      <w:r w:rsidR="00CE56AB" w:rsidRPr="007C0B4F">
        <w:rPr>
          <w:rFonts w:asciiTheme="minorHAnsi" w:hAnsiTheme="minorHAnsi" w:cstheme="minorHAnsi"/>
        </w:rPr>
        <w:t xml:space="preserve">would </w:t>
      </w:r>
      <w:r w:rsidR="00D418D8" w:rsidRPr="007C0B4F">
        <w:rPr>
          <w:rFonts w:asciiTheme="minorHAnsi" w:hAnsiTheme="minorHAnsi" w:cstheme="minorHAnsi"/>
        </w:rPr>
        <w:t xml:space="preserve">be </w:t>
      </w:r>
      <w:r w:rsidR="005F5F4A" w:rsidRPr="007C0B4F">
        <w:rPr>
          <w:rFonts w:asciiTheme="minorHAnsi" w:hAnsiTheme="minorHAnsi" w:cstheme="minorHAnsi"/>
        </w:rPr>
        <w:t xml:space="preserve">to ensure </w:t>
      </w:r>
      <w:r w:rsidR="00CE56AB" w:rsidRPr="007C0B4F">
        <w:rPr>
          <w:rFonts w:asciiTheme="minorHAnsi" w:hAnsiTheme="minorHAnsi" w:cstheme="minorHAnsi"/>
        </w:rPr>
        <w:t xml:space="preserve">that </w:t>
      </w:r>
      <w:r w:rsidR="005F5F4A" w:rsidRPr="007C0B4F">
        <w:rPr>
          <w:rFonts w:asciiTheme="minorHAnsi" w:hAnsiTheme="minorHAnsi" w:cstheme="minorHAnsi"/>
        </w:rPr>
        <w:t xml:space="preserve">the </w:t>
      </w:r>
      <w:r w:rsidR="00D418D8" w:rsidRPr="007C0B4F">
        <w:rPr>
          <w:rFonts w:asciiTheme="minorHAnsi" w:hAnsiTheme="minorHAnsi" w:cstheme="minorHAnsi"/>
        </w:rPr>
        <w:t>F</w:t>
      </w:r>
      <w:r w:rsidR="005F5F4A" w:rsidRPr="007C0B4F">
        <w:rPr>
          <w:rFonts w:asciiTheme="minorHAnsi" w:hAnsiTheme="minorHAnsi" w:cstheme="minorHAnsi"/>
        </w:rPr>
        <w:t xml:space="preserve">acility </w:t>
      </w:r>
      <w:r w:rsidR="00A117FD" w:rsidRPr="007C0B4F">
        <w:rPr>
          <w:rFonts w:asciiTheme="minorHAnsi" w:hAnsiTheme="minorHAnsi" w:cstheme="minorHAnsi"/>
        </w:rPr>
        <w:t xml:space="preserve">(i) </w:t>
      </w:r>
      <w:r w:rsidR="005F5F4A" w:rsidRPr="007C0B4F">
        <w:rPr>
          <w:rFonts w:asciiTheme="minorHAnsi" w:hAnsiTheme="minorHAnsi" w:cstheme="minorHAnsi"/>
        </w:rPr>
        <w:t>operates effectively</w:t>
      </w:r>
      <w:r w:rsidR="00971658" w:rsidRPr="007C0B4F">
        <w:rPr>
          <w:rFonts w:asciiTheme="minorHAnsi" w:hAnsiTheme="minorHAnsi" w:cstheme="minorHAnsi"/>
        </w:rPr>
        <w:t xml:space="preserve">, efficiently and on schedule, </w:t>
      </w:r>
      <w:r w:rsidR="00A117FD" w:rsidRPr="007C0B4F">
        <w:rPr>
          <w:rFonts w:asciiTheme="minorHAnsi" w:hAnsiTheme="minorHAnsi" w:cstheme="minorHAnsi"/>
        </w:rPr>
        <w:t xml:space="preserve">and (ii) </w:t>
      </w:r>
      <w:r w:rsidR="005F5F4A" w:rsidRPr="007C0B4F">
        <w:rPr>
          <w:rFonts w:asciiTheme="minorHAnsi" w:hAnsiTheme="minorHAnsi" w:cstheme="minorHAnsi"/>
        </w:rPr>
        <w:t>provide</w:t>
      </w:r>
      <w:r w:rsidR="00A117FD" w:rsidRPr="007C0B4F">
        <w:rPr>
          <w:rFonts w:asciiTheme="minorHAnsi" w:hAnsiTheme="minorHAnsi" w:cstheme="minorHAnsi"/>
        </w:rPr>
        <w:t>s</w:t>
      </w:r>
      <w:r w:rsidR="005F5F4A" w:rsidRPr="007C0B4F">
        <w:rPr>
          <w:rFonts w:asciiTheme="minorHAnsi" w:hAnsiTheme="minorHAnsi" w:cstheme="minorHAnsi"/>
        </w:rPr>
        <w:t xml:space="preserve"> </w:t>
      </w:r>
      <w:r w:rsidR="00CE56AB" w:rsidRPr="007C0B4F">
        <w:rPr>
          <w:rFonts w:asciiTheme="minorHAnsi" w:hAnsiTheme="minorHAnsi" w:cstheme="minorHAnsi"/>
        </w:rPr>
        <w:t xml:space="preserve">both </w:t>
      </w:r>
      <w:r w:rsidR="005F5F4A" w:rsidRPr="007C0B4F">
        <w:rPr>
          <w:rFonts w:asciiTheme="minorHAnsi" w:hAnsiTheme="minorHAnsi" w:cstheme="minorHAnsi"/>
        </w:rPr>
        <w:t xml:space="preserve">AusAID and </w:t>
      </w:r>
      <w:r w:rsidR="00CE56AB" w:rsidRPr="007C0B4F">
        <w:rPr>
          <w:rFonts w:asciiTheme="minorHAnsi" w:hAnsiTheme="minorHAnsi" w:cstheme="minorHAnsi"/>
        </w:rPr>
        <w:t xml:space="preserve">GoI stakeholders </w:t>
      </w:r>
      <w:r w:rsidR="005F5F4A" w:rsidRPr="007C0B4F">
        <w:rPr>
          <w:rFonts w:asciiTheme="minorHAnsi" w:hAnsiTheme="minorHAnsi" w:cstheme="minorHAnsi"/>
        </w:rPr>
        <w:t xml:space="preserve">with knowledge </w:t>
      </w:r>
      <w:r w:rsidR="00CE56AB" w:rsidRPr="007C0B4F">
        <w:rPr>
          <w:rFonts w:asciiTheme="minorHAnsi" w:hAnsiTheme="minorHAnsi" w:cstheme="minorHAnsi"/>
        </w:rPr>
        <w:t>products (</w:t>
      </w:r>
      <w:r w:rsidR="005F5F4A" w:rsidRPr="007C0B4F">
        <w:rPr>
          <w:rFonts w:asciiTheme="minorHAnsi" w:hAnsiTheme="minorHAnsi" w:cstheme="minorHAnsi"/>
        </w:rPr>
        <w:t>in useful formats</w:t>
      </w:r>
      <w:r w:rsidR="00CE56AB" w:rsidRPr="007C0B4F">
        <w:rPr>
          <w:rFonts w:asciiTheme="minorHAnsi" w:hAnsiTheme="minorHAnsi" w:cstheme="minorHAnsi"/>
        </w:rPr>
        <w:t>)</w:t>
      </w:r>
      <w:r w:rsidR="005F5F4A" w:rsidRPr="007C0B4F">
        <w:rPr>
          <w:rFonts w:asciiTheme="minorHAnsi" w:hAnsiTheme="minorHAnsi" w:cstheme="minorHAnsi"/>
        </w:rPr>
        <w:t xml:space="preserve"> which support </w:t>
      </w:r>
      <w:r w:rsidR="00CE56AB" w:rsidRPr="007C0B4F">
        <w:rPr>
          <w:rFonts w:asciiTheme="minorHAnsi" w:hAnsiTheme="minorHAnsi" w:cstheme="minorHAnsi"/>
        </w:rPr>
        <w:t xml:space="preserve">learning, </w:t>
      </w:r>
      <w:r w:rsidR="005F5F4A" w:rsidRPr="007C0B4F">
        <w:rPr>
          <w:rFonts w:asciiTheme="minorHAnsi" w:hAnsiTheme="minorHAnsi" w:cstheme="minorHAnsi"/>
        </w:rPr>
        <w:t xml:space="preserve">policy dialogue and </w:t>
      </w:r>
      <w:r w:rsidR="00CE56AB" w:rsidRPr="007C0B4F">
        <w:rPr>
          <w:rFonts w:asciiTheme="minorHAnsi" w:hAnsiTheme="minorHAnsi" w:cstheme="minorHAnsi"/>
        </w:rPr>
        <w:t xml:space="preserve">action that contribute to improved learning outcomes in schools.  </w:t>
      </w:r>
    </w:p>
    <w:p w14:paraId="475C9A5C" w14:textId="77777777" w:rsidR="00E530C0" w:rsidRPr="007C0B4F" w:rsidRDefault="005F5F4A" w:rsidP="00E530C0">
      <w:pPr>
        <w:rPr>
          <w:rFonts w:asciiTheme="minorHAnsi" w:hAnsiTheme="minorHAnsi" w:cstheme="minorHAnsi"/>
          <w:lang w:val="en-GB"/>
        </w:rPr>
      </w:pPr>
      <w:r w:rsidRPr="007C0B4F">
        <w:rPr>
          <w:rFonts w:asciiTheme="minorHAnsi" w:hAnsiTheme="minorHAnsi" w:cstheme="minorHAnsi"/>
          <w:b/>
        </w:rPr>
        <w:t xml:space="preserve">AusAID’s role </w:t>
      </w:r>
      <w:r w:rsidR="00D418D8" w:rsidRPr="007C0B4F">
        <w:rPr>
          <w:rFonts w:asciiTheme="minorHAnsi" w:hAnsiTheme="minorHAnsi" w:cstheme="minorHAnsi"/>
          <w:b/>
        </w:rPr>
        <w:t xml:space="preserve">will </w:t>
      </w:r>
      <w:r w:rsidRPr="007C0B4F">
        <w:rPr>
          <w:rFonts w:asciiTheme="minorHAnsi" w:hAnsiTheme="minorHAnsi" w:cstheme="minorHAnsi"/>
          <w:b/>
        </w:rPr>
        <w:t xml:space="preserve">be </w:t>
      </w:r>
      <w:r w:rsidR="00A117FD" w:rsidRPr="007C0B4F">
        <w:rPr>
          <w:rFonts w:asciiTheme="minorHAnsi" w:hAnsiTheme="minorHAnsi" w:cstheme="minorHAnsi"/>
          <w:b/>
        </w:rPr>
        <w:t>t</w:t>
      </w:r>
      <w:r w:rsidR="00971658" w:rsidRPr="007C0B4F">
        <w:rPr>
          <w:rFonts w:asciiTheme="minorHAnsi" w:hAnsiTheme="minorHAnsi" w:cstheme="minorHAnsi"/>
          <w:b/>
        </w:rPr>
        <w:t>hree</w:t>
      </w:r>
      <w:r w:rsidR="00A117FD" w:rsidRPr="007C0B4F">
        <w:rPr>
          <w:rFonts w:asciiTheme="minorHAnsi" w:hAnsiTheme="minorHAnsi" w:cstheme="minorHAnsi"/>
          <w:b/>
        </w:rPr>
        <w:t xml:space="preserve">fold: </w:t>
      </w:r>
      <w:r w:rsidR="00971658" w:rsidRPr="007C0B4F">
        <w:rPr>
          <w:rFonts w:asciiTheme="minorHAnsi" w:hAnsiTheme="minorHAnsi" w:cstheme="minorHAnsi"/>
          <w:b/>
        </w:rPr>
        <w:t xml:space="preserve">(i) to be part of the processes that governs the Facility and determine its research program; (ii) </w:t>
      </w:r>
      <w:r w:rsidR="00A117FD" w:rsidRPr="007C0B4F">
        <w:rPr>
          <w:rFonts w:asciiTheme="minorHAnsi" w:hAnsiTheme="minorHAnsi" w:cstheme="minorHAnsi"/>
          <w:b/>
        </w:rPr>
        <w:t xml:space="preserve">to </w:t>
      </w:r>
      <w:r w:rsidR="00D418D8" w:rsidRPr="007C0B4F">
        <w:rPr>
          <w:rFonts w:asciiTheme="minorHAnsi" w:hAnsiTheme="minorHAnsi" w:cstheme="minorHAnsi"/>
          <w:b/>
        </w:rPr>
        <w:t xml:space="preserve">engage with GoI in </w:t>
      </w:r>
      <w:r w:rsidR="00CE56AB" w:rsidRPr="007C0B4F">
        <w:rPr>
          <w:rFonts w:asciiTheme="minorHAnsi" w:hAnsiTheme="minorHAnsi" w:cstheme="minorHAnsi"/>
          <w:b/>
        </w:rPr>
        <w:t xml:space="preserve">education sector </w:t>
      </w:r>
      <w:r w:rsidRPr="007C0B4F">
        <w:rPr>
          <w:rFonts w:asciiTheme="minorHAnsi" w:hAnsiTheme="minorHAnsi" w:cstheme="minorHAnsi"/>
          <w:b/>
        </w:rPr>
        <w:t>policy dialogue</w:t>
      </w:r>
      <w:r w:rsidR="00971658" w:rsidRPr="007C0B4F">
        <w:rPr>
          <w:rFonts w:asciiTheme="minorHAnsi" w:hAnsiTheme="minorHAnsi" w:cstheme="minorHAnsi"/>
          <w:b/>
        </w:rPr>
        <w:t>;</w:t>
      </w:r>
      <w:r w:rsidRPr="007C0B4F">
        <w:rPr>
          <w:rFonts w:asciiTheme="minorHAnsi" w:hAnsiTheme="minorHAnsi" w:cstheme="minorHAnsi"/>
          <w:b/>
        </w:rPr>
        <w:t xml:space="preserve"> and </w:t>
      </w:r>
      <w:r w:rsidR="00971658" w:rsidRPr="007C0B4F">
        <w:rPr>
          <w:rFonts w:asciiTheme="minorHAnsi" w:hAnsiTheme="minorHAnsi" w:cstheme="minorHAnsi"/>
          <w:b/>
        </w:rPr>
        <w:t xml:space="preserve">(iii) </w:t>
      </w:r>
      <w:r w:rsidRPr="007C0B4F">
        <w:rPr>
          <w:rFonts w:asciiTheme="minorHAnsi" w:hAnsiTheme="minorHAnsi" w:cstheme="minorHAnsi"/>
          <w:b/>
        </w:rPr>
        <w:t xml:space="preserve">to take a strategic view of its </w:t>
      </w:r>
      <w:r w:rsidR="00D22745" w:rsidRPr="007C0B4F">
        <w:rPr>
          <w:rFonts w:asciiTheme="minorHAnsi" w:hAnsiTheme="minorHAnsi" w:cstheme="minorHAnsi"/>
          <w:b/>
        </w:rPr>
        <w:t xml:space="preserve">overall </w:t>
      </w:r>
      <w:r w:rsidRPr="007C0B4F">
        <w:rPr>
          <w:rFonts w:asciiTheme="minorHAnsi" w:hAnsiTheme="minorHAnsi" w:cstheme="minorHAnsi"/>
          <w:b/>
        </w:rPr>
        <w:t xml:space="preserve">investment in education </w:t>
      </w:r>
      <w:r w:rsidR="00971658" w:rsidRPr="007C0B4F">
        <w:rPr>
          <w:rFonts w:asciiTheme="minorHAnsi" w:hAnsiTheme="minorHAnsi" w:cstheme="minorHAnsi"/>
          <w:b/>
        </w:rPr>
        <w:t xml:space="preserve">and how it can best </w:t>
      </w:r>
      <w:r w:rsidRPr="007C0B4F">
        <w:rPr>
          <w:rFonts w:asciiTheme="minorHAnsi" w:hAnsiTheme="minorHAnsi" w:cstheme="minorHAnsi"/>
          <w:b/>
        </w:rPr>
        <w:t xml:space="preserve">impact on </w:t>
      </w:r>
      <w:r w:rsidR="00971658" w:rsidRPr="007C0B4F">
        <w:rPr>
          <w:rFonts w:asciiTheme="minorHAnsi" w:hAnsiTheme="minorHAnsi" w:cstheme="minorHAnsi"/>
          <w:b/>
        </w:rPr>
        <w:lastRenderedPageBreak/>
        <w:t xml:space="preserve">learning, </w:t>
      </w:r>
      <w:r w:rsidRPr="007C0B4F">
        <w:rPr>
          <w:rFonts w:asciiTheme="minorHAnsi" w:hAnsiTheme="minorHAnsi" w:cstheme="minorHAnsi"/>
          <w:b/>
        </w:rPr>
        <w:t>especially for the poor</w:t>
      </w:r>
      <w:r w:rsidR="00D22745" w:rsidRPr="007C0B4F">
        <w:rPr>
          <w:rFonts w:asciiTheme="minorHAnsi" w:hAnsiTheme="minorHAnsi" w:cstheme="minorHAnsi"/>
        </w:rPr>
        <w:t xml:space="preserve">.  </w:t>
      </w:r>
      <w:r w:rsidR="00154E14" w:rsidRPr="007C0B4F">
        <w:rPr>
          <w:rFonts w:asciiTheme="minorHAnsi" w:hAnsiTheme="minorHAnsi" w:cstheme="minorHAnsi"/>
        </w:rPr>
        <w:t xml:space="preserve">For AusAID to be in a position to </w:t>
      </w:r>
      <w:r w:rsidR="00154E14" w:rsidRPr="007C0B4F">
        <w:rPr>
          <w:rFonts w:asciiTheme="minorHAnsi" w:hAnsiTheme="minorHAnsi" w:cstheme="minorHAnsi"/>
          <w:lang w:val="en-GB"/>
        </w:rPr>
        <w:t xml:space="preserve">influence resource allocation and policy </w:t>
      </w:r>
      <w:r w:rsidR="00154E14" w:rsidRPr="007C0B4F">
        <w:rPr>
          <w:rFonts w:asciiTheme="minorHAnsi" w:hAnsiTheme="minorHAnsi" w:cstheme="minorHAnsi"/>
        </w:rPr>
        <w:t xml:space="preserve">it will be essential that the Facility provide AusAID with an accurate assessment of </w:t>
      </w:r>
      <w:r w:rsidR="00154E14" w:rsidRPr="007C0B4F">
        <w:rPr>
          <w:rFonts w:asciiTheme="minorHAnsi" w:hAnsiTheme="minorHAnsi" w:cstheme="minorHAnsi"/>
          <w:lang w:val="en-GB"/>
        </w:rPr>
        <w:t xml:space="preserve">political economy influencing particular policy areas and decisions.  </w:t>
      </w:r>
      <w:r w:rsidR="00E530C0" w:rsidRPr="007C0B4F">
        <w:rPr>
          <w:rFonts w:asciiTheme="minorHAnsi" w:hAnsiTheme="minorHAnsi" w:cstheme="minorHAnsi"/>
          <w:lang w:val="en-GB"/>
        </w:rPr>
        <w:t xml:space="preserve">Evidence, compelling as it may be, is not enough alone. </w:t>
      </w:r>
      <w:r w:rsidR="00154E14" w:rsidRPr="007C0B4F">
        <w:rPr>
          <w:rFonts w:asciiTheme="minorHAnsi" w:hAnsiTheme="minorHAnsi" w:cstheme="minorHAnsi"/>
          <w:lang w:val="en-GB"/>
        </w:rPr>
        <w:t xml:space="preserve"> </w:t>
      </w:r>
      <w:r w:rsidR="00E530C0" w:rsidRPr="007C0B4F">
        <w:rPr>
          <w:rFonts w:asciiTheme="minorHAnsi" w:hAnsiTheme="minorHAnsi" w:cstheme="minorHAnsi"/>
          <w:lang w:val="en-GB"/>
        </w:rPr>
        <w:t xml:space="preserve">Influencing planning and budgeting will require an understanding of the interface between elected officials, bureaucrats and civil society and the capacity to engage each </w:t>
      </w:r>
      <w:r w:rsidR="00971658" w:rsidRPr="007C0B4F">
        <w:rPr>
          <w:rFonts w:asciiTheme="minorHAnsi" w:hAnsiTheme="minorHAnsi" w:cstheme="minorHAnsi"/>
          <w:lang w:val="en-GB"/>
        </w:rPr>
        <w:t>meaningfully</w:t>
      </w:r>
      <w:r w:rsidR="00E530C0" w:rsidRPr="007C0B4F">
        <w:rPr>
          <w:rFonts w:asciiTheme="minorHAnsi" w:hAnsiTheme="minorHAnsi" w:cstheme="minorHAnsi"/>
          <w:lang w:val="en-GB"/>
        </w:rPr>
        <w:t xml:space="preserve"> as partners.  </w:t>
      </w:r>
    </w:p>
    <w:p w14:paraId="475C9A5D" w14:textId="77777777" w:rsidR="00EF7F32" w:rsidRPr="007C0B4F" w:rsidRDefault="00C36C4D" w:rsidP="00245B90">
      <w:pPr>
        <w:pStyle w:val="Heading2"/>
        <w:rPr>
          <w:lang w:val="en-AU"/>
        </w:rPr>
      </w:pPr>
      <w:bookmarkStart w:id="36" w:name="_Toc361407150"/>
      <w:r w:rsidRPr="007C0B4F">
        <w:rPr>
          <w:lang w:val="en-AU"/>
        </w:rPr>
        <w:t xml:space="preserve">  </w:t>
      </w:r>
      <w:bookmarkStart w:id="37" w:name="_Toc365366041"/>
      <w:r w:rsidR="00245C01" w:rsidRPr="007C0B4F">
        <w:rPr>
          <w:lang w:val="en-AU"/>
        </w:rPr>
        <w:t>Is the proposed Facility the b</w:t>
      </w:r>
      <w:r w:rsidR="00154E14" w:rsidRPr="007C0B4F">
        <w:rPr>
          <w:lang w:val="en-AU"/>
        </w:rPr>
        <w:t>e</w:t>
      </w:r>
      <w:r w:rsidR="00245C01" w:rsidRPr="007C0B4F">
        <w:rPr>
          <w:lang w:val="en-AU"/>
        </w:rPr>
        <w:t>st o</w:t>
      </w:r>
      <w:r w:rsidR="00154E14" w:rsidRPr="007C0B4F">
        <w:rPr>
          <w:lang w:val="en-AU"/>
        </w:rPr>
        <w:t>ption?</w:t>
      </w:r>
      <w:bookmarkEnd w:id="36"/>
      <w:bookmarkEnd w:id="37"/>
    </w:p>
    <w:p w14:paraId="475C9A5E" w14:textId="77777777" w:rsidR="0097610B" w:rsidRPr="007C0B4F" w:rsidRDefault="0097610B" w:rsidP="0097610B">
      <w:pPr>
        <w:spacing w:after="80"/>
        <w:rPr>
          <w:rFonts w:asciiTheme="minorHAnsi" w:eastAsiaTheme="minorHAnsi" w:hAnsiTheme="minorHAnsi" w:cstheme="minorHAnsi"/>
          <w:lang w:val="en-GB" w:eastAsia="x-none"/>
        </w:rPr>
      </w:pPr>
      <w:r w:rsidRPr="007C0B4F">
        <w:rPr>
          <w:rFonts w:asciiTheme="minorHAnsi" w:hAnsiTheme="minorHAnsi" w:cstheme="minorHAnsi"/>
          <w:lang w:val="en-GB" w:eastAsia="x-none"/>
        </w:rPr>
        <w:t>Four options were considered to meet our objective</w:t>
      </w:r>
    </w:p>
    <w:p w14:paraId="475C9A5F" w14:textId="77777777" w:rsidR="0097610B" w:rsidRPr="007C0B4F" w:rsidRDefault="0097610B" w:rsidP="00720B96">
      <w:pPr>
        <w:numPr>
          <w:ilvl w:val="0"/>
          <w:numId w:val="17"/>
        </w:numPr>
        <w:ind w:left="426"/>
        <w:rPr>
          <w:rFonts w:asciiTheme="minorHAnsi" w:eastAsia="Times New Roman" w:hAnsiTheme="minorHAnsi" w:cstheme="minorHAnsi"/>
          <w:lang w:val="en-AU" w:eastAsia="x-none"/>
        </w:rPr>
      </w:pPr>
      <w:r w:rsidRPr="007C0B4F">
        <w:rPr>
          <w:rFonts w:asciiTheme="minorHAnsi" w:eastAsia="Times New Roman" w:hAnsiTheme="minorHAnsi" w:cstheme="minorHAnsi"/>
          <w:lang w:eastAsia="x-none"/>
        </w:rPr>
        <w:t xml:space="preserve">Waiting for the new Education Partnership to be designed and incorporating a more flexible research mechanism in that design and providing more direct support at the sub-national level within the new partnership. </w:t>
      </w:r>
    </w:p>
    <w:p w14:paraId="475C9A60" w14:textId="77777777" w:rsidR="0097610B" w:rsidRPr="007C0B4F" w:rsidRDefault="0097610B" w:rsidP="00720B96">
      <w:pPr>
        <w:numPr>
          <w:ilvl w:val="0"/>
          <w:numId w:val="17"/>
        </w:numPr>
        <w:ind w:left="426"/>
        <w:rPr>
          <w:rFonts w:asciiTheme="minorHAnsi" w:eastAsia="Times New Roman" w:hAnsiTheme="minorHAnsi" w:cstheme="minorHAnsi"/>
          <w:lang w:eastAsia="x-none"/>
        </w:rPr>
      </w:pPr>
      <w:r w:rsidRPr="007C0B4F">
        <w:rPr>
          <w:rFonts w:asciiTheme="minorHAnsi" w:eastAsia="Times New Roman" w:hAnsiTheme="minorHAnsi" w:cstheme="minorHAnsi"/>
          <w:lang w:eastAsia="x-none"/>
        </w:rPr>
        <w:t>Delegating cooperation in this area of work to a partner</w:t>
      </w:r>
      <w:r w:rsidR="00DB61CF" w:rsidRPr="007C0B4F">
        <w:rPr>
          <w:rFonts w:asciiTheme="minorHAnsi" w:eastAsia="Times New Roman" w:hAnsiTheme="minorHAnsi" w:cstheme="minorHAnsi"/>
          <w:lang w:eastAsia="x-none"/>
        </w:rPr>
        <w:t>.  The</w:t>
      </w:r>
      <w:r w:rsidRPr="007C0B4F">
        <w:rPr>
          <w:rFonts w:asciiTheme="minorHAnsi" w:eastAsia="Times New Roman" w:hAnsiTheme="minorHAnsi" w:cstheme="minorHAnsi"/>
          <w:lang w:eastAsia="x-none"/>
        </w:rPr>
        <w:t xml:space="preserve"> most obvious </w:t>
      </w:r>
      <w:r w:rsidR="00C36C4D" w:rsidRPr="007C0B4F">
        <w:rPr>
          <w:rFonts w:asciiTheme="minorHAnsi" w:eastAsia="Times New Roman" w:hAnsiTheme="minorHAnsi" w:cstheme="minorHAnsi"/>
          <w:lang w:eastAsia="x-none"/>
        </w:rPr>
        <w:t xml:space="preserve">partners are </w:t>
      </w:r>
      <w:r w:rsidRPr="007C0B4F">
        <w:rPr>
          <w:rFonts w:asciiTheme="minorHAnsi" w:eastAsia="Times New Roman" w:hAnsiTheme="minorHAnsi" w:cstheme="minorHAnsi"/>
          <w:lang w:eastAsia="x-none"/>
        </w:rPr>
        <w:t>USAID as they are already implementing a comprehensive program of support to basic education in many provinces and districts through their P</w:t>
      </w:r>
      <w:r w:rsidR="0045120E" w:rsidRPr="007C0B4F">
        <w:rPr>
          <w:rFonts w:asciiTheme="minorHAnsi" w:eastAsia="Times New Roman" w:hAnsiTheme="minorHAnsi" w:cstheme="minorHAnsi"/>
          <w:lang w:eastAsia="x-none"/>
        </w:rPr>
        <w:t>RIORITAS</w:t>
      </w:r>
      <w:r w:rsidRPr="007C0B4F">
        <w:rPr>
          <w:rFonts w:asciiTheme="minorHAnsi" w:eastAsia="Times New Roman" w:hAnsiTheme="minorHAnsi" w:cstheme="minorHAnsi"/>
          <w:lang w:eastAsia="x-none"/>
        </w:rPr>
        <w:t xml:space="preserve"> program</w:t>
      </w:r>
      <w:r w:rsidR="00C36C4D" w:rsidRPr="007C0B4F">
        <w:rPr>
          <w:rFonts w:asciiTheme="minorHAnsi" w:eastAsia="Times New Roman" w:hAnsiTheme="minorHAnsi" w:cstheme="minorHAnsi"/>
          <w:lang w:eastAsia="x-none"/>
        </w:rPr>
        <w:t>, and the World Bank</w:t>
      </w:r>
      <w:r w:rsidRPr="007C0B4F">
        <w:rPr>
          <w:rFonts w:asciiTheme="minorHAnsi" w:eastAsia="Times New Roman" w:hAnsiTheme="minorHAnsi" w:cstheme="minorHAnsi"/>
          <w:lang w:eastAsia="x-none"/>
        </w:rPr>
        <w:t xml:space="preserve">. </w:t>
      </w:r>
    </w:p>
    <w:p w14:paraId="475C9A61" w14:textId="77777777" w:rsidR="0097610B" w:rsidRPr="007C0B4F" w:rsidRDefault="0097610B" w:rsidP="00720B96">
      <w:pPr>
        <w:numPr>
          <w:ilvl w:val="0"/>
          <w:numId w:val="17"/>
        </w:numPr>
        <w:ind w:left="426"/>
        <w:rPr>
          <w:rFonts w:asciiTheme="minorHAnsi" w:eastAsia="Times New Roman" w:hAnsiTheme="minorHAnsi" w:cstheme="minorHAnsi"/>
          <w:lang w:eastAsia="x-none"/>
        </w:rPr>
      </w:pPr>
      <w:r w:rsidRPr="007C0B4F">
        <w:rPr>
          <w:rFonts w:asciiTheme="minorHAnsi" w:eastAsia="Times New Roman" w:hAnsiTheme="minorHAnsi" w:cstheme="minorHAnsi"/>
          <w:lang w:eastAsia="x-none"/>
        </w:rPr>
        <w:t xml:space="preserve">Designing a facility that would not only identify and test innovations, but also have the resources to more extend the pilots that determined effective innovations to become mini-projects and/or to scale them up to </w:t>
      </w:r>
      <w:r w:rsidR="00C55722" w:rsidRPr="007C0B4F">
        <w:rPr>
          <w:rFonts w:asciiTheme="minorHAnsi" w:eastAsia="Times New Roman" w:hAnsiTheme="minorHAnsi" w:cstheme="minorHAnsi"/>
          <w:lang w:eastAsia="x-none"/>
        </w:rPr>
        <w:t>large investment</w:t>
      </w:r>
      <w:r w:rsidRPr="007C0B4F">
        <w:rPr>
          <w:rFonts w:asciiTheme="minorHAnsi" w:eastAsia="Times New Roman" w:hAnsiTheme="minorHAnsi" w:cstheme="minorHAnsi"/>
          <w:lang w:eastAsia="x-none"/>
        </w:rPr>
        <w:t xml:space="preserve"> projects.</w:t>
      </w:r>
    </w:p>
    <w:p w14:paraId="475C9A62" w14:textId="77777777" w:rsidR="0097610B" w:rsidRPr="007C0B4F" w:rsidRDefault="0097610B" w:rsidP="00720B96">
      <w:pPr>
        <w:numPr>
          <w:ilvl w:val="0"/>
          <w:numId w:val="17"/>
        </w:numPr>
        <w:ind w:left="426"/>
        <w:rPr>
          <w:rFonts w:asciiTheme="minorHAnsi" w:eastAsia="Times New Roman" w:hAnsiTheme="minorHAnsi" w:cstheme="minorHAnsi"/>
          <w:lang w:eastAsia="x-none"/>
        </w:rPr>
      </w:pPr>
      <w:r w:rsidRPr="007C0B4F">
        <w:rPr>
          <w:rFonts w:asciiTheme="minorHAnsi" w:eastAsia="Times New Roman" w:hAnsiTheme="minorHAnsi" w:cstheme="minorHAnsi"/>
          <w:lang w:eastAsia="x-none"/>
        </w:rPr>
        <w:t xml:space="preserve">Designing a facility that is modest in scale, and focuses only on identifying and testing innovations, and then promoting opportunities for further piloting and scale up using resources from other sources (both GoI as well as other larger donor funded programs).  </w:t>
      </w:r>
    </w:p>
    <w:p w14:paraId="475C9A63" w14:textId="77777777" w:rsidR="00E530C0" w:rsidRPr="007C0B4F" w:rsidRDefault="0097610B" w:rsidP="0097610B">
      <w:pPr>
        <w:rPr>
          <w:rFonts w:asciiTheme="minorHAnsi" w:hAnsiTheme="minorHAnsi" w:cstheme="minorHAnsi"/>
          <w:lang w:eastAsia="x-none"/>
        </w:rPr>
      </w:pPr>
      <w:r w:rsidRPr="007C0B4F">
        <w:rPr>
          <w:rFonts w:asciiTheme="minorHAnsi" w:hAnsiTheme="minorHAnsi" w:cstheme="minorHAnsi"/>
          <w:b/>
          <w:lang w:eastAsia="x-none"/>
        </w:rPr>
        <w:t>Option 4 is preferred</w:t>
      </w:r>
      <w:r w:rsidRPr="007C0B4F">
        <w:rPr>
          <w:rFonts w:asciiTheme="minorHAnsi" w:hAnsiTheme="minorHAnsi" w:cstheme="minorHAnsi"/>
          <w:lang w:eastAsia="x-none"/>
        </w:rPr>
        <w:t xml:space="preserve">, </w:t>
      </w:r>
      <w:r w:rsidR="00971658" w:rsidRPr="007C0B4F">
        <w:rPr>
          <w:rFonts w:asciiTheme="minorHAnsi" w:hAnsiTheme="minorHAnsi" w:cstheme="minorHAnsi"/>
          <w:lang w:eastAsia="x-none"/>
        </w:rPr>
        <w:t xml:space="preserve">primarily </w:t>
      </w:r>
      <w:r w:rsidRPr="007C0B4F">
        <w:rPr>
          <w:rFonts w:asciiTheme="minorHAnsi" w:hAnsiTheme="minorHAnsi" w:cstheme="minorHAnsi"/>
          <w:lang w:eastAsia="x-none"/>
        </w:rPr>
        <w:t>for the following reasons:</w:t>
      </w:r>
      <w:r w:rsidR="00C55722" w:rsidRPr="007C0B4F">
        <w:rPr>
          <w:rFonts w:asciiTheme="minorHAnsi" w:hAnsiTheme="minorHAnsi" w:cstheme="minorHAnsi"/>
          <w:lang w:eastAsia="x-none"/>
        </w:rPr>
        <w:t xml:space="preserve"> (i) the F</w:t>
      </w:r>
      <w:r w:rsidRPr="007C0B4F">
        <w:rPr>
          <w:rFonts w:asciiTheme="minorHAnsi" w:hAnsiTheme="minorHAnsi" w:cstheme="minorHAnsi"/>
          <w:lang w:eastAsia="x-none"/>
        </w:rPr>
        <w:t>acility can directly assi</w:t>
      </w:r>
      <w:r w:rsidR="00C55722" w:rsidRPr="007C0B4F">
        <w:rPr>
          <w:rFonts w:asciiTheme="minorHAnsi" w:hAnsiTheme="minorHAnsi" w:cstheme="minorHAnsi"/>
          <w:lang w:eastAsia="x-none"/>
        </w:rPr>
        <w:t xml:space="preserve">st AusAID to develop its future </w:t>
      </w:r>
      <w:r w:rsidR="00971658" w:rsidRPr="007C0B4F">
        <w:rPr>
          <w:rFonts w:asciiTheme="minorHAnsi" w:hAnsiTheme="minorHAnsi" w:cstheme="minorHAnsi"/>
          <w:lang w:eastAsia="x-none"/>
        </w:rPr>
        <w:t xml:space="preserve">investment </w:t>
      </w:r>
      <w:r w:rsidR="00C55722" w:rsidRPr="007C0B4F">
        <w:rPr>
          <w:rFonts w:asciiTheme="minorHAnsi" w:hAnsiTheme="minorHAnsi" w:cstheme="minorHAnsi"/>
          <w:lang w:eastAsia="x-none"/>
        </w:rPr>
        <w:t>pro</w:t>
      </w:r>
      <w:r w:rsidRPr="007C0B4F">
        <w:rPr>
          <w:rFonts w:asciiTheme="minorHAnsi" w:hAnsiTheme="minorHAnsi" w:cstheme="minorHAnsi"/>
          <w:lang w:eastAsia="x-none"/>
        </w:rPr>
        <w:t>gram</w:t>
      </w:r>
      <w:r w:rsidR="00C55722" w:rsidRPr="007C0B4F">
        <w:rPr>
          <w:rFonts w:asciiTheme="minorHAnsi" w:hAnsiTheme="minorHAnsi" w:cstheme="minorHAnsi"/>
          <w:lang w:eastAsia="x-none"/>
        </w:rPr>
        <w:t>(s)</w:t>
      </w:r>
      <w:r w:rsidRPr="007C0B4F">
        <w:rPr>
          <w:rFonts w:asciiTheme="minorHAnsi" w:hAnsiTheme="minorHAnsi" w:cstheme="minorHAnsi"/>
          <w:lang w:eastAsia="x-none"/>
        </w:rPr>
        <w:t xml:space="preserve"> </w:t>
      </w:r>
      <w:r w:rsidR="00971658" w:rsidRPr="007C0B4F">
        <w:rPr>
          <w:rFonts w:asciiTheme="minorHAnsi" w:hAnsiTheme="minorHAnsi" w:cstheme="minorHAnsi"/>
          <w:lang w:eastAsia="x-none"/>
        </w:rPr>
        <w:t xml:space="preserve">in </w:t>
      </w:r>
      <w:r w:rsidRPr="007C0B4F">
        <w:rPr>
          <w:rFonts w:asciiTheme="minorHAnsi" w:hAnsiTheme="minorHAnsi" w:cstheme="minorHAnsi"/>
          <w:lang w:eastAsia="x-none"/>
        </w:rPr>
        <w:t>the education sector</w:t>
      </w:r>
      <w:r w:rsidR="00C55722" w:rsidRPr="007C0B4F">
        <w:rPr>
          <w:rFonts w:asciiTheme="minorHAnsi" w:hAnsiTheme="minorHAnsi" w:cstheme="minorHAnsi"/>
          <w:lang w:eastAsia="x-none"/>
        </w:rPr>
        <w:t xml:space="preserve"> – </w:t>
      </w:r>
      <w:r w:rsidR="00971658" w:rsidRPr="007C0B4F">
        <w:rPr>
          <w:rFonts w:asciiTheme="minorHAnsi" w:hAnsiTheme="minorHAnsi" w:cstheme="minorHAnsi"/>
          <w:lang w:eastAsia="x-none"/>
        </w:rPr>
        <w:t xml:space="preserve">to this end it would be </w:t>
      </w:r>
      <w:r w:rsidR="00FA25E2" w:rsidRPr="007C0B4F">
        <w:rPr>
          <w:rFonts w:asciiTheme="minorHAnsi" w:hAnsiTheme="minorHAnsi" w:cstheme="minorHAnsi"/>
          <w:lang w:eastAsia="x-none"/>
        </w:rPr>
        <w:t>beneficial</w:t>
      </w:r>
      <w:r w:rsidR="00971658" w:rsidRPr="007C0B4F">
        <w:rPr>
          <w:rFonts w:asciiTheme="minorHAnsi" w:hAnsiTheme="minorHAnsi" w:cstheme="minorHAnsi"/>
          <w:lang w:eastAsia="x-none"/>
        </w:rPr>
        <w:t xml:space="preserve"> to AusAID to have the Facility operating as soon as is practical; </w:t>
      </w:r>
      <w:r w:rsidR="00C55722" w:rsidRPr="007C0B4F">
        <w:rPr>
          <w:rFonts w:asciiTheme="minorHAnsi" w:hAnsiTheme="minorHAnsi" w:cstheme="minorHAnsi"/>
          <w:lang w:eastAsia="x-none"/>
        </w:rPr>
        <w:t>(ii) w</w:t>
      </w:r>
      <w:r w:rsidRPr="007C0B4F">
        <w:rPr>
          <w:rFonts w:asciiTheme="minorHAnsi" w:hAnsiTheme="minorHAnsi" w:cstheme="minorHAnsi"/>
          <w:lang w:eastAsia="x-none"/>
        </w:rPr>
        <w:t>hile USAID has a substantial and well established program of s</w:t>
      </w:r>
      <w:r w:rsidR="00C55722" w:rsidRPr="007C0B4F">
        <w:rPr>
          <w:rFonts w:asciiTheme="minorHAnsi" w:hAnsiTheme="minorHAnsi" w:cstheme="minorHAnsi"/>
          <w:lang w:eastAsia="x-none"/>
        </w:rPr>
        <w:t>upport to basic education, the F</w:t>
      </w:r>
      <w:r w:rsidRPr="007C0B4F">
        <w:rPr>
          <w:rFonts w:asciiTheme="minorHAnsi" w:hAnsiTheme="minorHAnsi" w:cstheme="minorHAnsi"/>
          <w:lang w:eastAsia="x-none"/>
        </w:rPr>
        <w:t>acility would offer something substantially different</w:t>
      </w:r>
      <w:r w:rsidR="00FA25E2" w:rsidRPr="007C0B4F">
        <w:rPr>
          <w:rFonts w:asciiTheme="minorHAnsi" w:hAnsiTheme="minorHAnsi" w:cstheme="minorHAnsi"/>
          <w:lang w:eastAsia="x-none"/>
        </w:rPr>
        <w:t xml:space="preserve"> in that it </w:t>
      </w:r>
      <w:r w:rsidR="00C55722" w:rsidRPr="007C0B4F">
        <w:rPr>
          <w:rFonts w:asciiTheme="minorHAnsi" w:hAnsiTheme="minorHAnsi" w:cstheme="minorHAnsi"/>
          <w:lang w:eastAsia="x-none"/>
        </w:rPr>
        <w:t xml:space="preserve">would explore a </w:t>
      </w:r>
      <w:r w:rsidR="00971658" w:rsidRPr="007C0B4F">
        <w:rPr>
          <w:rFonts w:asciiTheme="minorHAnsi" w:hAnsiTheme="minorHAnsi" w:cstheme="minorHAnsi"/>
          <w:lang w:eastAsia="x-none"/>
        </w:rPr>
        <w:t xml:space="preserve">broader </w:t>
      </w:r>
      <w:r w:rsidR="00C55722" w:rsidRPr="007C0B4F">
        <w:rPr>
          <w:rFonts w:asciiTheme="minorHAnsi" w:hAnsiTheme="minorHAnsi" w:cstheme="minorHAnsi"/>
          <w:lang w:eastAsia="x-none"/>
        </w:rPr>
        <w:t xml:space="preserve">range of inefficiencies </w:t>
      </w:r>
      <w:r w:rsidR="00971658" w:rsidRPr="007C0B4F">
        <w:rPr>
          <w:rFonts w:asciiTheme="minorHAnsi" w:hAnsiTheme="minorHAnsi" w:cstheme="minorHAnsi"/>
          <w:lang w:eastAsia="x-none"/>
        </w:rPr>
        <w:t xml:space="preserve">than </w:t>
      </w:r>
      <w:r w:rsidR="00FA25E2" w:rsidRPr="007C0B4F">
        <w:rPr>
          <w:rFonts w:asciiTheme="minorHAnsi" w:hAnsiTheme="minorHAnsi" w:cstheme="minorHAnsi"/>
          <w:lang w:eastAsia="x-none"/>
        </w:rPr>
        <w:t xml:space="preserve">school teacher practices </w:t>
      </w:r>
      <w:r w:rsidR="00C55722" w:rsidRPr="007C0B4F">
        <w:rPr>
          <w:rFonts w:asciiTheme="minorHAnsi" w:hAnsiTheme="minorHAnsi" w:cstheme="minorHAnsi"/>
          <w:lang w:eastAsia="x-none"/>
        </w:rPr>
        <w:t xml:space="preserve">and </w:t>
      </w:r>
      <w:r w:rsidR="00FA25E2" w:rsidRPr="007C0B4F">
        <w:rPr>
          <w:rFonts w:asciiTheme="minorHAnsi" w:hAnsiTheme="minorHAnsi" w:cstheme="minorHAnsi"/>
          <w:lang w:eastAsia="x-none"/>
        </w:rPr>
        <w:t xml:space="preserve">it </w:t>
      </w:r>
      <w:r w:rsidR="00C55722" w:rsidRPr="007C0B4F">
        <w:rPr>
          <w:rFonts w:asciiTheme="minorHAnsi" w:hAnsiTheme="minorHAnsi" w:cstheme="minorHAnsi"/>
          <w:lang w:eastAsia="x-none"/>
        </w:rPr>
        <w:t>would</w:t>
      </w:r>
      <w:r w:rsidR="00FA25E2" w:rsidRPr="007C0B4F">
        <w:rPr>
          <w:rFonts w:asciiTheme="minorHAnsi" w:hAnsiTheme="minorHAnsi" w:cstheme="minorHAnsi"/>
          <w:lang w:eastAsia="x-none"/>
        </w:rPr>
        <w:t xml:space="preserve"> have system-wide reforms as an </w:t>
      </w:r>
      <w:r w:rsidR="00C55722" w:rsidRPr="007C0B4F">
        <w:rPr>
          <w:rFonts w:asciiTheme="minorHAnsi" w:hAnsiTheme="minorHAnsi" w:cstheme="minorHAnsi"/>
          <w:lang w:eastAsia="x-none"/>
        </w:rPr>
        <w:t>objective</w:t>
      </w:r>
      <w:r w:rsidR="00FA25E2" w:rsidRPr="007C0B4F">
        <w:rPr>
          <w:rFonts w:asciiTheme="minorHAnsi" w:hAnsiTheme="minorHAnsi" w:cstheme="minorHAnsi"/>
          <w:lang w:eastAsia="x-none"/>
        </w:rPr>
        <w:t xml:space="preserve"> – it would in fact be </w:t>
      </w:r>
      <w:r w:rsidRPr="007C0B4F">
        <w:rPr>
          <w:rFonts w:asciiTheme="minorHAnsi" w:hAnsiTheme="minorHAnsi" w:cstheme="minorHAnsi"/>
          <w:lang w:eastAsia="x-none"/>
        </w:rPr>
        <w:t>complement</w:t>
      </w:r>
      <w:r w:rsidR="00C55722" w:rsidRPr="007C0B4F">
        <w:rPr>
          <w:rFonts w:asciiTheme="minorHAnsi" w:hAnsiTheme="minorHAnsi" w:cstheme="minorHAnsi"/>
          <w:lang w:eastAsia="x-none"/>
        </w:rPr>
        <w:t xml:space="preserve">ary to the USAID </w:t>
      </w:r>
      <w:r w:rsidR="00FA25E2" w:rsidRPr="007C0B4F">
        <w:rPr>
          <w:rFonts w:asciiTheme="minorHAnsi" w:hAnsiTheme="minorHAnsi" w:cstheme="minorHAnsi"/>
          <w:lang w:eastAsia="x-none"/>
        </w:rPr>
        <w:t>program rather reflective of</w:t>
      </w:r>
      <w:r w:rsidR="00C55722" w:rsidRPr="007C0B4F">
        <w:rPr>
          <w:rFonts w:asciiTheme="minorHAnsi" w:hAnsiTheme="minorHAnsi" w:cstheme="minorHAnsi"/>
          <w:lang w:eastAsia="x-none"/>
        </w:rPr>
        <w:t xml:space="preserve"> it; </w:t>
      </w:r>
      <w:r w:rsidR="00C36C4D" w:rsidRPr="007C0B4F">
        <w:rPr>
          <w:rFonts w:asciiTheme="minorHAnsi" w:hAnsiTheme="minorHAnsi" w:cstheme="minorHAnsi"/>
          <w:lang w:eastAsia="x-none"/>
        </w:rPr>
        <w:t xml:space="preserve">(iii) it is not beneficial to AusAID to delegate knowledge creation to the Bank (or any partner) as an AusAID Facility will assist in strengthening our position as a knowledge developer and knowledge application partner </w:t>
      </w:r>
      <w:r w:rsidR="00542C53" w:rsidRPr="007C0B4F">
        <w:rPr>
          <w:rFonts w:asciiTheme="minorHAnsi" w:hAnsiTheme="minorHAnsi" w:cstheme="minorHAnsi"/>
          <w:lang w:eastAsia="x-none"/>
        </w:rPr>
        <w:t xml:space="preserve">to </w:t>
      </w:r>
      <w:r w:rsidR="00C36C4D" w:rsidRPr="007C0B4F">
        <w:rPr>
          <w:rFonts w:asciiTheme="minorHAnsi" w:hAnsiTheme="minorHAnsi" w:cstheme="minorHAnsi"/>
          <w:lang w:eastAsia="x-none"/>
        </w:rPr>
        <w:t xml:space="preserve"> GoI; an</w:t>
      </w:r>
      <w:r w:rsidR="00C55722" w:rsidRPr="007C0B4F">
        <w:rPr>
          <w:rFonts w:asciiTheme="minorHAnsi" w:hAnsiTheme="minorHAnsi" w:cstheme="minorHAnsi"/>
          <w:lang w:eastAsia="x-none"/>
        </w:rPr>
        <w:t>d (i</w:t>
      </w:r>
      <w:r w:rsidR="00C36C4D" w:rsidRPr="007C0B4F">
        <w:rPr>
          <w:rFonts w:asciiTheme="minorHAnsi" w:hAnsiTheme="minorHAnsi" w:cstheme="minorHAnsi"/>
          <w:lang w:eastAsia="x-none"/>
        </w:rPr>
        <w:t>v</w:t>
      </w:r>
      <w:r w:rsidR="00C55722" w:rsidRPr="007C0B4F">
        <w:rPr>
          <w:rFonts w:asciiTheme="minorHAnsi" w:hAnsiTheme="minorHAnsi" w:cstheme="minorHAnsi"/>
          <w:lang w:eastAsia="x-none"/>
        </w:rPr>
        <w:t>) if the F</w:t>
      </w:r>
      <w:r w:rsidRPr="007C0B4F">
        <w:rPr>
          <w:rFonts w:asciiTheme="minorHAnsi" w:hAnsiTheme="minorHAnsi" w:cstheme="minorHAnsi"/>
          <w:lang w:eastAsia="x-none"/>
        </w:rPr>
        <w:t xml:space="preserve">acility </w:t>
      </w:r>
      <w:r w:rsidR="00C55722" w:rsidRPr="007C0B4F">
        <w:rPr>
          <w:rFonts w:asciiTheme="minorHAnsi" w:hAnsiTheme="minorHAnsi" w:cstheme="minorHAnsi"/>
          <w:lang w:eastAsia="x-none"/>
        </w:rPr>
        <w:t>were to take o</w:t>
      </w:r>
      <w:r w:rsidRPr="007C0B4F">
        <w:rPr>
          <w:rFonts w:asciiTheme="minorHAnsi" w:hAnsiTheme="minorHAnsi" w:cstheme="minorHAnsi"/>
          <w:lang w:eastAsia="x-none"/>
        </w:rPr>
        <w:t xml:space="preserve">n larger scale piloting and replication of identified innovations, it would most likely lose </w:t>
      </w:r>
      <w:r w:rsidR="00C55722" w:rsidRPr="007C0B4F">
        <w:rPr>
          <w:rFonts w:asciiTheme="minorHAnsi" w:hAnsiTheme="minorHAnsi" w:cstheme="minorHAnsi"/>
          <w:lang w:eastAsia="x-none"/>
        </w:rPr>
        <w:t xml:space="preserve">its </w:t>
      </w:r>
      <w:r w:rsidRPr="007C0B4F">
        <w:rPr>
          <w:rFonts w:asciiTheme="minorHAnsi" w:hAnsiTheme="minorHAnsi" w:cstheme="minorHAnsi"/>
          <w:lang w:eastAsia="x-none"/>
        </w:rPr>
        <w:t xml:space="preserve">flexibility and </w:t>
      </w:r>
      <w:r w:rsidR="00C55722" w:rsidRPr="007C0B4F">
        <w:rPr>
          <w:rFonts w:asciiTheme="minorHAnsi" w:hAnsiTheme="minorHAnsi" w:cstheme="minorHAnsi"/>
          <w:lang w:eastAsia="x-none"/>
        </w:rPr>
        <w:t xml:space="preserve">at least part of its potential to respond nimbly to demand – it is </w:t>
      </w:r>
      <w:r w:rsidRPr="007C0B4F">
        <w:rPr>
          <w:rFonts w:asciiTheme="minorHAnsi" w:hAnsiTheme="minorHAnsi" w:cstheme="minorHAnsi"/>
          <w:lang w:eastAsia="x-none"/>
        </w:rPr>
        <w:t>bette</w:t>
      </w:r>
      <w:r w:rsidR="00C55722" w:rsidRPr="007C0B4F">
        <w:rPr>
          <w:rFonts w:asciiTheme="minorHAnsi" w:hAnsiTheme="minorHAnsi" w:cstheme="minorHAnsi"/>
          <w:lang w:eastAsia="x-none"/>
        </w:rPr>
        <w:t>r, at least initially, for the F</w:t>
      </w:r>
      <w:r w:rsidRPr="007C0B4F">
        <w:rPr>
          <w:rFonts w:asciiTheme="minorHAnsi" w:hAnsiTheme="minorHAnsi" w:cstheme="minorHAnsi"/>
          <w:lang w:eastAsia="x-none"/>
        </w:rPr>
        <w:t xml:space="preserve">acility to focus </w:t>
      </w:r>
      <w:r w:rsidR="00C55722" w:rsidRPr="007C0B4F">
        <w:rPr>
          <w:rFonts w:asciiTheme="minorHAnsi" w:hAnsiTheme="minorHAnsi" w:cstheme="minorHAnsi"/>
          <w:lang w:eastAsia="x-none"/>
        </w:rPr>
        <w:t xml:space="preserve">on </w:t>
      </w:r>
      <w:r w:rsidRPr="007C0B4F">
        <w:rPr>
          <w:rFonts w:asciiTheme="minorHAnsi" w:hAnsiTheme="minorHAnsi" w:cstheme="minorHAnsi"/>
          <w:lang w:eastAsia="x-none"/>
        </w:rPr>
        <w:t xml:space="preserve">small scale </w:t>
      </w:r>
      <w:r w:rsidR="00E530C0" w:rsidRPr="007C0B4F">
        <w:rPr>
          <w:rFonts w:asciiTheme="minorHAnsi" w:hAnsiTheme="minorHAnsi" w:cstheme="minorHAnsi"/>
          <w:lang w:eastAsia="x-none"/>
        </w:rPr>
        <w:t xml:space="preserve">focused pilots and to work with </w:t>
      </w:r>
      <w:r w:rsidRPr="007C0B4F">
        <w:rPr>
          <w:rFonts w:asciiTheme="minorHAnsi" w:hAnsiTheme="minorHAnsi" w:cstheme="minorHAnsi"/>
          <w:lang w:eastAsia="x-none"/>
        </w:rPr>
        <w:t xml:space="preserve">partner districts and provinces to help them take on the task of further </w:t>
      </w:r>
      <w:r w:rsidR="00C55722" w:rsidRPr="007C0B4F">
        <w:rPr>
          <w:rFonts w:asciiTheme="minorHAnsi" w:hAnsiTheme="minorHAnsi" w:cstheme="minorHAnsi"/>
          <w:lang w:eastAsia="x-none"/>
        </w:rPr>
        <w:t>r</w:t>
      </w:r>
      <w:r w:rsidRPr="007C0B4F">
        <w:rPr>
          <w:rFonts w:asciiTheme="minorHAnsi" w:hAnsiTheme="minorHAnsi" w:cstheme="minorHAnsi"/>
          <w:lang w:eastAsia="x-none"/>
        </w:rPr>
        <w:t xml:space="preserve">eplication.  </w:t>
      </w:r>
      <w:r w:rsidR="00E530C0" w:rsidRPr="007C0B4F">
        <w:rPr>
          <w:rFonts w:asciiTheme="minorHAnsi" w:hAnsiTheme="minorHAnsi" w:cstheme="minorHAnsi"/>
          <w:lang w:eastAsia="x-none"/>
        </w:rPr>
        <w:t>Furthermore, an influencing factor is the intent</w:t>
      </w:r>
      <w:r w:rsidR="00FA25E2" w:rsidRPr="007C0B4F">
        <w:rPr>
          <w:rFonts w:asciiTheme="minorHAnsi" w:hAnsiTheme="minorHAnsi" w:cstheme="minorHAnsi"/>
          <w:lang w:eastAsia="x-none"/>
        </w:rPr>
        <w:t>ion</w:t>
      </w:r>
      <w:r w:rsidR="00E530C0" w:rsidRPr="007C0B4F">
        <w:rPr>
          <w:rFonts w:asciiTheme="minorHAnsi" w:hAnsiTheme="minorHAnsi" w:cstheme="minorHAnsi"/>
          <w:lang w:eastAsia="x-none"/>
        </w:rPr>
        <w:t xml:space="preserve"> that the Facility itself be </w:t>
      </w:r>
      <w:r w:rsidRPr="007C0B4F">
        <w:rPr>
          <w:rFonts w:asciiTheme="minorHAnsi" w:hAnsiTheme="minorHAnsi" w:cstheme="minorHAnsi"/>
          <w:lang w:eastAsia="x-none"/>
        </w:rPr>
        <w:t>relatively small, and work in no more than</w:t>
      </w:r>
      <w:r w:rsidR="00FA25E2" w:rsidRPr="007C0B4F">
        <w:rPr>
          <w:rFonts w:asciiTheme="minorHAnsi" w:hAnsiTheme="minorHAnsi" w:cstheme="minorHAnsi"/>
          <w:lang w:eastAsia="x-none"/>
        </w:rPr>
        <w:t xml:space="preserve"> 4 or 5 </w:t>
      </w:r>
      <w:r w:rsidRPr="007C0B4F">
        <w:rPr>
          <w:rFonts w:asciiTheme="minorHAnsi" w:hAnsiTheme="minorHAnsi" w:cstheme="minorHAnsi"/>
          <w:lang w:eastAsia="x-none"/>
        </w:rPr>
        <w:t>provinces</w:t>
      </w:r>
      <w:r w:rsidR="00E530C0" w:rsidRPr="007C0B4F">
        <w:rPr>
          <w:rFonts w:asciiTheme="minorHAnsi" w:hAnsiTheme="minorHAnsi" w:cstheme="minorHAnsi"/>
          <w:lang w:eastAsia="x-none"/>
        </w:rPr>
        <w:t xml:space="preserve"> initially</w:t>
      </w:r>
      <w:r w:rsidRPr="007C0B4F">
        <w:rPr>
          <w:rFonts w:asciiTheme="minorHAnsi" w:hAnsiTheme="minorHAnsi" w:cstheme="minorHAnsi"/>
          <w:lang w:eastAsia="x-none"/>
        </w:rPr>
        <w:t xml:space="preserve">.  </w:t>
      </w:r>
      <w:r w:rsidR="00E530C0" w:rsidRPr="007C0B4F">
        <w:rPr>
          <w:rFonts w:asciiTheme="minorHAnsi" w:hAnsiTheme="minorHAnsi" w:cstheme="minorHAnsi"/>
          <w:lang w:eastAsia="x-none"/>
        </w:rPr>
        <w:t>In that way, the Facility concept may be tested and its processes assessed, improved and proved valid before the mechanism is taken to scale and other provinces and</w:t>
      </w:r>
      <w:r w:rsidR="00FA25E2" w:rsidRPr="007C0B4F">
        <w:rPr>
          <w:rFonts w:asciiTheme="minorHAnsi" w:hAnsiTheme="minorHAnsi" w:cstheme="minorHAnsi"/>
          <w:lang w:eastAsia="x-none"/>
        </w:rPr>
        <w:t>/or</w:t>
      </w:r>
      <w:r w:rsidR="00E530C0" w:rsidRPr="007C0B4F">
        <w:rPr>
          <w:rFonts w:asciiTheme="minorHAnsi" w:hAnsiTheme="minorHAnsi" w:cstheme="minorHAnsi"/>
          <w:lang w:eastAsia="x-none"/>
        </w:rPr>
        <w:t xml:space="preserve"> districts engaged.</w:t>
      </w:r>
    </w:p>
    <w:p w14:paraId="475C9A64" w14:textId="77777777" w:rsidR="005F5F4A" w:rsidRPr="007C0B4F" w:rsidRDefault="00E530C0" w:rsidP="0046186F">
      <w:pPr>
        <w:pStyle w:val="Heading1"/>
      </w:pPr>
      <w:r w:rsidRPr="007C0B4F">
        <w:rPr>
          <w:rFonts w:asciiTheme="minorHAnsi" w:hAnsiTheme="minorHAnsi" w:cstheme="minorHAnsi"/>
        </w:rPr>
        <w:t xml:space="preserve"> </w:t>
      </w:r>
      <w:bookmarkStart w:id="38" w:name="_Toc361407151"/>
      <w:bookmarkStart w:id="39" w:name="_Toc365366042"/>
      <w:r w:rsidR="0051766F" w:rsidRPr="007C0B4F">
        <w:rPr>
          <w:lang w:val="en-AU"/>
        </w:rPr>
        <w:t>T</w:t>
      </w:r>
      <w:r w:rsidR="0051766F" w:rsidRPr="007C0B4F">
        <w:t>he</w:t>
      </w:r>
      <w:r w:rsidR="00EF7F32" w:rsidRPr="007C0B4F">
        <w:t xml:space="preserve"> Mechanics</w:t>
      </w:r>
      <w:bookmarkEnd w:id="38"/>
      <w:bookmarkEnd w:id="39"/>
    </w:p>
    <w:p w14:paraId="475C9A65" w14:textId="77777777" w:rsidR="00EF7F32" w:rsidRPr="007C0B4F" w:rsidRDefault="00245C01" w:rsidP="00EF7F32">
      <w:pPr>
        <w:pStyle w:val="Heading2"/>
        <w:rPr>
          <w:rFonts w:cstheme="minorHAnsi"/>
        </w:rPr>
      </w:pPr>
      <w:bookmarkStart w:id="40" w:name="_Toc361407152"/>
      <w:bookmarkStart w:id="41" w:name="_Toc365366043"/>
      <w:r w:rsidRPr="007C0B4F">
        <w:rPr>
          <w:rFonts w:cstheme="minorHAnsi"/>
          <w:lang w:val="en-AU"/>
        </w:rPr>
        <w:t>Getting s</w:t>
      </w:r>
      <w:r w:rsidR="00EF7F32" w:rsidRPr="007C0B4F">
        <w:rPr>
          <w:rFonts w:cstheme="minorHAnsi"/>
          <w:lang w:val="en-AU"/>
        </w:rPr>
        <w:t>tarted</w:t>
      </w:r>
      <w:bookmarkEnd w:id="40"/>
      <w:bookmarkEnd w:id="41"/>
    </w:p>
    <w:p w14:paraId="475C9A66" w14:textId="77777777" w:rsidR="005F5F4A" w:rsidRPr="007C0B4F" w:rsidRDefault="005F5F4A" w:rsidP="005F5F4A">
      <w:pPr>
        <w:rPr>
          <w:rFonts w:asciiTheme="minorHAnsi" w:hAnsiTheme="minorHAnsi" w:cstheme="minorHAnsi"/>
          <w:lang w:val="en-GB"/>
        </w:rPr>
      </w:pPr>
      <w:r w:rsidRPr="007C0B4F">
        <w:rPr>
          <w:rFonts w:asciiTheme="minorHAnsi" w:hAnsiTheme="minorHAnsi" w:cstheme="minorHAnsi"/>
          <w:b/>
          <w:lang w:val="en-AU"/>
        </w:rPr>
        <w:t xml:space="preserve">The </w:t>
      </w:r>
      <w:r w:rsidR="00E2428E" w:rsidRPr="007C0B4F">
        <w:rPr>
          <w:rFonts w:asciiTheme="minorHAnsi" w:hAnsiTheme="minorHAnsi" w:cstheme="minorHAnsi"/>
          <w:b/>
          <w:lang w:val="en-AU"/>
        </w:rPr>
        <w:t xml:space="preserve">proposed </w:t>
      </w:r>
      <w:r w:rsidRPr="007C0B4F">
        <w:rPr>
          <w:rFonts w:asciiTheme="minorHAnsi" w:hAnsiTheme="minorHAnsi" w:cstheme="minorHAnsi"/>
          <w:b/>
          <w:lang w:val="en-AU"/>
        </w:rPr>
        <w:t>Facility will identify its entry points at provincial, district and school level in terms of timing, champions and institutional readiness</w:t>
      </w:r>
      <w:r w:rsidRPr="007C0B4F">
        <w:rPr>
          <w:rFonts w:asciiTheme="minorHAnsi" w:hAnsiTheme="minorHAnsi" w:cstheme="minorHAnsi"/>
          <w:lang w:val="en-AU"/>
        </w:rPr>
        <w:t xml:space="preserve">. Timing will take into account </w:t>
      </w:r>
      <w:r w:rsidRPr="007C0B4F">
        <w:rPr>
          <w:rFonts w:asciiTheme="minorHAnsi" w:hAnsiTheme="minorHAnsi" w:cstheme="minorHAnsi"/>
          <w:lang w:val="en-GB"/>
        </w:rPr>
        <w:t>GoI</w:t>
      </w:r>
      <w:r w:rsidR="00B90048" w:rsidRPr="007C0B4F">
        <w:rPr>
          <w:rFonts w:asciiTheme="minorHAnsi" w:hAnsiTheme="minorHAnsi" w:cstheme="minorHAnsi"/>
          <w:lang w:val="en-GB"/>
        </w:rPr>
        <w:t>’s</w:t>
      </w:r>
      <w:r w:rsidR="00E2428E" w:rsidRPr="007C0B4F">
        <w:rPr>
          <w:rFonts w:asciiTheme="minorHAnsi" w:hAnsiTheme="minorHAnsi" w:cstheme="minorHAnsi"/>
          <w:lang w:val="en-GB"/>
        </w:rPr>
        <w:t xml:space="preserve"> </w:t>
      </w:r>
      <w:r w:rsidRPr="007C0B4F">
        <w:rPr>
          <w:rFonts w:asciiTheme="minorHAnsi" w:hAnsiTheme="minorHAnsi" w:cstheme="minorHAnsi"/>
          <w:lang w:val="en-GB"/>
        </w:rPr>
        <w:t>prescribed annual planning cycle and 5 year strategic planning cycle</w:t>
      </w:r>
      <w:r w:rsidR="00247DEF" w:rsidRPr="007C0B4F">
        <w:rPr>
          <w:rFonts w:asciiTheme="minorHAnsi" w:hAnsiTheme="minorHAnsi" w:cstheme="minorHAnsi"/>
          <w:lang w:val="en-GB"/>
        </w:rPr>
        <w:t>,</w:t>
      </w:r>
      <w:r w:rsidRPr="007C0B4F">
        <w:rPr>
          <w:rFonts w:asciiTheme="minorHAnsi" w:hAnsiTheme="minorHAnsi" w:cstheme="minorHAnsi"/>
          <w:lang w:val="en-GB"/>
        </w:rPr>
        <w:t xml:space="preserve"> into which the Facility would be seeking to embed activities and ultimately</w:t>
      </w:r>
      <w:r w:rsidR="00247DEF" w:rsidRPr="007C0B4F">
        <w:rPr>
          <w:rFonts w:asciiTheme="minorHAnsi" w:hAnsiTheme="minorHAnsi" w:cstheme="minorHAnsi"/>
          <w:lang w:val="en-GB"/>
        </w:rPr>
        <w:t xml:space="preserve"> influence forward plans and budgets</w:t>
      </w:r>
      <w:r w:rsidRPr="007C0B4F">
        <w:rPr>
          <w:rFonts w:asciiTheme="minorHAnsi" w:hAnsiTheme="minorHAnsi" w:cstheme="minorHAnsi"/>
          <w:lang w:val="en-GB"/>
        </w:rPr>
        <w:t xml:space="preserve">. </w:t>
      </w:r>
      <w:r w:rsidR="00B3490A" w:rsidRPr="007C0B4F">
        <w:rPr>
          <w:rFonts w:asciiTheme="minorHAnsi" w:hAnsiTheme="minorHAnsi" w:cstheme="minorHAnsi"/>
          <w:lang w:val="en-GB"/>
        </w:rPr>
        <w:t xml:space="preserve"> </w:t>
      </w:r>
      <w:r w:rsidRPr="007C0B4F">
        <w:rPr>
          <w:rFonts w:asciiTheme="minorHAnsi" w:hAnsiTheme="minorHAnsi" w:cstheme="minorHAnsi"/>
          <w:lang w:val="en-GB"/>
        </w:rPr>
        <w:t xml:space="preserve">The Facility will recognise that Government officials have limited capacity to engage in activities, make commitments or expend funds which are not </w:t>
      </w:r>
      <w:r w:rsidR="00E16138" w:rsidRPr="007C0B4F">
        <w:rPr>
          <w:rFonts w:asciiTheme="minorHAnsi" w:hAnsiTheme="minorHAnsi" w:cstheme="minorHAnsi"/>
          <w:lang w:val="en-GB"/>
        </w:rPr>
        <w:t xml:space="preserve">already </w:t>
      </w:r>
      <w:r w:rsidRPr="007C0B4F">
        <w:rPr>
          <w:rFonts w:asciiTheme="minorHAnsi" w:hAnsiTheme="minorHAnsi" w:cstheme="minorHAnsi"/>
          <w:lang w:val="en-GB"/>
        </w:rPr>
        <w:t xml:space="preserve">identified in their approved expenditure plan (DIPA). </w:t>
      </w:r>
      <w:r w:rsidR="00B3490A" w:rsidRPr="007C0B4F">
        <w:rPr>
          <w:rFonts w:asciiTheme="minorHAnsi" w:hAnsiTheme="minorHAnsi" w:cstheme="minorHAnsi"/>
          <w:lang w:val="en-GB"/>
        </w:rPr>
        <w:t xml:space="preserve"> </w:t>
      </w:r>
      <w:r w:rsidRPr="007C0B4F">
        <w:rPr>
          <w:rFonts w:asciiTheme="minorHAnsi" w:hAnsiTheme="minorHAnsi" w:cstheme="minorHAnsi"/>
          <w:lang w:val="en-GB"/>
        </w:rPr>
        <w:t xml:space="preserve">Getting into the planning cycle at district and provincial level may require an 18 month lead time and the Facility may </w:t>
      </w:r>
      <w:r w:rsidRPr="007C0B4F">
        <w:rPr>
          <w:rFonts w:asciiTheme="minorHAnsi" w:hAnsiTheme="minorHAnsi" w:cstheme="minorHAnsi"/>
          <w:lang w:val="en-GB"/>
        </w:rPr>
        <w:lastRenderedPageBreak/>
        <w:t>initially have to work in parallel, but aligned with DIPA.</w:t>
      </w:r>
      <w:r w:rsidR="00247DEF" w:rsidRPr="007C0B4F">
        <w:rPr>
          <w:rFonts w:asciiTheme="minorHAnsi" w:hAnsiTheme="minorHAnsi" w:cstheme="minorHAnsi"/>
          <w:lang w:val="en-GB"/>
        </w:rPr>
        <w:t xml:space="preserve">  T</w:t>
      </w:r>
      <w:r w:rsidR="00E16138" w:rsidRPr="007C0B4F">
        <w:rPr>
          <w:rFonts w:asciiTheme="minorHAnsi" w:hAnsiTheme="minorHAnsi" w:cstheme="minorHAnsi"/>
          <w:lang w:val="en-GB"/>
        </w:rPr>
        <w:t xml:space="preserve">he Facility </w:t>
      </w:r>
      <w:r w:rsidRPr="007C0B4F">
        <w:rPr>
          <w:rFonts w:asciiTheme="minorHAnsi" w:hAnsiTheme="minorHAnsi" w:cstheme="minorHAnsi"/>
          <w:lang w:val="en-GB"/>
        </w:rPr>
        <w:t xml:space="preserve">will seek to influence planning and budgeting by providing compelling evidence of what works in improving quality </w:t>
      </w:r>
      <w:r w:rsidR="00E16138" w:rsidRPr="007C0B4F">
        <w:rPr>
          <w:rFonts w:asciiTheme="minorHAnsi" w:hAnsiTheme="minorHAnsi" w:cstheme="minorHAnsi"/>
          <w:lang w:val="en-GB"/>
        </w:rPr>
        <w:t xml:space="preserve">at the school level, </w:t>
      </w:r>
      <w:r w:rsidRPr="007C0B4F">
        <w:rPr>
          <w:rFonts w:asciiTheme="minorHAnsi" w:hAnsiTheme="minorHAnsi" w:cstheme="minorHAnsi"/>
          <w:lang w:val="en-GB"/>
        </w:rPr>
        <w:t xml:space="preserve">and sound advice on the enabling environment for transformation to occur.  </w:t>
      </w:r>
    </w:p>
    <w:p w14:paraId="475C9A67" w14:textId="77777777" w:rsidR="005F5F4A" w:rsidRPr="007C0B4F" w:rsidRDefault="005F5F4A" w:rsidP="005F5F4A">
      <w:pPr>
        <w:rPr>
          <w:rFonts w:asciiTheme="minorHAnsi" w:hAnsiTheme="minorHAnsi" w:cstheme="minorHAnsi"/>
          <w:lang w:val="en-GB"/>
        </w:rPr>
      </w:pPr>
      <w:r w:rsidRPr="007C0B4F">
        <w:rPr>
          <w:rFonts w:asciiTheme="minorHAnsi" w:hAnsiTheme="minorHAnsi" w:cstheme="minorHAnsi"/>
          <w:b/>
          <w:lang w:val="en-GB"/>
        </w:rPr>
        <w:t xml:space="preserve">In its inception phase the Facility will articulate </w:t>
      </w:r>
      <w:r w:rsidR="00E16138" w:rsidRPr="007C0B4F">
        <w:rPr>
          <w:rFonts w:asciiTheme="minorHAnsi" w:hAnsiTheme="minorHAnsi" w:cstheme="minorHAnsi"/>
          <w:b/>
          <w:lang w:val="en-GB"/>
        </w:rPr>
        <w:t xml:space="preserve">its </w:t>
      </w:r>
      <w:r w:rsidRPr="007C0B4F">
        <w:rPr>
          <w:rFonts w:asciiTheme="minorHAnsi" w:hAnsiTheme="minorHAnsi" w:cstheme="minorHAnsi"/>
          <w:b/>
          <w:lang w:val="en-GB"/>
        </w:rPr>
        <w:t>underpinning values and objectives to its stakeholders</w:t>
      </w:r>
      <w:r w:rsidRPr="007C0B4F">
        <w:rPr>
          <w:rFonts w:asciiTheme="minorHAnsi" w:hAnsiTheme="minorHAnsi" w:cstheme="minorHAnsi"/>
          <w:lang w:val="en-GB"/>
        </w:rPr>
        <w:t xml:space="preserve"> in order to gain champions, recognising that people only become champions of a</w:t>
      </w:r>
      <w:r w:rsidR="00E16138" w:rsidRPr="007C0B4F">
        <w:rPr>
          <w:rFonts w:asciiTheme="minorHAnsi" w:hAnsiTheme="minorHAnsi" w:cstheme="minorHAnsi"/>
          <w:lang w:val="en-GB"/>
        </w:rPr>
        <w:t>n initiative w</w:t>
      </w:r>
      <w:r w:rsidRPr="007C0B4F">
        <w:rPr>
          <w:rFonts w:asciiTheme="minorHAnsi" w:hAnsiTheme="minorHAnsi" w:cstheme="minorHAnsi"/>
          <w:lang w:val="en-GB"/>
        </w:rPr>
        <w:t xml:space="preserve">hen they perceive </w:t>
      </w:r>
      <w:r w:rsidR="00E16138" w:rsidRPr="007C0B4F">
        <w:rPr>
          <w:rFonts w:asciiTheme="minorHAnsi" w:hAnsiTheme="minorHAnsi" w:cstheme="minorHAnsi"/>
          <w:lang w:val="en-GB"/>
        </w:rPr>
        <w:t xml:space="preserve">that </w:t>
      </w:r>
      <w:r w:rsidRPr="007C0B4F">
        <w:rPr>
          <w:rFonts w:asciiTheme="minorHAnsi" w:hAnsiTheme="minorHAnsi" w:cstheme="minorHAnsi"/>
          <w:lang w:val="en-GB"/>
        </w:rPr>
        <w:t xml:space="preserve">there is a high degree of alignment of its values and objectives with their own. </w:t>
      </w:r>
    </w:p>
    <w:p w14:paraId="475C9A68" w14:textId="77777777" w:rsidR="00563A2D" w:rsidRPr="007C0B4F" w:rsidRDefault="005F5F4A" w:rsidP="005F5F4A">
      <w:pPr>
        <w:rPr>
          <w:rFonts w:asciiTheme="minorHAnsi" w:hAnsiTheme="minorHAnsi" w:cstheme="minorHAnsi"/>
          <w:lang w:val="en-GB"/>
        </w:rPr>
      </w:pPr>
      <w:r w:rsidRPr="007C0B4F">
        <w:rPr>
          <w:rFonts w:asciiTheme="minorHAnsi" w:hAnsiTheme="minorHAnsi" w:cstheme="minorHAnsi"/>
          <w:b/>
          <w:lang w:val="en-GB"/>
        </w:rPr>
        <w:t>Having established its local partners, the Facility will collaboratively set an agenda for the action research taking into account institutional readiness and key priorities</w:t>
      </w:r>
      <w:r w:rsidRPr="007C0B4F">
        <w:rPr>
          <w:rFonts w:asciiTheme="minorHAnsi" w:hAnsiTheme="minorHAnsi" w:cstheme="minorHAnsi"/>
          <w:lang w:val="en-GB"/>
        </w:rPr>
        <w:t xml:space="preserve">. </w:t>
      </w:r>
      <w:r w:rsidR="00E16138" w:rsidRPr="007C0B4F">
        <w:rPr>
          <w:rFonts w:asciiTheme="minorHAnsi" w:hAnsiTheme="minorHAnsi" w:cstheme="minorHAnsi"/>
          <w:lang w:val="en-GB"/>
        </w:rPr>
        <w:t xml:space="preserve"> </w:t>
      </w:r>
      <w:r w:rsidRPr="007C0B4F">
        <w:rPr>
          <w:rFonts w:asciiTheme="minorHAnsi" w:hAnsiTheme="minorHAnsi" w:cstheme="minorHAnsi"/>
          <w:lang w:val="en-GB"/>
        </w:rPr>
        <w:t>The action research with schools or clusters of schools will be supported by the technic</w:t>
      </w:r>
      <w:r w:rsidR="00D0099F" w:rsidRPr="007C0B4F">
        <w:rPr>
          <w:rFonts w:asciiTheme="minorHAnsi" w:hAnsiTheme="minorHAnsi" w:cstheme="minorHAnsi"/>
          <w:lang w:val="en-GB"/>
        </w:rPr>
        <w:t>al and management teams of the F</w:t>
      </w:r>
      <w:r w:rsidRPr="007C0B4F">
        <w:rPr>
          <w:rFonts w:asciiTheme="minorHAnsi" w:hAnsiTheme="minorHAnsi" w:cstheme="minorHAnsi"/>
          <w:lang w:val="en-GB"/>
        </w:rPr>
        <w:t>acility and will include</w:t>
      </w:r>
      <w:r w:rsidR="00143514" w:rsidRPr="007C0B4F">
        <w:rPr>
          <w:rFonts w:asciiTheme="minorHAnsi" w:hAnsiTheme="minorHAnsi" w:cstheme="minorHAnsi"/>
          <w:lang w:val="en-GB"/>
        </w:rPr>
        <w:t>: (i) analytical work to ensure clear understanding of problems and opportunities, including baselines;</w:t>
      </w:r>
      <w:r w:rsidRPr="007C0B4F">
        <w:rPr>
          <w:rFonts w:asciiTheme="minorHAnsi" w:hAnsiTheme="minorHAnsi" w:cstheme="minorHAnsi"/>
          <w:lang w:val="en-GB"/>
        </w:rPr>
        <w:t xml:space="preserve"> </w:t>
      </w:r>
      <w:r w:rsidR="00143514" w:rsidRPr="007C0B4F">
        <w:rPr>
          <w:rFonts w:asciiTheme="minorHAnsi" w:hAnsiTheme="minorHAnsi" w:cstheme="minorHAnsi"/>
          <w:lang w:val="en-GB"/>
        </w:rPr>
        <w:t xml:space="preserve">(ii) </w:t>
      </w:r>
      <w:r w:rsidRPr="007C0B4F">
        <w:rPr>
          <w:rFonts w:asciiTheme="minorHAnsi" w:hAnsiTheme="minorHAnsi" w:cstheme="minorHAnsi"/>
          <w:lang w:val="en-GB"/>
        </w:rPr>
        <w:t xml:space="preserve">development </w:t>
      </w:r>
      <w:r w:rsidR="00143514" w:rsidRPr="007C0B4F">
        <w:rPr>
          <w:rFonts w:asciiTheme="minorHAnsi" w:hAnsiTheme="minorHAnsi" w:cstheme="minorHAnsi"/>
          <w:lang w:val="en-GB"/>
        </w:rPr>
        <w:t xml:space="preserve">and design </w:t>
      </w:r>
      <w:r w:rsidRPr="007C0B4F">
        <w:rPr>
          <w:rFonts w:asciiTheme="minorHAnsi" w:hAnsiTheme="minorHAnsi" w:cstheme="minorHAnsi"/>
          <w:lang w:val="en-GB"/>
        </w:rPr>
        <w:t xml:space="preserve">of </w:t>
      </w:r>
      <w:r w:rsidR="00143514" w:rsidRPr="007C0B4F">
        <w:rPr>
          <w:rFonts w:asciiTheme="minorHAnsi" w:hAnsiTheme="minorHAnsi" w:cstheme="minorHAnsi"/>
          <w:lang w:val="en-GB"/>
        </w:rPr>
        <w:t>action research</w:t>
      </w:r>
      <w:r w:rsidR="00ED51F9" w:rsidRPr="007C0B4F">
        <w:rPr>
          <w:rFonts w:asciiTheme="minorHAnsi" w:hAnsiTheme="minorHAnsi" w:cstheme="minorHAnsi"/>
          <w:lang w:val="en-GB"/>
        </w:rPr>
        <w:t xml:space="preserve"> pilots</w:t>
      </w:r>
      <w:r w:rsidR="00143514" w:rsidRPr="007C0B4F">
        <w:rPr>
          <w:rFonts w:asciiTheme="minorHAnsi" w:hAnsiTheme="minorHAnsi" w:cstheme="minorHAnsi"/>
          <w:lang w:val="en-GB"/>
        </w:rPr>
        <w:t>;</w:t>
      </w:r>
      <w:r w:rsidRPr="007C0B4F">
        <w:rPr>
          <w:rFonts w:asciiTheme="minorHAnsi" w:hAnsiTheme="minorHAnsi" w:cstheme="minorHAnsi"/>
          <w:lang w:val="en-GB"/>
        </w:rPr>
        <w:t xml:space="preserve"> </w:t>
      </w:r>
      <w:r w:rsidR="00143514" w:rsidRPr="007C0B4F">
        <w:rPr>
          <w:rFonts w:asciiTheme="minorHAnsi" w:hAnsiTheme="minorHAnsi" w:cstheme="minorHAnsi"/>
          <w:lang w:val="en-GB"/>
        </w:rPr>
        <w:t xml:space="preserve">(iii) </w:t>
      </w:r>
      <w:r w:rsidR="00E16138" w:rsidRPr="007C0B4F">
        <w:rPr>
          <w:rFonts w:asciiTheme="minorHAnsi" w:hAnsiTheme="minorHAnsi" w:cstheme="minorHAnsi"/>
          <w:lang w:val="en-GB"/>
        </w:rPr>
        <w:t xml:space="preserve">provision of </w:t>
      </w:r>
      <w:r w:rsidR="00143514" w:rsidRPr="007C0B4F">
        <w:rPr>
          <w:rFonts w:asciiTheme="minorHAnsi" w:hAnsiTheme="minorHAnsi" w:cstheme="minorHAnsi"/>
          <w:lang w:val="en-GB"/>
        </w:rPr>
        <w:t xml:space="preserve">resources to implement the action research, including grants as appropriate; (iv) </w:t>
      </w:r>
      <w:r w:rsidRPr="007C0B4F">
        <w:rPr>
          <w:rFonts w:asciiTheme="minorHAnsi" w:hAnsiTheme="minorHAnsi" w:cstheme="minorHAnsi"/>
          <w:lang w:val="en-GB"/>
        </w:rPr>
        <w:t>monitoring</w:t>
      </w:r>
      <w:r w:rsidR="00143514" w:rsidRPr="007C0B4F">
        <w:rPr>
          <w:rFonts w:asciiTheme="minorHAnsi" w:hAnsiTheme="minorHAnsi" w:cstheme="minorHAnsi"/>
          <w:lang w:val="en-GB"/>
        </w:rPr>
        <w:t xml:space="preserve"> and evaluation of results; and (v) development of learning products and </w:t>
      </w:r>
      <w:r w:rsidRPr="007C0B4F">
        <w:rPr>
          <w:rFonts w:asciiTheme="minorHAnsi" w:hAnsiTheme="minorHAnsi" w:cstheme="minorHAnsi"/>
          <w:lang w:val="en-GB"/>
        </w:rPr>
        <w:t>communication</w:t>
      </w:r>
      <w:r w:rsidR="00143514" w:rsidRPr="007C0B4F">
        <w:rPr>
          <w:rFonts w:asciiTheme="minorHAnsi" w:hAnsiTheme="minorHAnsi" w:cstheme="minorHAnsi"/>
          <w:lang w:val="en-GB"/>
        </w:rPr>
        <w:t xml:space="preserve"> to key stakeholders</w:t>
      </w:r>
      <w:r w:rsidRPr="007C0B4F">
        <w:rPr>
          <w:rFonts w:asciiTheme="minorHAnsi" w:hAnsiTheme="minorHAnsi" w:cstheme="minorHAnsi"/>
          <w:lang w:val="en-GB"/>
        </w:rPr>
        <w:t xml:space="preserve">. </w:t>
      </w:r>
      <w:r w:rsidR="00143514" w:rsidRPr="007C0B4F">
        <w:rPr>
          <w:rFonts w:asciiTheme="minorHAnsi" w:hAnsiTheme="minorHAnsi" w:cstheme="minorHAnsi"/>
          <w:lang w:val="en-GB"/>
        </w:rPr>
        <w:t xml:space="preserve"> </w:t>
      </w:r>
    </w:p>
    <w:p w14:paraId="475C9A69" w14:textId="77777777" w:rsidR="005F5F4A" w:rsidRPr="007C0B4F" w:rsidRDefault="00154E14" w:rsidP="00B3490A">
      <w:pPr>
        <w:pStyle w:val="Heading2"/>
        <w:rPr>
          <w:rFonts w:cstheme="minorHAnsi"/>
        </w:rPr>
      </w:pPr>
      <w:bookmarkStart w:id="42" w:name="_Toc361407153"/>
      <w:bookmarkStart w:id="43" w:name="_Toc365366044"/>
      <w:r w:rsidRPr="007C0B4F">
        <w:rPr>
          <w:rFonts w:cstheme="minorHAnsi"/>
        </w:rPr>
        <w:t>Governance</w:t>
      </w:r>
      <w:bookmarkEnd w:id="42"/>
      <w:bookmarkEnd w:id="43"/>
      <w:r w:rsidRPr="007C0B4F">
        <w:rPr>
          <w:rFonts w:cstheme="minorHAnsi"/>
        </w:rPr>
        <w:t xml:space="preserve"> </w:t>
      </w:r>
    </w:p>
    <w:p w14:paraId="475C9A6A" w14:textId="77777777" w:rsidR="00D0099F" w:rsidRPr="007C0B4F" w:rsidRDefault="00154E14" w:rsidP="005F5F4A">
      <w:pPr>
        <w:rPr>
          <w:rFonts w:asciiTheme="minorHAnsi" w:hAnsiTheme="minorHAnsi" w:cstheme="minorHAnsi"/>
        </w:rPr>
      </w:pPr>
      <w:r w:rsidRPr="007C0B4F">
        <w:rPr>
          <w:rFonts w:asciiTheme="minorHAnsi" w:hAnsiTheme="minorHAnsi" w:cstheme="minorHAnsi"/>
          <w:b/>
        </w:rPr>
        <w:t xml:space="preserve">Governance arrangements </w:t>
      </w:r>
      <w:r w:rsidR="00FA25E2" w:rsidRPr="007C0B4F">
        <w:rPr>
          <w:rFonts w:asciiTheme="minorHAnsi" w:hAnsiTheme="minorHAnsi" w:cstheme="minorHAnsi"/>
          <w:b/>
        </w:rPr>
        <w:t>c</w:t>
      </w:r>
      <w:r w:rsidRPr="007C0B4F">
        <w:rPr>
          <w:rFonts w:asciiTheme="minorHAnsi" w:hAnsiTheme="minorHAnsi" w:cstheme="minorHAnsi"/>
          <w:b/>
        </w:rPr>
        <w:t xml:space="preserve">ould </w:t>
      </w:r>
      <w:r w:rsidR="00FA25E2" w:rsidRPr="007C0B4F">
        <w:rPr>
          <w:rFonts w:asciiTheme="minorHAnsi" w:hAnsiTheme="minorHAnsi" w:cstheme="minorHAnsi"/>
          <w:b/>
        </w:rPr>
        <w:t xml:space="preserve">readily </w:t>
      </w:r>
      <w:r w:rsidRPr="007C0B4F">
        <w:rPr>
          <w:rFonts w:asciiTheme="minorHAnsi" w:hAnsiTheme="minorHAnsi" w:cstheme="minorHAnsi"/>
          <w:b/>
        </w:rPr>
        <w:t>build on existing mechanisms</w:t>
      </w:r>
      <w:r w:rsidRPr="007C0B4F">
        <w:rPr>
          <w:rFonts w:asciiTheme="minorHAnsi" w:hAnsiTheme="minorHAnsi" w:cstheme="minorHAnsi"/>
        </w:rPr>
        <w:t>.   Recognizing</w:t>
      </w:r>
      <w:r w:rsidR="005F5F4A" w:rsidRPr="007C0B4F">
        <w:rPr>
          <w:rFonts w:asciiTheme="minorHAnsi" w:hAnsiTheme="minorHAnsi" w:cstheme="minorHAnsi"/>
        </w:rPr>
        <w:t xml:space="preserve"> that </w:t>
      </w:r>
      <w:r w:rsidR="00247DEF" w:rsidRPr="007C0B4F">
        <w:rPr>
          <w:rFonts w:asciiTheme="minorHAnsi" w:hAnsiTheme="minorHAnsi" w:cstheme="minorHAnsi"/>
        </w:rPr>
        <w:t xml:space="preserve">the oversight and coordination of </w:t>
      </w:r>
      <w:r w:rsidR="005F5F4A" w:rsidRPr="007C0B4F">
        <w:rPr>
          <w:rFonts w:asciiTheme="minorHAnsi" w:hAnsiTheme="minorHAnsi" w:cstheme="minorHAnsi"/>
        </w:rPr>
        <w:t xml:space="preserve">many </w:t>
      </w:r>
      <w:r w:rsidR="00247DEF" w:rsidRPr="007C0B4F">
        <w:rPr>
          <w:rFonts w:asciiTheme="minorHAnsi" w:hAnsiTheme="minorHAnsi" w:cstheme="minorHAnsi"/>
        </w:rPr>
        <w:t xml:space="preserve">different </w:t>
      </w:r>
      <w:r w:rsidR="005F5F4A" w:rsidRPr="007C0B4F">
        <w:rPr>
          <w:rFonts w:asciiTheme="minorHAnsi" w:hAnsiTheme="minorHAnsi" w:cstheme="minorHAnsi"/>
        </w:rPr>
        <w:t>aid programs</w:t>
      </w:r>
      <w:r w:rsidR="00247DEF" w:rsidRPr="007C0B4F">
        <w:rPr>
          <w:rFonts w:asciiTheme="minorHAnsi" w:hAnsiTheme="minorHAnsi" w:cstheme="minorHAnsi"/>
        </w:rPr>
        <w:t>/projects</w:t>
      </w:r>
      <w:r w:rsidR="005F5F4A" w:rsidRPr="007C0B4F">
        <w:rPr>
          <w:rFonts w:asciiTheme="minorHAnsi" w:hAnsiTheme="minorHAnsi" w:cstheme="minorHAnsi"/>
        </w:rPr>
        <w:t xml:space="preserve"> </w:t>
      </w:r>
      <w:r w:rsidRPr="007C0B4F">
        <w:rPr>
          <w:rFonts w:asciiTheme="minorHAnsi" w:hAnsiTheme="minorHAnsi" w:cstheme="minorHAnsi"/>
        </w:rPr>
        <w:t xml:space="preserve">rapidly becomes </w:t>
      </w:r>
      <w:r w:rsidR="00247DEF" w:rsidRPr="007C0B4F">
        <w:rPr>
          <w:rFonts w:asciiTheme="minorHAnsi" w:hAnsiTheme="minorHAnsi" w:cstheme="minorHAnsi"/>
        </w:rPr>
        <w:t xml:space="preserve">a </w:t>
      </w:r>
      <w:r w:rsidR="005F5F4A" w:rsidRPr="007C0B4F">
        <w:rPr>
          <w:rFonts w:asciiTheme="minorHAnsi" w:hAnsiTheme="minorHAnsi" w:cstheme="minorHAnsi"/>
        </w:rPr>
        <w:t>burden on government</w:t>
      </w:r>
      <w:r w:rsidR="00247DEF" w:rsidRPr="007C0B4F">
        <w:rPr>
          <w:rFonts w:asciiTheme="minorHAnsi" w:hAnsiTheme="minorHAnsi" w:cstheme="minorHAnsi"/>
        </w:rPr>
        <w:t xml:space="preserve"> officials’ time</w:t>
      </w:r>
      <w:r w:rsidR="005F5F4A" w:rsidRPr="007C0B4F">
        <w:rPr>
          <w:rFonts w:asciiTheme="minorHAnsi" w:hAnsiTheme="minorHAnsi" w:cstheme="minorHAnsi"/>
        </w:rPr>
        <w:t xml:space="preserve">, wherever possible, already established </w:t>
      </w:r>
      <w:r w:rsidRPr="007C0B4F">
        <w:rPr>
          <w:rFonts w:asciiTheme="minorHAnsi" w:hAnsiTheme="minorHAnsi" w:cstheme="minorHAnsi"/>
        </w:rPr>
        <w:t xml:space="preserve">mechanisms will be employed.  </w:t>
      </w:r>
      <w:r w:rsidR="005F5F4A" w:rsidRPr="007C0B4F">
        <w:rPr>
          <w:rFonts w:asciiTheme="minorHAnsi" w:hAnsiTheme="minorHAnsi" w:cstheme="minorHAnsi"/>
        </w:rPr>
        <w:t xml:space="preserve">At the national level, this </w:t>
      </w:r>
      <w:r w:rsidRPr="007C0B4F">
        <w:rPr>
          <w:rFonts w:asciiTheme="minorHAnsi" w:hAnsiTheme="minorHAnsi" w:cstheme="minorHAnsi"/>
        </w:rPr>
        <w:t>may</w:t>
      </w:r>
      <w:r w:rsidR="005F5F4A" w:rsidRPr="007C0B4F">
        <w:rPr>
          <w:rFonts w:asciiTheme="minorHAnsi" w:hAnsiTheme="minorHAnsi" w:cstheme="minorHAnsi"/>
        </w:rPr>
        <w:t xml:space="preserve"> involve adding the </w:t>
      </w:r>
      <w:r w:rsidR="00361929" w:rsidRPr="007C0B4F">
        <w:rPr>
          <w:rFonts w:asciiTheme="minorHAnsi" w:hAnsiTheme="minorHAnsi" w:cstheme="minorHAnsi"/>
        </w:rPr>
        <w:t>Facility</w:t>
      </w:r>
      <w:r w:rsidR="005F5F4A" w:rsidRPr="007C0B4F">
        <w:rPr>
          <w:rFonts w:asciiTheme="minorHAnsi" w:hAnsiTheme="minorHAnsi" w:cstheme="minorHAnsi"/>
        </w:rPr>
        <w:t xml:space="preserve"> as an additional agenda item to the governance body already established for the Education Partnership.</w:t>
      </w:r>
      <w:r w:rsidR="002F0422" w:rsidRPr="007C0B4F">
        <w:rPr>
          <w:rStyle w:val="FootnoteReference"/>
          <w:rFonts w:asciiTheme="minorHAnsi" w:hAnsiTheme="minorHAnsi" w:cstheme="minorHAnsi"/>
        </w:rPr>
        <w:footnoteReference w:id="9"/>
      </w:r>
      <w:r w:rsidR="005F5F4A" w:rsidRPr="007C0B4F">
        <w:rPr>
          <w:rFonts w:asciiTheme="minorHAnsi" w:hAnsiTheme="minorHAnsi" w:cstheme="minorHAnsi"/>
        </w:rPr>
        <w:t xml:space="preserve">  </w:t>
      </w:r>
      <w:r w:rsidR="005F5F4A" w:rsidRPr="007C0B4F">
        <w:rPr>
          <w:rFonts w:asciiTheme="minorHAnsi" w:hAnsiTheme="minorHAnsi" w:cstheme="minorHAnsi"/>
          <w:lang w:val="en-GB"/>
        </w:rPr>
        <w:t xml:space="preserve">At the provincial level, the governance arrangements could involve integrating the </w:t>
      </w:r>
      <w:r w:rsidR="00361929" w:rsidRPr="007C0B4F">
        <w:rPr>
          <w:rFonts w:asciiTheme="minorHAnsi" w:hAnsiTheme="minorHAnsi" w:cstheme="minorHAnsi"/>
          <w:lang w:val="en-GB"/>
        </w:rPr>
        <w:t>Facility</w:t>
      </w:r>
      <w:r w:rsidR="005F5F4A" w:rsidRPr="007C0B4F">
        <w:rPr>
          <w:rFonts w:asciiTheme="minorHAnsi" w:hAnsiTheme="minorHAnsi" w:cstheme="minorHAnsi"/>
          <w:lang w:val="en-GB"/>
        </w:rPr>
        <w:t xml:space="preserve"> into arrangements already established for such programs as AIPD. </w:t>
      </w:r>
      <w:r w:rsidRPr="007C0B4F">
        <w:rPr>
          <w:rFonts w:asciiTheme="minorHAnsi" w:hAnsiTheme="minorHAnsi" w:cstheme="minorHAnsi"/>
          <w:lang w:val="en-GB"/>
        </w:rPr>
        <w:t xml:space="preserve"> </w:t>
      </w:r>
      <w:r w:rsidR="00D0099F" w:rsidRPr="007C0B4F">
        <w:rPr>
          <w:rFonts w:asciiTheme="minorHAnsi" w:hAnsiTheme="minorHAnsi" w:cstheme="minorHAnsi"/>
        </w:rPr>
        <w:t xml:space="preserve">At the district level, coordinating committees would be established to support the Facility’s operations.  Such committees would ideally be linked to/integrated with one or more of the existing bodies responsible for the oversight of education service delivery and its quality assurance. </w:t>
      </w:r>
    </w:p>
    <w:p w14:paraId="475C9A6B" w14:textId="77777777" w:rsidR="00855B0F" w:rsidRPr="007C0B4F" w:rsidRDefault="00AC080B" w:rsidP="005F5F4A">
      <w:pPr>
        <w:rPr>
          <w:rFonts w:asciiTheme="minorHAnsi" w:hAnsiTheme="minorHAnsi" w:cstheme="minorHAnsi"/>
          <w:lang w:val="en-GB"/>
        </w:rPr>
      </w:pPr>
      <w:r w:rsidRPr="007C0B4F">
        <w:rPr>
          <w:rFonts w:asciiTheme="minorHAnsi" w:hAnsiTheme="minorHAnsi" w:cstheme="minorHAnsi"/>
          <w:b/>
          <w:lang w:val="en-GB"/>
        </w:rPr>
        <w:t>However, a</w:t>
      </w:r>
      <w:r w:rsidR="00154E14" w:rsidRPr="007C0B4F">
        <w:rPr>
          <w:rFonts w:asciiTheme="minorHAnsi" w:hAnsiTheme="minorHAnsi" w:cstheme="minorHAnsi"/>
          <w:b/>
          <w:lang w:val="en-GB"/>
        </w:rPr>
        <w:t xml:space="preserve"> sub-national governance structure is an exciting alternative</w:t>
      </w:r>
      <w:r w:rsidR="00855B0F" w:rsidRPr="007C0B4F">
        <w:rPr>
          <w:rFonts w:asciiTheme="minorHAnsi" w:hAnsiTheme="minorHAnsi" w:cstheme="minorHAnsi"/>
          <w:lang w:val="en-GB"/>
        </w:rPr>
        <w:t xml:space="preserve">.  It is possible to substantially raise the profile of the Facility as a significant player in decentralised education service delivery by designing a governance structure that requires a senior provincial authority  (a governor or vice-governor) to chair (or co-chair).  This would better ensure broader buy-in at the province and district level and would also prompt consistent levels of visibility of the Facility within Bappenas and the line agencies.  </w:t>
      </w:r>
    </w:p>
    <w:p w14:paraId="475C9A6C" w14:textId="77777777" w:rsidR="005F5F4A" w:rsidRPr="007C0B4F" w:rsidRDefault="00855B0F" w:rsidP="005F5F4A">
      <w:pPr>
        <w:rPr>
          <w:rFonts w:asciiTheme="minorHAnsi" w:hAnsiTheme="minorHAnsi" w:cstheme="minorHAnsi"/>
        </w:rPr>
      </w:pPr>
      <w:r w:rsidRPr="007C0B4F">
        <w:rPr>
          <w:rFonts w:asciiTheme="minorHAnsi" w:hAnsiTheme="minorHAnsi" w:cstheme="minorHAnsi"/>
          <w:lang w:val="en-GB"/>
        </w:rPr>
        <w:t xml:space="preserve">Regardless of the model followed, </w:t>
      </w:r>
      <w:r w:rsidRPr="007C0B4F">
        <w:rPr>
          <w:rFonts w:asciiTheme="minorHAnsi" w:hAnsiTheme="minorHAnsi" w:cstheme="minorHAnsi"/>
          <w:b/>
        </w:rPr>
        <w:t>careful</w:t>
      </w:r>
      <w:r w:rsidR="00D0099F" w:rsidRPr="007C0B4F">
        <w:rPr>
          <w:rFonts w:asciiTheme="minorHAnsi" w:hAnsiTheme="minorHAnsi" w:cstheme="minorHAnsi"/>
          <w:b/>
        </w:rPr>
        <w:t xml:space="preserve"> c</w:t>
      </w:r>
      <w:r w:rsidR="005F5F4A" w:rsidRPr="007C0B4F">
        <w:rPr>
          <w:rFonts w:asciiTheme="minorHAnsi" w:hAnsiTheme="minorHAnsi" w:cstheme="minorHAnsi"/>
          <w:b/>
        </w:rPr>
        <w:t>onsideration needs to be given to AusAID’s engagement with MoHA</w:t>
      </w:r>
      <w:r w:rsidR="00ED51F9" w:rsidRPr="007C0B4F">
        <w:rPr>
          <w:rFonts w:asciiTheme="minorHAnsi" w:hAnsiTheme="minorHAnsi" w:cstheme="minorHAnsi"/>
        </w:rPr>
        <w:t>,</w:t>
      </w:r>
      <w:r w:rsidR="005F5F4A" w:rsidRPr="007C0B4F">
        <w:rPr>
          <w:rFonts w:asciiTheme="minorHAnsi" w:hAnsiTheme="minorHAnsi" w:cstheme="minorHAnsi"/>
        </w:rPr>
        <w:t xml:space="preserve"> which is currently weak </w:t>
      </w:r>
      <w:r w:rsidR="00ED51F9" w:rsidRPr="007C0B4F">
        <w:rPr>
          <w:rFonts w:asciiTheme="minorHAnsi" w:hAnsiTheme="minorHAnsi" w:cstheme="minorHAnsi"/>
        </w:rPr>
        <w:t xml:space="preserve">at least with respect to </w:t>
      </w:r>
      <w:r w:rsidR="00742BF0" w:rsidRPr="007C0B4F">
        <w:rPr>
          <w:rFonts w:asciiTheme="minorHAnsi" w:hAnsiTheme="minorHAnsi" w:cstheme="minorHAnsi"/>
        </w:rPr>
        <w:t xml:space="preserve">AusAID’s work in </w:t>
      </w:r>
      <w:r w:rsidR="00ED51F9" w:rsidRPr="007C0B4F">
        <w:rPr>
          <w:rFonts w:asciiTheme="minorHAnsi" w:hAnsiTheme="minorHAnsi" w:cstheme="minorHAnsi"/>
        </w:rPr>
        <w:t xml:space="preserve">the education sector, </w:t>
      </w:r>
      <w:r w:rsidR="005F5F4A" w:rsidRPr="007C0B4F">
        <w:rPr>
          <w:rFonts w:asciiTheme="minorHAnsi" w:hAnsiTheme="minorHAnsi" w:cstheme="minorHAnsi"/>
        </w:rPr>
        <w:t xml:space="preserve">as this may need to change with the funding of a sub-national </w:t>
      </w:r>
      <w:r w:rsidR="00361929" w:rsidRPr="007C0B4F">
        <w:rPr>
          <w:rFonts w:asciiTheme="minorHAnsi" w:hAnsiTheme="minorHAnsi" w:cstheme="minorHAnsi"/>
        </w:rPr>
        <w:t>Facility</w:t>
      </w:r>
      <w:r w:rsidR="005F5F4A" w:rsidRPr="007C0B4F">
        <w:rPr>
          <w:rFonts w:asciiTheme="minorHAnsi" w:hAnsiTheme="minorHAnsi" w:cstheme="minorHAnsi"/>
        </w:rPr>
        <w:t xml:space="preserve">. </w:t>
      </w:r>
    </w:p>
    <w:p w14:paraId="475C9A6D" w14:textId="77777777" w:rsidR="005F5F4A" w:rsidRPr="007C0B4F" w:rsidRDefault="00EF7F32" w:rsidP="00855B0F">
      <w:pPr>
        <w:pStyle w:val="Heading2"/>
        <w:tabs>
          <w:tab w:val="clear" w:pos="432"/>
          <w:tab w:val="num" w:pos="567"/>
        </w:tabs>
      </w:pPr>
      <w:bookmarkStart w:id="44" w:name="_Toc361407154"/>
      <w:bookmarkStart w:id="45" w:name="_Toc365366045"/>
      <w:r w:rsidRPr="007C0B4F">
        <w:t>Location</w:t>
      </w:r>
      <w:bookmarkEnd w:id="44"/>
      <w:bookmarkEnd w:id="45"/>
    </w:p>
    <w:p w14:paraId="475C9A6E" w14:textId="77777777" w:rsidR="005F5F4A" w:rsidRPr="007C0B4F" w:rsidRDefault="005F5F4A" w:rsidP="005F5F4A">
      <w:pPr>
        <w:rPr>
          <w:rFonts w:asciiTheme="minorHAnsi" w:hAnsiTheme="minorHAnsi" w:cstheme="minorHAnsi"/>
        </w:rPr>
      </w:pPr>
      <w:r w:rsidRPr="007C0B4F">
        <w:rPr>
          <w:rFonts w:asciiTheme="minorHAnsi" w:hAnsiTheme="minorHAnsi" w:cstheme="minorHAnsi"/>
          <w:b/>
        </w:rPr>
        <w:t>The sub-national focus requires a sub-national location for the Facility</w:t>
      </w:r>
      <w:r w:rsidRPr="007C0B4F">
        <w:rPr>
          <w:rFonts w:asciiTheme="minorHAnsi" w:hAnsiTheme="minorHAnsi" w:cstheme="minorHAnsi"/>
        </w:rPr>
        <w:t xml:space="preserve">. </w:t>
      </w:r>
      <w:r w:rsidR="000E36E5" w:rsidRPr="007C0B4F">
        <w:rPr>
          <w:rFonts w:asciiTheme="minorHAnsi" w:hAnsiTheme="minorHAnsi" w:cstheme="minorHAnsi"/>
        </w:rPr>
        <w:t xml:space="preserve"> </w:t>
      </w:r>
      <w:r w:rsidR="00D0099F" w:rsidRPr="007C0B4F">
        <w:rPr>
          <w:rFonts w:asciiTheme="minorHAnsi" w:hAnsiTheme="minorHAnsi" w:cstheme="minorHAnsi"/>
        </w:rPr>
        <w:t>It is therefore proposed that t</w:t>
      </w:r>
      <w:r w:rsidRPr="007C0B4F">
        <w:rPr>
          <w:rFonts w:asciiTheme="minorHAnsi" w:hAnsiTheme="minorHAnsi" w:cstheme="minorHAnsi"/>
        </w:rPr>
        <w:t xml:space="preserve">he main hub would be in one province where the political conditions were most </w:t>
      </w:r>
      <w:r w:rsidR="0046186F" w:rsidRPr="007C0B4F">
        <w:rPr>
          <w:rFonts w:asciiTheme="minorHAnsi" w:hAnsiTheme="minorHAnsi" w:cstheme="minorHAnsi"/>
        </w:rPr>
        <w:t xml:space="preserve">favorable, and from where a </w:t>
      </w:r>
      <w:r w:rsidR="00FB3E1B" w:rsidRPr="007C0B4F">
        <w:rPr>
          <w:rFonts w:asciiTheme="minorHAnsi" w:hAnsiTheme="minorHAnsi" w:cstheme="minorHAnsi"/>
        </w:rPr>
        <w:t xml:space="preserve">core technical team could </w:t>
      </w:r>
      <w:r w:rsidR="0046186F" w:rsidRPr="007C0B4F">
        <w:rPr>
          <w:rFonts w:asciiTheme="minorHAnsi" w:hAnsiTheme="minorHAnsi" w:cstheme="minorHAnsi"/>
        </w:rPr>
        <w:t>readily</w:t>
      </w:r>
      <w:r w:rsidR="00FB3E1B" w:rsidRPr="007C0B4F">
        <w:rPr>
          <w:rFonts w:asciiTheme="minorHAnsi" w:hAnsiTheme="minorHAnsi" w:cstheme="minorHAnsi"/>
        </w:rPr>
        <w:t xml:space="preserve"> travel to other participating provinces</w:t>
      </w:r>
      <w:r w:rsidRPr="007C0B4F">
        <w:rPr>
          <w:rFonts w:asciiTheme="minorHAnsi" w:hAnsiTheme="minorHAnsi" w:cstheme="minorHAnsi"/>
        </w:rPr>
        <w:t xml:space="preserve">.  </w:t>
      </w:r>
    </w:p>
    <w:p w14:paraId="475C9A6F" w14:textId="77777777" w:rsidR="0046186F" w:rsidRPr="007C0B4F" w:rsidRDefault="000E36E5" w:rsidP="0046186F">
      <w:pPr>
        <w:rPr>
          <w:rFonts w:asciiTheme="minorHAnsi" w:hAnsiTheme="minorHAnsi" w:cstheme="minorHAnsi"/>
        </w:rPr>
      </w:pPr>
      <w:r w:rsidRPr="007C0B4F">
        <w:rPr>
          <w:rFonts w:asciiTheme="minorHAnsi" w:hAnsiTheme="minorHAnsi" w:cstheme="minorHAnsi"/>
        </w:rPr>
        <w:t xml:space="preserve">The proposed criteria for </w:t>
      </w:r>
      <w:r w:rsidR="0046186F" w:rsidRPr="007C0B4F">
        <w:rPr>
          <w:rFonts w:asciiTheme="minorHAnsi" w:hAnsiTheme="minorHAnsi" w:cstheme="minorHAnsi"/>
        </w:rPr>
        <w:t xml:space="preserve">selecting </w:t>
      </w:r>
      <w:r w:rsidR="00AC080B" w:rsidRPr="007C0B4F">
        <w:rPr>
          <w:rFonts w:asciiTheme="minorHAnsi" w:hAnsiTheme="minorHAnsi" w:cstheme="minorHAnsi"/>
        </w:rPr>
        <w:t xml:space="preserve">the first group of participating provinces </w:t>
      </w:r>
      <w:r w:rsidR="0046186F" w:rsidRPr="007C0B4F">
        <w:rPr>
          <w:rFonts w:asciiTheme="minorHAnsi" w:hAnsiTheme="minorHAnsi" w:cstheme="minorHAnsi"/>
        </w:rPr>
        <w:t xml:space="preserve">are: </w:t>
      </w:r>
    </w:p>
    <w:p w14:paraId="475C9A70" w14:textId="77777777" w:rsidR="000E36E5" w:rsidRPr="007C0B4F" w:rsidRDefault="000E36E5" w:rsidP="00720B96">
      <w:pPr>
        <w:pStyle w:val="ListParagraph"/>
        <w:numPr>
          <w:ilvl w:val="0"/>
          <w:numId w:val="11"/>
        </w:numPr>
        <w:rPr>
          <w:rFonts w:asciiTheme="minorHAnsi" w:hAnsiTheme="minorHAnsi" w:cstheme="minorHAnsi"/>
        </w:rPr>
      </w:pPr>
      <w:r w:rsidRPr="007C0B4F">
        <w:rPr>
          <w:rFonts w:asciiTheme="minorHAnsi" w:hAnsiTheme="minorHAnsi" w:cstheme="minorHAnsi"/>
        </w:rPr>
        <w:lastRenderedPageBreak/>
        <w:t>AusAID already has an established sub-national presence, through implementation of existing programs that support front-line service delivery</w:t>
      </w:r>
      <w:r w:rsidR="00563A2D" w:rsidRPr="007C0B4F">
        <w:rPr>
          <w:rFonts w:asciiTheme="minorHAnsi" w:hAnsiTheme="minorHAnsi" w:cstheme="minorHAnsi"/>
        </w:rPr>
        <w:t xml:space="preserve"> (e.g. AIPD, ACCESS and LOGICA)</w:t>
      </w:r>
    </w:p>
    <w:p w14:paraId="475C9A71" w14:textId="77777777" w:rsidR="000E36E5" w:rsidRPr="007C0B4F" w:rsidRDefault="0046186F" w:rsidP="00720B96">
      <w:pPr>
        <w:pStyle w:val="ListParagraph"/>
        <w:numPr>
          <w:ilvl w:val="0"/>
          <w:numId w:val="11"/>
        </w:numPr>
        <w:rPr>
          <w:rFonts w:asciiTheme="minorHAnsi" w:hAnsiTheme="minorHAnsi" w:cstheme="minorHAnsi"/>
        </w:rPr>
      </w:pPr>
      <w:r w:rsidRPr="007C0B4F">
        <w:rPr>
          <w:rFonts w:asciiTheme="minorHAnsi" w:hAnsiTheme="minorHAnsi" w:cstheme="minorHAnsi"/>
        </w:rPr>
        <w:t>The p</w:t>
      </w:r>
      <w:r w:rsidR="000E36E5" w:rsidRPr="007C0B4F">
        <w:rPr>
          <w:rFonts w:asciiTheme="minorHAnsi" w:hAnsiTheme="minorHAnsi" w:cstheme="minorHAnsi"/>
        </w:rPr>
        <w:t>rovince</w:t>
      </w:r>
      <w:r w:rsidRPr="007C0B4F">
        <w:rPr>
          <w:rFonts w:asciiTheme="minorHAnsi" w:hAnsiTheme="minorHAnsi" w:cstheme="minorHAnsi"/>
        </w:rPr>
        <w:t xml:space="preserve"> can </w:t>
      </w:r>
      <w:r w:rsidR="000E36E5" w:rsidRPr="007C0B4F">
        <w:rPr>
          <w:rFonts w:asciiTheme="minorHAnsi" w:hAnsiTheme="minorHAnsi" w:cstheme="minorHAnsi"/>
        </w:rPr>
        <w:t xml:space="preserve">demonstrate clear interest in and high level support for the objectives and </w:t>
      </w:r>
      <w:r w:rsidRPr="007C0B4F">
        <w:rPr>
          <w:rFonts w:asciiTheme="minorHAnsi" w:hAnsiTheme="minorHAnsi" w:cstheme="minorHAnsi"/>
        </w:rPr>
        <w:t>intent</w:t>
      </w:r>
      <w:r w:rsidR="000E36E5" w:rsidRPr="007C0B4F">
        <w:rPr>
          <w:rFonts w:asciiTheme="minorHAnsi" w:hAnsiTheme="minorHAnsi" w:cstheme="minorHAnsi"/>
        </w:rPr>
        <w:t xml:space="preserve"> of the Facility</w:t>
      </w:r>
    </w:p>
    <w:p w14:paraId="475C9A72" w14:textId="77777777" w:rsidR="0046186F" w:rsidRPr="007C0B4F" w:rsidRDefault="0046186F" w:rsidP="00720B96">
      <w:pPr>
        <w:pStyle w:val="ListParagraph"/>
        <w:numPr>
          <w:ilvl w:val="0"/>
          <w:numId w:val="11"/>
        </w:numPr>
        <w:rPr>
          <w:rFonts w:asciiTheme="minorHAnsi" w:hAnsiTheme="minorHAnsi" w:cstheme="minorHAnsi"/>
        </w:rPr>
      </w:pPr>
      <w:r w:rsidRPr="007C0B4F">
        <w:rPr>
          <w:rFonts w:asciiTheme="minorHAnsi" w:hAnsiTheme="minorHAnsi" w:cstheme="minorHAnsi"/>
        </w:rPr>
        <w:t>The pr</w:t>
      </w:r>
      <w:r w:rsidR="000E36E5" w:rsidRPr="007C0B4F">
        <w:rPr>
          <w:rFonts w:asciiTheme="minorHAnsi" w:hAnsiTheme="minorHAnsi" w:cstheme="minorHAnsi"/>
        </w:rPr>
        <w:t>ovince</w:t>
      </w:r>
      <w:r w:rsidRPr="007C0B4F">
        <w:rPr>
          <w:rFonts w:asciiTheme="minorHAnsi" w:hAnsiTheme="minorHAnsi" w:cstheme="minorHAnsi"/>
        </w:rPr>
        <w:t xml:space="preserve"> has a</w:t>
      </w:r>
      <w:r w:rsidR="000E36E5" w:rsidRPr="007C0B4F">
        <w:rPr>
          <w:rFonts w:asciiTheme="minorHAnsi" w:hAnsiTheme="minorHAnsi" w:cstheme="minorHAnsi"/>
        </w:rPr>
        <w:t xml:space="preserve"> significant </w:t>
      </w:r>
      <w:r w:rsidRPr="007C0B4F">
        <w:rPr>
          <w:rFonts w:asciiTheme="minorHAnsi" w:hAnsiTheme="minorHAnsi" w:cstheme="minorHAnsi"/>
        </w:rPr>
        <w:t>p</w:t>
      </w:r>
      <w:r w:rsidR="000E36E5" w:rsidRPr="007C0B4F">
        <w:rPr>
          <w:rFonts w:asciiTheme="minorHAnsi" w:hAnsiTheme="minorHAnsi" w:cstheme="minorHAnsi"/>
        </w:rPr>
        <w:t>oor</w:t>
      </w:r>
      <w:r w:rsidR="00563A2D" w:rsidRPr="007C0B4F">
        <w:rPr>
          <w:rFonts w:asciiTheme="minorHAnsi" w:hAnsiTheme="minorHAnsi" w:cstheme="minorHAnsi"/>
        </w:rPr>
        <w:t xml:space="preserve"> </w:t>
      </w:r>
      <w:r w:rsidRPr="007C0B4F">
        <w:rPr>
          <w:rFonts w:asciiTheme="minorHAnsi" w:hAnsiTheme="minorHAnsi" w:cstheme="minorHAnsi"/>
        </w:rPr>
        <w:t>population among which learning outcomes are low.</w:t>
      </w:r>
    </w:p>
    <w:p w14:paraId="475C9A73" w14:textId="77777777" w:rsidR="00D0099F" w:rsidRPr="007C0B4F" w:rsidRDefault="000E36E5" w:rsidP="0046186F">
      <w:pPr>
        <w:rPr>
          <w:rFonts w:asciiTheme="minorHAnsi" w:hAnsiTheme="minorHAnsi" w:cstheme="minorHAnsi"/>
        </w:rPr>
      </w:pPr>
      <w:r w:rsidRPr="007C0B4F">
        <w:rPr>
          <w:rFonts w:asciiTheme="minorHAnsi" w:hAnsiTheme="minorHAnsi" w:cstheme="minorHAnsi"/>
        </w:rPr>
        <w:t xml:space="preserve">Based on </w:t>
      </w:r>
      <w:r w:rsidR="0046186F" w:rsidRPr="007C0B4F">
        <w:rPr>
          <w:rFonts w:asciiTheme="minorHAnsi" w:hAnsiTheme="minorHAnsi" w:cstheme="minorHAnsi"/>
        </w:rPr>
        <w:t>these</w:t>
      </w:r>
      <w:r w:rsidRPr="007C0B4F">
        <w:rPr>
          <w:rFonts w:asciiTheme="minorHAnsi" w:hAnsiTheme="minorHAnsi" w:cstheme="minorHAnsi"/>
        </w:rPr>
        <w:t xml:space="preserve"> criteria, an initial list</w:t>
      </w:r>
      <w:r w:rsidR="0046186F" w:rsidRPr="007C0B4F">
        <w:rPr>
          <w:rFonts w:asciiTheme="minorHAnsi" w:hAnsiTheme="minorHAnsi" w:cstheme="minorHAnsi"/>
        </w:rPr>
        <w:t xml:space="preserve">ing of </w:t>
      </w:r>
      <w:r w:rsidR="005F5F4A" w:rsidRPr="007C0B4F">
        <w:rPr>
          <w:rFonts w:asciiTheme="minorHAnsi" w:hAnsiTheme="minorHAnsi" w:cstheme="minorHAnsi"/>
        </w:rPr>
        <w:t xml:space="preserve">provinces </w:t>
      </w:r>
      <w:r w:rsidR="0046186F" w:rsidRPr="007C0B4F">
        <w:rPr>
          <w:rFonts w:asciiTheme="minorHAnsi" w:hAnsiTheme="minorHAnsi" w:cstheme="minorHAnsi"/>
        </w:rPr>
        <w:t xml:space="preserve">would include </w:t>
      </w:r>
      <w:r w:rsidR="005F5F4A" w:rsidRPr="007C0B4F">
        <w:rPr>
          <w:rFonts w:asciiTheme="minorHAnsi" w:hAnsiTheme="minorHAnsi" w:cstheme="minorHAnsi"/>
        </w:rPr>
        <w:t>Aceh, NTT, NTB, East Java and South Sulawesi.  As well as meeting AusAID’s</w:t>
      </w:r>
      <w:r w:rsidR="00D0099F" w:rsidRPr="007C0B4F">
        <w:rPr>
          <w:rFonts w:asciiTheme="minorHAnsi" w:hAnsiTheme="minorHAnsi" w:cstheme="minorHAnsi"/>
        </w:rPr>
        <w:t xml:space="preserve"> </w:t>
      </w:r>
      <w:r w:rsidR="005F5F4A" w:rsidRPr="007C0B4F">
        <w:rPr>
          <w:rFonts w:asciiTheme="minorHAnsi" w:hAnsiTheme="minorHAnsi" w:cstheme="minorHAnsi"/>
        </w:rPr>
        <w:t xml:space="preserve">pro-poor objectives, </w:t>
      </w:r>
      <w:r w:rsidR="0046186F" w:rsidRPr="007C0B4F">
        <w:rPr>
          <w:rFonts w:asciiTheme="minorHAnsi" w:hAnsiTheme="minorHAnsi" w:cstheme="minorHAnsi"/>
        </w:rPr>
        <w:t xml:space="preserve">beginning with provinces from this group may </w:t>
      </w:r>
      <w:r w:rsidR="00D0099F" w:rsidRPr="007C0B4F">
        <w:rPr>
          <w:rFonts w:asciiTheme="minorHAnsi" w:hAnsiTheme="minorHAnsi" w:cstheme="minorHAnsi"/>
        </w:rPr>
        <w:t xml:space="preserve">help </w:t>
      </w:r>
      <w:r w:rsidR="005F5F4A" w:rsidRPr="007C0B4F">
        <w:rPr>
          <w:rFonts w:asciiTheme="minorHAnsi" w:hAnsiTheme="minorHAnsi" w:cstheme="minorHAnsi"/>
        </w:rPr>
        <w:t xml:space="preserve">accelerate </w:t>
      </w:r>
      <w:r w:rsidR="00D0099F" w:rsidRPr="007C0B4F">
        <w:rPr>
          <w:rFonts w:asciiTheme="minorHAnsi" w:hAnsiTheme="minorHAnsi" w:cstheme="minorHAnsi"/>
        </w:rPr>
        <w:t xml:space="preserve">Facility </w:t>
      </w:r>
      <w:r w:rsidR="005F5F4A" w:rsidRPr="007C0B4F">
        <w:rPr>
          <w:rFonts w:asciiTheme="minorHAnsi" w:hAnsiTheme="minorHAnsi" w:cstheme="minorHAnsi"/>
        </w:rPr>
        <w:t>start-up</w:t>
      </w:r>
      <w:r w:rsidR="00D0099F" w:rsidRPr="007C0B4F">
        <w:rPr>
          <w:rFonts w:asciiTheme="minorHAnsi" w:hAnsiTheme="minorHAnsi" w:cstheme="minorHAnsi"/>
        </w:rPr>
        <w:t xml:space="preserve"> and allow for synerg</w:t>
      </w:r>
      <w:r w:rsidR="0046186F" w:rsidRPr="007C0B4F">
        <w:rPr>
          <w:rFonts w:asciiTheme="minorHAnsi" w:hAnsiTheme="minorHAnsi" w:cstheme="minorHAnsi"/>
        </w:rPr>
        <w:t xml:space="preserve">ies </w:t>
      </w:r>
      <w:r w:rsidR="00D0099F" w:rsidRPr="007C0B4F">
        <w:rPr>
          <w:rFonts w:asciiTheme="minorHAnsi" w:hAnsiTheme="minorHAnsi" w:cstheme="minorHAnsi"/>
        </w:rPr>
        <w:t xml:space="preserve">between different elements of AusAID’s overall aid program at the sub-national level.  </w:t>
      </w:r>
    </w:p>
    <w:p w14:paraId="475C9A74" w14:textId="77777777" w:rsidR="005F5F4A" w:rsidRPr="007C0B4F" w:rsidRDefault="00C61439" w:rsidP="005F5F4A">
      <w:pPr>
        <w:rPr>
          <w:rFonts w:asciiTheme="minorHAnsi" w:hAnsiTheme="minorHAnsi" w:cstheme="minorHAnsi"/>
        </w:rPr>
      </w:pPr>
      <w:r w:rsidRPr="007C0B4F">
        <w:rPr>
          <w:rFonts w:asciiTheme="minorHAnsi" w:hAnsiTheme="minorHAnsi" w:cstheme="minorHAnsi"/>
        </w:rPr>
        <w:t>However,</w:t>
      </w:r>
      <w:r w:rsidR="0046186F" w:rsidRPr="007C0B4F">
        <w:rPr>
          <w:rFonts w:asciiTheme="minorHAnsi" w:hAnsiTheme="minorHAnsi" w:cstheme="minorHAnsi"/>
        </w:rPr>
        <w:t xml:space="preserve"> f</w:t>
      </w:r>
      <w:r w:rsidR="005F5F4A" w:rsidRPr="007C0B4F">
        <w:rPr>
          <w:rFonts w:asciiTheme="minorHAnsi" w:hAnsiTheme="minorHAnsi" w:cstheme="minorHAnsi"/>
        </w:rPr>
        <w:t xml:space="preserve">urther consultation is required </w:t>
      </w:r>
      <w:r w:rsidR="00AC080B" w:rsidRPr="007C0B4F">
        <w:rPr>
          <w:rFonts w:asciiTheme="minorHAnsi" w:hAnsiTheme="minorHAnsi" w:cstheme="minorHAnsi"/>
        </w:rPr>
        <w:t xml:space="preserve">at all probable locations </w:t>
      </w:r>
      <w:r w:rsidR="005F5F4A" w:rsidRPr="007C0B4F">
        <w:rPr>
          <w:rFonts w:asciiTheme="minorHAnsi" w:hAnsiTheme="minorHAnsi" w:cstheme="minorHAnsi"/>
        </w:rPr>
        <w:t xml:space="preserve">to </w:t>
      </w:r>
      <w:r w:rsidR="0046186F" w:rsidRPr="007C0B4F">
        <w:rPr>
          <w:rFonts w:asciiTheme="minorHAnsi" w:hAnsiTheme="minorHAnsi" w:cstheme="minorHAnsi"/>
        </w:rPr>
        <w:t>firmly establish</w:t>
      </w:r>
      <w:r w:rsidR="005F5F4A" w:rsidRPr="007C0B4F">
        <w:rPr>
          <w:rFonts w:asciiTheme="minorHAnsi" w:hAnsiTheme="minorHAnsi" w:cstheme="minorHAnsi"/>
        </w:rPr>
        <w:t xml:space="preserve"> the level of interest and support from provincial </w:t>
      </w:r>
      <w:r w:rsidR="00AC080B" w:rsidRPr="007C0B4F">
        <w:rPr>
          <w:rFonts w:asciiTheme="minorHAnsi" w:hAnsiTheme="minorHAnsi" w:cstheme="minorHAnsi"/>
        </w:rPr>
        <w:t xml:space="preserve">and district </w:t>
      </w:r>
      <w:r w:rsidR="005F5F4A" w:rsidRPr="007C0B4F">
        <w:rPr>
          <w:rFonts w:asciiTheme="minorHAnsi" w:hAnsiTheme="minorHAnsi" w:cstheme="minorHAnsi"/>
        </w:rPr>
        <w:t>government</w:t>
      </w:r>
      <w:r w:rsidR="00742BF0" w:rsidRPr="007C0B4F">
        <w:rPr>
          <w:rFonts w:asciiTheme="minorHAnsi" w:hAnsiTheme="minorHAnsi" w:cstheme="minorHAnsi"/>
        </w:rPr>
        <w:t xml:space="preserve">s.  </w:t>
      </w:r>
    </w:p>
    <w:p w14:paraId="475C9A75" w14:textId="77777777" w:rsidR="005F5F4A" w:rsidRPr="007C0B4F" w:rsidRDefault="00EF7F32" w:rsidP="00B3490A">
      <w:pPr>
        <w:pStyle w:val="Heading2"/>
        <w:rPr>
          <w:rFonts w:cstheme="minorHAnsi"/>
        </w:rPr>
      </w:pPr>
      <w:bookmarkStart w:id="46" w:name="_Toc361407155"/>
      <w:bookmarkStart w:id="47" w:name="_Toc365366046"/>
      <w:r w:rsidRPr="007C0B4F">
        <w:rPr>
          <w:rFonts w:cstheme="minorHAnsi"/>
          <w:lang w:val="en-AU"/>
        </w:rPr>
        <w:t>Duration</w:t>
      </w:r>
      <w:bookmarkEnd w:id="46"/>
      <w:bookmarkEnd w:id="47"/>
    </w:p>
    <w:p w14:paraId="475C9A76" w14:textId="77777777" w:rsidR="005F5F4A" w:rsidRPr="007C0B4F" w:rsidRDefault="005F5F4A" w:rsidP="005F5F4A">
      <w:pPr>
        <w:rPr>
          <w:rFonts w:asciiTheme="minorHAnsi" w:hAnsiTheme="minorHAnsi" w:cstheme="minorHAnsi"/>
        </w:rPr>
      </w:pPr>
      <w:r w:rsidRPr="007C0B4F">
        <w:rPr>
          <w:rFonts w:asciiTheme="minorHAnsi" w:hAnsiTheme="minorHAnsi" w:cstheme="minorHAnsi"/>
          <w:b/>
          <w:lang w:val="en-GB"/>
        </w:rPr>
        <w:t xml:space="preserve">It is anticipated that the </w:t>
      </w:r>
      <w:r w:rsidR="00361929" w:rsidRPr="007C0B4F">
        <w:rPr>
          <w:rFonts w:asciiTheme="minorHAnsi" w:hAnsiTheme="minorHAnsi" w:cstheme="minorHAnsi"/>
          <w:b/>
          <w:lang w:val="en-GB"/>
        </w:rPr>
        <w:t>Facility</w:t>
      </w:r>
      <w:r w:rsidRPr="007C0B4F">
        <w:rPr>
          <w:rFonts w:asciiTheme="minorHAnsi" w:hAnsiTheme="minorHAnsi" w:cstheme="minorHAnsi"/>
          <w:b/>
          <w:lang w:val="en-GB"/>
        </w:rPr>
        <w:t xml:space="preserve"> w</w:t>
      </w:r>
      <w:r w:rsidR="00742BF0" w:rsidRPr="007C0B4F">
        <w:rPr>
          <w:rFonts w:asciiTheme="minorHAnsi" w:hAnsiTheme="minorHAnsi" w:cstheme="minorHAnsi"/>
          <w:b/>
          <w:lang w:val="en-GB"/>
        </w:rPr>
        <w:t>ould commence operations in mid-</w:t>
      </w:r>
      <w:r w:rsidRPr="007C0B4F">
        <w:rPr>
          <w:rFonts w:asciiTheme="minorHAnsi" w:hAnsiTheme="minorHAnsi" w:cstheme="minorHAnsi"/>
          <w:b/>
          <w:lang w:val="en-GB"/>
        </w:rPr>
        <w:t>2014</w:t>
      </w:r>
      <w:r w:rsidR="00563A2D" w:rsidRPr="007C0B4F">
        <w:rPr>
          <w:rFonts w:asciiTheme="minorHAnsi" w:hAnsiTheme="minorHAnsi" w:cstheme="minorHAnsi"/>
          <w:lang w:val="en-GB"/>
        </w:rPr>
        <w:t xml:space="preserve">, </w:t>
      </w:r>
      <w:r w:rsidR="00E52F5A" w:rsidRPr="007C0B4F">
        <w:rPr>
          <w:rFonts w:asciiTheme="minorHAnsi" w:hAnsiTheme="minorHAnsi" w:cstheme="minorHAnsi"/>
          <w:lang w:val="en-GB"/>
        </w:rPr>
        <w:t xml:space="preserve">and that it would operate for an extended period to pilot promising practices and to develop and disseminate useful and effective practice, perhaps for as long as eight to ten years.  Within </w:t>
      </w:r>
      <w:r w:rsidR="006716A4" w:rsidRPr="007C0B4F">
        <w:rPr>
          <w:rFonts w:asciiTheme="minorHAnsi" w:hAnsiTheme="minorHAnsi" w:cstheme="minorHAnsi"/>
          <w:lang w:val="en-GB"/>
        </w:rPr>
        <w:t xml:space="preserve">a </w:t>
      </w:r>
      <w:r w:rsidR="00E52F5A" w:rsidRPr="007C0B4F">
        <w:rPr>
          <w:rFonts w:asciiTheme="minorHAnsi" w:hAnsiTheme="minorHAnsi" w:cstheme="minorHAnsi"/>
          <w:lang w:val="en-GB"/>
        </w:rPr>
        <w:t>longer-term</w:t>
      </w:r>
      <w:r w:rsidR="006716A4" w:rsidRPr="007C0B4F">
        <w:rPr>
          <w:rFonts w:asciiTheme="minorHAnsi" w:hAnsiTheme="minorHAnsi" w:cstheme="minorHAnsi"/>
          <w:lang w:val="en-GB"/>
        </w:rPr>
        <w:t xml:space="preserve"> on-going investment </w:t>
      </w:r>
      <w:r w:rsidR="00E52F5A" w:rsidRPr="007C0B4F">
        <w:rPr>
          <w:rFonts w:asciiTheme="minorHAnsi" w:hAnsiTheme="minorHAnsi" w:cstheme="minorHAnsi"/>
          <w:lang w:val="en-GB"/>
        </w:rPr>
        <w:t xml:space="preserve">strategy of building Facility expertise and reputation, AusAID will </w:t>
      </w:r>
      <w:r w:rsidR="00563A2D" w:rsidRPr="007C0B4F">
        <w:rPr>
          <w:rFonts w:asciiTheme="minorHAnsi" w:hAnsiTheme="minorHAnsi" w:cstheme="minorHAnsi"/>
          <w:lang w:val="en-GB"/>
        </w:rPr>
        <w:t>initial</w:t>
      </w:r>
      <w:r w:rsidR="00E52F5A" w:rsidRPr="007C0B4F">
        <w:rPr>
          <w:rFonts w:asciiTheme="minorHAnsi" w:hAnsiTheme="minorHAnsi" w:cstheme="minorHAnsi"/>
          <w:lang w:val="en-GB"/>
        </w:rPr>
        <w:t>ly support a</w:t>
      </w:r>
      <w:r w:rsidR="00563A2D" w:rsidRPr="007C0B4F">
        <w:rPr>
          <w:rFonts w:asciiTheme="minorHAnsi" w:hAnsiTheme="minorHAnsi" w:cstheme="minorHAnsi"/>
          <w:lang w:val="en-GB"/>
        </w:rPr>
        <w:t xml:space="preserve"> four year </w:t>
      </w:r>
      <w:r w:rsidR="00E52F5A" w:rsidRPr="007C0B4F">
        <w:rPr>
          <w:rFonts w:asciiTheme="minorHAnsi" w:hAnsiTheme="minorHAnsi" w:cstheme="minorHAnsi"/>
          <w:lang w:val="en-GB"/>
        </w:rPr>
        <w:t>program</w:t>
      </w:r>
      <w:r w:rsidR="006716A4" w:rsidRPr="007C0B4F">
        <w:rPr>
          <w:rFonts w:asciiTheme="minorHAnsi" w:hAnsiTheme="minorHAnsi" w:cstheme="minorHAnsi"/>
          <w:lang w:val="en-GB"/>
        </w:rPr>
        <w:t xml:space="preserve"> which, s</w:t>
      </w:r>
      <w:r w:rsidRPr="007C0B4F">
        <w:rPr>
          <w:rFonts w:asciiTheme="minorHAnsi" w:hAnsiTheme="minorHAnsi" w:cstheme="minorHAnsi"/>
          <w:lang w:val="en-GB"/>
        </w:rPr>
        <w:t xml:space="preserve">ubject to </w:t>
      </w:r>
      <w:r w:rsidR="006716A4" w:rsidRPr="007C0B4F">
        <w:rPr>
          <w:rFonts w:asciiTheme="minorHAnsi" w:hAnsiTheme="minorHAnsi" w:cstheme="minorHAnsi"/>
          <w:lang w:val="en-GB"/>
        </w:rPr>
        <w:t xml:space="preserve">rigorous </w:t>
      </w:r>
      <w:r w:rsidRPr="007C0B4F">
        <w:rPr>
          <w:rFonts w:asciiTheme="minorHAnsi" w:hAnsiTheme="minorHAnsi" w:cstheme="minorHAnsi"/>
          <w:lang w:val="en-GB"/>
        </w:rPr>
        <w:t>performance review</w:t>
      </w:r>
      <w:r w:rsidR="006716A4" w:rsidRPr="007C0B4F">
        <w:rPr>
          <w:rFonts w:asciiTheme="minorHAnsi" w:hAnsiTheme="minorHAnsi" w:cstheme="minorHAnsi"/>
          <w:lang w:val="en-GB"/>
        </w:rPr>
        <w:t xml:space="preserve">, would be extended. </w:t>
      </w:r>
      <w:r w:rsidR="00CD6859" w:rsidRPr="007C0B4F">
        <w:rPr>
          <w:rFonts w:asciiTheme="minorHAnsi" w:hAnsiTheme="minorHAnsi" w:cstheme="minorHAnsi"/>
          <w:lang w:val="en-GB"/>
        </w:rPr>
        <w:t>If it remains of use/value to GoI and AusAID,</w:t>
      </w:r>
      <w:r w:rsidR="006716A4" w:rsidRPr="007C0B4F">
        <w:rPr>
          <w:rFonts w:asciiTheme="minorHAnsi" w:hAnsiTheme="minorHAnsi" w:cstheme="minorHAnsi"/>
          <w:lang w:val="en-GB"/>
        </w:rPr>
        <w:t xml:space="preserve"> and continues to meet performance standards,</w:t>
      </w:r>
      <w:r w:rsidR="00CD6859" w:rsidRPr="007C0B4F">
        <w:rPr>
          <w:rFonts w:asciiTheme="minorHAnsi" w:hAnsiTheme="minorHAnsi" w:cstheme="minorHAnsi"/>
          <w:lang w:val="en-GB"/>
        </w:rPr>
        <w:t xml:space="preserve"> it could continue </w:t>
      </w:r>
      <w:r w:rsidR="009D4810" w:rsidRPr="007C0B4F">
        <w:rPr>
          <w:rFonts w:asciiTheme="minorHAnsi" w:hAnsiTheme="minorHAnsi" w:cstheme="minorHAnsi"/>
          <w:lang w:val="en-GB"/>
        </w:rPr>
        <w:t>longer-term</w:t>
      </w:r>
      <w:r w:rsidR="00CD6859" w:rsidRPr="007C0B4F">
        <w:rPr>
          <w:rFonts w:asciiTheme="minorHAnsi" w:hAnsiTheme="minorHAnsi" w:cstheme="minorHAnsi"/>
          <w:lang w:val="en-GB"/>
        </w:rPr>
        <w:t xml:space="preserve">.  </w:t>
      </w:r>
      <w:r w:rsidR="0046186F" w:rsidRPr="007C0B4F">
        <w:rPr>
          <w:rFonts w:asciiTheme="minorHAnsi" w:hAnsiTheme="minorHAnsi" w:cstheme="minorHAnsi"/>
          <w:lang w:val="en-GB"/>
        </w:rPr>
        <w:t>D</w:t>
      </w:r>
      <w:r w:rsidRPr="007C0B4F">
        <w:rPr>
          <w:rFonts w:asciiTheme="minorHAnsi" w:hAnsiTheme="minorHAnsi" w:cstheme="minorHAnsi"/>
          <w:lang w:val="en-GB"/>
        </w:rPr>
        <w:t xml:space="preserve">ecisions would be made </w:t>
      </w:r>
      <w:r w:rsidR="009D4810" w:rsidRPr="007C0B4F">
        <w:rPr>
          <w:rFonts w:asciiTheme="minorHAnsi" w:hAnsiTheme="minorHAnsi" w:cstheme="minorHAnsi"/>
          <w:lang w:val="en-GB"/>
        </w:rPr>
        <w:t>at key review points</w:t>
      </w:r>
      <w:r w:rsidRPr="007C0B4F">
        <w:rPr>
          <w:rFonts w:asciiTheme="minorHAnsi" w:hAnsiTheme="minorHAnsi" w:cstheme="minorHAnsi"/>
          <w:lang w:val="en-GB"/>
        </w:rPr>
        <w:t xml:space="preserve"> </w:t>
      </w:r>
      <w:r w:rsidRPr="007C0B4F">
        <w:rPr>
          <w:rFonts w:asciiTheme="minorHAnsi" w:hAnsiTheme="minorHAnsi" w:cstheme="minorHAnsi"/>
        </w:rPr>
        <w:t xml:space="preserve">about the extent to which the Facility would extend its reach to other provinces and/or deepen the reach within the initial group of provinces. </w:t>
      </w:r>
      <w:r w:rsidR="00742BF0" w:rsidRPr="007C0B4F">
        <w:rPr>
          <w:rFonts w:asciiTheme="minorHAnsi" w:hAnsiTheme="minorHAnsi" w:cstheme="minorHAnsi"/>
        </w:rPr>
        <w:t xml:space="preserve"> </w:t>
      </w:r>
    </w:p>
    <w:p w14:paraId="475C9A77" w14:textId="77777777" w:rsidR="005F5F4A" w:rsidRPr="007C0B4F" w:rsidRDefault="00EF7F32" w:rsidP="00B3490A">
      <w:pPr>
        <w:pStyle w:val="Heading1"/>
      </w:pPr>
      <w:bookmarkStart w:id="48" w:name="_Toc361407156"/>
      <w:bookmarkStart w:id="49" w:name="_Toc365366047"/>
      <w:r w:rsidRPr="007C0B4F">
        <w:rPr>
          <w:lang w:val="en-AU"/>
        </w:rPr>
        <w:t>Design</w:t>
      </w:r>
      <w:r w:rsidR="005F5F4A" w:rsidRPr="007C0B4F">
        <w:t xml:space="preserve"> </w:t>
      </w:r>
      <w:r w:rsidR="0046186F" w:rsidRPr="007C0B4F">
        <w:rPr>
          <w:lang w:val="en-AU"/>
        </w:rPr>
        <w:t>Considerations</w:t>
      </w:r>
      <w:bookmarkEnd w:id="48"/>
      <w:bookmarkEnd w:id="49"/>
    </w:p>
    <w:p w14:paraId="475C9A78" w14:textId="77777777" w:rsidR="00B40993" w:rsidRPr="007C0B4F" w:rsidRDefault="00B40993" w:rsidP="0038306F">
      <w:pPr>
        <w:pStyle w:val="Heading2"/>
        <w:numPr>
          <w:ilvl w:val="0"/>
          <w:numId w:val="0"/>
        </w:numPr>
        <w:rPr>
          <w:rFonts w:cstheme="minorHAnsi"/>
          <w:b w:val="0"/>
          <w:i/>
          <w:sz w:val="22"/>
          <w:szCs w:val="22"/>
          <w:lang w:val="en-AU"/>
        </w:rPr>
      </w:pPr>
      <w:bookmarkStart w:id="50" w:name="_Toc361735151"/>
      <w:bookmarkStart w:id="51" w:name="_Toc361735326"/>
      <w:bookmarkStart w:id="52" w:name="_Toc361735681"/>
      <w:bookmarkStart w:id="53" w:name="_Toc365366048"/>
      <w:bookmarkStart w:id="54" w:name="_Toc361407157"/>
      <w:r w:rsidRPr="007C0B4F">
        <w:rPr>
          <w:rFonts w:cstheme="minorHAnsi"/>
          <w:b w:val="0"/>
          <w:i/>
          <w:sz w:val="22"/>
          <w:szCs w:val="22"/>
          <w:lang w:val="en-AU"/>
        </w:rPr>
        <w:t>The following issues require further research or analysis during the design.  Further issues may also be identified during the Concept Peer Review and subsequent consultations with GoI.</w:t>
      </w:r>
      <w:bookmarkEnd w:id="50"/>
      <w:bookmarkEnd w:id="51"/>
      <w:bookmarkEnd w:id="52"/>
      <w:bookmarkEnd w:id="53"/>
    </w:p>
    <w:p w14:paraId="475C9A79" w14:textId="77777777" w:rsidR="007C1888" w:rsidRPr="007C0B4F" w:rsidRDefault="00245C01" w:rsidP="007C1888">
      <w:pPr>
        <w:pStyle w:val="Heading2"/>
      </w:pPr>
      <w:bookmarkStart w:id="55" w:name="_Toc365366049"/>
      <w:r w:rsidRPr="007C0B4F">
        <w:t xml:space="preserve">Governance and </w:t>
      </w:r>
      <w:r w:rsidRPr="007C0B4F">
        <w:rPr>
          <w:lang w:val="en-AU"/>
        </w:rPr>
        <w:t>m</w:t>
      </w:r>
      <w:r w:rsidR="007C1888" w:rsidRPr="007C0B4F">
        <w:t>anagement</w:t>
      </w:r>
      <w:bookmarkEnd w:id="55"/>
    </w:p>
    <w:p w14:paraId="475C9A7A" w14:textId="77777777" w:rsidR="00A328FF" w:rsidRPr="007C0B4F" w:rsidRDefault="00A328FF" w:rsidP="00A328FF">
      <w:pPr>
        <w:rPr>
          <w:rFonts w:asciiTheme="minorHAnsi" w:hAnsiTheme="minorHAnsi" w:cstheme="minorHAnsi"/>
          <w:lang w:val="en-GB"/>
        </w:rPr>
      </w:pPr>
      <w:r w:rsidRPr="007C0B4F">
        <w:rPr>
          <w:rFonts w:asciiTheme="minorHAnsi" w:hAnsiTheme="minorHAnsi" w:cstheme="minorHAnsi"/>
          <w:lang w:val="en-GB"/>
        </w:rPr>
        <w:t>Governance and management arrangements for the Facility will be developed during the design process, based on further consultation with key stakeholders. Issues to be considered include the role of MoHA</w:t>
      </w:r>
      <w:r w:rsidR="00CC7E1C" w:rsidRPr="007C0B4F">
        <w:rPr>
          <w:rFonts w:asciiTheme="minorHAnsi" w:hAnsiTheme="minorHAnsi" w:cstheme="minorHAnsi"/>
          <w:lang w:val="en-GB"/>
        </w:rPr>
        <w:t xml:space="preserve"> as well as which agency should take the lead convening role at the national level.  At provincial and district levels, the respective roles of different agencies also needs further analysis, although it should be not be assumed that there will be a one-size-fits-all arrangement.  </w:t>
      </w:r>
    </w:p>
    <w:p w14:paraId="475C9A7B" w14:textId="77777777" w:rsidR="005F5F4A" w:rsidRPr="007C0B4F" w:rsidRDefault="00245C01" w:rsidP="00B3490A">
      <w:pPr>
        <w:pStyle w:val="Heading2"/>
      </w:pPr>
      <w:bookmarkStart w:id="56" w:name="_Toc361407158"/>
      <w:bookmarkStart w:id="57" w:name="_Toc365366050"/>
      <w:bookmarkEnd w:id="54"/>
      <w:r w:rsidRPr="007C0B4F">
        <w:t xml:space="preserve">Resource </w:t>
      </w:r>
      <w:r w:rsidRPr="007C0B4F">
        <w:rPr>
          <w:lang w:val="en-AU"/>
        </w:rPr>
        <w:t>r</w:t>
      </w:r>
      <w:r w:rsidR="00B3490A" w:rsidRPr="007C0B4F">
        <w:t>equirements</w:t>
      </w:r>
      <w:bookmarkEnd w:id="56"/>
      <w:bookmarkEnd w:id="57"/>
      <w:r w:rsidR="00B3490A" w:rsidRPr="007C0B4F">
        <w:t xml:space="preserve"> </w:t>
      </w:r>
    </w:p>
    <w:p w14:paraId="475C9A7C" w14:textId="77777777" w:rsidR="00887F83" w:rsidRPr="007C0B4F" w:rsidRDefault="00887F83" w:rsidP="00887F83">
      <w:pPr>
        <w:pStyle w:val="Heading3"/>
        <w:numPr>
          <w:ilvl w:val="0"/>
          <w:numId w:val="0"/>
        </w:numPr>
        <w:ind w:left="431"/>
        <w:rPr>
          <w:b w:val="0"/>
          <w:i/>
          <w:u w:val="single"/>
        </w:rPr>
      </w:pPr>
      <w:bookmarkStart w:id="58" w:name="_Toc365366051"/>
      <w:r w:rsidRPr="007C0B4F">
        <w:rPr>
          <w:b w:val="0"/>
          <w:i/>
          <w:u w:val="single"/>
        </w:rPr>
        <w:t>Financial Resources</w:t>
      </w:r>
      <w:bookmarkEnd w:id="58"/>
    </w:p>
    <w:p w14:paraId="475C9A7D" w14:textId="77777777" w:rsidR="00887F83" w:rsidRPr="007C0B4F" w:rsidRDefault="00887F83" w:rsidP="003F493E">
      <w:pPr>
        <w:rPr>
          <w:rFonts w:asciiTheme="minorHAnsi" w:hAnsiTheme="minorHAnsi" w:cstheme="minorHAnsi"/>
        </w:rPr>
      </w:pPr>
      <w:r w:rsidRPr="007C0B4F">
        <w:rPr>
          <w:rFonts w:asciiTheme="minorHAnsi" w:hAnsiTheme="minorHAnsi" w:cstheme="minorHAnsi"/>
          <w:lang w:val="en-AU"/>
        </w:rPr>
        <w:t>Preliminary analysis of likely</w:t>
      </w:r>
      <w:r w:rsidR="00F14F25" w:rsidRPr="007C0B4F">
        <w:rPr>
          <w:rFonts w:asciiTheme="minorHAnsi" w:hAnsiTheme="minorHAnsi" w:cstheme="minorHAnsi"/>
          <w:lang w:val="en-AU"/>
        </w:rPr>
        <w:t xml:space="preserve"> costs</w:t>
      </w:r>
      <w:r w:rsidRPr="007C0B4F">
        <w:rPr>
          <w:rFonts w:asciiTheme="minorHAnsi" w:hAnsiTheme="minorHAnsi" w:cstheme="minorHAnsi"/>
          <w:lang w:val="en-AU"/>
        </w:rPr>
        <w:t xml:space="preserve"> show that an investment of </w:t>
      </w:r>
      <w:r w:rsidRPr="007C0B4F">
        <w:rPr>
          <w:rFonts w:asciiTheme="minorHAnsi" w:hAnsiTheme="minorHAnsi" w:cstheme="minorHAnsi"/>
          <w:b/>
          <w:lang w:val="en-AU"/>
        </w:rPr>
        <w:t>AUD</w:t>
      </w:r>
      <w:r w:rsidR="00252EB7">
        <w:rPr>
          <w:rFonts w:asciiTheme="minorHAnsi" w:hAnsiTheme="minorHAnsi" w:cstheme="minorHAnsi"/>
          <w:b/>
          <w:lang w:val="en-AU"/>
        </w:rPr>
        <w:t>36</w:t>
      </w:r>
      <w:r w:rsidRPr="007C0B4F">
        <w:rPr>
          <w:rFonts w:asciiTheme="minorHAnsi" w:hAnsiTheme="minorHAnsi" w:cstheme="minorHAnsi"/>
          <w:b/>
          <w:lang w:val="en-AU"/>
        </w:rPr>
        <w:t xml:space="preserve"> million</w:t>
      </w:r>
      <w:r w:rsidRPr="007C0B4F">
        <w:rPr>
          <w:rFonts w:asciiTheme="minorHAnsi" w:hAnsiTheme="minorHAnsi" w:cstheme="minorHAnsi"/>
          <w:lang w:val="en-AU"/>
        </w:rPr>
        <w:t xml:space="preserve"> for the first four years (AUD</w:t>
      </w:r>
      <w:r w:rsidR="00252EB7">
        <w:rPr>
          <w:rFonts w:asciiTheme="minorHAnsi" w:hAnsiTheme="minorHAnsi" w:cstheme="minorHAnsi"/>
          <w:lang w:val="en-AU"/>
        </w:rPr>
        <w:t>9</w:t>
      </w:r>
      <w:r w:rsidRPr="007C0B4F">
        <w:rPr>
          <w:rFonts w:asciiTheme="minorHAnsi" w:hAnsiTheme="minorHAnsi" w:cstheme="minorHAnsi"/>
        </w:rPr>
        <w:t> million per annum) is required.  Indicative costings are provided at Annex 4.  In context, this represents roughly 7 per cent of AusAID’s annual education sector spend and 1 per cent of the total portfolio spend.</w:t>
      </w:r>
    </w:p>
    <w:p w14:paraId="475C9A7E" w14:textId="77777777" w:rsidR="00887F83" w:rsidRPr="007C0B4F" w:rsidRDefault="00887F83" w:rsidP="00887F83">
      <w:pPr>
        <w:pStyle w:val="Heading3"/>
        <w:numPr>
          <w:ilvl w:val="0"/>
          <w:numId w:val="0"/>
        </w:numPr>
        <w:ind w:left="431"/>
        <w:rPr>
          <w:b w:val="0"/>
          <w:i/>
          <w:u w:val="single"/>
        </w:rPr>
      </w:pPr>
      <w:bookmarkStart w:id="59" w:name="_Toc365366052"/>
      <w:r w:rsidRPr="007C0B4F">
        <w:rPr>
          <w:b w:val="0"/>
          <w:i/>
          <w:u w:val="single"/>
        </w:rPr>
        <w:t>Human Resources</w:t>
      </w:r>
      <w:bookmarkEnd w:id="59"/>
    </w:p>
    <w:p w14:paraId="475C9A7F" w14:textId="77777777" w:rsidR="00887F83" w:rsidRPr="007C0B4F" w:rsidRDefault="00452743" w:rsidP="00F31F07">
      <w:pPr>
        <w:rPr>
          <w:rFonts w:asciiTheme="minorHAnsi" w:hAnsiTheme="minorHAnsi" w:cstheme="minorHAnsi"/>
          <w:lang w:val="en-AU"/>
        </w:rPr>
      </w:pPr>
      <w:r w:rsidRPr="007C0B4F">
        <w:rPr>
          <w:rFonts w:asciiTheme="minorHAnsi" w:hAnsiTheme="minorHAnsi" w:cstheme="minorHAnsi"/>
          <w:lang w:val="en-AU"/>
        </w:rPr>
        <w:t xml:space="preserve">AusAID staffing: </w:t>
      </w:r>
      <w:r w:rsidR="004D6ECF" w:rsidRPr="007C0B4F">
        <w:rPr>
          <w:rFonts w:asciiTheme="minorHAnsi" w:hAnsiTheme="minorHAnsi" w:cstheme="minorHAnsi"/>
          <w:lang w:val="en-AU"/>
        </w:rPr>
        <w:t>AusAID will need a human resource profile</w:t>
      </w:r>
      <w:r w:rsidR="007B1384" w:rsidRPr="007C0B4F">
        <w:rPr>
          <w:rFonts w:asciiTheme="minorHAnsi" w:hAnsiTheme="minorHAnsi" w:cstheme="minorHAnsi"/>
          <w:lang w:val="en-AU"/>
        </w:rPr>
        <w:t xml:space="preserve"> to ensure</w:t>
      </w:r>
      <w:r w:rsidRPr="007C0B4F">
        <w:rPr>
          <w:rFonts w:asciiTheme="minorHAnsi" w:hAnsiTheme="minorHAnsi" w:cstheme="minorHAnsi"/>
          <w:lang w:val="en-AU"/>
        </w:rPr>
        <w:t xml:space="preserve"> that it is able to capitalise on the knowledge generated by the Facility </w:t>
      </w:r>
      <w:r w:rsidR="004E6FD5" w:rsidRPr="007C0B4F">
        <w:rPr>
          <w:rFonts w:asciiTheme="minorHAnsi" w:hAnsiTheme="minorHAnsi" w:cstheme="minorHAnsi"/>
          <w:lang w:val="en-AU"/>
        </w:rPr>
        <w:t xml:space="preserve">to inform future designs and policy engagement.  </w:t>
      </w:r>
      <w:r w:rsidR="004D6ECF" w:rsidRPr="007C0B4F">
        <w:rPr>
          <w:rFonts w:asciiTheme="minorHAnsi" w:hAnsiTheme="minorHAnsi" w:cstheme="minorHAnsi"/>
          <w:lang w:val="en-AU"/>
        </w:rPr>
        <w:t xml:space="preserve">Lessons </w:t>
      </w:r>
      <w:r w:rsidR="004D6ECF" w:rsidRPr="007C0B4F">
        <w:rPr>
          <w:rFonts w:asciiTheme="minorHAnsi" w:hAnsiTheme="minorHAnsi" w:cstheme="minorHAnsi"/>
          <w:lang w:val="en-AU"/>
        </w:rPr>
        <w:lastRenderedPageBreak/>
        <w:t>from other programs, including AusAID-Mekong NGO Engagement Platform, will be considered during design.</w:t>
      </w:r>
    </w:p>
    <w:p w14:paraId="475C9A80" w14:textId="77777777" w:rsidR="00F31F07" w:rsidRPr="007C0B4F" w:rsidRDefault="007671CC" w:rsidP="00F31F07">
      <w:pPr>
        <w:rPr>
          <w:rFonts w:asciiTheme="minorHAnsi" w:hAnsiTheme="minorHAnsi" w:cstheme="minorHAnsi"/>
          <w:lang w:val="en-AU"/>
        </w:rPr>
      </w:pPr>
      <w:r w:rsidRPr="007C0B4F">
        <w:rPr>
          <w:rFonts w:asciiTheme="minorHAnsi" w:hAnsiTheme="minorHAnsi" w:cstheme="minorHAnsi"/>
          <w:lang w:val="en-AU"/>
        </w:rPr>
        <w:t xml:space="preserve">Facility </w:t>
      </w:r>
      <w:r w:rsidR="00452743" w:rsidRPr="007C0B4F">
        <w:rPr>
          <w:rFonts w:asciiTheme="minorHAnsi" w:hAnsiTheme="minorHAnsi" w:cstheme="minorHAnsi"/>
          <w:lang w:val="en-AU"/>
        </w:rPr>
        <w:t>s</w:t>
      </w:r>
      <w:r w:rsidR="005B1D94" w:rsidRPr="007C0B4F">
        <w:rPr>
          <w:rFonts w:asciiTheme="minorHAnsi" w:hAnsiTheme="minorHAnsi" w:cstheme="minorHAnsi"/>
          <w:lang w:val="en-AU"/>
        </w:rPr>
        <w:t xml:space="preserve">taffing: </w:t>
      </w:r>
      <w:r w:rsidR="00F31F07" w:rsidRPr="007C0B4F">
        <w:rPr>
          <w:rFonts w:asciiTheme="minorHAnsi" w:hAnsiTheme="minorHAnsi" w:cstheme="minorHAnsi"/>
          <w:lang w:val="en-AU"/>
        </w:rPr>
        <w:t xml:space="preserve">A summary of the </w:t>
      </w:r>
      <w:r w:rsidR="00F31F07" w:rsidRPr="007C0B4F">
        <w:rPr>
          <w:rFonts w:asciiTheme="minorHAnsi" w:hAnsiTheme="minorHAnsi" w:cstheme="minorHAnsi"/>
          <w:u w:val="single"/>
          <w:lang w:val="en-AU"/>
        </w:rPr>
        <w:t>indicative</w:t>
      </w:r>
      <w:r w:rsidR="00F31F07" w:rsidRPr="007C0B4F">
        <w:rPr>
          <w:rFonts w:asciiTheme="minorHAnsi" w:hAnsiTheme="minorHAnsi" w:cstheme="minorHAnsi"/>
          <w:lang w:val="en-AU"/>
        </w:rPr>
        <w:t xml:space="preserve"> </w:t>
      </w:r>
      <w:r w:rsidR="005B1D94" w:rsidRPr="007C0B4F">
        <w:rPr>
          <w:rFonts w:asciiTheme="minorHAnsi" w:hAnsiTheme="minorHAnsi" w:cstheme="minorHAnsi"/>
          <w:lang w:val="en-AU"/>
        </w:rPr>
        <w:t xml:space="preserve">staff needs is </w:t>
      </w:r>
      <w:r w:rsidR="00F31F07" w:rsidRPr="007C0B4F">
        <w:rPr>
          <w:rFonts w:asciiTheme="minorHAnsi" w:hAnsiTheme="minorHAnsi" w:cstheme="minorHAnsi"/>
          <w:lang w:val="en-AU"/>
        </w:rPr>
        <w:t>provided below</w:t>
      </w:r>
      <w:r w:rsidR="009037F7" w:rsidRPr="007C0B4F">
        <w:rPr>
          <w:rFonts w:asciiTheme="minorHAnsi" w:hAnsiTheme="minorHAnsi" w:cstheme="minorHAnsi"/>
          <w:lang w:val="en-AU"/>
        </w:rPr>
        <w:t xml:space="preserve">.  How staffing resources might best be allocated between the provincial hub and other participating Provinces will need to be </w:t>
      </w:r>
      <w:r w:rsidR="005B1D94" w:rsidRPr="007C0B4F">
        <w:rPr>
          <w:rFonts w:asciiTheme="minorHAnsi" w:hAnsiTheme="minorHAnsi" w:cstheme="minorHAnsi"/>
          <w:lang w:val="en-AU"/>
        </w:rPr>
        <w:t xml:space="preserve">determined </w:t>
      </w:r>
      <w:r w:rsidR="009037F7" w:rsidRPr="007C0B4F">
        <w:rPr>
          <w:rFonts w:asciiTheme="minorHAnsi" w:hAnsiTheme="minorHAnsi" w:cstheme="minorHAnsi"/>
          <w:lang w:val="en-AU"/>
        </w:rPr>
        <w:t>during the design process</w:t>
      </w:r>
      <w:r w:rsidR="005B1D94" w:rsidRPr="007C0B4F">
        <w:rPr>
          <w:rFonts w:asciiTheme="minorHAnsi" w:hAnsiTheme="minorHAnsi" w:cstheme="minorHAnsi"/>
          <w:lang w:val="en-AU"/>
        </w:rPr>
        <w:t>.</w:t>
      </w:r>
      <w:r w:rsidR="009037F7" w:rsidRPr="007C0B4F">
        <w:rPr>
          <w:rFonts w:asciiTheme="minorHAnsi" w:hAnsiTheme="minorHAnsi" w:cstheme="minorHAnsi"/>
          <w:lang w:val="en-AU"/>
        </w:rPr>
        <w:t xml:space="preserve">  </w:t>
      </w:r>
    </w:p>
    <w:tbl>
      <w:tblPr>
        <w:tblStyle w:val="TableGrid"/>
        <w:tblW w:w="0" w:type="auto"/>
        <w:tblLook w:val="04A0" w:firstRow="1" w:lastRow="0" w:firstColumn="1" w:lastColumn="0" w:noHBand="0" w:noVBand="1"/>
        <w:tblDescription w:val="A summary of the indicative staff needs"/>
      </w:tblPr>
      <w:tblGrid>
        <w:gridCol w:w="1951"/>
        <w:gridCol w:w="7291"/>
      </w:tblGrid>
      <w:tr w:rsidR="00F31F07" w:rsidRPr="007C0B4F" w14:paraId="475C9A83" w14:textId="77777777" w:rsidTr="00E65A2E">
        <w:trPr>
          <w:tblHeader/>
        </w:trPr>
        <w:tc>
          <w:tcPr>
            <w:tcW w:w="1951" w:type="dxa"/>
            <w:shd w:val="clear" w:color="auto" w:fill="DDD9C3" w:themeFill="background2" w:themeFillShade="E6"/>
          </w:tcPr>
          <w:p w14:paraId="475C9A81" w14:textId="77777777" w:rsidR="00F31F07" w:rsidRPr="007C0B4F" w:rsidRDefault="00F31F07" w:rsidP="00F31F07">
            <w:pPr>
              <w:rPr>
                <w:rFonts w:asciiTheme="minorHAnsi" w:hAnsiTheme="minorHAnsi" w:cstheme="minorHAnsi"/>
                <w:b/>
                <w:sz w:val="20"/>
                <w:szCs w:val="20"/>
                <w:lang w:val="en-AU"/>
              </w:rPr>
            </w:pPr>
            <w:r w:rsidRPr="007C0B4F">
              <w:rPr>
                <w:rFonts w:asciiTheme="minorHAnsi" w:hAnsiTheme="minorHAnsi" w:cstheme="minorHAnsi"/>
                <w:b/>
                <w:sz w:val="20"/>
                <w:szCs w:val="20"/>
                <w:lang w:val="en-AU"/>
              </w:rPr>
              <w:t>Type of input</w:t>
            </w:r>
          </w:p>
        </w:tc>
        <w:tc>
          <w:tcPr>
            <w:tcW w:w="7291" w:type="dxa"/>
            <w:shd w:val="clear" w:color="auto" w:fill="DDD9C3" w:themeFill="background2" w:themeFillShade="E6"/>
          </w:tcPr>
          <w:p w14:paraId="475C9A82" w14:textId="77777777" w:rsidR="00F31F07" w:rsidRPr="007C0B4F" w:rsidRDefault="00F31F07" w:rsidP="00DC6E1D">
            <w:pPr>
              <w:spacing w:after="40"/>
              <w:rPr>
                <w:rFonts w:asciiTheme="minorHAnsi" w:hAnsiTheme="minorHAnsi" w:cstheme="minorHAnsi"/>
                <w:b/>
                <w:sz w:val="20"/>
                <w:szCs w:val="20"/>
                <w:lang w:val="en-AU"/>
              </w:rPr>
            </w:pPr>
            <w:r w:rsidRPr="007C0B4F">
              <w:rPr>
                <w:rFonts w:asciiTheme="minorHAnsi" w:hAnsiTheme="minorHAnsi" w:cstheme="minorHAnsi"/>
                <w:b/>
                <w:sz w:val="20"/>
                <w:szCs w:val="20"/>
                <w:lang w:val="en-AU"/>
              </w:rPr>
              <w:t>Description</w:t>
            </w:r>
          </w:p>
        </w:tc>
      </w:tr>
      <w:tr w:rsidR="00F31F07" w:rsidRPr="007C0B4F" w14:paraId="475C9A89" w14:textId="77777777" w:rsidTr="00E65A2E">
        <w:tc>
          <w:tcPr>
            <w:tcW w:w="1951" w:type="dxa"/>
          </w:tcPr>
          <w:p w14:paraId="475C9A84" w14:textId="77777777" w:rsidR="00F31F07" w:rsidRPr="007C0B4F" w:rsidRDefault="00F31F07" w:rsidP="00F31F07">
            <w:pPr>
              <w:rPr>
                <w:rFonts w:asciiTheme="minorHAnsi" w:hAnsiTheme="minorHAnsi" w:cstheme="minorHAnsi"/>
                <w:sz w:val="20"/>
                <w:szCs w:val="20"/>
                <w:lang w:val="en-AU"/>
              </w:rPr>
            </w:pPr>
            <w:r w:rsidRPr="007C0B4F">
              <w:rPr>
                <w:rFonts w:asciiTheme="minorHAnsi" w:hAnsiTheme="minorHAnsi" w:cstheme="minorHAnsi"/>
                <w:sz w:val="20"/>
                <w:szCs w:val="20"/>
                <w:lang w:val="en-AU"/>
              </w:rPr>
              <w:t>Provincial hub office</w:t>
            </w:r>
          </w:p>
        </w:tc>
        <w:tc>
          <w:tcPr>
            <w:tcW w:w="7291" w:type="dxa"/>
          </w:tcPr>
          <w:p w14:paraId="475C9A85" w14:textId="77777777" w:rsidR="007E3AA8"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 xml:space="preserve">Team leader, Basic education </w:t>
            </w:r>
            <w:r w:rsidR="007E3AA8" w:rsidRPr="007C0B4F">
              <w:rPr>
                <w:rFonts w:asciiTheme="minorHAnsi" w:hAnsiTheme="minorHAnsi" w:cstheme="minorHAnsi"/>
                <w:sz w:val="20"/>
                <w:szCs w:val="20"/>
                <w:lang w:val="en-AU"/>
              </w:rPr>
              <w:t xml:space="preserve">systems </w:t>
            </w:r>
            <w:r w:rsidRPr="007C0B4F">
              <w:rPr>
                <w:rFonts w:asciiTheme="minorHAnsi" w:hAnsiTheme="minorHAnsi" w:cstheme="minorHAnsi"/>
                <w:sz w:val="20"/>
                <w:szCs w:val="20"/>
                <w:lang w:val="en-AU"/>
              </w:rPr>
              <w:t xml:space="preserve">specialist, Education </w:t>
            </w:r>
            <w:r w:rsidR="009037F7" w:rsidRPr="007C0B4F">
              <w:rPr>
                <w:rFonts w:asciiTheme="minorHAnsi" w:hAnsiTheme="minorHAnsi" w:cstheme="minorHAnsi"/>
                <w:sz w:val="20"/>
                <w:szCs w:val="20"/>
                <w:lang w:val="en-AU"/>
              </w:rPr>
              <w:t>R</w:t>
            </w:r>
            <w:r w:rsidRPr="007C0B4F">
              <w:rPr>
                <w:rFonts w:asciiTheme="minorHAnsi" w:hAnsiTheme="minorHAnsi" w:cstheme="minorHAnsi"/>
                <w:sz w:val="20"/>
                <w:szCs w:val="20"/>
                <w:lang w:val="en-AU"/>
              </w:rPr>
              <w:t>esearch</w:t>
            </w:r>
            <w:r w:rsidR="009037F7" w:rsidRPr="007C0B4F">
              <w:rPr>
                <w:rFonts w:asciiTheme="minorHAnsi" w:hAnsiTheme="minorHAnsi" w:cstheme="minorHAnsi"/>
                <w:sz w:val="20"/>
                <w:szCs w:val="20"/>
                <w:lang w:val="en-AU"/>
              </w:rPr>
              <w:t xml:space="preserve"> Specialist,</w:t>
            </w:r>
            <w:r w:rsidRPr="007C0B4F">
              <w:rPr>
                <w:rFonts w:asciiTheme="minorHAnsi" w:hAnsiTheme="minorHAnsi" w:cstheme="minorHAnsi"/>
                <w:sz w:val="20"/>
                <w:szCs w:val="20"/>
                <w:lang w:val="en-AU"/>
              </w:rPr>
              <w:t xml:space="preserve">, </w:t>
            </w:r>
            <w:r w:rsidR="009037F7" w:rsidRPr="007C0B4F">
              <w:rPr>
                <w:rFonts w:asciiTheme="minorHAnsi" w:hAnsiTheme="minorHAnsi" w:cstheme="minorHAnsi"/>
                <w:sz w:val="20"/>
                <w:szCs w:val="20"/>
                <w:lang w:val="en-AU"/>
              </w:rPr>
              <w:t>Training / Learning S</w:t>
            </w:r>
            <w:r w:rsidR="007E3AA8" w:rsidRPr="007C0B4F">
              <w:rPr>
                <w:rFonts w:asciiTheme="minorHAnsi" w:hAnsiTheme="minorHAnsi" w:cstheme="minorHAnsi"/>
                <w:sz w:val="20"/>
                <w:szCs w:val="20"/>
                <w:lang w:val="en-AU"/>
              </w:rPr>
              <w:t xml:space="preserve">pecialist, </w:t>
            </w:r>
            <w:r w:rsidR="009037F7" w:rsidRPr="007C0B4F">
              <w:rPr>
                <w:rFonts w:asciiTheme="minorHAnsi" w:hAnsiTheme="minorHAnsi" w:cstheme="minorHAnsi"/>
                <w:sz w:val="20"/>
                <w:szCs w:val="20"/>
                <w:lang w:val="en-AU"/>
              </w:rPr>
              <w:t xml:space="preserve">M&amp;E specialist </w:t>
            </w:r>
            <w:r w:rsidR="007E3AA8" w:rsidRPr="007C0B4F">
              <w:rPr>
                <w:rFonts w:asciiTheme="minorHAnsi" w:hAnsiTheme="minorHAnsi" w:cstheme="minorHAnsi"/>
                <w:sz w:val="20"/>
                <w:szCs w:val="20"/>
                <w:lang w:val="en-AU"/>
              </w:rPr>
              <w:t>Communications Specialist (covering all provinces)</w:t>
            </w:r>
          </w:p>
          <w:p w14:paraId="475C9A86" w14:textId="77777777" w:rsidR="007E3AA8" w:rsidRPr="007C0B4F" w:rsidRDefault="007E3AA8"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 xml:space="preserve">Provincial Coordinator </w:t>
            </w:r>
            <w:r w:rsidR="00FF7B44" w:rsidRPr="007C0B4F">
              <w:rPr>
                <w:rFonts w:asciiTheme="minorHAnsi" w:hAnsiTheme="minorHAnsi" w:cstheme="minorHAnsi"/>
                <w:sz w:val="20"/>
                <w:szCs w:val="20"/>
                <w:lang w:val="en-AU"/>
              </w:rPr>
              <w:t>for ‘hub’ province</w:t>
            </w:r>
          </w:p>
          <w:p w14:paraId="475C9A87" w14:textId="77777777" w:rsidR="007E3AA8"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Fina</w:t>
            </w:r>
            <w:r w:rsidR="007E3AA8" w:rsidRPr="007C0B4F">
              <w:rPr>
                <w:rFonts w:asciiTheme="minorHAnsi" w:hAnsiTheme="minorHAnsi" w:cstheme="minorHAnsi"/>
                <w:sz w:val="20"/>
                <w:szCs w:val="20"/>
                <w:lang w:val="en-AU"/>
              </w:rPr>
              <w:t>nce and admin support</w:t>
            </w:r>
            <w:r w:rsidRPr="007C0B4F">
              <w:rPr>
                <w:rFonts w:asciiTheme="minorHAnsi" w:hAnsiTheme="minorHAnsi" w:cstheme="minorHAnsi"/>
                <w:sz w:val="20"/>
                <w:szCs w:val="20"/>
                <w:lang w:val="en-AU"/>
              </w:rPr>
              <w:t xml:space="preserve"> </w:t>
            </w:r>
            <w:r w:rsidR="00085780" w:rsidRPr="007C0B4F">
              <w:rPr>
                <w:rFonts w:asciiTheme="minorHAnsi" w:hAnsiTheme="minorHAnsi" w:cstheme="minorHAnsi"/>
                <w:sz w:val="20"/>
                <w:szCs w:val="20"/>
                <w:lang w:val="en-AU"/>
              </w:rPr>
              <w:t>(including IT)</w:t>
            </w:r>
          </w:p>
          <w:p w14:paraId="475C9A88" w14:textId="77777777" w:rsidR="00F31F07"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Short-term specialist pool</w:t>
            </w:r>
            <w:r w:rsidR="00085780" w:rsidRPr="007C0B4F">
              <w:rPr>
                <w:rFonts w:asciiTheme="minorHAnsi" w:hAnsiTheme="minorHAnsi" w:cstheme="minorHAnsi"/>
                <w:sz w:val="20"/>
                <w:szCs w:val="20"/>
                <w:lang w:val="en-AU"/>
              </w:rPr>
              <w:t xml:space="preserve"> (e.g. Legislation/regulations, </w:t>
            </w:r>
            <w:r w:rsidR="009037F7" w:rsidRPr="007C0B4F">
              <w:rPr>
                <w:rFonts w:asciiTheme="minorHAnsi" w:hAnsiTheme="minorHAnsi" w:cstheme="minorHAnsi"/>
                <w:sz w:val="20"/>
                <w:szCs w:val="20"/>
                <w:lang w:val="en-AU"/>
              </w:rPr>
              <w:t xml:space="preserve">Surveys/Statistics, </w:t>
            </w:r>
            <w:r w:rsidR="00FF7B44" w:rsidRPr="007C0B4F">
              <w:rPr>
                <w:rFonts w:asciiTheme="minorHAnsi" w:hAnsiTheme="minorHAnsi" w:cstheme="minorHAnsi"/>
                <w:sz w:val="20"/>
                <w:szCs w:val="20"/>
                <w:lang w:val="en-AU"/>
              </w:rPr>
              <w:t xml:space="preserve">Education Financing, </w:t>
            </w:r>
            <w:r w:rsidR="00085780" w:rsidRPr="007C0B4F">
              <w:rPr>
                <w:rFonts w:asciiTheme="minorHAnsi" w:hAnsiTheme="minorHAnsi" w:cstheme="minorHAnsi"/>
                <w:sz w:val="20"/>
                <w:szCs w:val="20"/>
                <w:lang w:val="en-AU"/>
              </w:rPr>
              <w:t>Economics/Cost-benefit analysis, Web-design &amp; management, etc</w:t>
            </w:r>
            <w:r w:rsidR="005B1D94" w:rsidRPr="007C0B4F">
              <w:rPr>
                <w:rFonts w:asciiTheme="minorHAnsi" w:hAnsiTheme="minorHAnsi" w:cstheme="minorHAnsi"/>
                <w:sz w:val="20"/>
                <w:szCs w:val="20"/>
                <w:lang w:val="en-AU"/>
              </w:rPr>
              <w:t>.</w:t>
            </w:r>
            <w:r w:rsidR="00085780" w:rsidRPr="007C0B4F">
              <w:rPr>
                <w:rFonts w:asciiTheme="minorHAnsi" w:hAnsiTheme="minorHAnsi" w:cstheme="minorHAnsi"/>
                <w:sz w:val="20"/>
                <w:szCs w:val="20"/>
                <w:lang w:val="en-AU"/>
              </w:rPr>
              <w:t>)</w:t>
            </w:r>
          </w:p>
        </w:tc>
      </w:tr>
      <w:tr w:rsidR="00F31F07" w:rsidRPr="007C0B4F" w14:paraId="475C9A8E" w14:textId="77777777" w:rsidTr="00E65A2E">
        <w:tc>
          <w:tcPr>
            <w:tcW w:w="1951" w:type="dxa"/>
          </w:tcPr>
          <w:p w14:paraId="475C9A8A" w14:textId="77777777" w:rsidR="00F31F07" w:rsidRPr="007C0B4F" w:rsidRDefault="00F31F07" w:rsidP="00F31F07">
            <w:pPr>
              <w:rPr>
                <w:rFonts w:asciiTheme="minorHAnsi" w:hAnsiTheme="minorHAnsi" w:cstheme="minorHAnsi"/>
                <w:sz w:val="20"/>
                <w:szCs w:val="20"/>
                <w:lang w:val="en-AU"/>
              </w:rPr>
            </w:pPr>
            <w:r w:rsidRPr="007C0B4F">
              <w:rPr>
                <w:rFonts w:asciiTheme="minorHAnsi" w:hAnsiTheme="minorHAnsi" w:cstheme="minorHAnsi"/>
                <w:sz w:val="20"/>
                <w:szCs w:val="20"/>
                <w:lang w:val="en-AU"/>
              </w:rPr>
              <w:t xml:space="preserve">Provincial level personnel x </w:t>
            </w:r>
            <w:r w:rsidR="007E3AA8" w:rsidRPr="007C0B4F">
              <w:rPr>
                <w:rFonts w:asciiTheme="minorHAnsi" w:hAnsiTheme="minorHAnsi" w:cstheme="minorHAnsi"/>
                <w:sz w:val="20"/>
                <w:szCs w:val="20"/>
                <w:lang w:val="en-AU"/>
              </w:rPr>
              <w:t>4 ‘additional’</w:t>
            </w:r>
            <w:r w:rsidRPr="007C0B4F">
              <w:rPr>
                <w:rFonts w:asciiTheme="minorHAnsi" w:hAnsiTheme="minorHAnsi" w:cstheme="minorHAnsi"/>
                <w:sz w:val="20"/>
                <w:szCs w:val="20"/>
                <w:lang w:val="en-AU"/>
              </w:rPr>
              <w:t xml:space="preserve"> provinces</w:t>
            </w:r>
          </w:p>
        </w:tc>
        <w:tc>
          <w:tcPr>
            <w:tcW w:w="7291" w:type="dxa"/>
          </w:tcPr>
          <w:p w14:paraId="475C9A8B" w14:textId="77777777" w:rsidR="007E3AA8"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 xml:space="preserve">Provincial Coordinator </w:t>
            </w:r>
            <w:r w:rsidR="007E3AA8" w:rsidRPr="007C0B4F">
              <w:rPr>
                <w:rFonts w:asciiTheme="minorHAnsi" w:hAnsiTheme="minorHAnsi" w:cstheme="minorHAnsi"/>
                <w:sz w:val="20"/>
                <w:szCs w:val="20"/>
                <w:lang w:val="en-AU"/>
              </w:rPr>
              <w:t xml:space="preserve"> / GoI Liaison officer</w:t>
            </w:r>
            <w:r w:rsidR="00FB3E1B" w:rsidRPr="007C0B4F">
              <w:rPr>
                <w:rFonts w:asciiTheme="minorHAnsi" w:hAnsiTheme="minorHAnsi" w:cstheme="minorHAnsi"/>
                <w:sz w:val="20"/>
                <w:szCs w:val="20"/>
                <w:lang w:val="en-AU"/>
              </w:rPr>
              <w:t xml:space="preserve"> (x4 – one for each Province</w:t>
            </w:r>
            <w:r w:rsidR="009037F7" w:rsidRPr="007C0B4F">
              <w:rPr>
                <w:rFonts w:asciiTheme="minorHAnsi" w:hAnsiTheme="minorHAnsi" w:cstheme="minorHAnsi"/>
                <w:sz w:val="20"/>
                <w:szCs w:val="20"/>
                <w:lang w:val="en-AU"/>
              </w:rPr>
              <w:t>)</w:t>
            </w:r>
          </w:p>
          <w:p w14:paraId="475C9A8C" w14:textId="77777777" w:rsidR="007E3AA8" w:rsidRPr="007C0B4F" w:rsidRDefault="007E3AA8"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 xml:space="preserve">Basic Education Specialist </w:t>
            </w:r>
            <w:r w:rsidR="00FB3E1B" w:rsidRPr="007C0B4F">
              <w:rPr>
                <w:rFonts w:asciiTheme="minorHAnsi" w:hAnsiTheme="minorHAnsi" w:cstheme="minorHAnsi"/>
                <w:sz w:val="20"/>
                <w:szCs w:val="20"/>
                <w:lang w:val="en-AU"/>
              </w:rPr>
              <w:t xml:space="preserve"> (x4 – one for each Province)</w:t>
            </w:r>
          </w:p>
          <w:p w14:paraId="475C9A8D" w14:textId="77777777" w:rsidR="00F31F07" w:rsidRPr="007C0B4F" w:rsidRDefault="007E3AA8"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Finance &amp; admin</w:t>
            </w:r>
            <w:r w:rsidR="00FB3E1B" w:rsidRPr="007C0B4F">
              <w:rPr>
                <w:rFonts w:asciiTheme="minorHAnsi" w:hAnsiTheme="minorHAnsi" w:cstheme="minorHAnsi"/>
                <w:sz w:val="20"/>
                <w:szCs w:val="20"/>
                <w:lang w:val="en-AU"/>
              </w:rPr>
              <w:t>/logistics</w:t>
            </w:r>
            <w:r w:rsidRPr="007C0B4F">
              <w:rPr>
                <w:rFonts w:asciiTheme="minorHAnsi" w:hAnsiTheme="minorHAnsi" w:cstheme="minorHAnsi"/>
                <w:sz w:val="20"/>
                <w:szCs w:val="20"/>
                <w:lang w:val="en-AU"/>
              </w:rPr>
              <w:t xml:space="preserve"> support </w:t>
            </w:r>
            <w:r w:rsidR="00FB3E1B" w:rsidRPr="007C0B4F">
              <w:rPr>
                <w:rFonts w:asciiTheme="minorHAnsi" w:hAnsiTheme="minorHAnsi" w:cstheme="minorHAnsi"/>
                <w:sz w:val="20"/>
                <w:szCs w:val="20"/>
                <w:lang w:val="en-AU"/>
              </w:rPr>
              <w:t>(</w:t>
            </w:r>
            <w:r w:rsidRPr="007C0B4F">
              <w:rPr>
                <w:rFonts w:asciiTheme="minorHAnsi" w:hAnsiTheme="minorHAnsi" w:cstheme="minorHAnsi"/>
                <w:sz w:val="20"/>
                <w:szCs w:val="20"/>
                <w:lang w:val="en-AU"/>
              </w:rPr>
              <w:t>x 2</w:t>
            </w:r>
            <w:r w:rsidR="00FB3E1B" w:rsidRPr="007C0B4F">
              <w:rPr>
                <w:rFonts w:asciiTheme="minorHAnsi" w:hAnsiTheme="minorHAnsi" w:cstheme="minorHAnsi"/>
                <w:sz w:val="20"/>
                <w:szCs w:val="20"/>
                <w:lang w:val="en-AU"/>
              </w:rPr>
              <w:t xml:space="preserve"> for each Province)</w:t>
            </w:r>
          </w:p>
        </w:tc>
      </w:tr>
      <w:tr w:rsidR="00F31F07" w:rsidRPr="007C0B4F" w14:paraId="475C9A92" w14:textId="77777777" w:rsidTr="00E65A2E">
        <w:tc>
          <w:tcPr>
            <w:tcW w:w="1951" w:type="dxa"/>
          </w:tcPr>
          <w:p w14:paraId="475C9A8F" w14:textId="77777777" w:rsidR="00F31F07" w:rsidRPr="007C0B4F" w:rsidRDefault="00F31F07" w:rsidP="00F31F07">
            <w:pPr>
              <w:rPr>
                <w:rFonts w:asciiTheme="minorHAnsi" w:hAnsiTheme="minorHAnsi" w:cstheme="minorHAnsi"/>
                <w:sz w:val="20"/>
                <w:szCs w:val="20"/>
                <w:lang w:val="en-AU"/>
              </w:rPr>
            </w:pPr>
            <w:r w:rsidRPr="007C0B4F">
              <w:rPr>
                <w:rFonts w:asciiTheme="minorHAnsi" w:hAnsiTheme="minorHAnsi" w:cstheme="minorHAnsi"/>
                <w:sz w:val="20"/>
                <w:szCs w:val="20"/>
                <w:lang w:val="en-AU"/>
              </w:rPr>
              <w:t>District level personnel x 10 districts</w:t>
            </w:r>
          </w:p>
        </w:tc>
        <w:tc>
          <w:tcPr>
            <w:tcW w:w="7291" w:type="dxa"/>
          </w:tcPr>
          <w:p w14:paraId="475C9A90" w14:textId="77777777" w:rsidR="007E3AA8"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 xml:space="preserve">District Coordinators </w:t>
            </w:r>
            <w:r w:rsidR="00FB3E1B" w:rsidRPr="007C0B4F">
              <w:rPr>
                <w:rFonts w:asciiTheme="minorHAnsi" w:hAnsiTheme="minorHAnsi" w:cstheme="minorHAnsi"/>
                <w:sz w:val="20"/>
                <w:szCs w:val="20"/>
                <w:lang w:val="en-AU"/>
              </w:rPr>
              <w:t>(x10 – 2 for each of 5 Provinces)</w:t>
            </w:r>
          </w:p>
          <w:p w14:paraId="475C9A91" w14:textId="77777777" w:rsidR="00F31F07"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Part time facilitators</w:t>
            </w:r>
          </w:p>
        </w:tc>
      </w:tr>
      <w:tr w:rsidR="00F31F07" w:rsidRPr="007C0B4F" w14:paraId="475C9A95" w14:textId="77777777" w:rsidTr="00E65A2E">
        <w:tc>
          <w:tcPr>
            <w:tcW w:w="1951" w:type="dxa"/>
          </w:tcPr>
          <w:p w14:paraId="475C9A93" w14:textId="77777777" w:rsidR="00F31F07" w:rsidRPr="007C0B4F" w:rsidRDefault="00F31F07" w:rsidP="00F31F07">
            <w:pPr>
              <w:rPr>
                <w:rFonts w:asciiTheme="minorHAnsi" w:hAnsiTheme="minorHAnsi" w:cstheme="minorHAnsi"/>
                <w:sz w:val="20"/>
                <w:szCs w:val="20"/>
                <w:lang w:val="en-AU"/>
              </w:rPr>
            </w:pPr>
            <w:r w:rsidRPr="007C0B4F">
              <w:rPr>
                <w:rFonts w:asciiTheme="minorHAnsi" w:hAnsiTheme="minorHAnsi" w:cstheme="minorHAnsi"/>
                <w:sz w:val="20"/>
                <w:szCs w:val="20"/>
                <w:lang w:val="en-AU"/>
              </w:rPr>
              <w:t>General operating costs</w:t>
            </w:r>
          </w:p>
        </w:tc>
        <w:tc>
          <w:tcPr>
            <w:tcW w:w="7291" w:type="dxa"/>
          </w:tcPr>
          <w:p w14:paraId="475C9A94" w14:textId="77777777" w:rsidR="00F31F07"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 xml:space="preserve">Offices, communications, travel, meetings, translation and interpreting, printing / publication, </w:t>
            </w:r>
            <w:r w:rsidR="0051766F" w:rsidRPr="007C0B4F">
              <w:rPr>
                <w:rFonts w:asciiTheme="minorHAnsi" w:hAnsiTheme="minorHAnsi" w:cstheme="minorHAnsi"/>
                <w:sz w:val="20"/>
                <w:szCs w:val="20"/>
                <w:lang w:val="en-AU"/>
              </w:rPr>
              <w:t>etc.</w:t>
            </w:r>
            <w:r w:rsidR="00FB3E1B" w:rsidRPr="007C0B4F">
              <w:rPr>
                <w:rFonts w:asciiTheme="minorHAnsi" w:hAnsiTheme="minorHAnsi" w:cstheme="minorHAnsi"/>
                <w:sz w:val="20"/>
                <w:szCs w:val="20"/>
                <w:lang w:val="en-AU"/>
              </w:rPr>
              <w:t xml:space="preserve"> (one hub office</w:t>
            </w:r>
            <w:r w:rsidR="00CF2084" w:rsidRPr="007C0B4F">
              <w:rPr>
                <w:rFonts w:asciiTheme="minorHAnsi" w:hAnsiTheme="minorHAnsi" w:cstheme="minorHAnsi"/>
                <w:sz w:val="20"/>
                <w:szCs w:val="20"/>
                <w:lang w:val="en-AU"/>
              </w:rPr>
              <w:t>, 4 other Provincial offices, + some form of District office x 10)</w:t>
            </w:r>
          </w:p>
        </w:tc>
      </w:tr>
      <w:tr w:rsidR="00F31F07" w:rsidRPr="007C0B4F" w14:paraId="475C9A9C" w14:textId="77777777" w:rsidTr="00E65A2E">
        <w:tc>
          <w:tcPr>
            <w:tcW w:w="1951" w:type="dxa"/>
          </w:tcPr>
          <w:p w14:paraId="475C9A96" w14:textId="77777777" w:rsidR="00F31F07" w:rsidRPr="007C0B4F" w:rsidRDefault="002F0422" w:rsidP="00F31F07">
            <w:pPr>
              <w:rPr>
                <w:rFonts w:asciiTheme="minorHAnsi" w:hAnsiTheme="minorHAnsi" w:cstheme="minorHAnsi"/>
                <w:sz w:val="20"/>
                <w:szCs w:val="20"/>
                <w:lang w:val="en-AU"/>
              </w:rPr>
            </w:pPr>
            <w:r w:rsidRPr="007C0B4F">
              <w:rPr>
                <w:rFonts w:asciiTheme="minorHAnsi" w:hAnsiTheme="minorHAnsi" w:cstheme="minorHAnsi"/>
                <w:sz w:val="20"/>
                <w:szCs w:val="20"/>
                <w:lang w:val="en-AU"/>
              </w:rPr>
              <w:t>A</w:t>
            </w:r>
            <w:r w:rsidR="00F31F07" w:rsidRPr="007C0B4F">
              <w:rPr>
                <w:rFonts w:asciiTheme="minorHAnsi" w:hAnsiTheme="minorHAnsi" w:cstheme="minorHAnsi"/>
                <w:sz w:val="20"/>
                <w:szCs w:val="20"/>
                <w:lang w:val="en-AU"/>
              </w:rPr>
              <w:t>ctivity / action research costs</w:t>
            </w:r>
          </w:p>
        </w:tc>
        <w:tc>
          <w:tcPr>
            <w:tcW w:w="7291" w:type="dxa"/>
          </w:tcPr>
          <w:p w14:paraId="475C9A97" w14:textId="77777777" w:rsidR="00F31F07"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Payments to local service providers / experts</w:t>
            </w:r>
          </w:p>
          <w:p w14:paraId="475C9A98" w14:textId="77777777" w:rsidR="00F31F07"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Training / workshop events and materials</w:t>
            </w:r>
          </w:p>
          <w:p w14:paraId="475C9A99" w14:textId="77777777" w:rsidR="00F31F07"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Study visits / exchanges</w:t>
            </w:r>
          </w:p>
          <w:p w14:paraId="475C9A9A" w14:textId="77777777" w:rsidR="00F31F07"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 xml:space="preserve">Monitoring and evaluation costs (including conduct of mapping, KAP surveys, </w:t>
            </w:r>
            <w:r w:rsidR="002F0422" w:rsidRPr="007C0B4F">
              <w:rPr>
                <w:rFonts w:asciiTheme="minorHAnsi" w:hAnsiTheme="minorHAnsi" w:cstheme="minorHAnsi"/>
                <w:sz w:val="20"/>
                <w:szCs w:val="20"/>
                <w:lang w:val="en-AU"/>
              </w:rPr>
              <w:t xml:space="preserve">special studies, </w:t>
            </w:r>
            <w:r w:rsidR="0051766F" w:rsidRPr="007C0B4F">
              <w:rPr>
                <w:rFonts w:asciiTheme="minorHAnsi" w:hAnsiTheme="minorHAnsi" w:cstheme="minorHAnsi"/>
                <w:sz w:val="20"/>
                <w:szCs w:val="20"/>
                <w:lang w:val="en-AU"/>
              </w:rPr>
              <w:t>etc.</w:t>
            </w:r>
            <w:r w:rsidRPr="007C0B4F">
              <w:rPr>
                <w:rFonts w:asciiTheme="minorHAnsi" w:hAnsiTheme="minorHAnsi" w:cstheme="minorHAnsi"/>
                <w:sz w:val="20"/>
                <w:szCs w:val="20"/>
                <w:lang w:val="en-AU"/>
              </w:rPr>
              <w:t>)</w:t>
            </w:r>
          </w:p>
          <w:p w14:paraId="475C9A9B" w14:textId="77777777" w:rsidR="007E3AA8" w:rsidRPr="007C0B4F" w:rsidRDefault="007E3AA8"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Grant funds / incentive payments based on results achieved</w:t>
            </w:r>
          </w:p>
        </w:tc>
      </w:tr>
      <w:tr w:rsidR="00F31F07" w:rsidRPr="007C0B4F" w14:paraId="475C9A9F" w14:textId="77777777" w:rsidTr="00E65A2E">
        <w:tc>
          <w:tcPr>
            <w:tcW w:w="1951" w:type="dxa"/>
          </w:tcPr>
          <w:p w14:paraId="475C9A9D" w14:textId="77777777" w:rsidR="00F31F07" w:rsidRPr="007C0B4F" w:rsidRDefault="00F31F07" w:rsidP="00DC6E1D">
            <w:pPr>
              <w:rPr>
                <w:rFonts w:asciiTheme="minorHAnsi" w:hAnsiTheme="minorHAnsi" w:cstheme="minorHAnsi"/>
                <w:sz w:val="20"/>
                <w:szCs w:val="20"/>
                <w:lang w:val="en-AU"/>
              </w:rPr>
            </w:pPr>
            <w:r w:rsidRPr="007C0B4F">
              <w:rPr>
                <w:rFonts w:asciiTheme="minorHAnsi" w:hAnsiTheme="minorHAnsi" w:cstheme="minorHAnsi"/>
                <w:sz w:val="20"/>
                <w:szCs w:val="20"/>
                <w:lang w:val="en-AU"/>
              </w:rPr>
              <w:t xml:space="preserve">Support from an </w:t>
            </w:r>
            <w:r w:rsidR="00DC6E1D" w:rsidRPr="007C0B4F">
              <w:rPr>
                <w:rFonts w:asciiTheme="minorHAnsi" w:hAnsiTheme="minorHAnsi" w:cstheme="minorHAnsi"/>
                <w:sz w:val="20"/>
                <w:szCs w:val="20"/>
                <w:lang w:val="en-AU"/>
              </w:rPr>
              <w:t xml:space="preserve">specialist </w:t>
            </w:r>
            <w:r w:rsidRPr="007C0B4F">
              <w:rPr>
                <w:rFonts w:asciiTheme="minorHAnsi" w:hAnsiTheme="minorHAnsi" w:cstheme="minorHAnsi"/>
                <w:sz w:val="20"/>
                <w:szCs w:val="20"/>
                <w:lang w:val="en-AU"/>
              </w:rPr>
              <w:t>educational research organisation</w:t>
            </w:r>
          </w:p>
        </w:tc>
        <w:tc>
          <w:tcPr>
            <w:tcW w:w="7291" w:type="dxa"/>
          </w:tcPr>
          <w:p w14:paraId="475C9A9E" w14:textId="77777777" w:rsidR="00F31F07" w:rsidRPr="007C0B4F" w:rsidRDefault="00F31F07" w:rsidP="00720B96">
            <w:pPr>
              <w:pStyle w:val="ListParagraph"/>
              <w:numPr>
                <w:ilvl w:val="0"/>
                <w:numId w:val="15"/>
              </w:numPr>
              <w:spacing w:after="40"/>
              <w:ind w:left="317" w:hanging="283"/>
              <w:rPr>
                <w:rFonts w:asciiTheme="minorHAnsi" w:hAnsiTheme="minorHAnsi" w:cstheme="minorHAnsi"/>
                <w:sz w:val="20"/>
                <w:szCs w:val="20"/>
                <w:lang w:val="en-AU"/>
              </w:rPr>
            </w:pPr>
            <w:r w:rsidRPr="007C0B4F">
              <w:rPr>
                <w:rFonts w:asciiTheme="minorHAnsi" w:hAnsiTheme="minorHAnsi" w:cstheme="minorHAnsi"/>
                <w:sz w:val="20"/>
                <w:szCs w:val="20"/>
                <w:lang w:val="en-AU"/>
              </w:rPr>
              <w:t xml:space="preserve">Support from a specialist educational research agency is being considered, such as </w:t>
            </w:r>
            <w:r w:rsidR="00C0505A" w:rsidRPr="007C0B4F">
              <w:rPr>
                <w:rFonts w:asciiTheme="minorHAnsi" w:hAnsiTheme="minorHAnsi" w:cstheme="minorHAnsi"/>
                <w:sz w:val="20"/>
                <w:szCs w:val="20"/>
                <w:lang w:val="en-AU"/>
              </w:rPr>
              <w:t xml:space="preserve">JAL, CREATE and </w:t>
            </w:r>
            <w:r w:rsidRPr="007C0B4F">
              <w:rPr>
                <w:rFonts w:asciiTheme="minorHAnsi" w:hAnsiTheme="minorHAnsi" w:cstheme="minorHAnsi"/>
                <w:sz w:val="20"/>
                <w:szCs w:val="20"/>
                <w:lang w:val="en-AU"/>
              </w:rPr>
              <w:t xml:space="preserve">the Australian Council for Educational Research. </w:t>
            </w:r>
          </w:p>
        </w:tc>
      </w:tr>
    </w:tbl>
    <w:p w14:paraId="475C9AA0" w14:textId="77777777" w:rsidR="005F5F4A" w:rsidRPr="007C0B4F" w:rsidRDefault="00B3490A" w:rsidP="00053994">
      <w:pPr>
        <w:pStyle w:val="Heading1"/>
        <w:rPr>
          <w:rFonts w:asciiTheme="minorHAnsi" w:hAnsiTheme="minorHAnsi" w:cstheme="minorHAnsi"/>
        </w:rPr>
      </w:pPr>
      <w:bookmarkStart w:id="60" w:name="_Toc361407159"/>
      <w:bookmarkStart w:id="61" w:name="_Toc365366053"/>
      <w:r w:rsidRPr="007C0B4F">
        <w:rPr>
          <w:rFonts w:asciiTheme="minorHAnsi" w:hAnsiTheme="minorHAnsi" w:cstheme="minorHAnsi"/>
        </w:rPr>
        <w:t>Risks</w:t>
      </w:r>
      <w:bookmarkEnd w:id="60"/>
      <w:r w:rsidR="0052278B" w:rsidRPr="007C0B4F">
        <w:rPr>
          <w:rFonts w:asciiTheme="minorHAnsi" w:hAnsiTheme="minorHAnsi" w:cstheme="minorHAnsi"/>
          <w:lang w:val="en-AU"/>
        </w:rPr>
        <w:t xml:space="preserve"> and Mitigation Measures</w:t>
      </w:r>
      <w:bookmarkEnd w:id="61"/>
      <w:r w:rsidRPr="007C0B4F">
        <w:rPr>
          <w:rFonts w:asciiTheme="minorHAnsi" w:hAnsiTheme="minorHAnsi" w:cstheme="minorHAnsi"/>
        </w:rPr>
        <w:t xml:space="preserve"> </w:t>
      </w:r>
    </w:p>
    <w:p w14:paraId="475C9AA1" w14:textId="77777777" w:rsidR="00413E89" w:rsidRPr="007C0B4F" w:rsidRDefault="00413E89" w:rsidP="00413E89">
      <w:pPr>
        <w:rPr>
          <w:rFonts w:asciiTheme="minorHAnsi" w:hAnsiTheme="minorHAnsi" w:cstheme="minorHAnsi"/>
          <w:lang w:val="en-GB" w:eastAsia="x-none"/>
        </w:rPr>
      </w:pPr>
      <w:r w:rsidRPr="007C0B4F">
        <w:rPr>
          <w:rFonts w:asciiTheme="minorHAnsi" w:hAnsiTheme="minorHAnsi" w:cstheme="minorHAnsi"/>
          <w:lang w:val="en-GB" w:eastAsia="x-none"/>
        </w:rPr>
        <w:t xml:space="preserve">The following table provides a preliminary assessment of the </w:t>
      </w:r>
      <w:r w:rsidR="001A3864" w:rsidRPr="007C0B4F">
        <w:rPr>
          <w:rFonts w:asciiTheme="minorHAnsi" w:hAnsiTheme="minorHAnsi" w:cstheme="minorHAnsi"/>
          <w:lang w:val="en-GB" w:eastAsia="x-none"/>
        </w:rPr>
        <w:t xml:space="preserve">most prominent </w:t>
      </w:r>
      <w:r w:rsidRPr="007C0B4F">
        <w:rPr>
          <w:rFonts w:asciiTheme="minorHAnsi" w:hAnsiTheme="minorHAnsi" w:cstheme="minorHAnsi"/>
          <w:lang w:val="en-GB" w:eastAsia="x-none"/>
        </w:rPr>
        <w:t xml:space="preserve">potential risks to effective mobilisation and implementation of the proposed Facility, and how these risks might be mitigated. </w:t>
      </w:r>
    </w:p>
    <w:tbl>
      <w:tblPr>
        <w:tblStyle w:val="TableGrid"/>
        <w:tblW w:w="0" w:type="auto"/>
        <w:tblLook w:val="04A0" w:firstRow="1" w:lastRow="0" w:firstColumn="1" w:lastColumn="0" w:noHBand="0" w:noVBand="1"/>
        <w:tblDescription w:val="The table provides a preliminary assessment of the most prominent potential risks to effective mobilisation and implementation of the proposed Facility, and how these risks might be mitigated. "/>
      </w:tblPr>
      <w:tblGrid>
        <w:gridCol w:w="4077"/>
        <w:gridCol w:w="5165"/>
      </w:tblGrid>
      <w:tr w:rsidR="00413E89" w:rsidRPr="007C0B4F" w14:paraId="475C9AA4" w14:textId="77777777" w:rsidTr="002D17F3">
        <w:trPr>
          <w:tblHeader/>
        </w:trPr>
        <w:tc>
          <w:tcPr>
            <w:tcW w:w="4077" w:type="dxa"/>
            <w:shd w:val="clear" w:color="auto" w:fill="DDD9C3" w:themeFill="background2" w:themeFillShade="E6"/>
          </w:tcPr>
          <w:p w14:paraId="475C9AA2" w14:textId="77777777" w:rsidR="00413E89" w:rsidRPr="007C0B4F" w:rsidRDefault="00413E89" w:rsidP="003C3ABA">
            <w:pPr>
              <w:rPr>
                <w:rFonts w:asciiTheme="minorHAnsi" w:hAnsiTheme="minorHAnsi" w:cstheme="minorHAnsi"/>
                <w:b/>
                <w:sz w:val="20"/>
                <w:szCs w:val="20"/>
                <w:lang w:val="en-GB" w:eastAsia="x-none"/>
              </w:rPr>
            </w:pPr>
            <w:r w:rsidRPr="007C0B4F">
              <w:rPr>
                <w:rFonts w:asciiTheme="minorHAnsi" w:hAnsiTheme="minorHAnsi" w:cstheme="minorHAnsi"/>
                <w:b/>
                <w:sz w:val="20"/>
                <w:szCs w:val="20"/>
                <w:lang w:val="en-GB" w:eastAsia="x-none"/>
              </w:rPr>
              <w:t>Risk</w:t>
            </w:r>
          </w:p>
        </w:tc>
        <w:tc>
          <w:tcPr>
            <w:tcW w:w="5165" w:type="dxa"/>
            <w:shd w:val="clear" w:color="auto" w:fill="DDD9C3" w:themeFill="background2" w:themeFillShade="E6"/>
          </w:tcPr>
          <w:p w14:paraId="475C9AA3" w14:textId="77777777" w:rsidR="00413E89" w:rsidRPr="007C0B4F" w:rsidRDefault="00413E89" w:rsidP="009A17E5">
            <w:pPr>
              <w:rPr>
                <w:rFonts w:asciiTheme="minorHAnsi" w:hAnsiTheme="minorHAnsi" w:cstheme="minorHAnsi"/>
                <w:b/>
                <w:sz w:val="20"/>
                <w:szCs w:val="20"/>
                <w:lang w:val="en-GB" w:eastAsia="x-none"/>
              </w:rPr>
            </w:pPr>
            <w:r w:rsidRPr="007C0B4F">
              <w:rPr>
                <w:rFonts w:asciiTheme="minorHAnsi" w:hAnsiTheme="minorHAnsi" w:cstheme="minorHAnsi"/>
                <w:b/>
                <w:sz w:val="20"/>
                <w:szCs w:val="20"/>
                <w:lang w:val="en-GB" w:eastAsia="x-none"/>
              </w:rPr>
              <w:t>Mitigation measures</w:t>
            </w:r>
          </w:p>
        </w:tc>
      </w:tr>
      <w:tr w:rsidR="00413E89" w:rsidRPr="007C0B4F" w14:paraId="475C9AAF" w14:textId="77777777" w:rsidTr="002D17F3">
        <w:tc>
          <w:tcPr>
            <w:tcW w:w="4077" w:type="dxa"/>
          </w:tcPr>
          <w:p w14:paraId="475C9AA5" w14:textId="77777777" w:rsidR="00413E89" w:rsidRPr="007C0B4F" w:rsidRDefault="00413E89" w:rsidP="003C3ABA">
            <w:pPr>
              <w:rPr>
                <w:rFonts w:asciiTheme="minorHAnsi" w:hAnsiTheme="minorHAnsi" w:cstheme="minorHAnsi"/>
                <w:b/>
                <w:sz w:val="20"/>
                <w:szCs w:val="20"/>
                <w:lang w:val="en-GB" w:eastAsia="x-none"/>
              </w:rPr>
            </w:pPr>
            <w:r w:rsidRPr="007C0B4F">
              <w:rPr>
                <w:rFonts w:asciiTheme="minorHAnsi" w:hAnsiTheme="minorHAnsi" w:cstheme="minorHAnsi"/>
                <w:b/>
                <w:sz w:val="20"/>
                <w:szCs w:val="20"/>
                <w:lang w:val="en-GB" w:eastAsia="x-none"/>
              </w:rPr>
              <w:t>GoI commitment</w:t>
            </w:r>
            <w:r w:rsidR="004B0F81" w:rsidRPr="007C0B4F">
              <w:rPr>
                <w:rFonts w:asciiTheme="minorHAnsi" w:hAnsiTheme="minorHAnsi" w:cstheme="minorHAnsi"/>
                <w:b/>
                <w:sz w:val="20"/>
                <w:szCs w:val="20"/>
                <w:lang w:val="en-GB" w:eastAsia="x-none"/>
              </w:rPr>
              <w:t>/ownership</w:t>
            </w:r>
          </w:p>
          <w:p w14:paraId="475C9AA6" w14:textId="77777777" w:rsidR="004B0F81" w:rsidRPr="007C0B4F" w:rsidRDefault="004B0F81" w:rsidP="003C3ABA">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 xml:space="preserve">There are three interrelated concerns: </w:t>
            </w:r>
          </w:p>
          <w:p w14:paraId="475C9AA7" w14:textId="77777777" w:rsidR="002D17F3" w:rsidRPr="007C0B4F" w:rsidRDefault="00413E89" w:rsidP="003C3ABA">
            <w:pPr>
              <w:pStyle w:val="ListParagraph"/>
              <w:numPr>
                <w:ilvl w:val="0"/>
                <w:numId w:val="23"/>
              </w:numPr>
              <w:rPr>
                <w:rFonts w:asciiTheme="minorHAnsi" w:hAnsiTheme="minorHAnsi" w:cstheme="minorHAnsi"/>
                <w:sz w:val="20"/>
                <w:szCs w:val="20"/>
                <w:lang w:eastAsia="x-none"/>
              </w:rPr>
            </w:pPr>
            <w:r w:rsidRPr="007C0B4F">
              <w:rPr>
                <w:rFonts w:asciiTheme="minorHAnsi" w:hAnsiTheme="minorHAnsi" w:cstheme="minorHAnsi"/>
                <w:sz w:val="20"/>
                <w:szCs w:val="20"/>
                <w:lang w:eastAsia="x-none"/>
              </w:rPr>
              <w:t>Inadequate support and commitment from MoEC and MoRA – at National, Provincial and/or District levels</w:t>
            </w:r>
            <w:r w:rsidR="002D17F3" w:rsidRPr="007C0B4F">
              <w:rPr>
                <w:rFonts w:asciiTheme="minorHAnsi" w:hAnsiTheme="minorHAnsi" w:cstheme="minorHAnsi"/>
                <w:sz w:val="20"/>
                <w:szCs w:val="20"/>
                <w:lang w:eastAsia="x-none"/>
              </w:rPr>
              <w:t>;</w:t>
            </w:r>
            <w:r w:rsidRPr="007C0B4F">
              <w:rPr>
                <w:rFonts w:asciiTheme="minorHAnsi" w:hAnsiTheme="minorHAnsi" w:cstheme="minorHAnsi"/>
                <w:sz w:val="20"/>
                <w:szCs w:val="20"/>
                <w:lang w:eastAsia="x-none"/>
              </w:rPr>
              <w:t xml:space="preserve"> </w:t>
            </w:r>
          </w:p>
          <w:p w14:paraId="475C9AA8" w14:textId="77777777" w:rsidR="002D17F3" w:rsidRPr="007C0B4F" w:rsidRDefault="004B0F81" w:rsidP="004B0F81">
            <w:pPr>
              <w:pStyle w:val="ListParagraph"/>
              <w:numPr>
                <w:ilvl w:val="0"/>
                <w:numId w:val="23"/>
              </w:numPr>
              <w:rPr>
                <w:rFonts w:asciiTheme="minorHAnsi" w:hAnsiTheme="minorHAnsi" w:cstheme="minorHAnsi"/>
                <w:sz w:val="20"/>
                <w:szCs w:val="20"/>
                <w:lang w:eastAsia="x-none"/>
              </w:rPr>
            </w:pPr>
            <w:r w:rsidRPr="007C0B4F">
              <w:rPr>
                <w:rFonts w:asciiTheme="minorHAnsi" w:hAnsiTheme="minorHAnsi" w:cstheme="minorHAnsi"/>
                <w:sz w:val="20"/>
                <w:szCs w:val="20"/>
                <w:lang w:eastAsia="x-none"/>
              </w:rPr>
              <w:t>Lack</w:t>
            </w:r>
            <w:r w:rsidR="00413E89" w:rsidRPr="007C0B4F">
              <w:rPr>
                <w:rFonts w:asciiTheme="minorHAnsi" w:hAnsiTheme="minorHAnsi" w:cstheme="minorHAnsi"/>
                <w:sz w:val="20"/>
                <w:szCs w:val="20"/>
                <w:lang w:eastAsia="x-none"/>
              </w:rPr>
              <w:t xml:space="preserve"> of GoI ownership </w:t>
            </w:r>
            <w:r w:rsidRPr="007C0B4F">
              <w:rPr>
                <w:rFonts w:asciiTheme="minorHAnsi" w:hAnsiTheme="minorHAnsi" w:cstheme="minorHAnsi"/>
                <w:sz w:val="20"/>
                <w:szCs w:val="20"/>
                <w:lang w:eastAsia="x-none"/>
              </w:rPr>
              <w:t>(</w:t>
            </w:r>
            <w:r w:rsidR="00413E89" w:rsidRPr="007C0B4F">
              <w:rPr>
                <w:rFonts w:asciiTheme="minorHAnsi" w:hAnsiTheme="minorHAnsi" w:cstheme="minorHAnsi"/>
                <w:sz w:val="20"/>
                <w:szCs w:val="20"/>
                <w:lang w:eastAsia="x-none"/>
              </w:rPr>
              <w:t xml:space="preserve">given that a Facility model sits somewhat outside GoI </w:t>
            </w:r>
            <w:r w:rsidR="00413E89" w:rsidRPr="007C0B4F">
              <w:rPr>
                <w:rFonts w:asciiTheme="minorHAnsi" w:hAnsiTheme="minorHAnsi" w:cstheme="minorHAnsi"/>
                <w:sz w:val="20"/>
                <w:szCs w:val="20"/>
                <w:lang w:eastAsia="x-none"/>
              </w:rPr>
              <w:lastRenderedPageBreak/>
              <w:t>institutional structures</w:t>
            </w:r>
            <w:r w:rsidRPr="007C0B4F">
              <w:rPr>
                <w:rFonts w:asciiTheme="minorHAnsi" w:hAnsiTheme="minorHAnsi" w:cstheme="minorHAnsi"/>
                <w:sz w:val="20"/>
                <w:szCs w:val="20"/>
                <w:lang w:eastAsia="x-none"/>
              </w:rPr>
              <w:t>)</w:t>
            </w:r>
            <w:r w:rsidR="00413E89" w:rsidRPr="007C0B4F">
              <w:rPr>
                <w:rFonts w:asciiTheme="minorHAnsi" w:hAnsiTheme="minorHAnsi" w:cstheme="minorHAnsi"/>
                <w:sz w:val="20"/>
                <w:szCs w:val="20"/>
                <w:lang w:eastAsia="x-none"/>
              </w:rPr>
              <w:t xml:space="preserve"> </w:t>
            </w:r>
          </w:p>
          <w:p w14:paraId="475C9AA9" w14:textId="77777777" w:rsidR="004B0F81" w:rsidRPr="007C0B4F" w:rsidRDefault="00104FD5" w:rsidP="004B0F81">
            <w:pPr>
              <w:pStyle w:val="ListParagraph"/>
              <w:numPr>
                <w:ilvl w:val="0"/>
                <w:numId w:val="23"/>
              </w:numPr>
              <w:rPr>
                <w:rFonts w:asciiTheme="minorHAnsi" w:hAnsiTheme="minorHAnsi" w:cstheme="minorHAnsi"/>
                <w:sz w:val="20"/>
                <w:szCs w:val="20"/>
                <w:lang w:eastAsia="x-none"/>
              </w:rPr>
            </w:pPr>
            <w:r w:rsidRPr="007C0B4F">
              <w:rPr>
                <w:rFonts w:asciiTheme="minorHAnsi" w:hAnsiTheme="minorHAnsi" w:cstheme="minorHAnsi"/>
                <w:sz w:val="20"/>
                <w:szCs w:val="20"/>
                <w:lang w:eastAsia="x-none"/>
              </w:rPr>
              <w:t xml:space="preserve">Lack of understanding and </w:t>
            </w:r>
            <w:r w:rsidR="00413E89" w:rsidRPr="007C0B4F">
              <w:rPr>
                <w:rFonts w:asciiTheme="minorHAnsi" w:hAnsiTheme="minorHAnsi" w:cstheme="minorHAnsi"/>
                <w:sz w:val="20"/>
                <w:szCs w:val="20"/>
                <w:lang w:eastAsia="x-none"/>
              </w:rPr>
              <w:t xml:space="preserve">support from MoHA </w:t>
            </w:r>
            <w:r w:rsidR="004B0F81" w:rsidRPr="007C0B4F">
              <w:rPr>
                <w:rFonts w:asciiTheme="minorHAnsi" w:hAnsiTheme="minorHAnsi" w:cstheme="minorHAnsi"/>
                <w:sz w:val="20"/>
                <w:szCs w:val="20"/>
                <w:lang w:eastAsia="x-none"/>
              </w:rPr>
              <w:t xml:space="preserve">will make it difficult for the Facility to operate effectively. </w:t>
            </w:r>
          </w:p>
          <w:p w14:paraId="475C9AAA" w14:textId="77777777" w:rsidR="00413E89" w:rsidRPr="007C0B4F" w:rsidRDefault="004B0F81" w:rsidP="002D17F3">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 xml:space="preserve">Should any of these potential problem arise and persist they </w:t>
            </w:r>
            <w:r w:rsidR="002D17F3" w:rsidRPr="007C0B4F">
              <w:rPr>
                <w:rFonts w:asciiTheme="minorHAnsi" w:hAnsiTheme="minorHAnsi" w:cstheme="minorHAnsi"/>
                <w:sz w:val="20"/>
                <w:szCs w:val="20"/>
                <w:lang w:val="en-GB" w:eastAsia="x-none"/>
              </w:rPr>
              <w:t>could</w:t>
            </w:r>
            <w:r w:rsidRPr="007C0B4F">
              <w:rPr>
                <w:rFonts w:asciiTheme="minorHAnsi" w:hAnsiTheme="minorHAnsi" w:cstheme="minorHAnsi"/>
                <w:sz w:val="20"/>
                <w:szCs w:val="20"/>
                <w:lang w:val="en-GB" w:eastAsia="x-none"/>
              </w:rPr>
              <w:t xml:space="preserve"> create</w:t>
            </w:r>
            <w:r w:rsidR="002D17F3" w:rsidRPr="007C0B4F">
              <w:rPr>
                <w:rFonts w:asciiTheme="minorHAnsi" w:hAnsiTheme="minorHAnsi" w:cstheme="minorHAnsi"/>
                <w:sz w:val="20"/>
                <w:szCs w:val="20"/>
                <w:lang w:val="en-GB" w:eastAsia="x-none"/>
              </w:rPr>
              <w:t xml:space="preserve"> serious</w:t>
            </w:r>
            <w:r w:rsidRPr="007C0B4F">
              <w:rPr>
                <w:rFonts w:asciiTheme="minorHAnsi" w:hAnsiTheme="minorHAnsi" w:cstheme="minorHAnsi"/>
                <w:sz w:val="20"/>
                <w:szCs w:val="20"/>
                <w:lang w:val="en-GB" w:eastAsia="x-none"/>
              </w:rPr>
              <w:t xml:space="preserve"> bottlenecks for Facility implementat</w:t>
            </w:r>
            <w:r w:rsidR="002D17F3" w:rsidRPr="007C0B4F">
              <w:rPr>
                <w:rFonts w:asciiTheme="minorHAnsi" w:hAnsiTheme="minorHAnsi" w:cstheme="minorHAnsi"/>
                <w:sz w:val="20"/>
                <w:szCs w:val="20"/>
                <w:lang w:val="en-GB" w:eastAsia="x-none"/>
              </w:rPr>
              <w:t>ion as well as for scaling up/</w:t>
            </w:r>
            <w:r w:rsidRPr="007C0B4F">
              <w:rPr>
                <w:rFonts w:asciiTheme="minorHAnsi" w:hAnsiTheme="minorHAnsi" w:cstheme="minorHAnsi"/>
                <w:sz w:val="20"/>
                <w:szCs w:val="20"/>
                <w:lang w:val="en-GB" w:eastAsia="x-none"/>
              </w:rPr>
              <w:t>replicating good practices</w:t>
            </w:r>
          </w:p>
        </w:tc>
        <w:tc>
          <w:tcPr>
            <w:tcW w:w="5165" w:type="dxa"/>
          </w:tcPr>
          <w:p w14:paraId="475C9AAB" w14:textId="77777777" w:rsidR="00413E89" w:rsidRPr="007C0B4F" w:rsidRDefault="00413E89" w:rsidP="009A17E5">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lastRenderedPageBreak/>
              <w:t xml:space="preserve">Dissemination and socialisation of the </w:t>
            </w:r>
            <w:r w:rsidR="004B0F81" w:rsidRPr="007C0B4F">
              <w:rPr>
                <w:rFonts w:asciiTheme="minorHAnsi" w:hAnsiTheme="minorHAnsi" w:cstheme="minorHAnsi"/>
                <w:sz w:val="20"/>
                <w:szCs w:val="20"/>
                <w:lang w:val="en-GB" w:eastAsia="x-none"/>
              </w:rPr>
              <w:t>Facility c</w:t>
            </w:r>
            <w:r w:rsidRPr="007C0B4F">
              <w:rPr>
                <w:rFonts w:asciiTheme="minorHAnsi" w:hAnsiTheme="minorHAnsi" w:cstheme="minorHAnsi"/>
                <w:sz w:val="20"/>
                <w:szCs w:val="20"/>
                <w:lang w:val="en-GB" w:eastAsia="x-none"/>
              </w:rPr>
              <w:t xml:space="preserve">oncept with key national agencies, and solicitation of their feedback and comments </w:t>
            </w:r>
            <w:r w:rsidR="003B6B82" w:rsidRPr="007C0B4F">
              <w:rPr>
                <w:rFonts w:asciiTheme="minorHAnsi" w:hAnsiTheme="minorHAnsi" w:cstheme="minorHAnsi"/>
                <w:sz w:val="20"/>
                <w:szCs w:val="20"/>
                <w:lang w:val="en-GB" w:eastAsia="x-none"/>
              </w:rPr>
              <w:t xml:space="preserve">which will </w:t>
            </w:r>
            <w:r w:rsidRPr="007C0B4F">
              <w:rPr>
                <w:rFonts w:asciiTheme="minorHAnsi" w:hAnsiTheme="minorHAnsi" w:cstheme="minorHAnsi"/>
                <w:sz w:val="20"/>
                <w:szCs w:val="20"/>
                <w:lang w:val="en-GB" w:eastAsia="x-none"/>
              </w:rPr>
              <w:t xml:space="preserve">be taken into account during design.  </w:t>
            </w:r>
          </w:p>
          <w:p w14:paraId="475C9AAC" w14:textId="77777777" w:rsidR="00413E89" w:rsidRPr="007C0B4F" w:rsidRDefault="00413E89" w:rsidP="009A17E5">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 xml:space="preserve">Further consultation both with national agencies and proposed target provinces </w:t>
            </w:r>
            <w:r w:rsidR="004B0F81" w:rsidRPr="007C0B4F">
              <w:rPr>
                <w:rFonts w:asciiTheme="minorHAnsi" w:hAnsiTheme="minorHAnsi" w:cstheme="minorHAnsi"/>
                <w:sz w:val="20"/>
                <w:szCs w:val="20"/>
                <w:lang w:val="en-GB" w:eastAsia="x-none"/>
              </w:rPr>
              <w:t xml:space="preserve">and districts </w:t>
            </w:r>
            <w:r w:rsidRPr="007C0B4F">
              <w:rPr>
                <w:rFonts w:asciiTheme="minorHAnsi" w:hAnsiTheme="minorHAnsi" w:cstheme="minorHAnsi"/>
                <w:sz w:val="20"/>
                <w:szCs w:val="20"/>
                <w:lang w:val="en-GB" w:eastAsia="x-none"/>
              </w:rPr>
              <w:t xml:space="preserve">during the design process, and incorporation of their views.  </w:t>
            </w:r>
          </w:p>
          <w:p w14:paraId="475C9AAD" w14:textId="77777777" w:rsidR="00413E89" w:rsidRPr="007C0B4F" w:rsidRDefault="00413E89" w:rsidP="009A17E5">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 xml:space="preserve">Ensure a key role for GoI at national and sub-national levels </w:t>
            </w:r>
            <w:r w:rsidRPr="007C0B4F">
              <w:rPr>
                <w:rFonts w:asciiTheme="minorHAnsi" w:hAnsiTheme="minorHAnsi" w:cstheme="minorHAnsi"/>
                <w:sz w:val="20"/>
                <w:szCs w:val="20"/>
                <w:lang w:val="en-GB" w:eastAsia="x-none"/>
              </w:rPr>
              <w:lastRenderedPageBreak/>
              <w:t xml:space="preserve">in </w:t>
            </w:r>
            <w:r w:rsidR="004B0F81" w:rsidRPr="007C0B4F">
              <w:rPr>
                <w:rFonts w:asciiTheme="minorHAnsi" w:hAnsiTheme="minorHAnsi" w:cstheme="minorHAnsi"/>
                <w:sz w:val="20"/>
                <w:szCs w:val="20"/>
                <w:lang w:val="en-GB" w:eastAsia="x-none"/>
              </w:rPr>
              <w:t xml:space="preserve">Facility governance and in </w:t>
            </w:r>
            <w:r w:rsidRPr="007C0B4F">
              <w:rPr>
                <w:rFonts w:asciiTheme="minorHAnsi" w:hAnsiTheme="minorHAnsi" w:cstheme="minorHAnsi"/>
                <w:sz w:val="20"/>
                <w:szCs w:val="20"/>
                <w:lang w:val="en-GB" w:eastAsia="x-none"/>
              </w:rPr>
              <w:t xml:space="preserve">strategic decision making regarding the focus of the Facility’s work, and ensuring they are kept well-informed of the Facility’s </w:t>
            </w:r>
            <w:r w:rsidR="004B0F81" w:rsidRPr="007C0B4F">
              <w:rPr>
                <w:rFonts w:asciiTheme="minorHAnsi" w:hAnsiTheme="minorHAnsi" w:cstheme="minorHAnsi"/>
                <w:sz w:val="20"/>
                <w:szCs w:val="20"/>
                <w:lang w:val="en-GB" w:eastAsia="x-none"/>
              </w:rPr>
              <w:t>on-going</w:t>
            </w:r>
            <w:r w:rsidRPr="007C0B4F">
              <w:rPr>
                <w:rFonts w:asciiTheme="minorHAnsi" w:hAnsiTheme="minorHAnsi" w:cstheme="minorHAnsi"/>
                <w:sz w:val="20"/>
                <w:szCs w:val="20"/>
                <w:lang w:val="en-GB" w:eastAsia="x-none"/>
              </w:rPr>
              <w:t xml:space="preserve"> work and the results being achieved. </w:t>
            </w:r>
          </w:p>
          <w:p w14:paraId="475C9AAE" w14:textId="77777777" w:rsidR="00413E89" w:rsidRPr="007C0B4F" w:rsidRDefault="00413E89" w:rsidP="009A17E5">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 xml:space="preserve">Support from target districts would be ensured during implementation through pursuing a demand-led approach, in cooperation with district </w:t>
            </w:r>
            <w:r w:rsidR="00DC6E1D" w:rsidRPr="007C0B4F">
              <w:rPr>
                <w:rFonts w:asciiTheme="minorHAnsi" w:hAnsiTheme="minorHAnsi" w:cstheme="minorHAnsi"/>
                <w:sz w:val="20"/>
                <w:szCs w:val="20"/>
                <w:lang w:val="en-GB" w:eastAsia="x-none"/>
              </w:rPr>
              <w:t xml:space="preserve">and provincial authorities. </w:t>
            </w:r>
          </w:p>
        </w:tc>
      </w:tr>
      <w:tr w:rsidR="00390EFC" w:rsidRPr="007C0B4F" w14:paraId="475C9AB6" w14:textId="77777777" w:rsidTr="002D17F3">
        <w:tc>
          <w:tcPr>
            <w:tcW w:w="4077" w:type="dxa"/>
          </w:tcPr>
          <w:p w14:paraId="475C9AB0" w14:textId="77777777" w:rsidR="00390EFC" w:rsidRPr="007C0B4F" w:rsidRDefault="00390EFC" w:rsidP="00390EFC">
            <w:pPr>
              <w:rPr>
                <w:rFonts w:asciiTheme="minorHAnsi" w:hAnsiTheme="minorHAnsi" w:cstheme="minorHAnsi"/>
                <w:b/>
                <w:sz w:val="20"/>
                <w:szCs w:val="20"/>
                <w:lang w:val="en-GB" w:eastAsia="x-none"/>
              </w:rPr>
            </w:pPr>
            <w:r w:rsidRPr="007C0B4F">
              <w:rPr>
                <w:rFonts w:asciiTheme="minorHAnsi" w:hAnsiTheme="minorHAnsi" w:cstheme="minorHAnsi"/>
                <w:b/>
                <w:sz w:val="20"/>
                <w:szCs w:val="20"/>
                <w:lang w:val="en-GB" w:eastAsia="x-none"/>
              </w:rPr>
              <w:lastRenderedPageBreak/>
              <w:t xml:space="preserve">Lessons/results are not available in good time </w:t>
            </w:r>
          </w:p>
          <w:p w14:paraId="475C9AB1" w14:textId="77777777" w:rsidR="00390EFC" w:rsidRPr="007C0B4F" w:rsidRDefault="00390EFC" w:rsidP="00390EFC">
            <w:pPr>
              <w:rPr>
                <w:rFonts w:asciiTheme="minorHAnsi" w:hAnsiTheme="minorHAnsi" w:cstheme="minorHAnsi"/>
                <w:b/>
                <w:sz w:val="20"/>
                <w:szCs w:val="20"/>
                <w:lang w:val="en-GB" w:eastAsia="x-none"/>
              </w:rPr>
            </w:pPr>
            <w:r w:rsidRPr="007C0B4F">
              <w:rPr>
                <w:rFonts w:asciiTheme="minorHAnsi" w:hAnsiTheme="minorHAnsi" w:cstheme="minorHAnsi"/>
                <w:sz w:val="20"/>
                <w:szCs w:val="20"/>
                <w:lang w:val="en-GB" w:eastAsia="x-none"/>
              </w:rPr>
              <w:t>Lessons learned from implementation of Facility activities/action research are not available in good time, and therefore do not support design of future investments in the education sector (from 2016 onwards).</w:t>
            </w:r>
          </w:p>
        </w:tc>
        <w:tc>
          <w:tcPr>
            <w:tcW w:w="5165" w:type="dxa"/>
          </w:tcPr>
          <w:p w14:paraId="475C9AB2" w14:textId="77777777" w:rsidR="00390EFC" w:rsidRPr="007C0B4F" w:rsidRDefault="00390EFC" w:rsidP="00390EFC">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 xml:space="preserve">Early start-up of the Facility should be pursued, with AusAID adhering to tight deadlines in its own approval, tendering and selection processes.  </w:t>
            </w:r>
          </w:p>
          <w:p w14:paraId="475C9AB3" w14:textId="77777777" w:rsidR="00390EFC" w:rsidRPr="007C0B4F" w:rsidRDefault="00390EFC" w:rsidP="00390EFC">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 xml:space="preserve">Once mobilised, the presence of existing AusAID programs and partnerships at the provincial and district levels should be capitalised on. </w:t>
            </w:r>
          </w:p>
          <w:p w14:paraId="475C9AB4" w14:textId="77777777" w:rsidR="00390EFC" w:rsidRPr="007C0B4F" w:rsidRDefault="00390EFC" w:rsidP="00390EFC">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The Facility should support the design and implementation of some activities/pieces of action research that are of relatively limited duration (</w:t>
            </w:r>
            <w:r w:rsidR="0051766F" w:rsidRPr="007C0B4F">
              <w:rPr>
                <w:rFonts w:asciiTheme="minorHAnsi" w:hAnsiTheme="minorHAnsi" w:cstheme="minorHAnsi"/>
                <w:sz w:val="20"/>
                <w:szCs w:val="20"/>
                <w:lang w:val="en-GB" w:eastAsia="x-none"/>
              </w:rPr>
              <w:t>e.g.</w:t>
            </w:r>
            <w:r w:rsidRPr="007C0B4F">
              <w:rPr>
                <w:rFonts w:asciiTheme="minorHAnsi" w:hAnsiTheme="minorHAnsi" w:cstheme="minorHAnsi"/>
                <w:sz w:val="20"/>
                <w:szCs w:val="20"/>
                <w:lang w:val="en-GB" w:eastAsia="x-none"/>
              </w:rPr>
              <w:t xml:space="preserve"> up to 24 months).  </w:t>
            </w:r>
          </w:p>
          <w:p w14:paraId="475C9AB5" w14:textId="77777777" w:rsidR="00390EFC" w:rsidRPr="007C0B4F" w:rsidRDefault="00390EFC" w:rsidP="00390EFC">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 xml:space="preserve">Expectations as to what the Facility can achieve and by when need to be realistic and appropriately managed.   </w:t>
            </w:r>
          </w:p>
        </w:tc>
      </w:tr>
      <w:tr w:rsidR="00E04425" w:rsidRPr="007C0B4F" w14:paraId="475C9ABC" w14:textId="77777777" w:rsidTr="002D17F3">
        <w:tc>
          <w:tcPr>
            <w:tcW w:w="4077" w:type="dxa"/>
          </w:tcPr>
          <w:p w14:paraId="475C9AB7" w14:textId="77777777" w:rsidR="00E04425" w:rsidRPr="007C0B4F" w:rsidRDefault="00E04425" w:rsidP="009F4B61">
            <w:pPr>
              <w:rPr>
                <w:rFonts w:asciiTheme="minorHAnsi" w:hAnsiTheme="minorHAnsi" w:cstheme="minorHAnsi"/>
                <w:b/>
                <w:sz w:val="20"/>
                <w:szCs w:val="20"/>
                <w:lang w:val="en-GB" w:eastAsia="x-none"/>
              </w:rPr>
            </w:pPr>
            <w:r w:rsidRPr="007C0B4F">
              <w:rPr>
                <w:rFonts w:asciiTheme="minorHAnsi" w:hAnsiTheme="minorHAnsi" w:cstheme="minorHAnsi"/>
                <w:b/>
                <w:sz w:val="20"/>
                <w:szCs w:val="20"/>
                <w:lang w:val="en-GB" w:eastAsia="x-none"/>
              </w:rPr>
              <w:t>Promising school-based initiatives are not sustained or replicated</w:t>
            </w:r>
          </w:p>
          <w:p w14:paraId="475C9AB8" w14:textId="77777777" w:rsidR="00E04425" w:rsidRPr="007C0B4F" w:rsidRDefault="00E04425" w:rsidP="009F4B61">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This has prove</w:t>
            </w:r>
            <w:r w:rsidR="005E48CF" w:rsidRPr="007C0B4F">
              <w:rPr>
                <w:rFonts w:asciiTheme="minorHAnsi" w:hAnsiTheme="minorHAnsi" w:cstheme="minorHAnsi"/>
                <w:sz w:val="20"/>
                <w:szCs w:val="20"/>
                <w:lang w:val="en-GB" w:eastAsia="x-none"/>
              </w:rPr>
              <w:t>d to be a problem for many well</w:t>
            </w:r>
            <w:r w:rsidR="005E48CF" w:rsidRPr="007C0B4F">
              <w:rPr>
                <w:rFonts w:asciiTheme="minorHAnsi" w:hAnsiTheme="minorHAnsi" w:cstheme="minorHAnsi"/>
                <w:sz w:val="20"/>
                <w:szCs w:val="20"/>
                <w:lang w:val="en-GB" w:eastAsia="x-none"/>
              </w:rPr>
              <w:noBreakHyphen/>
            </w:r>
            <w:r w:rsidRPr="007C0B4F">
              <w:rPr>
                <w:rFonts w:asciiTheme="minorHAnsi" w:hAnsiTheme="minorHAnsi" w:cstheme="minorHAnsi"/>
                <w:sz w:val="20"/>
                <w:szCs w:val="20"/>
                <w:lang w:val="en-GB" w:eastAsia="x-none"/>
              </w:rPr>
              <w:t>intentioned donor funded initiatives in the education sector in Indonesia</w:t>
            </w:r>
            <w:r w:rsidR="005E48CF" w:rsidRPr="007C0B4F">
              <w:rPr>
                <w:rFonts w:asciiTheme="minorHAnsi" w:hAnsiTheme="minorHAnsi" w:cstheme="minorHAnsi"/>
                <w:sz w:val="20"/>
                <w:szCs w:val="20"/>
                <w:lang w:val="en-GB" w:eastAsia="x-none"/>
              </w:rPr>
              <w:t>.</w:t>
            </w:r>
          </w:p>
        </w:tc>
        <w:tc>
          <w:tcPr>
            <w:tcW w:w="5165" w:type="dxa"/>
          </w:tcPr>
          <w:p w14:paraId="475C9AB9" w14:textId="77777777" w:rsidR="00E04425" w:rsidRPr="007C0B4F" w:rsidRDefault="00E04425" w:rsidP="009A17E5">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 xml:space="preserve">The Facility must help ensure it is primarily demand led (even though there may initially be some elements of </w:t>
            </w:r>
            <w:r w:rsidR="004B0F81" w:rsidRPr="007C0B4F">
              <w:rPr>
                <w:rFonts w:asciiTheme="minorHAnsi" w:hAnsiTheme="minorHAnsi" w:cstheme="minorHAnsi"/>
                <w:sz w:val="20"/>
                <w:szCs w:val="20"/>
                <w:lang w:val="en-GB" w:eastAsia="x-none"/>
              </w:rPr>
              <w:t xml:space="preserve">a </w:t>
            </w:r>
            <w:r w:rsidRPr="007C0B4F">
              <w:rPr>
                <w:rFonts w:asciiTheme="minorHAnsi" w:hAnsiTheme="minorHAnsi" w:cstheme="minorHAnsi"/>
                <w:sz w:val="20"/>
                <w:szCs w:val="20"/>
                <w:lang w:val="en-GB" w:eastAsia="x-none"/>
              </w:rPr>
              <w:t>supply</w:t>
            </w:r>
            <w:r w:rsidR="004B0F81" w:rsidRPr="007C0B4F">
              <w:rPr>
                <w:rFonts w:asciiTheme="minorHAnsi" w:hAnsiTheme="minorHAnsi" w:cstheme="minorHAnsi"/>
                <w:sz w:val="20"/>
                <w:szCs w:val="20"/>
                <w:lang w:val="en-GB" w:eastAsia="x-none"/>
              </w:rPr>
              <w:t xml:space="preserve"> sided approach</w:t>
            </w:r>
            <w:r w:rsidRPr="007C0B4F">
              <w:rPr>
                <w:rFonts w:asciiTheme="minorHAnsi" w:hAnsiTheme="minorHAnsi" w:cstheme="minorHAnsi"/>
                <w:sz w:val="20"/>
                <w:szCs w:val="20"/>
                <w:lang w:val="en-GB" w:eastAsia="x-none"/>
              </w:rPr>
              <w:t xml:space="preserve"> to get things moving).  This means taking time to ensure all key partners truly understand their respective commitments to initiatives/activities supported through the Facility.  </w:t>
            </w:r>
          </w:p>
          <w:p w14:paraId="475C9ABA" w14:textId="77777777" w:rsidR="005E48CF" w:rsidRPr="007C0B4F" w:rsidRDefault="00E04425" w:rsidP="009A17E5">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The Facility needs to</w:t>
            </w:r>
            <w:r w:rsidR="005E48CF" w:rsidRPr="007C0B4F">
              <w:rPr>
                <w:rFonts w:asciiTheme="minorHAnsi" w:hAnsiTheme="minorHAnsi" w:cstheme="minorHAnsi"/>
                <w:sz w:val="20"/>
                <w:szCs w:val="20"/>
                <w:lang w:val="en-GB" w:eastAsia="x-none"/>
              </w:rPr>
              <w:t xml:space="preserve"> develop practical options and recommendations relevant to the regulatory/legislative environment for sustainability and replication of good practices.  On-going political economy analysis will be important.</w:t>
            </w:r>
          </w:p>
          <w:p w14:paraId="475C9ABB" w14:textId="77777777" w:rsidR="00E04425" w:rsidRPr="007C0B4F" w:rsidRDefault="00E04425" w:rsidP="005E48CF">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As appropriate, assista</w:t>
            </w:r>
            <w:r w:rsidR="005E48CF" w:rsidRPr="007C0B4F">
              <w:rPr>
                <w:rFonts w:asciiTheme="minorHAnsi" w:hAnsiTheme="minorHAnsi" w:cstheme="minorHAnsi"/>
                <w:sz w:val="20"/>
                <w:szCs w:val="20"/>
                <w:lang w:val="en-GB" w:eastAsia="x-none"/>
              </w:rPr>
              <w:t>nce in drafting new regulations</w:t>
            </w:r>
            <w:r w:rsidRPr="007C0B4F">
              <w:rPr>
                <w:rFonts w:asciiTheme="minorHAnsi" w:hAnsiTheme="minorHAnsi" w:cstheme="minorHAnsi"/>
                <w:sz w:val="20"/>
                <w:szCs w:val="20"/>
                <w:lang w:val="en-GB" w:eastAsia="x-none"/>
              </w:rPr>
              <w:t xml:space="preserve">/procedures to support replication of effective practices/new systems could also be provided.  </w:t>
            </w:r>
          </w:p>
        </w:tc>
      </w:tr>
      <w:tr w:rsidR="004E6623" w:rsidRPr="007C0B4F" w14:paraId="475C9AC0" w14:textId="77777777" w:rsidTr="002D17F3">
        <w:tc>
          <w:tcPr>
            <w:tcW w:w="4077" w:type="dxa"/>
          </w:tcPr>
          <w:p w14:paraId="475C9ABD" w14:textId="77777777" w:rsidR="004E6623" w:rsidRPr="007C0B4F" w:rsidRDefault="004E6623" w:rsidP="004E6623">
            <w:pPr>
              <w:rPr>
                <w:rFonts w:asciiTheme="minorHAnsi" w:hAnsiTheme="minorHAnsi" w:cstheme="minorHAnsi"/>
                <w:sz w:val="20"/>
                <w:szCs w:val="20"/>
                <w:lang w:val="en-GB" w:eastAsia="x-none"/>
              </w:rPr>
            </w:pPr>
            <w:r w:rsidRPr="007C0B4F">
              <w:rPr>
                <w:rFonts w:asciiTheme="minorHAnsi" w:hAnsiTheme="minorHAnsi" w:cstheme="minorHAnsi"/>
                <w:b/>
                <w:sz w:val="20"/>
                <w:szCs w:val="20"/>
                <w:lang w:val="en-GB" w:eastAsia="x-none"/>
              </w:rPr>
              <w:t>GOI policy and staff changes</w:t>
            </w:r>
            <w:r w:rsidRPr="007C0B4F">
              <w:rPr>
                <w:rFonts w:asciiTheme="minorHAnsi" w:hAnsiTheme="minorHAnsi" w:cstheme="minorHAnsi"/>
                <w:sz w:val="20"/>
                <w:szCs w:val="20"/>
                <w:lang w:val="en-GB" w:eastAsia="x-none"/>
              </w:rPr>
              <w:t xml:space="preserve"> </w:t>
            </w:r>
          </w:p>
          <w:p w14:paraId="475C9ABE" w14:textId="77777777" w:rsidR="004E6623" w:rsidRPr="007C0B4F" w:rsidRDefault="004E6623" w:rsidP="004E6623">
            <w:pPr>
              <w:rPr>
                <w:rFonts w:asciiTheme="minorHAnsi" w:hAnsiTheme="minorHAnsi" w:cstheme="minorHAnsi"/>
                <w:b/>
                <w:sz w:val="20"/>
                <w:szCs w:val="20"/>
                <w:lang w:val="en-GB" w:eastAsia="x-none"/>
              </w:rPr>
            </w:pPr>
            <w:r w:rsidRPr="007C0B4F">
              <w:rPr>
                <w:rFonts w:asciiTheme="minorHAnsi" w:hAnsiTheme="minorHAnsi" w:cstheme="minorHAnsi"/>
                <w:sz w:val="20"/>
                <w:szCs w:val="20"/>
                <w:lang w:val="en-GB" w:eastAsia="x-none"/>
              </w:rPr>
              <w:t>Changes in policy and high staff turnover/changes make innovations difficult to replicate or sustain.</w:t>
            </w:r>
          </w:p>
        </w:tc>
        <w:tc>
          <w:tcPr>
            <w:tcW w:w="5165" w:type="dxa"/>
          </w:tcPr>
          <w:p w14:paraId="475C9ABF" w14:textId="77777777" w:rsidR="004E6623" w:rsidRPr="007C0B4F" w:rsidRDefault="004E6623" w:rsidP="00A9137B">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 xml:space="preserve">The Facility must expect to work in an increasingly dynamic policy environment, and with </w:t>
            </w:r>
            <w:r w:rsidR="0051766F" w:rsidRPr="007C0B4F">
              <w:rPr>
                <w:rFonts w:asciiTheme="minorHAnsi" w:hAnsiTheme="minorHAnsi" w:cstheme="minorHAnsi"/>
                <w:sz w:val="20"/>
                <w:szCs w:val="20"/>
                <w:lang w:val="en-GB" w:eastAsia="x-none"/>
              </w:rPr>
              <w:t>on-going</w:t>
            </w:r>
            <w:r w:rsidRPr="007C0B4F">
              <w:rPr>
                <w:rFonts w:asciiTheme="minorHAnsi" w:hAnsiTheme="minorHAnsi" w:cstheme="minorHAnsi"/>
                <w:sz w:val="20"/>
                <w:szCs w:val="20"/>
                <w:lang w:val="en-GB" w:eastAsia="x-none"/>
              </w:rPr>
              <w:t xml:space="preserve"> GoI staff changes.  It would therefore need to keep abreast of policy making at national and sub-national levels (though key co</w:t>
            </w:r>
            <w:r w:rsidR="00A9137B" w:rsidRPr="007C0B4F">
              <w:rPr>
                <w:rFonts w:asciiTheme="minorHAnsi" w:hAnsiTheme="minorHAnsi" w:cstheme="minorHAnsi"/>
                <w:sz w:val="20"/>
                <w:szCs w:val="20"/>
                <w:lang w:val="en-GB" w:eastAsia="x-none"/>
              </w:rPr>
              <w:t>ntacts</w:t>
            </w:r>
            <w:r w:rsidRPr="007C0B4F">
              <w:rPr>
                <w:rFonts w:asciiTheme="minorHAnsi" w:hAnsiTheme="minorHAnsi" w:cstheme="minorHAnsi"/>
                <w:sz w:val="20"/>
                <w:szCs w:val="20"/>
                <w:lang w:val="en-GB" w:eastAsia="x-none"/>
              </w:rPr>
              <w:t>/partners) and also ensure it is not over-reliant on one or two individuals for support.  It must remain responsiv</w:t>
            </w:r>
            <w:r w:rsidR="00A9137B" w:rsidRPr="007C0B4F">
              <w:rPr>
                <w:rFonts w:asciiTheme="minorHAnsi" w:hAnsiTheme="minorHAnsi" w:cstheme="minorHAnsi"/>
                <w:sz w:val="20"/>
                <w:szCs w:val="20"/>
                <w:lang w:val="en-GB" w:eastAsia="x-none"/>
              </w:rPr>
              <w:t>e and flexible, and work with/</w:t>
            </w:r>
            <w:r w:rsidRPr="007C0B4F">
              <w:rPr>
                <w:rFonts w:asciiTheme="minorHAnsi" w:hAnsiTheme="minorHAnsi" w:cstheme="minorHAnsi"/>
                <w:sz w:val="20"/>
                <w:szCs w:val="20"/>
                <w:lang w:val="en-GB" w:eastAsia="x-none"/>
              </w:rPr>
              <w:t>in support of coalitions for change.</w:t>
            </w:r>
          </w:p>
        </w:tc>
      </w:tr>
      <w:tr w:rsidR="00066894" w:rsidRPr="007C0B4F" w14:paraId="475C9AC4" w14:textId="77777777" w:rsidTr="002D17F3">
        <w:tc>
          <w:tcPr>
            <w:tcW w:w="4077" w:type="dxa"/>
          </w:tcPr>
          <w:p w14:paraId="475C9AC1" w14:textId="77777777" w:rsidR="00066894" w:rsidRPr="007C0B4F" w:rsidRDefault="00066894" w:rsidP="00066894">
            <w:pPr>
              <w:rPr>
                <w:rFonts w:asciiTheme="minorHAnsi" w:hAnsiTheme="minorHAnsi" w:cstheme="minorHAnsi"/>
                <w:b/>
                <w:sz w:val="20"/>
                <w:szCs w:val="20"/>
                <w:lang w:val="en-GB" w:eastAsia="x-none"/>
              </w:rPr>
            </w:pPr>
            <w:r w:rsidRPr="007C0B4F">
              <w:rPr>
                <w:rFonts w:asciiTheme="minorHAnsi" w:hAnsiTheme="minorHAnsi" w:cstheme="minorHAnsi"/>
                <w:b/>
                <w:sz w:val="20"/>
                <w:szCs w:val="20"/>
                <w:lang w:val="en-GB" w:eastAsia="x-none"/>
              </w:rPr>
              <w:t xml:space="preserve">The Facility’s flexibility/responsiveness is compromised </w:t>
            </w:r>
          </w:p>
          <w:p w14:paraId="475C9AC2" w14:textId="77777777" w:rsidR="00066894" w:rsidRPr="007C0B4F" w:rsidRDefault="00066894" w:rsidP="00066894">
            <w:pPr>
              <w:rPr>
                <w:rFonts w:asciiTheme="minorHAnsi" w:hAnsiTheme="minorHAnsi" w:cstheme="minorHAnsi"/>
                <w:b/>
                <w:sz w:val="20"/>
                <w:szCs w:val="20"/>
                <w:lang w:val="en-GB" w:eastAsia="x-none"/>
              </w:rPr>
            </w:pPr>
            <w:r w:rsidRPr="007C0B4F">
              <w:rPr>
                <w:rFonts w:asciiTheme="minorHAnsi" w:hAnsiTheme="minorHAnsi" w:cstheme="minorHAnsi"/>
                <w:sz w:val="20"/>
                <w:szCs w:val="20"/>
                <w:lang w:val="en-GB" w:eastAsia="x-none"/>
              </w:rPr>
              <w:t>For example, this might occur if either GoI and/or AusAID require centralised approval processes and highly defined work plans/budgets</w:t>
            </w:r>
          </w:p>
        </w:tc>
        <w:tc>
          <w:tcPr>
            <w:tcW w:w="5165" w:type="dxa"/>
          </w:tcPr>
          <w:p w14:paraId="475C9AC3" w14:textId="77777777" w:rsidR="00066894" w:rsidRPr="007C0B4F" w:rsidRDefault="00066894" w:rsidP="009A17E5">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 xml:space="preserve">The Facility’s overall annual work programs and budgets must not be too detailed, but rather set clear guiding parameters regarding the issues it will work on, how and where.  The focus should be on the results it is aiming to help deliver (lessons / options for replication) not the details of inputs or micro-activities.  </w:t>
            </w:r>
          </w:p>
        </w:tc>
      </w:tr>
      <w:tr w:rsidR="00413E89" w:rsidRPr="007C0B4F" w14:paraId="475C9AC8" w14:textId="77777777" w:rsidTr="002D17F3">
        <w:tc>
          <w:tcPr>
            <w:tcW w:w="4077" w:type="dxa"/>
          </w:tcPr>
          <w:p w14:paraId="475C9AC5" w14:textId="77777777" w:rsidR="00413E89" w:rsidRPr="007C0B4F" w:rsidRDefault="00413E89" w:rsidP="003C3ABA">
            <w:pPr>
              <w:rPr>
                <w:rFonts w:asciiTheme="minorHAnsi" w:hAnsiTheme="minorHAnsi" w:cstheme="minorHAnsi"/>
                <w:b/>
                <w:sz w:val="20"/>
                <w:szCs w:val="20"/>
                <w:lang w:val="en-GB" w:eastAsia="x-none"/>
              </w:rPr>
            </w:pPr>
            <w:r w:rsidRPr="007C0B4F">
              <w:rPr>
                <w:rFonts w:asciiTheme="minorHAnsi" w:hAnsiTheme="minorHAnsi" w:cstheme="minorHAnsi"/>
                <w:b/>
                <w:sz w:val="20"/>
                <w:szCs w:val="20"/>
                <w:lang w:val="en-GB" w:eastAsia="x-none"/>
              </w:rPr>
              <w:t xml:space="preserve">GoI policies on donor funding at sub-national </w:t>
            </w:r>
            <w:r w:rsidRPr="007C0B4F">
              <w:rPr>
                <w:rFonts w:asciiTheme="minorHAnsi" w:hAnsiTheme="minorHAnsi" w:cstheme="minorHAnsi"/>
                <w:b/>
                <w:sz w:val="20"/>
                <w:szCs w:val="20"/>
                <w:lang w:val="en-GB" w:eastAsia="x-none"/>
              </w:rPr>
              <w:lastRenderedPageBreak/>
              <w:t>level</w:t>
            </w:r>
          </w:p>
          <w:p w14:paraId="475C9AC6" w14:textId="77777777" w:rsidR="00413E89" w:rsidRPr="007C0B4F" w:rsidRDefault="00413E89" w:rsidP="003C3ABA">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t>Indonesia’s policies on donor funding at the sub-national level restrict the ability of the Facility to work in a flexible and responsive manner</w:t>
            </w:r>
          </w:p>
        </w:tc>
        <w:tc>
          <w:tcPr>
            <w:tcW w:w="5165" w:type="dxa"/>
          </w:tcPr>
          <w:p w14:paraId="475C9AC7" w14:textId="77777777" w:rsidR="00413E89" w:rsidRPr="007C0B4F" w:rsidRDefault="00413E89" w:rsidP="009A17E5">
            <w:pPr>
              <w:rPr>
                <w:rFonts w:asciiTheme="minorHAnsi" w:hAnsiTheme="minorHAnsi" w:cstheme="minorHAnsi"/>
                <w:sz w:val="20"/>
                <w:szCs w:val="20"/>
                <w:lang w:val="en-GB" w:eastAsia="x-none"/>
              </w:rPr>
            </w:pPr>
            <w:r w:rsidRPr="007C0B4F">
              <w:rPr>
                <w:rFonts w:asciiTheme="minorHAnsi" w:hAnsiTheme="minorHAnsi" w:cstheme="minorHAnsi"/>
                <w:sz w:val="20"/>
                <w:szCs w:val="20"/>
                <w:lang w:val="en-GB" w:eastAsia="x-none"/>
              </w:rPr>
              <w:lastRenderedPageBreak/>
              <w:t xml:space="preserve">Discussions need to be held with key national stakeholders, including Bappenas, MoHA and MoF, to clarify how the </w:t>
            </w:r>
            <w:r w:rsidRPr="007C0B4F">
              <w:rPr>
                <w:rFonts w:asciiTheme="minorHAnsi" w:hAnsiTheme="minorHAnsi" w:cstheme="minorHAnsi"/>
                <w:sz w:val="20"/>
                <w:szCs w:val="20"/>
                <w:lang w:val="en-GB" w:eastAsia="x-none"/>
              </w:rPr>
              <w:lastRenderedPageBreak/>
              <w:t xml:space="preserve">Facility would be best configured and managed, particularly with respect to planning / budgeting and financial management issues. </w:t>
            </w:r>
          </w:p>
        </w:tc>
      </w:tr>
    </w:tbl>
    <w:p w14:paraId="475C9AC9" w14:textId="77777777" w:rsidR="00413E89" w:rsidRPr="007C0B4F" w:rsidRDefault="00413E89" w:rsidP="003B6B82">
      <w:pPr>
        <w:rPr>
          <w:rFonts w:asciiTheme="minorHAnsi" w:hAnsiTheme="minorHAnsi" w:cstheme="minorHAnsi"/>
          <w:lang w:val="en-GB"/>
        </w:rPr>
      </w:pPr>
    </w:p>
    <w:p w14:paraId="475C9ACA" w14:textId="77777777" w:rsidR="005F5F4A" w:rsidRPr="007C0B4F" w:rsidRDefault="00413E89" w:rsidP="00413E89">
      <w:pPr>
        <w:rPr>
          <w:rFonts w:asciiTheme="minorHAnsi" w:hAnsiTheme="minorHAnsi" w:cstheme="minorHAnsi"/>
          <w:lang w:val="en-GB"/>
        </w:rPr>
      </w:pPr>
      <w:r w:rsidRPr="007C0B4F">
        <w:rPr>
          <w:rFonts w:asciiTheme="minorHAnsi" w:hAnsiTheme="minorHAnsi" w:cstheme="minorHAnsi"/>
        </w:rPr>
        <w:t>During the design process, further analysis will be required of all the above mentioned risks as well as the proposed mitigation measure</w:t>
      </w:r>
      <w:r w:rsidR="00744904" w:rsidRPr="007C0B4F">
        <w:rPr>
          <w:rFonts w:asciiTheme="minorHAnsi" w:hAnsiTheme="minorHAnsi" w:cstheme="minorHAnsi"/>
        </w:rPr>
        <w:t>s</w:t>
      </w:r>
      <w:r w:rsidRPr="007C0B4F">
        <w:rPr>
          <w:rFonts w:asciiTheme="minorHAnsi" w:hAnsiTheme="minorHAnsi" w:cstheme="minorHAnsi"/>
        </w:rPr>
        <w:t>.  Consultation with GoI partners on the nature of these risks and appropriate mitigation measures is clearly critical.</w:t>
      </w:r>
      <w:r w:rsidR="00E04425" w:rsidRPr="007C0B4F">
        <w:rPr>
          <w:rFonts w:asciiTheme="minorHAnsi" w:hAnsiTheme="minorHAnsi" w:cstheme="minorHAnsi"/>
        </w:rPr>
        <w:t xml:space="preserve">  Risk management is an ongoing and dynamic process.  </w:t>
      </w:r>
    </w:p>
    <w:p w14:paraId="475C9ACB" w14:textId="77777777" w:rsidR="009A17E5" w:rsidRPr="007C0B4F" w:rsidRDefault="009A17E5">
      <w:pPr>
        <w:spacing w:after="0"/>
        <w:rPr>
          <w:rFonts w:ascii="Arial" w:eastAsiaTheme="majorEastAsia" w:hAnsi="Arial" w:cs="Arial"/>
          <w:b/>
          <w:bCs/>
          <w:iCs/>
          <w:lang w:val="x-none" w:eastAsia="x-none"/>
        </w:rPr>
      </w:pPr>
      <w:r w:rsidRPr="007C0B4F">
        <w:br w:type="page"/>
      </w:r>
    </w:p>
    <w:p w14:paraId="475C9ACC" w14:textId="77777777" w:rsidR="00744904" w:rsidRPr="007C0B4F" w:rsidRDefault="00744904" w:rsidP="00053994">
      <w:pPr>
        <w:pStyle w:val="Heading1"/>
      </w:pPr>
      <w:bookmarkStart w:id="62" w:name="_Toc361407160"/>
      <w:bookmarkStart w:id="63" w:name="_Toc365366054"/>
      <w:r w:rsidRPr="007C0B4F">
        <w:lastRenderedPageBreak/>
        <w:t>Next steps</w:t>
      </w:r>
      <w:bookmarkEnd w:id="62"/>
      <w:bookmarkEnd w:id="63"/>
      <w:r w:rsidRPr="007C0B4F">
        <w:t xml:space="preserve"> </w:t>
      </w:r>
    </w:p>
    <w:p w14:paraId="475C9ACD" w14:textId="77777777" w:rsidR="00740211" w:rsidRPr="007C0B4F" w:rsidRDefault="00740211" w:rsidP="00740211">
      <w:pPr>
        <w:rPr>
          <w:rFonts w:asciiTheme="minorHAnsi" w:hAnsiTheme="minorHAnsi" w:cstheme="minorHAnsi"/>
        </w:rPr>
      </w:pPr>
      <w:r w:rsidRPr="007C0B4F">
        <w:rPr>
          <w:rFonts w:asciiTheme="minorHAnsi" w:hAnsiTheme="minorHAnsi" w:cstheme="minorHAnsi"/>
        </w:rPr>
        <w:t>Following appraisal of the Concept Note, and assuming that approval is given by AusAID to proceed with design, the following design process and timeline is proposed.</w:t>
      </w:r>
      <w:r w:rsidR="00A37F35" w:rsidRPr="007C0B4F">
        <w:rPr>
          <w:rFonts w:asciiTheme="minorHAnsi" w:hAnsiTheme="minorHAnsi" w:cstheme="minorHAnsi"/>
        </w:rPr>
        <w:t xml:space="preserve">  Advice from peer reviewers on the feasibility of the timeline is welcomed.</w:t>
      </w:r>
    </w:p>
    <w:p w14:paraId="475C9ACE" w14:textId="77777777" w:rsidR="00740211" w:rsidRPr="007C0B4F" w:rsidRDefault="00740211" w:rsidP="00740211">
      <w:pPr>
        <w:rPr>
          <w:rFonts w:asciiTheme="minorHAnsi" w:hAnsiTheme="minorHAnsi" w:cstheme="minorHAnsi"/>
        </w:rPr>
      </w:pPr>
    </w:p>
    <w:tbl>
      <w:tblPr>
        <w:tblStyle w:val="TableGrid"/>
        <w:tblW w:w="0" w:type="auto"/>
        <w:tblLook w:val="04A0" w:firstRow="1" w:lastRow="0" w:firstColumn="1" w:lastColumn="0" w:noHBand="0" w:noVBand="1"/>
        <w:tblCaption w:val="Next steps"/>
      </w:tblPr>
      <w:tblGrid>
        <w:gridCol w:w="1668"/>
        <w:gridCol w:w="7574"/>
      </w:tblGrid>
      <w:tr w:rsidR="00740211" w:rsidRPr="007C0B4F" w14:paraId="475C9AD1" w14:textId="77777777" w:rsidTr="00FE556F">
        <w:trPr>
          <w:tblHeader/>
        </w:trPr>
        <w:tc>
          <w:tcPr>
            <w:tcW w:w="1668" w:type="dxa"/>
          </w:tcPr>
          <w:p w14:paraId="475C9ACF"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19</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-31</w:t>
            </w:r>
            <w:r w:rsidRPr="007C0B4F">
              <w:rPr>
                <w:rFonts w:asciiTheme="minorHAnsi" w:hAnsiTheme="minorHAnsi" w:cstheme="minorHAnsi"/>
                <w:sz w:val="20"/>
                <w:szCs w:val="20"/>
                <w:vertAlign w:val="superscript"/>
              </w:rPr>
              <w:t>st</w:t>
            </w:r>
            <w:r w:rsidRPr="007C0B4F">
              <w:rPr>
                <w:rFonts w:asciiTheme="minorHAnsi" w:hAnsiTheme="minorHAnsi" w:cstheme="minorHAnsi"/>
                <w:sz w:val="20"/>
                <w:szCs w:val="20"/>
              </w:rPr>
              <w:t xml:space="preserve"> August</w:t>
            </w:r>
          </w:p>
        </w:tc>
        <w:tc>
          <w:tcPr>
            <w:tcW w:w="7574" w:type="dxa"/>
          </w:tcPr>
          <w:p w14:paraId="475C9AD0"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Design mission in Indonesia, including consultations in Jakarta and at least one additional province.</w:t>
            </w:r>
          </w:p>
        </w:tc>
      </w:tr>
      <w:tr w:rsidR="00740211" w:rsidRPr="007C0B4F" w14:paraId="475C9AD4" w14:textId="77777777" w:rsidTr="00B8428B">
        <w:tc>
          <w:tcPr>
            <w:tcW w:w="1668" w:type="dxa"/>
          </w:tcPr>
          <w:p w14:paraId="475C9AD2"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2</w:t>
            </w:r>
            <w:r w:rsidRPr="007C0B4F">
              <w:rPr>
                <w:rFonts w:asciiTheme="minorHAnsi" w:hAnsiTheme="minorHAnsi" w:cstheme="minorHAnsi"/>
                <w:sz w:val="20"/>
                <w:szCs w:val="20"/>
                <w:vertAlign w:val="superscript"/>
              </w:rPr>
              <w:t>nd</w:t>
            </w:r>
            <w:r w:rsidRPr="007C0B4F">
              <w:rPr>
                <w:rFonts w:asciiTheme="minorHAnsi" w:hAnsiTheme="minorHAnsi" w:cstheme="minorHAnsi"/>
                <w:sz w:val="20"/>
                <w:szCs w:val="20"/>
              </w:rPr>
              <w:t>-13</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 xml:space="preserve"> September</w:t>
            </w:r>
          </w:p>
        </w:tc>
        <w:tc>
          <w:tcPr>
            <w:tcW w:w="7574" w:type="dxa"/>
          </w:tcPr>
          <w:p w14:paraId="475C9AD3"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Preparation and submission to AusAID of draft design document.</w:t>
            </w:r>
          </w:p>
        </w:tc>
      </w:tr>
      <w:tr w:rsidR="00740211" w:rsidRPr="007C0B4F" w14:paraId="475C9AD7" w14:textId="77777777" w:rsidTr="00B8428B">
        <w:tc>
          <w:tcPr>
            <w:tcW w:w="1668" w:type="dxa"/>
          </w:tcPr>
          <w:p w14:paraId="475C9AD5"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16</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-20</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 xml:space="preserve"> September</w:t>
            </w:r>
          </w:p>
        </w:tc>
        <w:tc>
          <w:tcPr>
            <w:tcW w:w="7574" w:type="dxa"/>
          </w:tcPr>
          <w:p w14:paraId="475C9AD6"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Review of draft design document by AusAID, and provision of comments to design team.</w:t>
            </w:r>
          </w:p>
        </w:tc>
      </w:tr>
      <w:tr w:rsidR="00740211" w:rsidRPr="007C0B4F" w14:paraId="475C9ADA" w14:textId="77777777" w:rsidTr="00B8428B">
        <w:tc>
          <w:tcPr>
            <w:tcW w:w="1668" w:type="dxa"/>
          </w:tcPr>
          <w:p w14:paraId="475C9AD8"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23</w:t>
            </w:r>
            <w:r w:rsidRPr="007C0B4F">
              <w:rPr>
                <w:rFonts w:asciiTheme="minorHAnsi" w:hAnsiTheme="minorHAnsi" w:cstheme="minorHAnsi"/>
                <w:sz w:val="20"/>
                <w:szCs w:val="20"/>
                <w:vertAlign w:val="superscript"/>
              </w:rPr>
              <w:t>rd</w:t>
            </w:r>
            <w:r w:rsidRPr="007C0B4F">
              <w:rPr>
                <w:rFonts w:asciiTheme="minorHAnsi" w:hAnsiTheme="minorHAnsi" w:cstheme="minorHAnsi"/>
                <w:sz w:val="20"/>
                <w:szCs w:val="20"/>
              </w:rPr>
              <w:t>-27</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 xml:space="preserve"> September</w:t>
            </w:r>
          </w:p>
        </w:tc>
        <w:tc>
          <w:tcPr>
            <w:tcW w:w="7574" w:type="dxa"/>
          </w:tcPr>
          <w:p w14:paraId="475C9AD9"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Revision of draft design document and submission to AusAID of final design document.</w:t>
            </w:r>
          </w:p>
        </w:tc>
      </w:tr>
      <w:tr w:rsidR="00740211" w:rsidRPr="007C0B4F" w14:paraId="475C9ADD" w14:textId="77777777" w:rsidTr="00B8428B">
        <w:tc>
          <w:tcPr>
            <w:tcW w:w="1668" w:type="dxa"/>
          </w:tcPr>
          <w:p w14:paraId="475C9ADB"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2</w:t>
            </w:r>
            <w:r w:rsidRPr="007C0B4F">
              <w:rPr>
                <w:rFonts w:asciiTheme="minorHAnsi" w:hAnsiTheme="minorHAnsi" w:cstheme="minorHAnsi"/>
                <w:sz w:val="20"/>
                <w:szCs w:val="20"/>
                <w:vertAlign w:val="superscript"/>
              </w:rPr>
              <w:t>nd</w:t>
            </w:r>
            <w:r w:rsidRPr="007C0B4F">
              <w:rPr>
                <w:rFonts w:asciiTheme="minorHAnsi" w:hAnsiTheme="minorHAnsi" w:cstheme="minorHAnsi"/>
                <w:sz w:val="20"/>
                <w:szCs w:val="20"/>
              </w:rPr>
              <w:t>- 4</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 xml:space="preserve"> October</w:t>
            </w:r>
          </w:p>
        </w:tc>
        <w:tc>
          <w:tcPr>
            <w:tcW w:w="7574" w:type="dxa"/>
          </w:tcPr>
          <w:p w14:paraId="475C9ADC"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Seek approval from Head of AusAID to proceed to Design Peer Review.</w:t>
            </w:r>
          </w:p>
        </w:tc>
      </w:tr>
      <w:tr w:rsidR="00740211" w:rsidRPr="007C0B4F" w14:paraId="475C9AE0" w14:textId="77777777" w:rsidTr="00B8428B">
        <w:tc>
          <w:tcPr>
            <w:tcW w:w="1668" w:type="dxa"/>
          </w:tcPr>
          <w:p w14:paraId="475C9ADE"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7</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-18</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 xml:space="preserve"> October</w:t>
            </w:r>
          </w:p>
        </w:tc>
        <w:tc>
          <w:tcPr>
            <w:tcW w:w="7574" w:type="dxa"/>
          </w:tcPr>
          <w:p w14:paraId="475C9ADF"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Design Document sent to Peer Reviewers.</w:t>
            </w:r>
          </w:p>
        </w:tc>
      </w:tr>
      <w:tr w:rsidR="00740211" w:rsidRPr="007C0B4F" w14:paraId="475C9AE3" w14:textId="77777777" w:rsidTr="00B8428B">
        <w:tc>
          <w:tcPr>
            <w:tcW w:w="1668" w:type="dxa"/>
          </w:tcPr>
          <w:p w14:paraId="475C9AE1"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25</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 xml:space="preserve"> October</w:t>
            </w:r>
          </w:p>
        </w:tc>
        <w:tc>
          <w:tcPr>
            <w:tcW w:w="7574" w:type="dxa"/>
          </w:tcPr>
          <w:p w14:paraId="475C9AE2"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Design Peer Review.</w:t>
            </w:r>
          </w:p>
        </w:tc>
      </w:tr>
      <w:tr w:rsidR="00740211" w:rsidRPr="007C0B4F" w14:paraId="475C9AE6" w14:textId="77777777" w:rsidTr="00B8428B">
        <w:tc>
          <w:tcPr>
            <w:tcW w:w="1668" w:type="dxa"/>
          </w:tcPr>
          <w:p w14:paraId="475C9AE4"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28</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 xml:space="preserve"> October – 1</w:t>
            </w:r>
            <w:r w:rsidRPr="007C0B4F">
              <w:rPr>
                <w:rFonts w:asciiTheme="minorHAnsi" w:hAnsiTheme="minorHAnsi" w:cstheme="minorHAnsi"/>
                <w:sz w:val="20"/>
                <w:szCs w:val="20"/>
                <w:vertAlign w:val="superscript"/>
              </w:rPr>
              <w:t>st</w:t>
            </w:r>
            <w:r w:rsidRPr="007C0B4F">
              <w:rPr>
                <w:rFonts w:asciiTheme="minorHAnsi" w:hAnsiTheme="minorHAnsi" w:cstheme="minorHAnsi"/>
                <w:sz w:val="20"/>
                <w:szCs w:val="20"/>
              </w:rPr>
              <w:t xml:space="preserve"> November</w:t>
            </w:r>
          </w:p>
        </w:tc>
        <w:tc>
          <w:tcPr>
            <w:tcW w:w="7574" w:type="dxa"/>
          </w:tcPr>
          <w:p w14:paraId="475C9AE5"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Finalize document following Peer Review.</w:t>
            </w:r>
          </w:p>
        </w:tc>
      </w:tr>
      <w:tr w:rsidR="00740211" w:rsidRPr="007C0B4F" w14:paraId="475C9AE9" w14:textId="77777777" w:rsidTr="00B8428B">
        <w:tc>
          <w:tcPr>
            <w:tcW w:w="1668" w:type="dxa"/>
          </w:tcPr>
          <w:p w14:paraId="475C9AE7"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4</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 xml:space="preserve"> – 8</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 xml:space="preserve"> November</w:t>
            </w:r>
          </w:p>
        </w:tc>
        <w:tc>
          <w:tcPr>
            <w:tcW w:w="7574" w:type="dxa"/>
          </w:tcPr>
          <w:p w14:paraId="475C9AE8"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Head of AusAID approval of design.</w:t>
            </w:r>
          </w:p>
        </w:tc>
      </w:tr>
      <w:tr w:rsidR="00740211" w:rsidRPr="007C0B4F" w14:paraId="475C9AEE" w14:textId="77777777" w:rsidTr="00B8428B">
        <w:tc>
          <w:tcPr>
            <w:tcW w:w="1668" w:type="dxa"/>
          </w:tcPr>
          <w:p w14:paraId="475C9AEA"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11-29</w:t>
            </w:r>
            <w:r w:rsidRPr="007C0B4F">
              <w:rPr>
                <w:rFonts w:asciiTheme="minorHAnsi" w:hAnsiTheme="minorHAnsi" w:cstheme="minorHAnsi"/>
                <w:sz w:val="20"/>
                <w:szCs w:val="20"/>
                <w:vertAlign w:val="superscript"/>
              </w:rPr>
              <w:t>th</w:t>
            </w:r>
            <w:r w:rsidRPr="007C0B4F">
              <w:rPr>
                <w:rFonts w:asciiTheme="minorHAnsi" w:hAnsiTheme="minorHAnsi" w:cstheme="minorHAnsi"/>
                <w:sz w:val="20"/>
                <w:szCs w:val="20"/>
              </w:rPr>
              <w:t xml:space="preserve"> November</w:t>
            </w:r>
          </w:p>
        </w:tc>
        <w:tc>
          <w:tcPr>
            <w:tcW w:w="7574" w:type="dxa"/>
          </w:tcPr>
          <w:p w14:paraId="475C9AEB" w14:textId="77777777" w:rsidR="00740211" w:rsidRPr="007C0B4F" w:rsidRDefault="00740211" w:rsidP="00740211">
            <w:pPr>
              <w:spacing w:after="0"/>
              <w:ind w:left="99"/>
              <w:contextualSpacing/>
              <w:rPr>
                <w:rFonts w:asciiTheme="minorHAnsi" w:hAnsiTheme="minorHAnsi" w:cstheme="minorHAnsi"/>
                <w:sz w:val="20"/>
                <w:szCs w:val="20"/>
              </w:rPr>
            </w:pPr>
            <w:r w:rsidRPr="007C0B4F">
              <w:rPr>
                <w:rFonts w:asciiTheme="minorHAnsi" w:hAnsiTheme="minorHAnsi" w:cstheme="minorHAnsi"/>
                <w:sz w:val="20"/>
                <w:szCs w:val="20"/>
              </w:rPr>
              <w:t>Financial Approval and Procurement Method Approval sought from Head of AusAID Jakarta</w:t>
            </w:r>
          </w:p>
          <w:p w14:paraId="475C9AEC" w14:textId="77777777" w:rsidR="00740211" w:rsidRPr="007C0B4F" w:rsidRDefault="00740211" w:rsidP="00740211">
            <w:pPr>
              <w:spacing w:after="0"/>
              <w:ind w:left="99"/>
              <w:contextualSpacing/>
              <w:rPr>
                <w:rFonts w:asciiTheme="minorHAnsi" w:hAnsiTheme="minorHAnsi" w:cstheme="minorHAnsi"/>
                <w:sz w:val="20"/>
                <w:szCs w:val="20"/>
              </w:rPr>
            </w:pPr>
          </w:p>
          <w:p w14:paraId="475C9AED" w14:textId="77777777" w:rsidR="00740211" w:rsidRPr="007C0B4F" w:rsidRDefault="00740211" w:rsidP="00740211">
            <w:pPr>
              <w:spacing w:after="0"/>
              <w:ind w:left="99"/>
              <w:contextualSpacing/>
              <w:rPr>
                <w:rFonts w:asciiTheme="minorHAnsi" w:hAnsiTheme="minorHAnsi" w:cstheme="minorHAnsi"/>
                <w:sz w:val="20"/>
                <w:szCs w:val="20"/>
              </w:rPr>
            </w:pPr>
            <w:r w:rsidRPr="007C0B4F">
              <w:rPr>
                <w:rFonts w:asciiTheme="minorHAnsi" w:hAnsiTheme="minorHAnsi" w:cstheme="minorHAnsi"/>
                <w:sz w:val="20"/>
                <w:szCs w:val="20"/>
              </w:rPr>
              <w:t>Scope of Services and Basis of Payment developed.</w:t>
            </w:r>
          </w:p>
        </w:tc>
      </w:tr>
      <w:tr w:rsidR="00740211" w:rsidRPr="007C0B4F" w14:paraId="475C9AF1" w14:textId="77777777" w:rsidTr="00B8428B">
        <w:tc>
          <w:tcPr>
            <w:tcW w:w="1668" w:type="dxa"/>
          </w:tcPr>
          <w:p w14:paraId="475C9AEF"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December-February</w:t>
            </w:r>
          </w:p>
        </w:tc>
        <w:tc>
          <w:tcPr>
            <w:tcW w:w="7574" w:type="dxa"/>
          </w:tcPr>
          <w:p w14:paraId="475C9AF0"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Tender and assessment of bids.</w:t>
            </w:r>
          </w:p>
        </w:tc>
      </w:tr>
      <w:tr w:rsidR="00740211" w:rsidRPr="007C0B4F" w14:paraId="475C9AF4" w14:textId="77777777" w:rsidTr="00B8428B">
        <w:tc>
          <w:tcPr>
            <w:tcW w:w="1668" w:type="dxa"/>
          </w:tcPr>
          <w:p w14:paraId="475C9AF2"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March-April</w:t>
            </w:r>
          </w:p>
        </w:tc>
        <w:tc>
          <w:tcPr>
            <w:tcW w:w="7574" w:type="dxa"/>
          </w:tcPr>
          <w:p w14:paraId="475C9AF3" w14:textId="77777777" w:rsidR="00740211" w:rsidRPr="007C0B4F" w:rsidRDefault="00740211" w:rsidP="00B8428B">
            <w:pPr>
              <w:rPr>
                <w:rFonts w:asciiTheme="minorHAnsi" w:hAnsiTheme="minorHAnsi" w:cstheme="minorHAnsi"/>
                <w:sz w:val="20"/>
                <w:szCs w:val="20"/>
              </w:rPr>
            </w:pPr>
            <w:r w:rsidRPr="007C0B4F">
              <w:rPr>
                <w:rFonts w:asciiTheme="minorHAnsi" w:hAnsiTheme="minorHAnsi" w:cstheme="minorHAnsi"/>
                <w:sz w:val="20"/>
                <w:szCs w:val="20"/>
              </w:rPr>
              <w:t>Contract negotiations</w:t>
            </w:r>
          </w:p>
        </w:tc>
      </w:tr>
    </w:tbl>
    <w:p w14:paraId="475C9AF5" w14:textId="77777777" w:rsidR="00740211" w:rsidRPr="007C0B4F" w:rsidRDefault="00740211" w:rsidP="00740211">
      <w:pPr>
        <w:rPr>
          <w:rFonts w:asciiTheme="minorHAnsi" w:hAnsiTheme="minorHAnsi" w:cstheme="minorHAnsi"/>
        </w:rPr>
      </w:pPr>
    </w:p>
    <w:p w14:paraId="475C9AF6" w14:textId="77777777" w:rsidR="001B67B8" w:rsidRPr="007C0B4F" w:rsidRDefault="001B67B8">
      <w:pPr>
        <w:spacing w:after="0"/>
        <w:sectPr w:rsidR="001B67B8" w:rsidRPr="007C0B4F" w:rsidSect="003B46F9">
          <w:footerReference w:type="default" r:id="rId14"/>
          <w:pgSz w:w="11906" w:h="16838"/>
          <w:pgMar w:top="1418" w:right="1418" w:bottom="1418" w:left="1418" w:header="708" w:footer="708" w:gutter="0"/>
          <w:pgNumType w:start="1"/>
          <w:cols w:space="708"/>
          <w:docGrid w:linePitch="360"/>
        </w:sectPr>
      </w:pPr>
    </w:p>
    <w:p w14:paraId="475C9AF7" w14:textId="77777777" w:rsidR="00C02DE4" w:rsidRPr="007C0B4F" w:rsidRDefault="00C02DE4" w:rsidP="00C02DE4">
      <w:pPr>
        <w:pStyle w:val="Heading1"/>
        <w:numPr>
          <w:ilvl w:val="0"/>
          <w:numId w:val="0"/>
        </w:numPr>
        <w:rPr>
          <w:lang w:val="en-GB"/>
        </w:rPr>
      </w:pPr>
      <w:bookmarkStart w:id="64" w:name="_Toc361407161"/>
      <w:bookmarkStart w:id="65" w:name="_Toc365366055"/>
      <w:r w:rsidRPr="007C0B4F">
        <w:lastRenderedPageBreak/>
        <w:t>Annexes</w:t>
      </w:r>
      <w:bookmarkEnd w:id="64"/>
      <w:bookmarkEnd w:id="65"/>
    </w:p>
    <w:p w14:paraId="475C9AF8" w14:textId="77777777" w:rsidR="007B1622" w:rsidRPr="007C0B4F" w:rsidRDefault="007B1622" w:rsidP="007B1622">
      <w:pPr>
        <w:pStyle w:val="Heading2"/>
        <w:numPr>
          <w:ilvl w:val="0"/>
          <w:numId w:val="0"/>
        </w:numPr>
        <w:rPr>
          <w:rFonts w:cstheme="minorHAnsi"/>
          <w:sz w:val="22"/>
          <w:szCs w:val="22"/>
          <w:lang w:val="en-GB"/>
        </w:rPr>
      </w:pPr>
      <w:bookmarkStart w:id="66" w:name="_Toc365366056"/>
      <w:bookmarkStart w:id="67" w:name="_Toc358609357"/>
      <w:r w:rsidRPr="007C0B4F">
        <w:rPr>
          <w:rFonts w:cstheme="minorHAnsi"/>
          <w:sz w:val="22"/>
          <w:szCs w:val="22"/>
        </w:rPr>
        <w:t>A</w:t>
      </w:r>
      <w:r w:rsidRPr="007C0B4F">
        <w:rPr>
          <w:rFonts w:cstheme="minorHAnsi"/>
          <w:sz w:val="22"/>
          <w:szCs w:val="22"/>
          <w:lang w:val="en-AU"/>
        </w:rPr>
        <w:t>1</w:t>
      </w:r>
      <w:r w:rsidRPr="007C0B4F">
        <w:rPr>
          <w:rFonts w:cstheme="minorHAnsi"/>
          <w:sz w:val="22"/>
          <w:szCs w:val="22"/>
        </w:rPr>
        <w:t xml:space="preserve"> –</w:t>
      </w:r>
      <w:r w:rsidRPr="007C0B4F">
        <w:rPr>
          <w:rFonts w:cstheme="minorHAnsi"/>
          <w:sz w:val="22"/>
          <w:szCs w:val="22"/>
          <w:lang w:val="en-GB"/>
        </w:rPr>
        <w:t xml:space="preserve"> Situation analysis of education in Indonesia</w:t>
      </w:r>
      <w:bookmarkEnd w:id="66"/>
    </w:p>
    <w:p w14:paraId="475C9AF9" w14:textId="77777777" w:rsidR="00953823" w:rsidRPr="007C0B4F" w:rsidRDefault="00953823" w:rsidP="00421AC9">
      <w:pPr>
        <w:pStyle w:val="Heading3"/>
        <w:numPr>
          <w:ilvl w:val="0"/>
          <w:numId w:val="0"/>
        </w:numPr>
        <w:ind w:left="431"/>
        <w:rPr>
          <w:b w:val="0"/>
          <w:i/>
          <w:u w:val="single"/>
        </w:rPr>
      </w:pPr>
      <w:bookmarkStart w:id="68" w:name="_Toc365366057"/>
      <w:r w:rsidRPr="007C0B4F">
        <w:rPr>
          <w:b w:val="0"/>
          <w:i/>
          <w:u w:val="single"/>
        </w:rPr>
        <w:t>Broad development and policy context</w:t>
      </w:r>
      <w:bookmarkEnd w:id="67"/>
      <w:bookmarkEnd w:id="68"/>
      <w:r w:rsidRPr="007C0B4F">
        <w:rPr>
          <w:b w:val="0"/>
          <w:i/>
          <w:u w:val="single"/>
        </w:rPr>
        <w:t xml:space="preserve"> </w:t>
      </w:r>
    </w:p>
    <w:p w14:paraId="475C9AFA"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AusAID’s global education sector strategy, Promoting Opportunities for All, states “education is an enabler of development and crucial to helping people overcome poverty.”  Education offers access to improved incomes, employment and enterprise opportunities that can be a pathway out of poverty.  For this reason, AusAID’s global strategy commits the aid program to working on improving access to basic education, improving the quality of learning, and strengthening education sector policies and systems for better service delivery.</w:t>
      </w:r>
    </w:p>
    <w:p w14:paraId="475C9AFB"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 xml:space="preserve">Improving access to high quality education is a priority for the Government of Indonesia (GoI), as articulated in the Medium Term Development Plan 2010-2014 and the Master Plan for Advancing and Accelerating Indonesia’s Economic Growth (2011).  Australia’s current (2008-2013) and draft (2014-2019) Country Program Strategy for Indonesia likewise identify education as a priority sector for investment.   </w:t>
      </w:r>
    </w:p>
    <w:p w14:paraId="475C9AFC"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 xml:space="preserve">AusAID’s draft Country Strategy also sharpens the aid program’s focus on reaching the poor, in the largest numbers and in the poorest places, with tailored approaches to reach those most at risk of exclusion from the benefits of growth and development.  It commits AusAID to working in ways that support the more effective use of GoI resources and systems, share the risk of innovation, and build the evidence-base of what works and what doesn’t.  </w:t>
      </w:r>
    </w:p>
    <w:p w14:paraId="475C9AFD" w14:textId="77777777" w:rsidR="00953823" w:rsidRPr="007C0B4F" w:rsidRDefault="00953823" w:rsidP="00421AC9">
      <w:pPr>
        <w:pStyle w:val="Heading3"/>
        <w:numPr>
          <w:ilvl w:val="0"/>
          <w:numId w:val="0"/>
        </w:numPr>
        <w:ind w:left="431"/>
        <w:rPr>
          <w:b w:val="0"/>
          <w:i/>
          <w:u w:val="single"/>
        </w:rPr>
      </w:pPr>
      <w:bookmarkStart w:id="69" w:name="_Toc358609358"/>
      <w:bookmarkStart w:id="70" w:name="_Toc365366058"/>
      <w:r w:rsidRPr="007C0B4F">
        <w:rPr>
          <w:b w:val="0"/>
          <w:i/>
          <w:u w:val="single"/>
        </w:rPr>
        <w:t>Sector context and key issues</w:t>
      </w:r>
      <w:bookmarkEnd w:id="69"/>
      <w:bookmarkEnd w:id="70"/>
      <w:r w:rsidRPr="007C0B4F">
        <w:rPr>
          <w:b w:val="0"/>
          <w:i/>
          <w:u w:val="single"/>
        </w:rPr>
        <w:t xml:space="preserve"> </w:t>
      </w:r>
    </w:p>
    <w:p w14:paraId="475C9AFE"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The following section provides context for the proposed investment with a summary analysis of basic education access, quality and system governance in Indonesia.  The three dimensions of access, quality, and governance are critically interlinked.</w:t>
      </w:r>
    </w:p>
    <w:p w14:paraId="475C9AFF" w14:textId="77777777" w:rsidR="00953823" w:rsidRPr="007C0B4F" w:rsidRDefault="00953823" w:rsidP="00953823">
      <w:pPr>
        <w:rPr>
          <w:rFonts w:asciiTheme="minorHAnsi" w:hAnsiTheme="minorHAnsi" w:cstheme="minorHAnsi"/>
          <w:b/>
          <w:lang w:val="en-GB" w:eastAsia="x-none"/>
        </w:rPr>
      </w:pPr>
      <w:r w:rsidRPr="007C0B4F">
        <w:rPr>
          <w:rFonts w:asciiTheme="minorHAnsi" w:hAnsiTheme="minorHAnsi" w:cstheme="minorHAnsi"/>
          <w:b/>
          <w:lang w:val="en-GB" w:eastAsia="x-none"/>
        </w:rPr>
        <w:t>Access</w:t>
      </w:r>
    </w:p>
    <w:p w14:paraId="475C9B00"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Indonesia has made impressive strides in access to education over the last two decades, measured in terms of gross enrolment rates (GER), but progress is uneven across levels of education, rural and urban populations, and socio-economic quintiles.  There are also significant regional disparities.  As shown in the table below, there is almost universal coverage at the primary level.  Junior secondary access is increasing, however a 2012 study of out-of-school children conducted by UNICEF estimates the total number of children out-of-school in the 7-15 age group at 2.5 million.</w:t>
      </w:r>
      <w:r w:rsidRPr="007C0B4F">
        <w:rPr>
          <w:rStyle w:val="FootnoteReference"/>
          <w:rFonts w:asciiTheme="minorHAnsi" w:hAnsiTheme="minorHAnsi" w:cstheme="minorHAnsi"/>
          <w:lang w:val="en-GB" w:eastAsia="x-none"/>
        </w:rPr>
        <w:footnoteReference w:id="10"/>
      </w:r>
      <w:r w:rsidRPr="007C0B4F">
        <w:rPr>
          <w:rFonts w:asciiTheme="minorHAnsi" w:hAnsiTheme="minorHAnsi" w:cstheme="minorHAnsi"/>
          <w:lang w:val="en-GB" w:eastAsia="x-none"/>
        </w:rPr>
        <w:t xml:space="preserve">  Senior secondary and tertiary enrolment rates are still lagging, although demand is expected to grow as junior secondary continues to expand and GoI moves to a compulsory 12-year education model from 2013.  Access to formal pre-primary programs remains low which is </w:t>
      </w:r>
      <w:r w:rsidR="00FF60F6" w:rsidRPr="007C0B4F">
        <w:rPr>
          <w:rFonts w:asciiTheme="minorHAnsi" w:hAnsiTheme="minorHAnsi" w:cstheme="minorHAnsi"/>
          <w:lang w:val="en-GB" w:eastAsia="x-none"/>
        </w:rPr>
        <w:t>problematic in</w:t>
      </w:r>
      <w:r w:rsidRPr="007C0B4F">
        <w:rPr>
          <w:rFonts w:asciiTheme="minorHAnsi" w:hAnsiTheme="minorHAnsi" w:cstheme="minorHAnsi"/>
          <w:lang w:val="en-GB" w:eastAsia="x-none"/>
        </w:rPr>
        <w:t xml:space="preserve"> light of the strong evidence of the potential returns from investing in those early years.</w:t>
      </w:r>
    </w:p>
    <w:p w14:paraId="475C9B01" w14:textId="77777777" w:rsidR="00953823" w:rsidRPr="007C0B4F" w:rsidRDefault="00953823" w:rsidP="00953823">
      <w:pPr>
        <w:jc w:val="center"/>
        <w:rPr>
          <w:rFonts w:asciiTheme="minorHAnsi" w:hAnsiTheme="minorHAnsi" w:cstheme="minorHAnsi"/>
          <w:b/>
          <w:lang w:eastAsia="x-none"/>
        </w:rPr>
      </w:pPr>
      <w:r w:rsidRPr="007C0B4F">
        <w:rPr>
          <w:rFonts w:asciiTheme="minorHAnsi" w:hAnsiTheme="minorHAnsi" w:cstheme="minorHAnsi"/>
          <w:b/>
          <w:lang w:eastAsia="x-none"/>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513"/>
        <w:gridCol w:w="1552"/>
        <w:gridCol w:w="1553"/>
        <w:gridCol w:w="1514"/>
      </w:tblGrid>
      <w:tr w:rsidR="00953823" w:rsidRPr="007C0B4F" w14:paraId="475C9B07" w14:textId="77777777" w:rsidTr="004F2895">
        <w:tc>
          <w:tcPr>
            <w:tcW w:w="1552" w:type="dxa"/>
            <w:vMerge w:val="restart"/>
            <w:shd w:val="clear" w:color="auto" w:fill="auto"/>
          </w:tcPr>
          <w:p w14:paraId="475C9B02" w14:textId="77777777" w:rsidR="00953823" w:rsidRPr="007C0B4F" w:rsidRDefault="00953823" w:rsidP="0005020C">
            <w:pPr>
              <w:rPr>
                <w:rFonts w:asciiTheme="minorHAnsi" w:hAnsiTheme="minorHAnsi" w:cstheme="minorHAnsi"/>
                <w:lang w:eastAsia="x-none"/>
              </w:rPr>
            </w:pPr>
            <w:r w:rsidRPr="007C0B4F">
              <w:rPr>
                <w:rFonts w:asciiTheme="minorHAnsi" w:hAnsiTheme="minorHAnsi" w:cstheme="minorHAnsi"/>
                <w:lang w:eastAsia="x-none"/>
              </w:rPr>
              <w:t xml:space="preserve">Net Enrolment Rates 2009/10 </w:t>
            </w:r>
          </w:p>
        </w:tc>
        <w:tc>
          <w:tcPr>
            <w:tcW w:w="1513" w:type="dxa"/>
            <w:shd w:val="clear" w:color="auto" w:fill="auto"/>
          </w:tcPr>
          <w:p w14:paraId="475C9B03" w14:textId="77777777" w:rsidR="00953823" w:rsidRPr="007C0B4F" w:rsidRDefault="00953823" w:rsidP="004F2895">
            <w:pPr>
              <w:rPr>
                <w:rFonts w:asciiTheme="minorHAnsi" w:hAnsiTheme="minorHAnsi" w:cstheme="minorHAnsi"/>
                <w:lang w:eastAsia="x-none"/>
              </w:rPr>
            </w:pPr>
            <w:r w:rsidRPr="007C0B4F">
              <w:rPr>
                <w:rFonts w:asciiTheme="minorHAnsi" w:hAnsiTheme="minorHAnsi" w:cstheme="minorHAnsi"/>
                <w:lang w:eastAsia="x-none"/>
              </w:rPr>
              <w:t>Primary</w:t>
            </w:r>
          </w:p>
        </w:tc>
        <w:tc>
          <w:tcPr>
            <w:tcW w:w="1552" w:type="dxa"/>
            <w:shd w:val="clear" w:color="auto" w:fill="auto"/>
          </w:tcPr>
          <w:p w14:paraId="475C9B04" w14:textId="77777777" w:rsidR="00953823" w:rsidRPr="007C0B4F" w:rsidRDefault="00953823" w:rsidP="004F2895">
            <w:pPr>
              <w:rPr>
                <w:rFonts w:asciiTheme="minorHAnsi" w:hAnsiTheme="minorHAnsi" w:cstheme="minorHAnsi"/>
                <w:lang w:eastAsia="x-none"/>
              </w:rPr>
            </w:pPr>
            <w:r w:rsidRPr="007C0B4F">
              <w:rPr>
                <w:rFonts w:asciiTheme="minorHAnsi" w:hAnsiTheme="minorHAnsi" w:cstheme="minorHAnsi"/>
                <w:lang w:eastAsia="x-none"/>
              </w:rPr>
              <w:t>Junior Secondary</w:t>
            </w:r>
          </w:p>
        </w:tc>
        <w:tc>
          <w:tcPr>
            <w:tcW w:w="1553" w:type="dxa"/>
            <w:shd w:val="clear" w:color="auto" w:fill="auto"/>
          </w:tcPr>
          <w:p w14:paraId="475C9B05" w14:textId="77777777" w:rsidR="00953823" w:rsidRPr="007C0B4F" w:rsidRDefault="00953823" w:rsidP="004F2895">
            <w:pPr>
              <w:rPr>
                <w:rFonts w:asciiTheme="minorHAnsi" w:hAnsiTheme="minorHAnsi" w:cstheme="minorHAnsi"/>
                <w:lang w:eastAsia="x-none"/>
              </w:rPr>
            </w:pPr>
            <w:r w:rsidRPr="007C0B4F">
              <w:rPr>
                <w:rFonts w:asciiTheme="minorHAnsi" w:hAnsiTheme="minorHAnsi" w:cstheme="minorHAnsi"/>
                <w:lang w:eastAsia="x-none"/>
              </w:rPr>
              <w:t>Senior Secondary</w:t>
            </w:r>
          </w:p>
        </w:tc>
        <w:tc>
          <w:tcPr>
            <w:tcW w:w="1514" w:type="dxa"/>
            <w:shd w:val="clear" w:color="auto" w:fill="auto"/>
          </w:tcPr>
          <w:p w14:paraId="475C9B06" w14:textId="77777777" w:rsidR="00953823" w:rsidRPr="007C0B4F" w:rsidRDefault="00953823" w:rsidP="004F2895">
            <w:pPr>
              <w:rPr>
                <w:rFonts w:asciiTheme="minorHAnsi" w:hAnsiTheme="minorHAnsi" w:cstheme="minorHAnsi"/>
                <w:lang w:eastAsia="x-none"/>
              </w:rPr>
            </w:pPr>
            <w:r w:rsidRPr="007C0B4F">
              <w:rPr>
                <w:rFonts w:asciiTheme="minorHAnsi" w:hAnsiTheme="minorHAnsi" w:cstheme="minorHAnsi"/>
                <w:lang w:eastAsia="x-none"/>
              </w:rPr>
              <w:t>Tertiary</w:t>
            </w:r>
          </w:p>
        </w:tc>
      </w:tr>
      <w:tr w:rsidR="00953823" w:rsidRPr="007C0B4F" w14:paraId="475C9B0D" w14:textId="77777777" w:rsidTr="004F2895">
        <w:tc>
          <w:tcPr>
            <w:tcW w:w="1552" w:type="dxa"/>
            <w:vMerge/>
            <w:shd w:val="clear" w:color="auto" w:fill="auto"/>
          </w:tcPr>
          <w:p w14:paraId="475C9B08" w14:textId="77777777" w:rsidR="00953823" w:rsidRPr="007C0B4F" w:rsidRDefault="00953823" w:rsidP="004F2895">
            <w:pPr>
              <w:rPr>
                <w:rFonts w:asciiTheme="minorHAnsi" w:hAnsiTheme="minorHAnsi" w:cstheme="minorHAnsi"/>
                <w:lang w:eastAsia="x-none"/>
              </w:rPr>
            </w:pPr>
          </w:p>
        </w:tc>
        <w:tc>
          <w:tcPr>
            <w:tcW w:w="1513" w:type="dxa"/>
            <w:shd w:val="clear" w:color="auto" w:fill="auto"/>
          </w:tcPr>
          <w:p w14:paraId="475C9B09" w14:textId="77777777" w:rsidR="00953823" w:rsidRPr="007C0B4F" w:rsidRDefault="00953823" w:rsidP="004F2895">
            <w:pPr>
              <w:rPr>
                <w:rFonts w:asciiTheme="minorHAnsi" w:hAnsiTheme="minorHAnsi" w:cstheme="minorHAnsi"/>
                <w:lang w:eastAsia="x-none"/>
              </w:rPr>
            </w:pPr>
            <w:r w:rsidRPr="007C0B4F">
              <w:rPr>
                <w:rFonts w:asciiTheme="minorHAnsi" w:hAnsiTheme="minorHAnsi" w:cstheme="minorHAnsi"/>
                <w:lang w:eastAsia="x-none"/>
              </w:rPr>
              <w:t>95.2%</w:t>
            </w:r>
          </w:p>
        </w:tc>
        <w:tc>
          <w:tcPr>
            <w:tcW w:w="1552" w:type="dxa"/>
            <w:shd w:val="clear" w:color="auto" w:fill="auto"/>
          </w:tcPr>
          <w:p w14:paraId="475C9B0A" w14:textId="77777777" w:rsidR="00953823" w:rsidRPr="007C0B4F" w:rsidRDefault="00953823" w:rsidP="004F2895">
            <w:pPr>
              <w:rPr>
                <w:rFonts w:asciiTheme="minorHAnsi" w:hAnsiTheme="minorHAnsi" w:cstheme="minorHAnsi"/>
                <w:lang w:eastAsia="x-none"/>
              </w:rPr>
            </w:pPr>
            <w:r w:rsidRPr="007C0B4F">
              <w:rPr>
                <w:rFonts w:asciiTheme="minorHAnsi" w:hAnsiTheme="minorHAnsi" w:cstheme="minorHAnsi"/>
                <w:lang w:eastAsia="x-none"/>
              </w:rPr>
              <w:t>74.5%</w:t>
            </w:r>
          </w:p>
        </w:tc>
        <w:tc>
          <w:tcPr>
            <w:tcW w:w="1553" w:type="dxa"/>
            <w:shd w:val="clear" w:color="auto" w:fill="auto"/>
          </w:tcPr>
          <w:p w14:paraId="475C9B0B" w14:textId="77777777" w:rsidR="00953823" w:rsidRPr="007C0B4F" w:rsidRDefault="00953823" w:rsidP="004F2895">
            <w:pPr>
              <w:rPr>
                <w:rFonts w:asciiTheme="minorHAnsi" w:hAnsiTheme="minorHAnsi" w:cstheme="minorHAnsi"/>
                <w:lang w:eastAsia="x-none"/>
              </w:rPr>
            </w:pPr>
            <w:r w:rsidRPr="007C0B4F">
              <w:rPr>
                <w:rFonts w:asciiTheme="minorHAnsi" w:hAnsiTheme="minorHAnsi" w:cstheme="minorHAnsi"/>
                <w:lang w:eastAsia="x-none"/>
              </w:rPr>
              <w:t>55.7%</w:t>
            </w:r>
          </w:p>
        </w:tc>
        <w:tc>
          <w:tcPr>
            <w:tcW w:w="1514" w:type="dxa"/>
            <w:shd w:val="clear" w:color="auto" w:fill="auto"/>
          </w:tcPr>
          <w:p w14:paraId="475C9B0C" w14:textId="77777777" w:rsidR="00953823" w:rsidRPr="007C0B4F" w:rsidRDefault="00953823" w:rsidP="004F2895">
            <w:pPr>
              <w:rPr>
                <w:rFonts w:asciiTheme="minorHAnsi" w:hAnsiTheme="minorHAnsi" w:cstheme="minorHAnsi"/>
                <w:lang w:eastAsia="x-none"/>
              </w:rPr>
            </w:pPr>
            <w:r w:rsidRPr="007C0B4F">
              <w:rPr>
                <w:rFonts w:asciiTheme="minorHAnsi" w:hAnsiTheme="minorHAnsi" w:cstheme="minorHAnsi"/>
                <w:lang w:eastAsia="x-none"/>
              </w:rPr>
              <w:t>17.9%</w:t>
            </w:r>
          </w:p>
        </w:tc>
      </w:tr>
    </w:tbl>
    <w:p w14:paraId="475C9B0E" w14:textId="77777777" w:rsidR="00953823" w:rsidRPr="007C0B4F" w:rsidRDefault="00953823" w:rsidP="00953823">
      <w:pPr>
        <w:rPr>
          <w:rFonts w:asciiTheme="minorHAnsi" w:hAnsiTheme="minorHAnsi" w:cstheme="minorHAnsi"/>
          <w:i/>
          <w:lang w:val="en-GB" w:eastAsia="x-none"/>
        </w:rPr>
      </w:pPr>
      <w:r w:rsidRPr="007C0B4F">
        <w:rPr>
          <w:rFonts w:asciiTheme="minorHAnsi" w:hAnsiTheme="minorHAnsi" w:cstheme="minorHAnsi"/>
          <w:i/>
          <w:lang w:val="en-GB" w:eastAsia="x-none"/>
        </w:rPr>
        <w:t>Source: Ministry of Education and Culture</w:t>
      </w:r>
    </w:p>
    <w:p w14:paraId="475C9B0F" w14:textId="77777777" w:rsidR="00953823" w:rsidRPr="007C0B4F" w:rsidRDefault="00953823" w:rsidP="00953823">
      <w:pPr>
        <w:rPr>
          <w:rFonts w:asciiTheme="minorHAnsi" w:hAnsiTheme="minorHAnsi" w:cstheme="minorHAnsi"/>
          <w:lang w:val="en-GB" w:eastAsia="x-none"/>
        </w:rPr>
      </w:pPr>
    </w:p>
    <w:p w14:paraId="475C9B10"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lastRenderedPageBreak/>
        <w:t>The UNICEF 2012 study highlights that, in Indonesia, drop-out rates within each cycle of basic education (primary or junior secondary) are low but that the rate of children dropping-out in the primary to junior secondary transition is high.  The study notes strong financial drivers for this, due to increasing costs for households at the junior secondary level notwithstanding government support at both levels.  Perceptions of the value of education (largely derived from perceptions of the quality of education service delivery) were also identified as an issue.  Better understanding of and responses to these drivers would enable more children, especially the poor, to make the transition from primary to junior secondary, and beyond, which would have a significant positive impact on access.</w:t>
      </w:r>
    </w:p>
    <w:p w14:paraId="475C9B11"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It is also important to look beyond the simple measure of access based on enrolment.  Research undertaken by the Consortium for Research on Educational Access, Transitions and Equity (CREATE) offers a useful model for understanding access as access to learning, not just to physical services, being the true measure of education service delivery.</w:t>
      </w:r>
      <w:r w:rsidRPr="007C0B4F">
        <w:rPr>
          <w:rStyle w:val="FootnoteReference"/>
          <w:rFonts w:asciiTheme="minorHAnsi" w:hAnsiTheme="minorHAnsi" w:cstheme="minorHAnsi"/>
          <w:lang w:val="en-GB" w:eastAsia="x-none"/>
        </w:rPr>
        <w:footnoteReference w:id="11"/>
      </w:r>
      <w:r w:rsidRPr="007C0B4F">
        <w:rPr>
          <w:rFonts w:asciiTheme="minorHAnsi" w:hAnsiTheme="minorHAnsi" w:cstheme="minorHAnsi"/>
          <w:lang w:val="en-GB" w:eastAsia="x-none"/>
        </w:rPr>
        <w:t xml:space="preserve">  Applying this framework to Indonesia suggests that the battle has not yet been won.  Data from international assessments of student learning also suggests that enrolment rates are not reflective of true access to learning; they mask significant numbers of children who are enrolled but are still missing out on learning.  Poor quality is a driver of low access in two ways – firstly as a disincentive for children to attend school and secondly as a constraint to meaningful access (to learning, not just enrolment).  </w:t>
      </w:r>
    </w:p>
    <w:p w14:paraId="475C9B12"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Access to ECED services, as noted above, is limited, which may be a combination of limited supply of places, highly variable quality and cost, and enrolment not being seen as a priority by communities or governments.  Delivery of high quality ECED services is complicated by the cross-sectoral nature of such services (health, education, social welfare), requiring a high level of inter-Ministry coordination.  GoI (BAPPENAS-led) is currently preparing a Presidential Decree on ECED services which takes an integrated, holistic approach to ECED and will hopefully clarify roles and responsibilities.  However, implementation arrangements and funding availability remain uncertain.</w:t>
      </w:r>
    </w:p>
    <w:p w14:paraId="475C9B13"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Enrolment in senior secondary has been increasing in recent years, largely driven by increased access amongst the poorer quintiles.  However, the difference between the poorest quintile and the richest is still significant; approximately 75% of 15 year olds in the poorest quintile are enrolled in school, compared to 90% for the richest.  By age 18, the gap has widened considerably, with only 30% from the poorest quintile still enrolled in education compared to 55% for the richest.</w:t>
      </w:r>
      <w:r w:rsidRPr="007C0B4F">
        <w:rPr>
          <w:rStyle w:val="FootnoteReference"/>
          <w:rFonts w:asciiTheme="minorHAnsi" w:hAnsiTheme="minorHAnsi" w:cstheme="minorHAnsi"/>
          <w:lang w:val="en-GB" w:eastAsia="x-none"/>
        </w:rPr>
        <w:footnoteReference w:id="12"/>
      </w:r>
      <w:r w:rsidRPr="007C0B4F">
        <w:rPr>
          <w:rFonts w:asciiTheme="minorHAnsi" w:hAnsiTheme="minorHAnsi" w:cstheme="minorHAnsi"/>
          <w:lang w:val="en-GB" w:eastAsia="x-none"/>
        </w:rPr>
        <w:t xml:space="preserve">   </w:t>
      </w:r>
    </w:p>
    <w:p w14:paraId="475C9B14"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Regional disparity in access is also an issue – for example, the Net Enrolment Rate (NER) for primary school students in the urban centres of Jakarta and Yogyakarta is above 97%, while in Sulawesi Barat and Papua Barat it is around 87%; at junior secondary level Jakarta is again the highest at 89%, Nusa Tengara Timur the lowest at 59.6%.</w:t>
      </w:r>
      <w:r w:rsidRPr="007C0B4F">
        <w:rPr>
          <w:rStyle w:val="FootnoteReference"/>
          <w:rFonts w:asciiTheme="minorHAnsi" w:hAnsiTheme="minorHAnsi" w:cstheme="minorHAnsi"/>
          <w:lang w:val="en-GB" w:eastAsia="x-none"/>
        </w:rPr>
        <w:footnoteReference w:id="13"/>
      </w:r>
    </w:p>
    <w:p w14:paraId="475C9B15"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Indonesia’s record with regard to gender parity in education participation is commendable (in both access and transition at primary and junior secondary levels)</w:t>
      </w:r>
      <w:r w:rsidR="0051766F" w:rsidRPr="007C0B4F">
        <w:rPr>
          <w:rFonts w:asciiTheme="minorHAnsi" w:hAnsiTheme="minorHAnsi" w:cstheme="minorHAnsi"/>
          <w:lang w:val="en-GB" w:eastAsia="x-none"/>
        </w:rPr>
        <w:t>;</w:t>
      </w:r>
      <w:r w:rsidRPr="007C0B4F">
        <w:rPr>
          <w:rFonts w:asciiTheme="minorHAnsi" w:hAnsiTheme="minorHAnsi" w:cstheme="minorHAnsi"/>
          <w:lang w:val="en-GB" w:eastAsia="x-none"/>
        </w:rPr>
        <w:t xml:space="preserve"> however broader issues associated with gender equality remain.  These include gender stereotyping in teaching material; teaching and classroom practice; restricting girls’ or boys’ participation in certain types of activities or roles; and ensuring safety from harm or harassment to, during, and from the school day.  A recent study of ten years of gender mainstreaming in Indonesia’s education system reviewed through a gender lens found a strong base exists (policy and budgetary) on which to pursue improvements in equality and quality.</w:t>
      </w:r>
      <w:r w:rsidRPr="007C0B4F">
        <w:rPr>
          <w:rStyle w:val="FootnoteReference"/>
          <w:rFonts w:asciiTheme="minorHAnsi" w:hAnsiTheme="minorHAnsi" w:cstheme="minorHAnsi"/>
          <w:lang w:val="en-GB" w:eastAsia="x-none"/>
        </w:rPr>
        <w:footnoteReference w:id="14"/>
      </w:r>
      <w:r w:rsidRPr="007C0B4F">
        <w:rPr>
          <w:rFonts w:asciiTheme="minorHAnsi" w:hAnsiTheme="minorHAnsi" w:cstheme="minorHAnsi"/>
          <w:lang w:val="en-GB" w:eastAsia="x-none"/>
        </w:rPr>
        <w:t xml:space="preserve"> However, challenges remain in implementation, such as the presence of champions within </w:t>
      </w:r>
      <w:r w:rsidRPr="007C0B4F">
        <w:rPr>
          <w:rFonts w:asciiTheme="minorHAnsi" w:hAnsiTheme="minorHAnsi" w:cstheme="minorHAnsi"/>
          <w:lang w:val="en-GB" w:eastAsia="x-none"/>
        </w:rPr>
        <w:lastRenderedPageBreak/>
        <w:t xml:space="preserve">government, the collection of sex-disaggregated performance information, and under-representation of females in leadership positions. </w:t>
      </w:r>
    </w:p>
    <w:p w14:paraId="475C9B16" w14:textId="77777777" w:rsidR="00953823" w:rsidRPr="007C0B4F" w:rsidRDefault="00953823" w:rsidP="00953823">
      <w:pPr>
        <w:rPr>
          <w:rFonts w:asciiTheme="minorHAnsi" w:hAnsiTheme="minorHAnsi" w:cstheme="minorHAnsi"/>
          <w:b/>
          <w:lang w:val="en-GB" w:eastAsia="x-none"/>
        </w:rPr>
      </w:pPr>
      <w:r w:rsidRPr="007C0B4F">
        <w:rPr>
          <w:rFonts w:asciiTheme="minorHAnsi" w:hAnsiTheme="minorHAnsi" w:cstheme="minorHAnsi"/>
          <w:b/>
          <w:lang w:val="en-GB" w:eastAsia="x-none"/>
        </w:rPr>
        <w:t>Quality</w:t>
      </w:r>
    </w:p>
    <w:p w14:paraId="475C9B17"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In order for nations to realize the potential economic gains from education, providing access to schooling is simply not enough.  Children also need to develop behavioural and cognitive skills as a result of participating in schooling in order to enhance their productivity in the economy. Research finds a one standard deviation increase in scores on international assessments of reading and mathematics is associated with a 2 per</w:t>
      </w:r>
      <w:r w:rsidR="00AA7656" w:rsidRPr="007C0B4F">
        <w:rPr>
          <w:rFonts w:asciiTheme="minorHAnsi" w:hAnsiTheme="minorHAnsi" w:cstheme="minorHAnsi"/>
          <w:lang w:val="en-GB" w:eastAsia="x-none"/>
        </w:rPr>
        <w:t> </w:t>
      </w:r>
      <w:r w:rsidRPr="007C0B4F">
        <w:rPr>
          <w:rFonts w:asciiTheme="minorHAnsi" w:hAnsiTheme="minorHAnsi" w:cstheme="minorHAnsi"/>
          <w:lang w:val="en-GB" w:eastAsia="x-none"/>
        </w:rPr>
        <w:t>cent increase in annual growth rates of GDP per capita.</w:t>
      </w:r>
      <w:r w:rsidRPr="007C0B4F">
        <w:rPr>
          <w:rFonts w:asciiTheme="minorHAnsi" w:hAnsiTheme="minorHAnsi" w:cstheme="minorHAnsi"/>
          <w:vertAlign w:val="superscript"/>
          <w:lang w:val="en-GB" w:eastAsia="x-none"/>
        </w:rPr>
        <w:t xml:space="preserve"> </w:t>
      </w:r>
      <w:r w:rsidRPr="007C0B4F">
        <w:rPr>
          <w:rFonts w:asciiTheme="minorHAnsi" w:hAnsiTheme="minorHAnsi" w:cstheme="minorHAnsi"/>
          <w:vertAlign w:val="superscript"/>
          <w:lang w:val="en-GB" w:eastAsia="x-none"/>
        </w:rPr>
        <w:footnoteReference w:id="15"/>
      </w:r>
      <w:r w:rsidRPr="007C0B4F">
        <w:rPr>
          <w:rFonts w:asciiTheme="minorHAnsi" w:hAnsiTheme="minorHAnsi" w:cstheme="minorHAnsi"/>
          <w:lang w:val="en-GB" w:eastAsia="x-none"/>
        </w:rPr>
        <w:t xml:space="preserve">   The World Bank’s Education Strategy recognizes that for governments and donors to derive value for money from investments in education, they must contribute to “measurable gains in learning”. </w:t>
      </w:r>
      <w:r w:rsidRPr="007C0B4F">
        <w:rPr>
          <w:rStyle w:val="FootnoteReference"/>
          <w:rFonts w:asciiTheme="minorHAnsi" w:hAnsiTheme="minorHAnsi" w:cstheme="minorHAnsi"/>
          <w:lang w:val="en-GB" w:eastAsia="x-none"/>
        </w:rPr>
        <w:footnoteReference w:id="16"/>
      </w:r>
    </w:p>
    <w:p w14:paraId="475C9B18"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 xml:space="preserve">Available evidence suggests that Indonesia’s significant investment in education services is not currently delivering strong learning outcomes for students.  While the national exam (Ujian Nasional – UN), required for students in grades 6, 9 and 12, has consistently high pass rates, issues with the validity of the tests and the integrity of UN management make this an unreliable indicator of learning outcomes.  Indonesia does participate in a number of international standardised diagnostic tests, such as the Program for International Student Assessment (PISA), the Trends in Mathematics and Science Study (TIMSS) and the </w:t>
      </w:r>
      <w:r w:rsidR="004A15C2" w:rsidRPr="007C0B4F">
        <w:rPr>
          <w:rFonts w:asciiTheme="minorHAnsi" w:hAnsiTheme="minorHAnsi" w:cstheme="minorHAnsi"/>
          <w:lang w:val="en-GB" w:eastAsia="x-none"/>
        </w:rPr>
        <w:t>Progress in International Re</w:t>
      </w:r>
      <w:r w:rsidRPr="007C0B4F">
        <w:rPr>
          <w:rFonts w:asciiTheme="minorHAnsi" w:hAnsiTheme="minorHAnsi" w:cstheme="minorHAnsi"/>
          <w:lang w:val="en-GB" w:eastAsia="x-none"/>
        </w:rPr>
        <w:t>a</w:t>
      </w:r>
      <w:r w:rsidR="004A15C2" w:rsidRPr="007C0B4F">
        <w:rPr>
          <w:rFonts w:asciiTheme="minorHAnsi" w:hAnsiTheme="minorHAnsi" w:cstheme="minorHAnsi"/>
          <w:lang w:val="en-GB" w:eastAsia="x-none"/>
        </w:rPr>
        <w:t>d</w:t>
      </w:r>
      <w:r w:rsidRPr="007C0B4F">
        <w:rPr>
          <w:rFonts w:asciiTheme="minorHAnsi" w:hAnsiTheme="minorHAnsi" w:cstheme="minorHAnsi"/>
          <w:lang w:val="en-GB" w:eastAsia="x-none"/>
        </w:rPr>
        <w:t xml:space="preserve">ing Literacy Study (PIRLS) and these tests show Indonesian students performing poorly relative to other participating countries, which include several in the immediate region (Singapore, Malaysia, </w:t>
      </w:r>
      <w:r w:rsidR="0051766F" w:rsidRPr="007C0B4F">
        <w:rPr>
          <w:rFonts w:asciiTheme="minorHAnsi" w:hAnsiTheme="minorHAnsi" w:cstheme="minorHAnsi"/>
          <w:lang w:val="en-GB" w:eastAsia="x-none"/>
        </w:rPr>
        <w:t>and Thailand</w:t>
      </w:r>
      <w:r w:rsidRPr="007C0B4F">
        <w:rPr>
          <w:rFonts w:asciiTheme="minorHAnsi" w:hAnsiTheme="minorHAnsi" w:cstheme="minorHAnsi"/>
          <w:lang w:val="en-GB" w:eastAsia="x-none"/>
        </w:rPr>
        <w:t>).</w:t>
      </w:r>
      <w:r w:rsidRPr="007C0B4F">
        <w:rPr>
          <w:rStyle w:val="FootnoteReference"/>
          <w:rFonts w:asciiTheme="minorHAnsi" w:hAnsiTheme="minorHAnsi" w:cstheme="minorHAnsi"/>
          <w:lang w:val="en-GB" w:eastAsia="x-none"/>
        </w:rPr>
        <w:footnoteReference w:id="17"/>
      </w:r>
      <w:r w:rsidRPr="007C0B4F">
        <w:rPr>
          <w:rFonts w:asciiTheme="minorHAnsi" w:hAnsiTheme="minorHAnsi" w:cstheme="minorHAnsi"/>
          <w:lang w:val="en-GB" w:eastAsia="x-none"/>
        </w:rPr>
        <w:t xml:space="preserve">  </w:t>
      </w:r>
      <w:r w:rsidRPr="007C0B4F">
        <w:rPr>
          <w:rFonts w:asciiTheme="minorHAnsi" w:hAnsiTheme="minorHAnsi" w:cstheme="minorHAnsi"/>
          <w:lang w:eastAsia="x-none"/>
        </w:rPr>
        <w:t xml:space="preserve">On the PISA Science test the average score decreased significantly between 2006 and 2009.  Science sores also decreased significantly on the TIMSS test between 2007 and 2011.  </w:t>
      </w:r>
      <w:r w:rsidRPr="007C0B4F">
        <w:rPr>
          <w:rFonts w:asciiTheme="minorHAnsi" w:hAnsiTheme="minorHAnsi" w:cstheme="minorHAnsi"/>
          <w:lang w:val="en-GB" w:eastAsia="x-none"/>
        </w:rPr>
        <w:t>Using 2007 TIMSS data, the World Bank showed that Indonesia’s results were worse than students from other participating countries even after controlling for socio-economic status.</w:t>
      </w:r>
      <w:r w:rsidRPr="007C0B4F">
        <w:rPr>
          <w:rStyle w:val="FootnoteReference"/>
          <w:rFonts w:asciiTheme="minorHAnsi" w:hAnsiTheme="minorHAnsi" w:cstheme="minorHAnsi"/>
          <w:lang w:val="en-GB" w:eastAsia="x-none"/>
        </w:rPr>
        <w:footnoteReference w:id="18"/>
      </w:r>
      <w:r w:rsidRPr="007C0B4F">
        <w:rPr>
          <w:rFonts w:asciiTheme="minorHAnsi" w:hAnsiTheme="minorHAnsi" w:cstheme="minorHAnsi"/>
          <w:lang w:val="en-GB" w:eastAsia="x-none"/>
        </w:rPr>
        <w:t xml:space="preserve">  In the same report, the World Bank states “among a recent cohort of children who completed grade 9, only 46 per cent actually attained functional literacy”. </w:t>
      </w:r>
    </w:p>
    <w:p w14:paraId="475C9B19"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Learning outcomes everywhere have been consistently linked to the quality of the teacher in the classroom.  GoI has initiated a national teacher certification system in a massive and costly effort to upgrade teaching skills amongst the existing teacher workforce, while simultaneously increasing teacher salaries and investing in upgrading teacher training colleges.  Preliminary results from a 2012 World Bank evaluation of the certification program show it is having (at least so far) almost no impact on learning.</w:t>
      </w:r>
      <w:r w:rsidRPr="007C0B4F">
        <w:rPr>
          <w:rStyle w:val="FootnoteReference"/>
          <w:rFonts w:asciiTheme="minorHAnsi" w:hAnsiTheme="minorHAnsi" w:cstheme="minorHAnsi"/>
          <w:lang w:val="en-GB" w:eastAsia="x-none"/>
        </w:rPr>
        <w:footnoteReference w:id="19"/>
      </w:r>
      <w:r w:rsidRPr="007C0B4F">
        <w:rPr>
          <w:rFonts w:asciiTheme="minorHAnsi" w:hAnsiTheme="minorHAnsi" w:cstheme="minorHAnsi"/>
          <w:lang w:val="en-GB" w:eastAsia="x-none"/>
        </w:rPr>
        <w:t xml:space="preserve">  Further, the certification process </w:t>
      </w:r>
      <w:r w:rsidR="0032290F" w:rsidRPr="007C0B4F">
        <w:rPr>
          <w:rFonts w:asciiTheme="minorHAnsi" w:hAnsiTheme="minorHAnsi" w:cstheme="minorHAnsi"/>
          <w:lang w:val="en-GB" w:eastAsia="x-none"/>
        </w:rPr>
        <w:t>centres</w:t>
      </w:r>
      <w:r w:rsidRPr="007C0B4F">
        <w:rPr>
          <w:rFonts w:asciiTheme="minorHAnsi" w:hAnsiTheme="minorHAnsi" w:cstheme="minorHAnsi"/>
          <w:lang w:val="en-GB" w:eastAsia="x-none"/>
        </w:rPr>
        <w:t xml:space="preserve"> on skills upgrading, but it is not linked to mechanisms that hold teachers accountable for the quality of their teaching, such as performance appraisal, rewards and sanctions, assessment feedback, or community engagement. </w:t>
      </w:r>
    </w:p>
    <w:p w14:paraId="475C9B1A"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 xml:space="preserve">The critical issues with regards to quality are many and complex, including: building capacity for and incentivizing better teacher performance and student learning; integrating the acquisition of behavioural and cognitive skills into curriculum and teaching methods; and utilisation of effective student assessment to demonstrate results and enhance learning. </w:t>
      </w:r>
    </w:p>
    <w:p w14:paraId="475C9B1B"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 xml:space="preserve">Education service delivery in Indonesia is characterized by diversity.  Delivering services to national standards is made particularly challenging by the widely varied environments in which these services must be delivered.  Special challenges are faced by small schools, remote schools, and schools in districts where capacity is particularly low for serving the poorest communities.  Many different </w:t>
      </w:r>
      <w:r w:rsidRPr="007C0B4F">
        <w:rPr>
          <w:rFonts w:asciiTheme="minorHAnsi" w:hAnsiTheme="minorHAnsi" w:cstheme="minorHAnsi"/>
          <w:lang w:val="en-GB" w:eastAsia="x-none"/>
        </w:rPr>
        <w:lastRenderedPageBreak/>
        <w:t xml:space="preserve">interventions have been tried (scholarships, boarding schools, multi-grade teaching, satellite or open schools) but success has been limited and often failed to be systematised, replicated, or sustained.  </w:t>
      </w:r>
      <w:r w:rsidR="0051766F" w:rsidRPr="007C0B4F">
        <w:rPr>
          <w:rFonts w:asciiTheme="minorHAnsi" w:hAnsiTheme="minorHAnsi" w:cstheme="minorHAnsi"/>
          <w:lang w:val="en-GB" w:eastAsia="x-none"/>
        </w:rPr>
        <w:t>On-going</w:t>
      </w:r>
      <w:r w:rsidRPr="007C0B4F">
        <w:rPr>
          <w:rFonts w:asciiTheme="minorHAnsi" w:hAnsiTheme="minorHAnsi" w:cstheme="minorHAnsi"/>
          <w:lang w:val="en-GB" w:eastAsia="x-none"/>
        </w:rPr>
        <w:t xml:space="preserve"> work to support evaluation and learning about how to better support quality education delivery in these difficult operating environments is therefore warranted. </w:t>
      </w:r>
    </w:p>
    <w:p w14:paraId="475C9B1C" w14:textId="77777777" w:rsidR="00953823" w:rsidRPr="007C0B4F" w:rsidRDefault="00953823" w:rsidP="00953823">
      <w:pPr>
        <w:rPr>
          <w:rFonts w:asciiTheme="minorHAnsi" w:hAnsiTheme="minorHAnsi" w:cstheme="minorHAnsi"/>
          <w:b/>
          <w:lang w:val="en-GB" w:eastAsia="x-none"/>
        </w:rPr>
      </w:pPr>
      <w:r w:rsidRPr="007C0B4F">
        <w:rPr>
          <w:rFonts w:asciiTheme="minorHAnsi" w:hAnsiTheme="minorHAnsi" w:cstheme="minorHAnsi"/>
          <w:b/>
          <w:lang w:val="en-GB" w:eastAsia="x-none"/>
        </w:rPr>
        <w:t>Governance</w:t>
      </w:r>
    </w:p>
    <w:p w14:paraId="475C9B1D"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 xml:space="preserve">The education sector is struggling to come to terms with the impact of decentralisation.  Some sound policy frameworks are in place, such as the devolution of much decision-making authority to the school level (School-Based Management or SBM), supported by direct funding (BOS grants), but there are challenges in implementing effectively across all districts in the archipelago, leading to frustration and a tendency to look for mechanisms to regain control on behalf of the national government.  Conversely, there are some functions, such as teacher management, which have been retained at the national level, resulting in significant inefficiencies.  </w:t>
      </w:r>
    </w:p>
    <w:p w14:paraId="475C9B1E"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A high degree of autonomy at the school-level is associated with maximising learning outcomes but only when it is implemented in combination with strong accountability.  Higher levels of autonomy and weak accountability returns the worst of all possible outcomes with regards to learning.  A recent World Bank review of the implementation of SBM in Indonesia found that implementation has not been fully effective, thus anticipated benefits may not be realised.  Indonesia’s SBM system retains relatively high levels of decision-making authority at the district level.</w:t>
      </w:r>
      <w:r w:rsidRPr="007C0B4F">
        <w:rPr>
          <w:rStyle w:val="FootnoteReference"/>
          <w:rFonts w:asciiTheme="minorHAnsi" w:hAnsiTheme="minorHAnsi" w:cstheme="minorHAnsi"/>
          <w:lang w:val="en-GB" w:eastAsia="x-none"/>
        </w:rPr>
        <w:footnoteReference w:id="20"/>
      </w:r>
    </w:p>
    <w:p w14:paraId="475C9B1F" w14:textId="77777777" w:rsidR="00953823" w:rsidRPr="007C0B4F" w:rsidRDefault="00953823" w:rsidP="00953823">
      <w:pPr>
        <w:rPr>
          <w:rFonts w:asciiTheme="minorHAnsi" w:hAnsiTheme="minorHAnsi" w:cstheme="minorHAnsi"/>
          <w:lang w:val="en-GB" w:eastAsia="x-none"/>
        </w:rPr>
      </w:pPr>
      <w:r w:rsidRPr="007C0B4F">
        <w:rPr>
          <w:rFonts w:asciiTheme="minorHAnsi" w:hAnsiTheme="minorHAnsi" w:cstheme="minorHAnsi"/>
          <w:lang w:val="en-GB" w:eastAsia="x-none"/>
        </w:rPr>
        <w:t>Indonesia has a constitutional commitment to spend 20% of the budget, at all levels of government, on education (broadly defined).  GoI first met this commitment in 2009, leading to a doubling of spending in real terms from 2001 levels.  While this represents a substantial commitment from the government, it is similar to neighbours Malaysia and Thailand and far from excessive.</w:t>
      </w:r>
      <w:r w:rsidRPr="007C0B4F">
        <w:rPr>
          <w:rStyle w:val="FootnoteReference"/>
          <w:rFonts w:asciiTheme="minorHAnsi" w:hAnsiTheme="minorHAnsi" w:cstheme="minorHAnsi"/>
          <w:lang w:val="en-GB" w:eastAsia="x-none"/>
        </w:rPr>
        <w:footnoteReference w:id="21"/>
      </w:r>
      <w:r w:rsidRPr="007C0B4F">
        <w:rPr>
          <w:rFonts w:asciiTheme="minorHAnsi" w:hAnsiTheme="minorHAnsi" w:cstheme="minorHAnsi"/>
          <w:lang w:val="en-GB" w:eastAsia="x-none"/>
        </w:rPr>
        <w:t xml:space="preserve">  Basic education receives by far the largest share of public resources.  However more than 60% of the basic education budget goes on salaries, not including additional salary expenditure from operational budgets (Bantuan Operasional Sekolah - BOS) for contract teachers.  Districts spend 63% of the basic education budget but around 80% of this goes on salaries, with very limited direct support from districts to schools.</w:t>
      </w:r>
      <w:r w:rsidRPr="007C0B4F">
        <w:rPr>
          <w:rStyle w:val="FootnoteReference"/>
          <w:rFonts w:asciiTheme="minorHAnsi" w:hAnsiTheme="minorHAnsi" w:cstheme="minorHAnsi"/>
          <w:lang w:val="en-GB" w:eastAsia="x-none"/>
        </w:rPr>
        <w:footnoteReference w:id="22"/>
      </w:r>
      <w:r w:rsidRPr="007C0B4F">
        <w:rPr>
          <w:rFonts w:asciiTheme="minorHAnsi" w:hAnsiTheme="minorHAnsi" w:cstheme="minorHAnsi"/>
          <w:lang w:val="en-GB" w:eastAsia="x-none"/>
        </w:rPr>
        <w:t xml:space="preserve">  Inefficiencies in teacher management and distribution, compounded by perverse incentives on districts to address the issue, </w:t>
      </w:r>
      <w:r w:rsidR="0051766F" w:rsidRPr="007C0B4F">
        <w:rPr>
          <w:rFonts w:asciiTheme="minorHAnsi" w:hAnsiTheme="minorHAnsi" w:cstheme="minorHAnsi"/>
          <w:lang w:val="en-GB" w:eastAsia="x-none"/>
        </w:rPr>
        <w:t>are</w:t>
      </w:r>
      <w:r w:rsidRPr="007C0B4F">
        <w:rPr>
          <w:rFonts w:asciiTheme="minorHAnsi" w:hAnsiTheme="minorHAnsi" w:cstheme="minorHAnsi"/>
          <w:lang w:val="en-GB" w:eastAsia="x-none"/>
        </w:rPr>
        <w:t xml:space="preserve"> resulting in significant waste and </w:t>
      </w:r>
      <w:r w:rsidR="0051766F" w:rsidRPr="007C0B4F">
        <w:rPr>
          <w:rFonts w:asciiTheme="minorHAnsi" w:hAnsiTheme="minorHAnsi" w:cstheme="minorHAnsi"/>
          <w:lang w:val="en-GB" w:eastAsia="x-none"/>
        </w:rPr>
        <w:t>have</w:t>
      </w:r>
      <w:r w:rsidRPr="007C0B4F">
        <w:rPr>
          <w:rFonts w:asciiTheme="minorHAnsi" w:hAnsiTheme="minorHAnsi" w:cstheme="minorHAnsi"/>
          <w:lang w:val="en-GB" w:eastAsia="x-none"/>
        </w:rPr>
        <w:t xml:space="preserve"> the potential to become unaffordable even with the 20% commitment.</w:t>
      </w:r>
    </w:p>
    <w:p w14:paraId="475C9B20" w14:textId="77777777" w:rsidR="005B0E72" w:rsidRPr="007C0B4F" w:rsidRDefault="00953823" w:rsidP="00953823">
      <w:pPr>
        <w:spacing w:after="0"/>
        <w:rPr>
          <w:lang w:val="en-GB" w:eastAsia="x-none"/>
        </w:rPr>
      </w:pPr>
      <w:r w:rsidRPr="007C0B4F">
        <w:rPr>
          <w:rFonts w:asciiTheme="minorHAnsi" w:hAnsiTheme="minorHAnsi" w:cstheme="minorHAnsi"/>
          <w:lang w:val="en-GB" w:eastAsia="x-none"/>
        </w:rPr>
        <w:t xml:space="preserve">In summary, Indonesia’s education sector can be characterized as an environment of opportunity, afforded by GoI policy and budgetary commitment, coupled with entrenched policy and implementation problems, including persistent regional disparities in resourcing and outcomes.  There are many complex questions about the nature of service delivery improvement, community involvement, sector financing, and other issues that require </w:t>
      </w:r>
      <w:r w:rsidR="0051766F" w:rsidRPr="007C0B4F">
        <w:rPr>
          <w:rFonts w:asciiTheme="minorHAnsi" w:hAnsiTheme="minorHAnsi" w:cstheme="minorHAnsi"/>
          <w:lang w:val="en-GB" w:eastAsia="x-none"/>
        </w:rPr>
        <w:t>on-going</w:t>
      </w:r>
      <w:r w:rsidRPr="007C0B4F">
        <w:rPr>
          <w:rFonts w:asciiTheme="minorHAnsi" w:hAnsiTheme="minorHAnsi" w:cstheme="minorHAnsi"/>
          <w:lang w:val="en-GB" w:eastAsia="x-none"/>
        </w:rPr>
        <w:t xml:space="preserve"> analysis and learning to help identify new, more effective and/or more efficient solutions.</w:t>
      </w:r>
      <w:r w:rsidRPr="007C0B4F">
        <w:rPr>
          <w:lang w:val="en-GB" w:eastAsia="x-none"/>
        </w:rPr>
        <w:t xml:space="preserve"> </w:t>
      </w:r>
    </w:p>
    <w:p w14:paraId="475C9B21" w14:textId="77777777" w:rsidR="005B0E72" w:rsidRPr="007C0B4F" w:rsidRDefault="005B0E72">
      <w:pPr>
        <w:spacing w:after="0"/>
        <w:rPr>
          <w:lang w:val="en-GB" w:eastAsia="x-none"/>
        </w:rPr>
      </w:pPr>
      <w:r w:rsidRPr="007C0B4F">
        <w:rPr>
          <w:lang w:val="en-GB" w:eastAsia="x-none"/>
        </w:rPr>
        <w:br w:type="page"/>
      </w:r>
    </w:p>
    <w:p w14:paraId="475C9B22" w14:textId="77777777" w:rsidR="005B0E72" w:rsidRPr="007C0B4F" w:rsidRDefault="005B0E72" w:rsidP="005B0E72">
      <w:pPr>
        <w:pStyle w:val="Heading2"/>
        <w:numPr>
          <w:ilvl w:val="0"/>
          <w:numId w:val="0"/>
        </w:numPr>
        <w:rPr>
          <w:rFonts w:cstheme="minorHAnsi"/>
          <w:sz w:val="22"/>
          <w:szCs w:val="22"/>
          <w:lang w:val="en-GB"/>
        </w:rPr>
      </w:pPr>
      <w:bookmarkStart w:id="71" w:name="_Toc361407164"/>
      <w:bookmarkStart w:id="72" w:name="_Toc365366059"/>
      <w:r w:rsidRPr="007C0B4F">
        <w:rPr>
          <w:rFonts w:cstheme="minorHAnsi"/>
          <w:sz w:val="22"/>
          <w:szCs w:val="22"/>
        </w:rPr>
        <w:lastRenderedPageBreak/>
        <w:t>A</w:t>
      </w:r>
      <w:r w:rsidR="007B1622" w:rsidRPr="007C0B4F">
        <w:rPr>
          <w:rFonts w:cstheme="minorHAnsi"/>
          <w:sz w:val="22"/>
          <w:szCs w:val="22"/>
          <w:lang w:val="en-AU"/>
        </w:rPr>
        <w:t>2</w:t>
      </w:r>
      <w:r w:rsidRPr="007C0B4F">
        <w:rPr>
          <w:rFonts w:cstheme="minorHAnsi"/>
          <w:sz w:val="22"/>
          <w:szCs w:val="22"/>
        </w:rPr>
        <w:t xml:space="preserve"> –</w:t>
      </w:r>
      <w:r w:rsidRPr="007C0B4F">
        <w:rPr>
          <w:rFonts w:cstheme="minorHAnsi"/>
          <w:sz w:val="22"/>
          <w:szCs w:val="22"/>
          <w:lang w:val="en-GB"/>
        </w:rPr>
        <w:t xml:space="preserve"> P</w:t>
      </w:r>
      <w:r w:rsidRPr="007C0B4F">
        <w:rPr>
          <w:rFonts w:cstheme="minorHAnsi"/>
          <w:sz w:val="22"/>
          <w:szCs w:val="22"/>
        </w:rPr>
        <w:t>rofile of stakeholder</w:t>
      </w:r>
      <w:r w:rsidRPr="007C0B4F">
        <w:rPr>
          <w:rFonts w:cstheme="minorHAnsi"/>
          <w:sz w:val="22"/>
          <w:szCs w:val="22"/>
          <w:lang w:val="en-GB"/>
        </w:rPr>
        <w:t xml:space="preserve"> interests, roles and issues</w:t>
      </w:r>
      <w:bookmarkEnd w:id="71"/>
      <w:bookmarkEnd w:id="72"/>
    </w:p>
    <w:p w14:paraId="475C9B23" w14:textId="77777777" w:rsidR="005B0E72" w:rsidRPr="007C0B4F" w:rsidRDefault="005B0E72" w:rsidP="005B0E72">
      <w:pPr>
        <w:rPr>
          <w:rFonts w:asciiTheme="minorHAnsi" w:hAnsiTheme="minorHAnsi" w:cstheme="minorHAnsi"/>
          <w:b/>
          <w:szCs w:val="22"/>
          <w:lang w:val="en-GB" w:eastAsia="x-none"/>
        </w:rPr>
      </w:pPr>
      <w:r w:rsidRPr="007C0B4F">
        <w:rPr>
          <w:rFonts w:asciiTheme="minorHAnsi" w:hAnsiTheme="minorHAnsi" w:cstheme="minorHAnsi"/>
          <w:b/>
          <w:szCs w:val="22"/>
          <w:lang w:val="en-GB" w:eastAsia="x-none"/>
        </w:rPr>
        <w:t xml:space="preserve">Summary conclusions drawn from stakeholder consultations conducted to date are as follows: </w:t>
      </w:r>
    </w:p>
    <w:p w14:paraId="475C9B24" w14:textId="77777777" w:rsidR="005B0E72" w:rsidRPr="007C0B4F" w:rsidRDefault="005B0E72" w:rsidP="005B0E72">
      <w:pPr>
        <w:numPr>
          <w:ilvl w:val="0"/>
          <w:numId w:val="10"/>
        </w:numPr>
        <w:rPr>
          <w:rFonts w:asciiTheme="minorHAnsi" w:hAnsiTheme="minorHAnsi" w:cstheme="minorHAnsi"/>
          <w:szCs w:val="22"/>
          <w:lang w:val="en-AU" w:eastAsia="x-none"/>
        </w:rPr>
      </w:pPr>
      <w:r w:rsidRPr="007C0B4F">
        <w:rPr>
          <w:rFonts w:asciiTheme="minorHAnsi" w:hAnsiTheme="minorHAnsi" w:cstheme="minorHAnsi"/>
          <w:szCs w:val="22"/>
          <w:lang w:val="en-AU" w:eastAsia="x-none"/>
        </w:rPr>
        <w:t xml:space="preserve">The Facility can expect strong support nationally from MoEC, MoRA and BAPPENAS however the positions of MoHA and MoF are unknown at this stage. At provincial level strong support can be anticipated from the Dinas and MDC/MoRA. At both provincial and district level the Dinas, Board of Education and Bappeda are very supportive of the quality focus and have ideas.  They may not have counterpart funding but expressed willingness to support the program with accommodation and partnership. The provincial officers met with were able to articulate a very informed and strategic view of the issues and the relationship between implementation and an enabling environment. </w:t>
      </w:r>
    </w:p>
    <w:p w14:paraId="475C9B25" w14:textId="77777777" w:rsidR="005B0E72" w:rsidRPr="007C0B4F" w:rsidRDefault="005B0E72" w:rsidP="005B0E72">
      <w:pPr>
        <w:numPr>
          <w:ilvl w:val="0"/>
          <w:numId w:val="10"/>
        </w:numPr>
        <w:rPr>
          <w:rFonts w:asciiTheme="minorHAnsi" w:hAnsiTheme="minorHAnsi" w:cstheme="minorHAnsi"/>
          <w:szCs w:val="22"/>
          <w:lang w:val="en-AU" w:eastAsia="x-none"/>
        </w:rPr>
      </w:pPr>
      <w:r w:rsidRPr="007C0B4F">
        <w:rPr>
          <w:rFonts w:asciiTheme="minorHAnsi" w:hAnsiTheme="minorHAnsi" w:cstheme="minorHAnsi"/>
          <w:szCs w:val="22"/>
          <w:lang w:val="en-AU" w:eastAsia="x-none"/>
        </w:rPr>
        <w:t xml:space="preserve">In provinces and where purpose designed education support programs have been running for some time (eg SEDIA in Aceh) there may be additional institutional support from coordinating boards such as the TKPPA.  These boards have largely been successful because of the level and quality of the persons appointed. While they do not have direct control over resources, they have significant influence. From Aceh, in particular Sabang, there are important lessons for how needs can be identified, solutions posed and then how good practice and high expectations can be spread throughout a district. They have been successful in identifying issues &amp; problems which are specific to district/sub-district, geographical situation, and individual schools.  The “One size fit </w:t>
      </w:r>
      <w:r w:rsidR="0051766F" w:rsidRPr="007C0B4F">
        <w:rPr>
          <w:rFonts w:asciiTheme="minorHAnsi" w:hAnsiTheme="minorHAnsi" w:cstheme="minorHAnsi"/>
          <w:szCs w:val="22"/>
          <w:lang w:val="en-AU" w:eastAsia="x-none"/>
        </w:rPr>
        <w:t>all</w:t>
      </w:r>
      <w:r w:rsidRPr="007C0B4F">
        <w:rPr>
          <w:rFonts w:asciiTheme="minorHAnsi" w:hAnsiTheme="minorHAnsi" w:cstheme="minorHAnsi"/>
          <w:szCs w:val="22"/>
          <w:lang w:val="en-AU" w:eastAsia="x-none"/>
        </w:rPr>
        <w:t xml:space="preserve">” paradigm is being replaced in Sabang by a demand based approach. </w:t>
      </w:r>
    </w:p>
    <w:p w14:paraId="475C9B26" w14:textId="77777777" w:rsidR="005B0E72" w:rsidRPr="007C0B4F" w:rsidRDefault="005B0E72" w:rsidP="005B0E72">
      <w:pPr>
        <w:numPr>
          <w:ilvl w:val="0"/>
          <w:numId w:val="10"/>
        </w:numPr>
        <w:rPr>
          <w:rFonts w:asciiTheme="minorHAnsi" w:hAnsiTheme="minorHAnsi" w:cstheme="minorHAnsi"/>
          <w:szCs w:val="22"/>
          <w:lang w:val="en-AU" w:eastAsia="x-none"/>
        </w:rPr>
      </w:pPr>
      <w:r w:rsidRPr="007C0B4F">
        <w:rPr>
          <w:rFonts w:asciiTheme="minorHAnsi" w:hAnsiTheme="minorHAnsi" w:cstheme="minorHAnsi"/>
          <w:szCs w:val="22"/>
          <w:lang w:val="en-AU" w:eastAsia="x-none"/>
        </w:rPr>
        <w:t xml:space="preserve">Many stakeholders expressed the view that cascade training by LPMPs, KKGs and a host of other groups and partners, is not working. This approach needs to be evaluated prior to building it into the Facility menu. As the teachers’ union in West Lombok put it succinctly, “the working groups are not working.” Too few teachers have the opportunity to attend and the training offered is often low quality or irrelevant. </w:t>
      </w:r>
    </w:p>
    <w:p w14:paraId="475C9B27" w14:textId="77777777" w:rsidR="005B0E72" w:rsidRPr="007C0B4F" w:rsidRDefault="005B0E72" w:rsidP="005B0E72">
      <w:pPr>
        <w:numPr>
          <w:ilvl w:val="0"/>
          <w:numId w:val="10"/>
        </w:numPr>
        <w:rPr>
          <w:rFonts w:asciiTheme="minorHAnsi" w:hAnsiTheme="minorHAnsi" w:cstheme="minorHAnsi"/>
          <w:szCs w:val="22"/>
          <w:lang w:val="en-AU" w:eastAsia="x-none"/>
        </w:rPr>
      </w:pPr>
      <w:r w:rsidRPr="007C0B4F">
        <w:rPr>
          <w:rFonts w:asciiTheme="minorHAnsi" w:hAnsiTheme="minorHAnsi" w:cstheme="minorHAnsi"/>
          <w:szCs w:val="22"/>
          <w:lang w:val="en-AU" w:eastAsia="x-none"/>
        </w:rPr>
        <w:t xml:space="preserve">In general, teachers felt let down by the training they have experienced to date. LPMP and MDC however are underfunded for their roles and KKG &amp; MGMP lack expertise and access to expertise.  A common complaint was that training was ad hoc and not based on analysis of their needs. From almost all stakeholders (teachers through to Dinas) the need for follow-up and contextualising of in-service training was stressed. In addition, stakeholders are becoming increasingly sensitised to the perverse impact of training on the time that teachers spend in their classrooms.  This all means there is a need for a new approach in training,  coordinated and supported by a holistic approach from the district that recognises the needs of all the contributors to quality education – teachers, principals, school committee members, community members, supervisors, Dinas staff and officials, and can deliver training in ways that don’t impact adversely on students’ learning.   </w:t>
      </w:r>
    </w:p>
    <w:p w14:paraId="475C9B28" w14:textId="77777777" w:rsidR="005B0E72" w:rsidRPr="007C0B4F" w:rsidRDefault="005B0E72" w:rsidP="005B0E72">
      <w:pPr>
        <w:numPr>
          <w:ilvl w:val="0"/>
          <w:numId w:val="10"/>
        </w:numPr>
        <w:rPr>
          <w:rFonts w:asciiTheme="minorHAnsi" w:hAnsiTheme="minorHAnsi" w:cstheme="minorHAnsi"/>
          <w:szCs w:val="22"/>
          <w:lang w:val="en-AU" w:eastAsia="x-none"/>
        </w:rPr>
      </w:pPr>
      <w:r w:rsidRPr="007C0B4F">
        <w:rPr>
          <w:rFonts w:asciiTheme="minorHAnsi" w:hAnsiTheme="minorHAnsi" w:cstheme="minorHAnsi"/>
          <w:szCs w:val="22"/>
          <w:lang w:val="en-AU" w:eastAsia="x-none"/>
        </w:rPr>
        <w:t xml:space="preserve">Supervisors should be considered for a strong role in the program. The timing is good – roles are evolving, selection appears to be more targeted and resources being allocated for travel.    However in many places they  may still be selected on irrelevant criteria, their university training is inadequate and in many cases they are not invited to either teacher and principal training workshops which means their knowledge of curriculum and pedagogy is likely to be lagging behind the teachers’ they are supposed to be supervising. </w:t>
      </w:r>
    </w:p>
    <w:p w14:paraId="475C9B29" w14:textId="77777777" w:rsidR="005B0E72" w:rsidRPr="007C0B4F" w:rsidRDefault="005B0E72" w:rsidP="005B0E72">
      <w:pPr>
        <w:numPr>
          <w:ilvl w:val="0"/>
          <w:numId w:val="10"/>
        </w:numPr>
        <w:rPr>
          <w:rFonts w:asciiTheme="minorHAnsi" w:hAnsiTheme="minorHAnsi" w:cstheme="minorHAnsi"/>
          <w:szCs w:val="22"/>
          <w:lang w:val="en-AU" w:eastAsia="x-none"/>
        </w:rPr>
      </w:pPr>
      <w:r w:rsidRPr="007C0B4F">
        <w:rPr>
          <w:rFonts w:asciiTheme="minorHAnsi" w:hAnsiTheme="minorHAnsi" w:cstheme="minorHAnsi"/>
          <w:szCs w:val="22"/>
          <w:lang w:val="en-AU" w:eastAsia="x-none"/>
        </w:rPr>
        <w:t xml:space="preserve">The team found that many stakeholders, at all levels, engage in monitoring and mapping school quality but these efforts are often not coordinated and time and resources may be wasted unless there are procedures to integrate these. If data collections were better coordinated, more time and effort could be spent on analysis and communication of information. </w:t>
      </w:r>
    </w:p>
    <w:p w14:paraId="475C9B2A" w14:textId="77777777" w:rsidR="005B0E72" w:rsidRPr="007C0B4F" w:rsidRDefault="005B0E72" w:rsidP="005B0E72">
      <w:pPr>
        <w:numPr>
          <w:ilvl w:val="0"/>
          <w:numId w:val="10"/>
        </w:numPr>
        <w:rPr>
          <w:rFonts w:asciiTheme="minorHAnsi" w:hAnsiTheme="minorHAnsi" w:cstheme="minorHAnsi"/>
          <w:szCs w:val="22"/>
          <w:lang w:val="en-AU" w:eastAsia="x-none"/>
        </w:rPr>
      </w:pPr>
      <w:r w:rsidRPr="007C0B4F">
        <w:rPr>
          <w:rFonts w:asciiTheme="minorHAnsi" w:hAnsiTheme="minorHAnsi" w:cstheme="minorHAnsi"/>
          <w:szCs w:val="22"/>
          <w:lang w:val="en-AU" w:eastAsia="x-none"/>
        </w:rPr>
        <w:lastRenderedPageBreak/>
        <w:t xml:space="preserve">Parent partnership appears to be under-utilised and could be a key feature of initiatives to be supported by the Facility. The SMP5 Gerung School Committee is a shining example of how parents can be significant partners in changing the organisational climate of schools and supporting both teachers and students in the learning process. While the current role of school committees in quality education may seem to be weak, their potential for supporting quality teaching and learning should not be underestimated. </w:t>
      </w:r>
    </w:p>
    <w:p w14:paraId="475C9B2B" w14:textId="77777777" w:rsidR="005B0E72" w:rsidRPr="007C0B4F" w:rsidRDefault="005B0E72" w:rsidP="005B0E72">
      <w:pPr>
        <w:numPr>
          <w:ilvl w:val="0"/>
          <w:numId w:val="10"/>
        </w:numPr>
        <w:rPr>
          <w:rFonts w:asciiTheme="minorHAnsi" w:hAnsiTheme="minorHAnsi" w:cstheme="minorHAnsi"/>
          <w:szCs w:val="22"/>
          <w:lang w:val="en-AU" w:eastAsia="x-none"/>
        </w:rPr>
      </w:pPr>
      <w:r w:rsidRPr="007C0B4F">
        <w:rPr>
          <w:rFonts w:asciiTheme="minorHAnsi" w:hAnsiTheme="minorHAnsi" w:cstheme="minorHAnsi"/>
          <w:szCs w:val="22"/>
          <w:lang w:val="en-AU" w:eastAsia="x-none"/>
        </w:rPr>
        <w:t xml:space="preserve">The capacity of local university partners at provincial level is likely to be very variable. The addition of some twinning arrangements or partnerships with other universities, Indonesian and Australian could be very helpful to the Facility, as would be the identification of an education research partner to provide support for action research and operationalizing innovations for the classroom.  </w:t>
      </w:r>
    </w:p>
    <w:p w14:paraId="475C9B2C" w14:textId="77777777" w:rsidR="005B0E72" w:rsidRPr="007C0B4F" w:rsidRDefault="005B0E72" w:rsidP="005B0E72">
      <w:pPr>
        <w:numPr>
          <w:ilvl w:val="0"/>
          <w:numId w:val="10"/>
        </w:numPr>
        <w:rPr>
          <w:rFonts w:asciiTheme="minorHAnsi" w:hAnsiTheme="minorHAnsi" w:cstheme="minorHAnsi"/>
          <w:szCs w:val="22"/>
          <w:lang w:val="en-AU" w:eastAsia="x-none"/>
        </w:rPr>
      </w:pPr>
      <w:r w:rsidRPr="007C0B4F">
        <w:rPr>
          <w:rFonts w:asciiTheme="minorHAnsi" w:hAnsiTheme="minorHAnsi" w:cstheme="minorHAnsi"/>
          <w:szCs w:val="22"/>
          <w:lang w:val="en-AU" w:eastAsia="x-none"/>
        </w:rPr>
        <w:t xml:space="preserve">The PGRI has some quality initiatives programs and good networks which could be used to support the program. They could be significant partners in rural and remote areas where their professional and teacher welfare roles are closely intertwined. </w:t>
      </w:r>
    </w:p>
    <w:p w14:paraId="475C9B2D" w14:textId="77777777" w:rsidR="005B0E72" w:rsidRPr="007C0B4F" w:rsidRDefault="005B0E72" w:rsidP="005B0E72">
      <w:pPr>
        <w:numPr>
          <w:ilvl w:val="0"/>
          <w:numId w:val="10"/>
        </w:numPr>
        <w:rPr>
          <w:rFonts w:asciiTheme="minorHAnsi" w:hAnsiTheme="minorHAnsi" w:cstheme="minorHAnsi"/>
          <w:szCs w:val="22"/>
          <w:lang w:val="en-GB" w:eastAsia="x-none"/>
        </w:rPr>
      </w:pPr>
      <w:r w:rsidRPr="007C0B4F">
        <w:rPr>
          <w:rFonts w:asciiTheme="minorHAnsi" w:hAnsiTheme="minorHAnsi" w:cstheme="minorHAnsi"/>
          <w:szCs w:val="22"/>
          <w:lang w:val="en-AU" w:eastAsia="x-none"/>
        </w:rPr>
        <w:t>The design team did not meet with students at this stage of the design process but recognises that students are key stakeholders and should be actively engaged in efforts which focus on innovation in teaching and learning. The more that students are aware of and can talk about the learning process the more they are likely to be active, motivated and self-directed participants.</w:t>
      </w:r>
    </w:p>
    <w:p w14:paraId="475C9B2E" w14:textId="77777777" w:rsidR="005B0E72" w:rsidRPr="007C0B4F" w:rsidRDefault="005B0E72" w:rsidP="005B0E72">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The Facility’s proposed governance and management arrangements, as well as the overall approach to Facility implementation, will take these issues into account.  However, it is important to note that stakeholder analysis needs to be </w:t>
      </w:r>
      <w:r w:rsidR="0051766F" w:rsidRPr="007C0B4F">
        <w:rPr>
          <w:rFonts w:asciiTheme="minorHAnsi" w:hAnsiTheme="minorHAnsi" w:cstheme="minorHAnsi"/>
          <w:szCs w:val="22"/>
          <w:lang w:val="en-GB" w:eastAsia="x-none"/>
        </w:rPr>
        <w:t>on-going</w:t>
      </w:r>
      <w:r w:rsidRPr="007C0B4F">
        <w:rPr>
          <w:rFonts w:asciiTheme="minorHAnsi" w:hAnsiTheme="minorHAnsi" w:cstheme="minorHAnsi"/>
          <w:szCs w:val="22"/>
          <w:lang w:val="en-GB" w:eastAsia="x-none"/>
        </w:rPr>
        <w:t xml:space="preserve"> and context specific.  If and when the Facility commences operations, further stakeholder analysis will therefore be required in the specific geographic locations it is operating in. </w:t>
      </w:r>
    </w:p>
    <w:p w14:paraId="475C9B2F" w14:textId="77777777" w:rsidR="005B0E72" w:rsidRPr="007C0B4F" w:rsidRDefault="005B0E72" w:rsidP="005B0E72">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In preparing this Concept Note, the main issues that have been consistently raised by key stakeholders (as to what impacts most on the quality of education in schools) are as follows:</w:t>
      </w:r>
    </w:p>
    <w:p w14:paraId="475C9B30" w14:textId="77777777" w:rsidR="005B0E72" w:rsidRPr="007C0B4F" w:rsidRDefault="005B0E72" w:rsidP="005B0E72">
      <w:pPr>
        <w:numPr>
          <w:ilvl w:val="0"/>
          <w:numId w:val="5"/>
        </w:numPr>
        <w:rPr>
          <w:rFonts w:asciiTheme="minorHAnsi" w:hAnsiTheme="minorHAnsi" w:cstheme="minorHAnsi"/>
          <w:szCs w:val="22"/>
          <w:lang w:val="en-GB" w:eastAsia="x-none"/>
        </w:rPr>
      </w:pPr>
      <w:r w:rsidRPr="007C0B4F">
        <w:rPr>
          <w:rFonts w:asciiTheme="minorHAnsi" w:hAnsiTheme="minorHAnsi" w:cstheme="minorHAnsi"/>
          <w:szCs w:val="22"/>
          <w:lang w:val="en-GB" w:eastAsia="x-none"/>
        </w:rPr>
        <w:t>Teacher, principal and supervisor professionalism, competence and support mechanisms</w:t>
      </w:r>
    </w:p>
    <w:p w14:paraId="475C9B31" w14:textId="77777777" w:rsidR="005B0E72" w:rsidRPr="007C0B4F" w:rsidRDefault="005B0E72" w:rsidP="005B0E72">
      <w:pPr>
        <w:numPr>
          <w:ilvl w:val="0"/>
          <w:numId w:val="5"/>
        </w:numPr>
        <w:rPr>
          <w:rFonts w:asciiTheme="minorHAnsi" w:hAnsiTheme="minorHAnsi" w:cstheme="minorHAnsi"/>
          <w:szCs w:val="22"/>
          <w:lang w:val="en-GB" w:eastAsia="x-none"/>
        </w:rPr>
      </w:pPr>
      <w:r w:rsidRPr="007C0B4F">
        <w:rPr>
          <w:rFonts w:asciiTheme="minorHAnsi" w:hAnsiTheme="minorHAnsi" w:cstheme="minorHAnsi"/>
          <w:szCs w:val="22"/>
          <w:lang w:val="en-GB" w:eastAsia="x-none"/>
        </w:rPr>
        <w:t>Student attendance, behaviour and active engagement in learning</w:t>
      </w:r>
    </w:p>
    <w:p w14:paraId="475C9B32" w14:textId="77777777" w:rsidR="005B0E72" w:rsidRPr="007C0B4F" w:rsidRDefault="005B0E72" w:rsidP="005B0E72">
      <w:pPr>
        <w:numPr>
          <w:ilvl w:val="0"/>
          <w:numId w:val="5"/>
        </w:num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The failure of existing teacher in-service mechanisms to have a significant impact on teaching and learning </w:t>
      </w:r>
    </w:p>
    <w:p w14:paraId="475C9B33" w14:textId="77777777" w:rsidR="005B0E72" w:rsidRPr="007C0B4F" w:rsidRDefault="005B0E72" w:rsidP="005B0E72">
      <w:pPr>
        <w:numPr>
          <w:ilvl w:val="0"/>
          <w:numId w:val="5"/>
        </w:num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Resource availability and effective management at school level </w:t>
      </w:r>
    </w:p>
    <w:p w14:paraId="475C9B34" w14:textId="77777777" w:rsidR="005B0E72" w:rsidRPr="007C0B4F" w:rsidRDefault="005B0E72" w:rsidP="005B0E72">
      <w:pPr>
        <w:numPr>
          <w:ilvl w:val="0"/>
          <w:numId w:val="5"/>
        </w:numPr>
        <w:rPr>
          <w:rFonts w:asciiTheme="minorHAnsi" w:hAnsiTheme="minorHAnsi" w:cstheme="minorHAnsi"/>
          <w:szCs w:val="22"/>
          <w:lang w:val="en-GB" w:eastAsia="x-none"/>
        </w:rPr>
      </w:pPr>
      <w:r w:rsidRPr="007C0B4F">
        <w:rPr>
          <w:rFonts w:asciiTheme="minorHAnsi" w:hAnsiTheme="minorHAnsi" w:cstheme="minorHAnsi"/>
          <w:szCs w:val="22"/>
          <w:lang w:val="en-GB" w:eastAsia="x-none"/>
        </w:rPr>
        <w:t>Effectiveness of school committees and community engagement in supporting effective schools / student learning</w:t>
      </w:r>
    </w:p>
    <w:p w14:paraId="475C9B35" w14:textId="77777777" w:rsidR="005B0E72" w:rsidRPr="007C0B4F" w:rsidRDefault="005B0E72" w:rsidP="005B0E72">
      <w:pPr>
        <w:numPr>
          <w:ilvl w:val="0"/>
          <w:numId w:val="5"/>
        </w:numPr>
        <w:rPr>
          <w:rFonts w:asciiTheme="minorHAnsi" w:hAnsiTheme="minorHAnsi" w:cstheme="minorHAnsi"/>
          <w:szCs w:val="22"/>
          <w:lang w:val="en-GB" w:eastAsia="x-none"/>
        </w:rPr>
      </w:pPr>
      <w:r w:rsidRPr="007C0B4F">
        <w:rPr>
          <w:rFonts w:asciiTheme="minorHAnsi" w:hAnsiTheme="minorHAnsi" w:cstheme="minorHAnsi"/>
          <w:szCs w:val="22"/>
          <w:lang w:val="en-GB" w:eastAsia="x-none"/>
        </w:rPr>
        <w:t>Fragmented coordination and communication between key support agencies, and unclear roles</w:t>
      </w:r>
    </w:p>
    <w:p w14:paraId="475C9B36" w14:textId="77777777" w:rsidR="005B0E72" w:rsidRPr="007C0B4F" w:rsidRDefault="005B0E72" w:rsidP="005B0E72">
      <w:pPr>
        <w:numPr>
          <w:ilvl w:val="0"/>
          <w:numId w:val="5"/>
        </w:num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Lack of reliable  data and information on which to base  decisions on resource allocation and management </w:t>
      </w:r>
    </w:p>
    <w:p w14:paraId="475C9B37" w14:textId="77777777" w:rsidR="005B0E72" w:rsidRPr="007C0B4F" w:rsidRDefault="005B0E72" w:rsidP="005B0E72">
      <w:pPr>
        <w:numPr>
          <w:ilvl w:val="0"/>
          <w:numId w:val="5"/>
        </w:numPr>
        <w:rPr>
          <w:rFonts w:asciiTheme="minorHAnsi" w:hAnsiTheme="minorHAnsi" w:cstheme="minorHAnsi"/>
          <w:szCs w:val="22"/>
          <w:lang w:val="en-GB" w:eastAsia="x-none"/>
        </w:rPr>
      </w:pPr>
      <w:r w:rsidRPr="007C0B4F">
        <w:rPr>
          <w:rFonts w:asciiTheme="minorHAnsi" w:hAnsiTheme="minorHAnsi" w:cstheme="minorHAnsi"/>
          <w:szCs w:val="22"/>
          <w:lang w:val="en-GB" w:eastAsia="x-none"/>
        </w:rPr>
        <w:t>Weak and/or inappropriate assessment systems (e.g. for child learning and for teacher/principal competence)</w:t>
      </w:r>
    </w:p>
    <w:p w14:paraId="475C9B38" w14:textId="77777777" w:rsidR="005B0E72" w:rsidRPr="007C0B4F" w:rsidRDefault="005B0E72" w:rsidP="005B0E72">
      <w:pPr>
        <w:numPr>
          <w:ilvl w:val="0"/>
          <w:numId w:val="5"/>
        </w:numPr>
        <w:rPr>
          <w:rFonts w:asciiTheme="minorHAnsi" w:hAnsiTheme="minorHAnsi" w:cstheme="minorHAnsi"/>
          <w:szCs w:val="22"/>
          <w:lang w:val="en-GB" w:eastAsia="x-none"/>
        </w:rPr>
      </w:pPr>
      <w:r w:rsidRPr="007C0B4F">
        <w:rPr>
          <w:rFonts w:asciiTheme="minorHAnsi" w:hAnsiTheme="minorHAnsi" w:cstheme="minorHAnsi"/>
          <w:szCs w:val="22"/>
          <w:lang w:val="en-GB" w:eastAsia="x-none"/>
        </w:rPr>
        <w:t>Weak accountability and incentives for performance (individual and institutional)</w:t>
      </w:r>
    </w:p>
    <w:p w14:paraId="475C9B39" w14:textId="77777777" w:rsidR="005B0E72" w:rsidRPr="007C0B4F" w:rsidRDefault="005B0E72" w:rsidP="005B0E72">
      <w:pPr>
        <w:numPr>
          <w:ilvl w:val="0"/>
          <w:numId w:val="5"/>
        </w:numPr>
        <w:rPr>
          <w:rFonts w:asciiTheme="minorHAnsi" w:hAnsiTheme="minorHAnsi" w:cstheme="minorHAnsi"/>
          <w:szCs w:val="22"/>
          <w:lang w:val="en-GB" w:eastAsia="x-none"/>
        </w:rPr>
      </w:pPr>
      <w:r w:rsidRPr="007C0B4F">
        <w:rPr>
          <w:rFonts w:asciiTheme="minorHAnsi" w:hAnsiTheme="minorHAnsi" w:cstheme="minorHAnsi"/>
          <w:szCs w:val="22"/>
          <w:lang w:val="en-GB" w:eastAsia="x-none"/>
        </w:rPr>
        <w:t>Limited knowledge /experience on how to best promote more inclusive education in schools (education for all)</w:t>
      </w:r>
    </w:p>
    <w:p w14:paraId="475C9B3A" w14:textId="77777777" w:rsidR="005B0E72" w:rsidRPr="007C0B4F" w:rsidRDefault="005B0E72" w:rsidP="005B0E72">
      <w:pPr>
        <w:rPr>
          <w:rFonts w:asciiTheme="minorHAnsi" w:hAnsiTheme="minorHAnsi" w:cstheme="minorHAnsi"/>
          <w:szCs w:val="22"/>
          <w:lang w:eastAsia="x-none"/>
        </w:rPr>
      </w:pPr>
      <w:r w:rsidRPr="007C0B4F">
        <w:rPr>
          <w:rFonts w:asciiTheme="minorHAnsi" w:hAnsiTheme="minorHAnsi" w:cstheme="minorHAnsi"/>
          <w:szCs w:val="22"/>
          <w:lang w:eastAsia="x-none"/>
        </w:rPr>
        <w:lastRenderedPageBreak/>
        <w:t>Recognising these weaknesses, key stakeholders have been generally very supportive of the concept of an education Facility that would help them address such issues, through development, trialing and testing innovative practices that work and are sustainable.</w:t>
      </w:r>
    </w:p>
    <w:p w14:paraId="475C9B3B" w14:textId="77777777" w:rsidR="00953823" w:rsidRPr="007C0B4F" w:rsidRDefault="00953823" w:rsidP="00953823">
      <w:pPr>
        <w:spacing w:after="0"/>
        <w:rPr>
          <w:lang w:val="en-GB" w:eastAsia="x-none"/>
        </w:rPr>
      </w:pPr>
      <w:r w:rsidRPr="007C0B4F">
        <w:rPr>
          <w:lang w:val="en-GB" w:eastAsia="x-none"/>
        </w:rPr>
        <w:br w:type="page"/>
      </w:r>
    </w:p>
    <w:p w14:paraId="475C9B3C" w14:textId="77777777" w:rsidR="00161065" w:rsidRPr="007C0B4F" w:rsidRDefault="00161065" w:rsidP="00161065">
      <w:pPr>
        <w:rPr>
          <w:lang w:val="en-GB" w:eastAsia="x-none"/>
        </w:rPr>
        <w:sectPr w:rsidR="00161065" w:rsidRPr="007C0B4F" w:rsidSect="00161065">
          <w:pgSz w:w="11906" w:h="16838"/>
          <w:pgMar w:top="1440" w:right="1440" w:bottom="1440" w:left="1440" w:header="708" w:footer="708" w:gutter="0"/>
          <w:cols w:space="708"/>
          <w:docGrid w:linePitch="360"/>
        </w:sectPr>
      </w:pPr>
    </w:p>
    <w:p w14:paraId="475C9B3D" w14:textId="77777777" w:rsidR="00BE30A0" w:rsidRPr="007C0B4F" w:rsidRDefault="00BE30A0" w:rsidP="00161065">
      <w:pPr>
        <w:pStyle w:val="Heading2"/>
        <w:numPr>
          <w:ilvl w:val="0"/>
          <w:numId w:val="0"/>
        </w:numPr>
        <w:rPr>
          <w:lang w:val="en-GB"/>
        </w:rPr>
      </w:pPr>
      <w:bookmarkStart w:id="73" w:name="_Toc361407163"/>
      <w:bookmarkStart w:id="74" w:name="_Toc365366060"/>
      <w:r w:rsidRPr="007C0B4F">
        <w:lastRenderedPageBreak/>
        <w:t>A</w:t>
      </w:r>
      <w:r w:rsidR="007B1622" w:rsidRPr="007C0B4F">
        <w:rPr>
          <w:lang w:val="en-AU"/>
        </w:rPr>
        <w:t>3</w:t>
      </w:r>
      <w:r w:rsidRPr="007C0B4F">
        <w:t xml:space="preserve"> – Matrix of </w:t>
      </w:r>
      <w:r w:rsidR="00E65A2E" w:rsidRPr="007C0B4F">
        <w:rPr>
          <w:lang w:val="en-GB"/>
        </w:rPr>
        <w:t xml:space="preserve">AusAID’s </w:t>
      </w:r>
      <w:r w:rsidRPr="007C0B4F">
        <w:t>Education Partnership support</w:t>
      </w:r>
      <w:bookmarkEnd w:id="73"/>
      <w:bookmarkEnd w:id="74"/>
    </w:p>
    <w:tbl>
      <w:tblPr>
        <w:tblStyle w:val="TableGrid"/>
        <w:tblW w:w="0" w:type="auto"/>
        <w:tblLook w:val="04A0" w:firstRow="1" w:lastRow="0" w:firstColumn="1" w:lastColumn="0" w:noHBand="0" w:noVBand="1"/>
        <w:tblCaption w:val="Matrix of AusAID’s Education Partnership support"/>
      </w:tblPr>
      <w:tblGrid>
        <w:gridCol w:w="2943"/>
        <w:gridCol w:w="1418"/>
        <w:gridCol w:w="7229"/>
        <w:gridCol w:w="2584"/>
      </w:tblGrid>
      <w:tr w:rsidR="00161065" w:rsidRPr="007C0B4F" w14:paraId="475C9B42" w14:textId="77777777" w:rsidTr="00161065">
        <w:trPr>
          <w:tblHeader/>
        </w:trPr>
        <w:tc>
          <w:tcPr>
            <w:tcW w:w="2943" w:type="dxa"/>
            <w:shd w:val="clear" w:color="auto" w:fill="DDD9C3" w:themeFill="background2" w:themeFillShade="E6"/>
          </w:tcPr>
          <w:p w14:paraId="475C9B3E" w14:textId="77777777" w:rsidR="00161065" w:rsidRPr="007C0B4F" w:rsidRDefault="00161065">
            <w:pPr>
              <w:spacing w:after="0"/>
              <w:rPr>
                <w:rFonts w:asciiTheme="minorHAnsi" w:hAnsiTheme="minorHAnsi" w:cstheme="minorHAnsi"/>
                <w:b/>
                <w:sz w:val="20"/>
                <w:szCs w:val="20"/>
              </w:rPr>
            </w:pPr>
            <w:bookmarkStart w:id="75" w:name="_GoBack"/>
            <w:r w:rsidRPr="007C0B4F">
              <w:rPr>
                <w:rFonts w:asciiTheme="minorHAnsi" w:hAnsiTheme="minorHAnsi" w:cstheme="minorHAnsi"/>
                <w:b/>
                <w:sz w:val="20"/>
                <w:szCs w:val="20"/>
              </w:rPr>
              <w:t xml:space="preserve">Component </w:t>
            </w:r>
          </w:p>
        </w:tc>
        <w:tc>
          <w:tcPr>
            <w:tcW w:w="1418" w:type="dxa"/>
            <w:shd w:val="clear" w:color="auto" w:fill="DDD9C3" w:themeFill="background2" w:themeFillShade="E6"/>
          </w:tcPr>
          <w:p w14:paraId="475C9B3F" w14:textId="77777777" w:rsidR="00161065" w:rsidRPr="007C0B4F" w:rsidRDefault="00161065">
            <w:pPr>
              <w:spacing w:after="0"/>
              <w:rPr>
                <w:rFonts w:asciiTheme="minorHAnsi" w:hAnsiTheme="minorHAnsi" w:cstheme="minorHAnsi"/>
                <w:b/>
                <w:sz w:val="20"/>
                <w:szCs w:val="20"/>
              </w:rPr>
            </w:pPr>
            <w:r w:rsidRPr="007C0B4F">
              <w:rPr>
                <w:rFonts w:asciiTheme="minorHAnsi" w:hAnsiTheme="minorHAnsi" w:cstheme="minorHAnsi"/>
                <w:b/>
                <w:sz w:val="20"/>
                <w:szCs w:val="20"/>
              </w:rPr>
              <w:t>Cost</w:t>
            </w:r>
          </w:p>
        </w:tc>
        <w:tc>
          <w:tcPr>
            <w:tcW w:w="7229" w:type="dxa"/>
            <w:shd w:val="clear" w:color="auto" w:fill="DDD9C3" w:themeFill="background2" w:themeFillShade="E6"/>
          </w:tcPr>
          <w:p w14:paraId="475C9B40" w14:textId="77777777" w:rsidR="00161065" w:rsidRPr="007C0B4F" w:rsidRDefault="00161065" w:rsidP="00002E94">
            <w:pPr>
              <w:spacing w:after="0"/>
              <w:rPr>
                <w:rFonts w:asciiTheme="minorHAnsi" w:hAnsiTheme="minorHAnsi" w:cstheme="minorHAnsi"/>
                <w:b/>
                <w:sz w:val="20"/>
                <w:szCs w:val="20"/>
              </w:rPr>
            </w:pPr>
            <w:r w:rsidRPr="007C0B4F">
              <w:rPr>
                <w:rFonts w:asciiTheme="minorHAnsi" w:hAnsiTheme="minorHAnsi" w:cstheme="minorHAnsi"/>
                <w:b/>
                <w:sz w:val="20"/>
                <w:szCs w:val="20"/>
              </w:rPr>
              <w:t>Expected results</w:t>
            </w:r>
          </w:p>
        </w:tc>
        <w:tc>
          <w:tcPr>
            <w:tcW w:w="2584" w:type="dxa"/>
            <w:shd w:val="clear" w:color="auto" w:fill="DDD9C3" w:themeFill="background2" w:themeFillShade="E6"/>
          </w:tcPr>
          <w:p w14:paraId="475C9B41" w14:textId="77777777" w:rsidR="00161065" w:rsidRPr="007C0B4F" w:rsidRDefault="00161065">
            <w:pPr>
              <w:spacing w:after="0"/>
              <w:rPr>
                <w:rFonts w:asciiTheme="minorHAnsi" w:hAnsiTheme="minorHAnsi" w:cstheme="minorHAnsi"/>
                <w:b/>
                <w:sz w:val="20"/>
                <w:szCs w:val="20"/>
              </w:rPr>
            </w:pPr>
            <w:r w:rsidRPr="007C0B4F">
              <w:rPr>
                <w:rFonts w:asciiTheme="minorHAnsi" w:hAnsiTheme="minorHAnsi" w:cstheme="minorHAnsi"/>
                <w:b/>
                <w:sz w:val="20"/>
                <w:szCs w:val="20"/>
              </w:rPr>
              <w:t>Delivery</w:t>
            </w:r>
          </w:p>
        </w:tc>
      </w:tr>
      <w:tr w:rsidR="00161065" w:rsidRPr="007C0B4F" w14:paraId="475C9B47" w14:textId="77777777" w:rsidTr="00161065">
        <w:tc>
          <w:tcPr>
            <w:tcW w:w="2943" w:type="dxa"/>
          </w:tcPr>
          <w:p w14:paraId="475C9B43" w14:textId="77777777" w:rsidR="00161065" w:rsidRPr="007C0B4F" w:rsidRDefault="00161065" w:rsidP="00B31345">
            <w:pPr>
              <w:rPr>
                <w:rFonts w:asciiTheme="minorHAnsi" w:hAnsiTheme="minorHAnsi" w:cstheme="minorHAnsi"/>
                <w:b/>
                <w:sz w:val="20"/>
                <w:szCs w:val="20"/>
              </w:rPr>
            </w:pPr>
            <w:r w:rsidRPr="007C0B4F">
              <w:rPr>
                <w:rFonts w:asciiTheme="minorHAnsi" w:hAnsiTheme="minorHAnsi" w:cstheme="minorHAnsi"/>
                <w:b/>
                <w:sz w:val="20"/>
                <w:szCs w:val="20"/>
              </w:rPr>
              <w:t xml:space="preserve">Junior secondary school construction &amp; expansion </w:t>
            </w:r>
            <w:r w:rsidRPr="007C0B4F">
              <w:rPr>
                <w:rFonts w:asciiTheme="minorHAnsi" w:hAnsiTheme="minorHAnsi" w:cstheme="minorHAnsi"/>
                <w:sz w:val="20"/>
                <w:szCs w:val="20"/>
              </w:rPr>
              <w:t>(C1)</w:t>
            </w:r>
            <w:r w:rsidRPr="007C0B4F">
              <w:rPr>
                <w:rFonts w:asciiTheme="minorHAnsi" w:hAnsiTheme="minorHAnsi" w:cstheme="minorHAnsi"/>
                <w:b/>
                <w:sz w:val="20"/>
                <w:szCs w:val="20"/>
              </w:rPr>
              <w:t xml:space="preserve"> </w:t>
            </w:r>
          </w:p>
        </w:tc>
        <w:tc>
          <w:tcPr>
            <w:tcW w:w="1418" w:type="dxa"/>
          </w:tcPr>
          <w:p w14:paraId="475C9B44" w14:textId="77777777" w:rsidR="00161065" w:rsidRPr="007C0B4F" w:rsidRDefault="00161065" w:rsidP="00B31345">
            <w:pPr>
              <w:rPr>
                <w:rFonts w:asciiTheme="minorHAnsi" w:hAnsiTheme="minorHAnsi" w:cstheme="minorHAnsi"/>
                <w:sz w:val="20"/>
                <w:szCs w:val="20"/>
              </w:rPr>
            </w:pPr>
            <w:r w:rsidRPr="007C0B4F">
              <w:rPr>
                <w:rFonts w:asciiTheme="minorHAnsi" w:hAnsiTheme="minorHAnsi" w:cstheme="minorHAnsi"/>
                <w:sz w:val="20"/>
                <w:szCs w:val="20"/>
              </w:rPr>
              <w:t>AUD 215.7 million in earmarked budget support</w:t>
            </w:r>
          </w:p>
        </w:tc>
        <w:tc>
          <w:tcPr>
            <w:tcW w:w="7229" w:type="dxa"/>
          </w:tcPr>
          <w:p w14:paraId="475C9B45" w14:textId="77777777" w:rsidR="00161065" w:rsidRPr="007C0B4F" w:rsidRDefault="00161065" w:rsidP="00B31345">
            <w:pPr>
              <w:rPr>
                <w:rFonts w:asciiTheme="minorHAnsi" w:hAnsiTheme="minorHAnsi" w:cstheme="minorHAnsi"/>
                <w:sz w:val="20"/>
                <w:szCs w:val="20"/>
              </w:rPr>
            </w:pPr>
            <w:r w:rsidRPr="007C0B4F">
              <w:rPr>
                <w:rFonts w:asciiTheme="minorHAnsi" w:hAnsiTheme="minorHAnsi" w:cstheme="minorHAnsi"/>
                <w:sz w:val="20"/>
                <w:szCs w:val="20"/>
              </w:rPr>
              <w:t>Create around 300,000 more new junior secondary school places by building or expanding up to 2,000 schools. This will improve enrolment rates in districts with low enrolment rates. 1st tranche ($30m) was disbursed to MoF in January 2012 &amp; the 2nd tranche ($25m) in June 2012. 451 schools will be built in 2012 cycle. Construction started in September 2012 &amp; is expected to complete around March/April 2013.</w:t>
            </w:r>
          </w:p>
        </w:tc>
        <w:tc>
          <w:tcPr>
            <w:tcW w:w="2584" w:type="dxa"/>
          </w:tcPr>
          <w:p w14:paraId="475C9B46" w14:textId="77777777" w:rsidR="00161065" w:rsidRPr="007C0B4F" w:rsidRDefault="00161065" w:rsidP="00B31345">
            <w:pPr>
              <w:rPr>
                <w:rFonts w:asciiTheme="minorHAnsi" w:hAnsiTheme="minorHAnsi" w:cstheme="minorHAnsi"/>
                <w:sz w:val="20"/>
                <w:szCs w:val="20"/>
              </w:rPr>
            </w:pPr>
            <w:r w:rsidRPr="007C0B4F">
              <w:rPr>
                <w:rFonts w:asciiTheme="minorHAnsi" w:hAnsiTheme="minorHAnsi" w:cstheme="minorHAnsi"/>
                <w:sz w:val="20"/>
                <w:szCs w:val="20"/>
              </w:rPr>
              <w:t>Direct funding to Indonesia’s Ministry of Finance ($210m) &amp; contractor (SSQ $5.7m)</w:t>
            </w:r>
          </w:p>
        </w:tc>
      </w:tr>
      <w:tr w:rsidR="00161065" w:rsidRPr="007C0B4F" w14:paraId="475C9B4F" w14:textId="77777777" w:rsidTr="00161065">
        <w:tc>
          <w:tcPr>
            <w:tcW w:w="2943" w:type="dxa"/>
          </w:tcPr>
          <w:p w14:paraId="475C9B48" w14:textId="77777777" w:rsidR="00161065" w:rsidRPr="007C0B4F" w:rsidRDefault="00161065" w:rsidP="00161065">
            <w:pPr>
              <w:rPr>
                <w:rFonts w:asciiTheme="minorHAnsi" w:hAnsiTheme="minorHAnsi" w:cstheme="minorHAnsi"/>
                <w:b/>
                <w:sz w:val="20"/>
                <w:szCs w:val="20"/>
              </w:rPr>
            </w:pPr>
          </w:p>
          <w:p w14:paraId="475C9B49" w14:textId="77777777" w:rsidR="00161065" w:rsidRPr="007C0B4F" w:rsidRDefault="00161065" w:rsidP="00161065">
            <w:pPr>
              <w:rPr>
                <w:rFonts w:asciiTheme="minorHAnsi" w:hAnsiTheme="minorHAnsi" w:cstheme="minorHAnsi"/>
                <w:b/>
                <w:sz w:val="20"/>
                <w:szCs w:val="20"/>
              </w:rPr>
            </w:pPr>
            <w:r w:rsidRPr="007C0B4F">
              <w:rPr>
                <w:rFonts w:asciiTheme="minorHAnsi" w:hAnsiTheme="minorHAnsi" w:cstheme="minorHAnsi"/>
                <w:b/>
                <w:sz w:val="20"/>
                <w:szCs w:val="20"/>
              </w:rPr>
              <w:t xml:space="preserve">School &amp; District Level Staff Professional Development </w:t>
            </w:r>
            <w:r w:rsidRPr="007C0B4F">
              <w:rPr>
                <w:rFonts w:asciiTheme="minorHAnsi" w:hAnsiTheme="minorHAnsi" w:cstheme="minorHAnsi"/>
                <w:sz w:val="20"/>
                <w:szCs w:val="20"/>
              </w:rPr>
              <w:t>(C2)</w:t>
            </w:r>
          </w:p>
        </w:tc>
        <w:tc>
          <w:tcPr>
            <w:tcW w:w="1418" w:type="dxa"/>
          </w:tcPr>
          <w:p w14:paraId="475C9B4A" w14:textId="77777777" w:rsidR="00161065" w:rsidRPr="007C0B4F" w:rsidRDefault="00161065" w:rsidP="00161065">
            <w:pPr>
              <w:jc w:val="center"/>
              <w:rPr>
                <w:rFonts w:asciiTheme="minorHAnsi" w:hAnsiTheme="minorHAnsi" w:cstheme="minorHAnsi"/>
                <w:sz w:val="20"/>
                <w:szCs w:val="20"/>
              </w:rPr>
            </w:pPr>
          </w:p>
          <w:p w14:paraId="475C9B4B" w14:textId="77777777" w:rsidR="00161065" w:rsidRPr="007C0B4F" w:rsidRDefault="00161065" w:rsidP="00161065">
            <w:pPr>
              <w:jc w:val="center"/>
              <w:rPr>
                <w:rFonts w:asciiTheme="minorHAnsi" w:hAnsiTheme="minorHAnsi" w:cstheme="minorHAnsi"/>
                <w:sz w:val="20"/>
                <w:szCs w:val="20"/>
              </w:rPr>
            </w:pPr>
            <w:r w:rsidRPr="007C0B4F">
              <w:rPr>
                <w:rFonts w:asciiTheme="minorHAnsi" w:hAnsiTheme="minorHAnsi" w:cstheme="minorHAnsi"/>
                <w:sz w:val="20"/>
                <w:szCs w:val="20"/>
              </w:rPr>
              <w:t>AUD 188.6 million</w:t>
            </w:r>
            <w:r w:rsidRPr="007C0B4F">
              <w:rPr>
                <w:rFonts w:asciiTheme="minorHAnsi" w:hAnsiTheme="minorHAnsi" w:cstheme="minorHAnsi"/>
                <w:b/>
                <w:sz w:val="20"/>
                <w:szCs w:val="20"/>
              </w:rPr>
              <w:t xml:space="preserve"> </w:t>
            </w:r>
            <w:r w:rsidRPr="007C0B4F">
              <w:rPr>
                <w:rFonts w:asciiTheme="minorHAnsi" w:hAnsiTheme="minorHAnsi" w:cstheme="minorHAnsi"/>
                <w:sz w:val="20"/>
                <w:szCs w:val="20"/>
              </w:rPr>
              <w:t>in earmarked budget support</w:t>
            </w:r>
          </w:p>
        </w:tc>
        <w:tc>
          <w:tcPr>
            <w:tcW w:w="7229" w:type="dxa"/>
          </w:tcPr>
          <w:p w14:paraId="475C9B4C" w14:textId="77777777" w:rsidR="00161065" w:rsidRPr="007C0B4F" w:rsidRDefault="00161065" w:rsidP="00161065">
            <w:pPr>
              <w:rPr>
                <w:rFonts w:asciiTheme="minorHAnsi" w:hAnsiTheme="minorHAnsi" w:cstheme="minorHAnsi"/>
                <w:sz w:val="20"/>
                <w:szCs w:val="20"/>
              </w:rPr>
            </w:pPr>
            <w:r w:rsidRPr="007C0B4F">
              <w:rPr>
                <w:rFonts w:asciiTheme="minorHAnsi" w:hAnsiTheme="minorHAnsi" w:cstheme="minorHAnsi"/>
                <w:sz w:val="20"/>
                <w:szCs w:val="20"/>
              </w:rPr>
              <w:t xml:space="preserve">Establish &amp; make operational a national system for strengthening the leadership &amp; management capacity of all 293,000 school principals, school supervisors &amp; district government officials through provision of a $110 m grant to GoI. This will ensure the benefits of Indonesia’s investment in education personnel quality will be sustained through good education management at school &amp; district level. The grant funded program of support is based on approved PFM &amp; procurement assessments; &amp;, approved detailed program design. Additional training provided on management of school operational block grants (BOS - Bantuan Operasional Sekolah) to around 650,000 </w:t>
            </w:r>
            <w:r w:rsidRPr="007C0B4F">
              <w:rPr>
                <w:rFonts w:asciiTheme="minorHAnsi" w:eastAsia="SimSun" w:hAnsiTheme="minorHAnsi" w:cstheme="minorHAnsi"/>
                <w:sz w:val="20"/>
                <w:szCs w:val="20"/>
                <w:lang w:eastAsia="zh-CN"/>
              </w:rPr>
              <w:t xml:space="preserve"> </w:t>
            </w:r>
            <w:r w:rsidRPr="007C0B4F">
              <w:rPr>
                <w:rFonts w:asciiTheme="minorHAnsi" w:hAnsiTheme="minorHAnsi" w:cstheme="minorHAnsi"/>
                <w:sz w:val="20"/>
                <w:szCs w:val="20"/>
              </w:rPr>
              <w:t xml:space="preserve">principals, treasurers &amp; schools committee members in 2011-12 ($26 m). PFM &amp; procurement assessments done, management response approved. </w:t>
            </w:r>
          </w:p>
        </w:tc>
        <w:tc>
          <w:tcPr>
            <w:tcW w:w="2584" w:type="dxa"/>
          </w:tcPr>
          <w:p w14:paraId="475C9B4D" w14:textId="77777777" w:rsidR="00161065" w:rsidRPr="007C0B4F" w:rsidRDefault="00161065" w:rsidP="00161065">
            <w:pPr>
              <w:rPr>
                <w:rFonts w:asciiTheme="minorHAnsi" w:hAnsiTheme="minorHAnsi" w:cstheme="minorHAnsi"/>
                <w:sz w:val="20"/>
                <w:szCs w:val="20"/>
              </w:rPr>
            </w:pPr>
          </w:p>
          <w:p w14:paraId="475C9B4E" w14:textId="77777777" w:rsidR="00161065" w:rsidRPr="007C0B4F" w:rsidRDefault="00161065" w:rsidP="00161065">
            <w:pPr>
              <w:rPr>
                <w:rFonts w:asciiTheme="minorHAnsi" w:hAnsiTheme="minorHAnsi" w:cstheme="minorHAnsi"/>
                <w:sz w:val="20"/>
                <w:szCs w:val="20"/>
              </w:rPr>
            </w:pPr>
            <w:r w:rsidRPr="007C0B4F">
              <w:rPr>
                <w:rFonts w:asciiTheme="minorHAnsi" w:hAnsiTheme="minorHAnsi" w:cstheme="minorHAnsi"/>
                <w:sz w:val="20"/>
                <w:szCs w:val="20"/>
              </w:rPr>
              <w:t>Direct funding ($136 m including $26 m BOS training grants) &amp; contractor/s $52.3m)</w:t>
            </w:r>
          </w:p>
        </w:tc>
      </w:tr>
      <w:tr w:rsidR="00161065" w:rsidRPr="007C0B4F" w14:paraId="475C9B59" w14:textId="77777777" w:rsidTr="00161065">
        <w:tc>
          <w:tcPr>
            <w:tcW w:w="2943" w:type="dxa"/>
          </w:tcPr>
          <w:p w14:paraId="475C9B50" w14:textId="77777777" w:rsidR="00161065" w:rsidRPr="007C0B4F" w:rsidRDefault="00161065" w:rsidP="00161065">
            <w:pPr>
              <w:rPr>
                <w:rFonts w:asciiTheme="minorHAnsi" w:hAnsiTheme="minorHAnsi" w:cstheme="minorHAnsi"/>
                <w:b/>
                <w:sz w:val="20"/>
                <w:szCs w:val="20"/>
              </w:rPr>
            </w:pPr>
          </w:p>
          <w:p w14:paraId="475C9B51" w14:textId="77777777" w:rsidR="00161065" w:rsidRPr="007C0B4F" w:rsidRDefault="00161065" w:rsidP="00161065">
            <w:pPr>
              <w:rPr>
                <w:rFonts w:asciiTheme="minorHAnsi" w:hAnsiTheme="minorHAnsi" w:cstheme="minorHAnsi"/>
                <w:sz w:val="20"/>
                <w:szCs w:val="20"/>
              </w:rPr>
            </w:pPr>
            <w:r w:rsidRPr="007C0B4F">
              <w:rPr>
                <w:rFonts w:asciiTheme="minorHAnsi" w:hAnsiTheme="minorHAnsi" w:cstheme="minorHAnsi"/>
                <w:b/>
                <w:sz w:val="20"/>
                <w:szCs w:val="20"/>
              </w:rPr>
              <w:t xml:space="preserve">Islamic School Accreditation </w:t>
            </w:r>
            <w:r w:rsidRPr="007C0B4F">
              <w:rPr>
                <w:rFonts w:asciiTheme="minorHAnsi" w:hAnsiTheme="minorHAnsi" w:cstheme="minorHAnsi"/>
                <w:sz w:val="20"/>
                <w:szCs w:val="20"/>
              </w:rPr>
              <w:t>(C3)</w:t>
            </w:r>
          </w:p>
        </w:tc>
        <w:tc>
          <w:tcPr>
            <w:tcW w:w="1418" w:type="dxa"/>
          </w:tcPr>
          <w:p w14:paraId="475C9B52" w14:textId="77777777" w:rsidR="00161065" w:rsidRPr="007C0B4F" w:rsidRDefault="00161065" w:rsidP="00161065">
            <w:pPr>
              <w:jc w:val="center"/>
              <w:rPr>
                <w:rFonts w:asciiTheme="minorHAnsi" w:hAnsiTheme="minorHAnsi" w:cstheme="minorHAnsi"/>
                <w:sz w:val="20"/>
                <w:szCs w:val="20"/>
              </w:rPr>
            </w:pPr>
          </w:p>
          <w:p w14:paraId="475C9B53" w14:textId="77777777" w:rsidR="00161065" w:rsidRPr="007C0B4F" w:rsidRDefault="00161065" w:rsidP="00161065">
            <w:pPr>
              <w:jc w:val="center"/>
              <w:rPr>
                <w:rFonts w:asciiTheme="minorHAnsi" w:hAnsiTheme="minorHAnsi" w:cstheme="minorHAnsi"/>
                <w:b/>
                <w:sz w:val="20"/>
                <w:szCs w:val="20"/>
              </w:rPr>
            </w:pPr>
            <w:r w:rsidRPr="007C0B4F">
              <w:rPr>
                <w:rFonts w:asciiTheme="minorHAnsi" w:hAnsiTheme="minorHAnsi" w:cstheme="minorHAnsi"/>
                <w:b/>
                <w:sz w:val="20"/>
                <w:szCs w:val="20"/>
              </w:rPr>
              <w:t xml:space="preserve">AUD 47 </w:t>
            </w:r>
          </w:p>
          <w:p w14:paraId="475C9B54" w14:textId="77777777" w:rsidR="00161065" w:rsidRPr="007C0B4F" w:rsidRDefault="00161065" w:rsidP="00161065">
            <w:pPr>
              <w:jc w:val="center"/>
              <w:rPr>
                <w:rFonts w:asciiTheme="minorHAnsi" w:hAnsiTheme="minorHAnsi" w:cstheme="minorHAnsi"/>
                <w:sz w:val="20"/>
                <w:szCs w:val="20"/>
              </w:rPr>
            </w:pPr>
            <w:r w:rsidRPr="007C0B4F">
              <w:rPr>
                <w:rFonts w:asciiTheme="minorHAnsi" w:hAnsiTheme="minorHAnsi" w:cstheme="minorHAnsi"/>
                <w:b/>
                <w:sz w:val="20"/>
                <w:szCs w:val="20"/>
              </w:rPr>
              <w:t>million</w:t>
            </w:r>
            <w:r w:rsidRPr="007C0B4F">
              <w:rPr>
                <w:rFonts w:asciiTheme="minorHAnsi" w:hAnsiTheme="minorHAnsi" w:cstheme="minorHAnsi"/>
                <w:sz w:val="20"/>
                <w:szCs w:val="20"/>
              </w:rPr>
              <w:t xml:space="preserve"> in technical assistance &amp; block grants</w:t>
            </w:r>
          </w:p>
          <w:p w14:paraId="475C9B55" w14:textId="77777777" w:rsidR="00161065" w:rsidRPr="007C0B4F" w:rsidRDefault="00161065" w:rsidP="00161065">
            <w:pPr>
              <w:jc w:val="center"/>
              <w:rPr>
                <w:rFonts w:asciiTheme="minorHAnsi" w:hAnsiTheme="minorHAnsi" w:cstheme="minorHAnsi"/>
                <w:sz w:val="20"/>
                <w:szCs w:val="20"/>
              </w:rPr>
            </w:pPr>
          </w:p>
        </w:tc>
        <w:tc>
          <w:tcPr>
            <w:tcW w:w="7229" w:type="dxa"/>
          </w:tcPr>
          <w:p w14:paraId="475C9B56" w14:textId="77777777" w:rsidR="00161065" w:rsidRPr="007C0B4F" w:rsidRDefault="00161065" w:rsidP="00161065">
            <w:pPr>
              <w:rPr>
                <w:rFonts w:asciiTheme="minorHAnsi" w:hAnsiTheme="minorHAnsi" w:cstheme="minorHAnsi"/>
                <w:sz w:val="20"/>
                <w:szCs w:val="20"/>
              </w:rPr>
            </w:pPr>
            <w:r w:rsidRPr="007C0B4F">
              <w:rPr>
                <w:rFonts w:asciiTheme="minorHAnsi" w:hAnsiTheme="minorHAnsi" w:cstheme="minorHAnsi"/>
                <w:sz w:val="20"/>
                <w:szCs w:val="20"/>
              </w:rPr>
              <w:t xml:space="preserve">Block grants &amp; technical assistance to around 1,500 private Islamic schools to improve their quality in line with National Education Standards with the aim of helping them achieve accreditation. </w:t>
            </w:r>
            <w:r w:rsidRPr="007C0B4F">
              <w:rPr>
                <w:rFonts w:asciiTheme="minorHAnsi" w:hAnsiTheme="minorHAnsi" w:cstheme="minorHAnsi"/>
                <w:bCs/>
                <w:sz w:val="20"/>
                <w:szCs w:val="20"/>
              </w:rPr>
              <w:t xml:space="preserve"> 11 provincial institutions are also receiving block grants to provide support to targeted &amp; non-targeted madrasah in selected districts</w:t>
            </w:r>
            <w:r w:rsidRPr="007C0B4F">
              <w:rPr>
                <w:rFonts w:asciiTheme="minorHAnsi" w:hAnsiTheme="minorHAnsi" w:cstheme="minorHAnsi"/>
                <w:sz w:val="20"/>
                <w:szCs w:val="20"/>
              </w:rPr>
              <w:t>. This will form a model at the provincial level for the Government of Indonesia to support quality improvement of the remaining 29,000 private Islamic schools with their own funds. 565 madrasah in 7 provinces (7 sub-national partners</w:t>
            </w:r>
            <w:r w:rsidR="0051766F" w:rsidRPr="007C0B4F">
              <w:rPr>
                <w:rFonts w:asciiTheme="minorHAnsi" w:hAnsiTheme="minorHAnsi" w:cstheme="minorHAnsi"/>
                <w:sz w:val="20"/>
                <w:szCs w:val="20"/>
              </w:rPr>
              <w:t>) are</w:t>
            </w:r>
            <w:r w:rsidRPr="007C0B4F">
              <w:rPr>
                <w:rFonts w:asciiTheme="minorHAnsi" w:hAnsiTheme="minorHAnsi" w:cstheme="minorHAnsi"/>
                <w:sz w:val="20"/>
                <w:szCs w:val="20"/>
              </w:rPr>
              <w:t xml:space="preserve"> supported in Phase 1. The remainder will be selected in 18 month Phases as the program rolls out over the 10 Provinces with the largest numbers of unaccredited madrasah. </w:t>
            </w:r>
          </w:p>
        </w:tc>
        <w:tc>
          <w:tcPr>
            <w:tcW w:w="2584" w:type="dxa"/>
          </w:tcPr>
          <w:p w14:paraId="475C9B57" w14:textId="77777777" w:rsidR="00161065" w:rsidRPr="007C0B4F" w:rsidRDefault="00161065" w:rsidP="00161065">
            <w:pPr>
              <w:rPr>
                <w:rFonts w:asciiTheme="minorHAnsi" w:hAnsiTheme="minorHAnsi" w:cstheme="minorHAnsi"/>
                <w:sz w:val="20"/>
                <w:szCs w:val="20"/>
              </w:rPr>
            </w:pPr>
          </w:p>
          <w:p w14:paraId="475C9B58" w14:textId="77777777" w:rsidR="00161065" w:rsidRPr="007C0B4F" w:rsidRDefault="00161065" w:rsidP="00161065">
            <w:pPr>
              <w:rPr>
                <w:rFonts w:asciiTheme="minorHAnsi" w:hAnsiTheme="minorHAnsi" w:cstheme="minorHAnsi"/>
                <w:sz w:val="20"/>
                <w:szCs w:val="20"/>
              </w:rPr>
            </w:pPr>
            <w:r w:rsidRPr="007C0B4F">
              <w:rPr>
                <w:rFonts w:asciiTheme="minorHAnsi" w:hAnsiTheme="minorHAnsi" w:cstheme="minorHAnsi"/>
                <w:sz w:val="20"/>
                <w:szCs w:val="20"/>
              </w:rPr>
              <w:t>Contractor (Contract 1: SSQ $47 m which includes</w:t>
            </w:r>
            <w:r w:rsidRPr="007C0B4F">
              <w:rPr>
                <w:rFonts w:asciiTheme="minorHAnsi" w:hAnsiTheme="minorHAnsi" w:cstheme="minorHAnsi"/>
                <w:b/>
                <w:sz w:val="20"/>
                <w:szCs w:val="20"/>
              </w:rPr>
              <w:t xml:space="preserve"> </w:t>
            </w:r>
            <w:r w:rsidRPr="007C0B4F">
              <w:rPr>
                <w:rFonts w:asciiTheme="minorHAnsi" w:hAnsiTheme="minorHAnsi" w:cstheme="minorHAnsi"/>
                <w:sz w:val="20"/>
                <w:szCs w:val="20"/>
              </w:rPr>
              <w:t xml:space="preserve">block grants $35 m) </w:t>
            </w:r>
          </w:p>
        </w:tc>
      </w:tr>
      <w:tr w:rsidR="00161065" w:rsidRPr="007C0B4F" w14:paraId="475C9B60" w14:textId="77777777" w:rsidTr="00161065">
        <w:tc>
          <w:tcPr>
            <w:tcW w:w="2943" w:type="dxa"/>
          </w:tcPr>
          <w:p w14:paraId="475C9B5A" w14:textId="77777777" w:rsidR="00161065" w:rsidRPr="007C0B4F" w:rsidRDefault="00161065" w:rsidP="00161065">
            <w:pPr>
              <w:rPr>
                <w:rFonts w:asciiTheme="minorHAnsi" w:hAnsiTheme="minorHAnsi" w:cstheme="minorHAnsi"/>
                <w:b/>
                <w:sz w:val="20"/>
                <w:szCs w:val="20"/>
              </w:rPr>
            </w:pPr>
            <w:r w:rsidRPr="007C0B4F">
              <w:rPr>
                <w:rFonts w:asciiTheme="minorHAnsi" w:hAnsiTheme="minorHAnsi" w:cstheme="minorHAnsi"/>
                <w:b/>
                <w:sz w:val="20"/>
                <w:szCs w:val="20"/>
              </w:rPr>
              <w:t xml:space="preserve">Analytical &amp; Capacity Development Partnership </w:t>
            </w:r>
            <w:r w:rsidRPr="007C0B4F">
              <w:rPr>
                <w:rFonts w:asciiTheme="minorHAnsi" w:hAnsiTheme="minorHAnsi" w:cstheme="minorHAnsi"/>
                <w:sz w:val="20"/>
                <w:szCs w:val="20"/>
              </w:rPr>
              <w:t>(C4)</w:t>
            </w:r>
          </w:p>
        </w:tc>
        <w:tc>
          <w:tcPr>
            <w:tcW w:w="1418" w:type="dxa"/>
          </w:tcPr>
          <w:p w14:paraId="475C9B5B" w14:textId="77777777" w:rsidR="00161065" w:rsidRPr="007C0B4F" w:rsidRDefault="00161065" w:rsidP="00161065">
            <w:pPr>
              <w:jc w:val="center"/>
              <w:rPr>
                <w:rFonts w:asciiTheme="minorHAnsi" w:hAnsiTheme="minorHAnsi" w:cstheme="minorHAnsi"/>
                <w:b/>
                <w:sz w:val="20"/>
                <w:szCs w:val="20"/>
              </w:rPr>
            </w:pPr>
          </w:p>
          <w:p w14:paraId="475C9B5C" w14:textId="77777777" w:rsidR="00161065" w:rsidRPr="007C0B4F" w:rsidRDefault="00161065" w:rsidP="00161065">
            <w:pPr>
              <w:jc w:val="center"/>
              <w:rPr>
                <w:rFonts w:asciiTheme="minorHAnsi" w:hAnsiTheme="minorHAnsi" w:cstheme="minorHAnsi"/>
                <w:b/>
                <w:sz w:val="20"/>
                <w:szCs w:val="20"/>
              </w:rPr>
            </w:pPr>
            <w:r w:rsidRPr="007C0B4F">
              <w:rPr>
                <w:rFonts w:asciiTheme="minorHAnsi" w:hAnsiTheme="minorHAnsi" w:cstheme="minorHAnsi"/>
                <w:b/>
                <w:sz w:val="20"/>
                <w:szCs w:val="20"/>
              </w:rPr>
              <w:t xml:space="preserve">AUD 25 </w:t>
            </w:r>
          </w:p>
          <w:p w14:paraId="475C9B5D" w14:textId="77777777" w:rsidR="00161065" w:rsidRPr="007C0B4F" w:rsidRDefault="00161065" w:rsidP="00161065">
            <w:pPr>
              <w:jc w:val="center"/>
              <w:rPr>
                <w:rFonts w:asciiTheme="minorHAnsi" w:hAnsiTheme="minorHAnsi" w:cstheme="minorHAnsi"/>
                <w:b/>
                <w:sz w:val="20"/>
                <w:szCs w:val="20"/>
              </w:rPr>
            </w:pPr>
            <w:r w:rsidRPr="007C0B4F">
              <w:rPr>
                <w:rFonts w:asciiTheme="minorHAnsi" w:hAnsiTheme="minorHAnsi" w:cstheme="minorHAnsi"/>
                <w:b/>
                <w:sz w:val="20"/>
                <w:szCs w:val="20"/>
              </w:rPr>
              <w:t>million</w:t>
            </w:r>
          </w:p>
        </w:tc>
        <w:tc>
          <w:tcPr>
            <w:tcW w:w="7229" w:type="dxa"/>
          </w:tcPr>
          <w:p w14:paraId="475C9B5E" w14:textId="77777777" w:rsidR="00161065" w:rsidRPr="007C0B4F" w:rsidRDefault="00161065" w:rsidP="00161065">
            <w:pPr>
              <w:rPr>
                <w:rFonts w:asciiTheme="minorHAnsi" w:hAnsiTheme="minorHAnsi" w:cstheme="minorHAnsi"/>
                <w:sz w:val="20"/>
                <w:szCs w:val="20"/>
              </w:rPr>
            </w:pPr>
            <w:r w:rsidRPr="007C0B4F">
              <w:rPr>
                <w:rFonts w:asciiTheme="minorHAnsi" w:hAnsiTheme="minorHAnsi" w:cstheme="minorHAnsi"/>
                <w:sz w:val="20"/>
                <w:szCs w:val="20"/>
              </w:rPr>
              <w:t xml:space="preserve">Support evidence-based sector policy research &amp; analysis &amp; to monitor the partnership’s outcomes. This will assist the Government of Indonesia to implement its national education policy with good quality analytical advice to improve sector efficiency &amp; effectiveness. </w:t>
            </w:r>
          </w:p>
        </w:tc>
        <w:tc>
          <w:tcPr>
            <w:tcW w:w="2584" w:type="dxa"/>
          </w:tcPr>
          <w:p w14:paraId="475C9B5F" w14:textId="77777777" w:rsidR="00161065" w:rsidRPr="007C0B4F" w:rsidRDefault="00161065" w:rsidP="00161065">
            <w:pPr>
              <w:rPr>
                <w:rFonts w:asciiTheme="minorHAnsi" w:hAnsiTheme="minorHAnsi" w:cstheme="minorHAnsi"/>
                <w:sz w:val="20"/>
                <w:szCs w:val="20"/>
              </w:rPr>
            </w:pPr>
            <w:r w:rsidRPr="007C0B4F">
              <w:rPr>
                <w:rFonts w:asciiTheme="minorHAnsi" w:hAnsiTheme="minorHAnsi" w:cstheme="minorHAnsi"/>
                <w:sz w:val="20"/>
                <w:szCs w:val="20"/>
              </w:rPr>
              <w:t>Managed through a trust fund by the Asian Development Bank in one grant</w:t>
            </w:r>
          </w:p>
        </w:tc>
      </w:tr>
      <w:tr w:rsidR="00161065" w:rsidRPr="007C0B4F" w14:paraId="475C9B68" w14:textId="77777777" w:rsidTr="00161065">
        <w:tc>
          <w:tcPr>
            <w:tcW w:w="2943" w:type="dxa"/>
          </w:tcPr>
          <w:p w14:paraId="475C9B61" w14:textId="77777777" w:rsidR="00161065" w:rsidRPr="007C0B4F" w:rsidRDefault="00161065" w:rsidP="00161065">
            <w:pPr>
              <w:rPr>
                <w:rFonts w:asciiTheme="minorHAnsi" w:hAnsiTheme="minorHAnsi" w:cstheme="minorHAnsi"/>
                <w:b/>
                <w:sz w:val="20"/>
                <w:szCs w:val="20"/>
              </w:rPr>
            </w:pPr>
            <w:r w:rsidRPr="007C0B4F">
              <w:rPr>
                <w:rFonts w:asciiTheme="minorHAnsi" w:hAnsiTheme="minorHAnsi" w:cstheme="minorHAnsi"/>
                <w:b/>
                <w:sz w:val="20"/>
                <w:szCs w:val="20"/>
              </w:rPr>
              <w:t>Performance, Oversight &amp; Monitoring</w:t>
            </w:r>
          </w:p>
        </w:tc>
        <w:tc>
          <w:tcPr>
            <w:tcW w:w="1418" w:type="dxa"/>
          </w:tcPr>
          <w:p w14:paraId="475C9B62" w14:textId="77777777" w:rsidR="00161065" w:rsidRPr="007C0B4F" w:rsidRDefault="00161065" w:rsidP="00161065">
            <w:pPr>
              <w:jc w:val="center"/>
              <w:rPr>
                <w:rFonts w:asciiTheme="minorHAnsi" w:hAnsiTheme="minorHAnsi" w:cstheme="minorHAnsi"/>
                <w:b/>
                <w:sz w:val="20"/>
                <w:szCs w:val="20"/>
              </w:rPr>
            </w:pPr>
          </w:p>
          <w:p w14:paraId="475C9B63" w14:textId="77777777" w:rsidR="00161065" w:rsidRPr="007C0B4F" w:rsidRDefault="00161065" w:rsidP="00161065">
            <w:pPr>
              <w:jc w:val="center"/>
              <w:rPr>
                <w:rFonts w:asciiTheme="minorHAnsi" w:hAnsiTheme="minorHAnsi" w:cstheme="minorHAnsi"/>
                <w:b/>
                <w:sz w:val="20"/>
                <w:szCs w:val="20"/>
              </w:rPr>
            </w:pPr>
            <w:r w:rsidRPr="007C0B4F">
              <w:rPr>
                <w:rFonts w:asciiTheme="minorHAnsi" w:hAnsiTheme="minorHAnsi" w:cstheme="minorHAnsi"/>
                <w:b/>
                <w:sz w:val="20"/>
                <w:szCs w:val="20"/>
              </w:rPr>
              <w:t xml:space="preserve"> AUD 12 </w:t>
            </w:r>
          </w:p>
          <w:p w14:paraId="475C9B64" w14:textId="77777777" w:rsidR="00161065" w:rsidRPr="007C0B4F" w:rsidRDefault="00161065" w:rsidP="00161065">
            <w:pPr>
              <w:jc w:val="center"/>
              <w:rPr>
                <w:rFonts w:asciiTheme="minorHAnsi" w:hAnsiTheme="minorHAnsi" w:cstheme="minorHAnsi"/>
                <w:sz w:val="20"/>
                <w:szCs w:val="20"/>
              </w:rPr>
            </w:pPr>
            <w:r w:rsidRPr="007C0B4F">
              <w:rPr>
                <w:rFonts w:asciiTheme="minorHAnsi" w:hAnsiTheme="minorHAnsi" w:cstheme="minorHAnsi"/>
                <w:b/>
                <w:sz w:val="20"/>
                <w:szCs w:val="20"/>
              </w:rPr>
              <w:lastRenderedPageBreak/>
              <w:t>million</w:t>
            </w:r>
          </w:p>
        </w:tc>
        <w:tc>
          <w:tcPr>
            <w:tcW w:w="7229" w:type="dxa"/>
          </w:tcPr>
          <w:p w14:paraId="475C9B65" w14:textId="77777777" w:rsidR="00161065" w:rsidRPr="007C0B4F" w:rsidRDefault="00161065" w:rsidP="00161065">
            <w:pPr>
              <w:rPr>
                <w:rFonts w:asciiTheme="minorHAnsi" w:hAnsiTheme="minorHAnsi" w:cstheme="minorHAnsi"/>
                <w:sz w:val="20"/>
                <w:szCs w:val="20"/>
              </w:rPr>
            </w:pPr>
            <w:r w:rsidRPr="007C0B4F">
              <w:rPr>
                <w:rFonts w:asciiTheme="minorHAnsi" w:hAnsiTheme="minorHAnsi" w:cstheme="minorHAnsi"/>
                <w:sz w:val="20"/>
                <w:szCs w:val="20"/>
              </w:rPr>
              <w:lastRenderedPageBreak/>
              <w:t xml:space="preserve">To provide rigorous monitoring of Australian fund flows, including tracking program outputs, &amp; assessing the impact of all four components to ensure the impact of Australia’s investment contributes to Indonesia’s development goals. Next version of </w:t>
            </w:r>
            <w:r w:rsidRPr="007C0B4F">
              <w:rPr>
                <w:rFonts w:asciiTheme="minorHAnsi" w:hAnsiTheme="minorHAnsi" w:cstheme="minorHAnsi"/>
                <w:sz w:val="20"/>
                <w:szCs w:val="20"/>
              </w:rPr>
              <w:lastRenderedPageBreak/>
              <w:t>POM Plan due in June 2012.</w:t>
            </w:r>
          </w:p>
        </w:tc>
        <w:tc>
          <w:tcPr>
            <w:tcW w:w="2584" w:type="dxa"/>
          </w:tcPr>
          <w:p w14:paraId="475C9B66" w14:textId="77777777" w:rsidR="00161065" w:rsidRPr="007C0B4F" w:rsidRDefault="00161065" w:rsidP="00161065">
            <w:pPr>
              <w:tabs>
                <w:tab w:val="center" w:pos="4320"/>
                <w:tab w:val="right" w:pos="8280"/>
              </w:tabs>
              <w:rPr>
                <w:rFonts w:asciiTheme="minorHAnsi" w:hAnsiTheme="minorHAnsi" w:cstheme="minorHAnsi"/>
                <w:sz w:val="20"/>
                <w:szCs w:val="20"/>
              </w:rPr>
            </w:pPr>
          </w:p>
          <w:p w14:paraId="475C9B67" w14:textId="77777777" w:rsidR="00161065" w:rsidRPr="007C0B4F" w:rsidRDefault="00161065" w:rsidP="00161065">
            <w:pPr>
              <w:tabs>
                <w:tab w:val="center" w:pos="4320"/>
                <w:tab w:val="right" w:pos="8280"/>
              </w:tabs>
              <w:rPr>
                <w:rFonts w:asciiTheme="minorHAnsi" w:hAnsiTheme="minorHAnsi" w:cstheme="minorHAnsi"/>
                <w:sz w:val="20"/>
                <w:szCs w:val="20"/>
              </w:rPr>
            </w:pPr>
            <w:r w:rsidRPr="007C0B4F">
              <w:rPr>
                <w:rFonts w:asciiTheme="minorHAnsi" w:hAnsiTheme="minorHAnsi" w:cstheme="minorHAnsi"/>
                <w:sz w:val="20"/>
                <w:szCs w:val="20"/>
              </w:rPr>
              <w:t>Contractor (Contract 2 GRM)</w:t>
            </w:r>
          </w:p>
        </w:tc>
      </w:tr>
      <w:tr w:rsidR="00161065" w:rsidRPr="007C0B4F" w14:paraId="475C9B72" w14:textId="77777777" w:rsidTr="00161065">
        <w:tc>
          <w:tcPr>
            <w:tcW w:w="2943" w:type="dxa"/>
          </w:tcPr>
          <w:p w14:paraId="475C9B69" w14:textId="77777777" w:rsidR="00161065" w:rsidRPr="007C0B4F" w:rsidRDefault="00161065" w:rsidP="00161065">
            <w:pPr>
              <w:rPr>
                <w:rFonts w:asciiTheme="minorHAnsi" w:hAnsiTheme="minorHAnsi" w:cstheme="minorHAnsi"/>
                <w:b/>
                <w:sz w:val="20"/>
                <w:szCs w:val="20"/>
              </w:rPr>
            </w:pPr>
          </w:p>
          <w:p w14:paraId="475C9B6A" w14:textId="77777777" w:rsidR="00161065" w:rsidRPr="007C0B4F" w:rsidRDefault="00161065" w:rsidP="00161065">
            <w:pPr>
              <w:rPr>
                <w:rFonts w:asciiTheme="minorHAnsi" w:hAnsiTheme="minorHAnsi" w:cstheme="minorHAnsi"/>
                <w:sz w:val="20"/>
                <w:szCs w:val="20"/>
              </w:rPr>
            </w:pPr>
            <w:r w:rsidRPr="007C0B4F">
              <w:rPr>
                <w:rFonts w:asciiTheme="minorHAnsi" w:hAnsiTheme="minorHAnsi" w:cstheme="minorHAnsi"/>
                <w:b/>
                <w:sz w:val="20"/>
                <w:szCs w:val="20"/>
              </w:rPr>
              <w:t>Education Partnership Outreach Services</w:t>
            </w:r>
          </w:p>
        </w:tc>
        <w:tc>
          <w:tcPr>
            <w:tcW w:w="1418" w:type="dxa"/>
          </w:tcPr>
          <w:p w14:paraId="475C9B6B" w14:textId="77777777" w:rsidR="00161065" w:rsidRPr="007C0B4F" w:rsidRDefault="00161065" w:rsidP="00161065">
            <w:pPr>
              <w:jc w:val="center"/>
              <w:rPr>
                <w:rFonts w:asciiTheme="minorHAnsi" w:hAnsiTheme="minorHAnsi" w:cstheme="minorHAnsi"/>
                <w:b/>
                <w:sz w:val="20"/>
                <w:szCs w:val="20"/>
              </w:rPr>
            </w:pPr>
          </w:p>
          <w:p w14:paraId="475C9B6C" w14:textId="77777777" w:rsidR="00161065" w:rsidRPr="007C0B4F" w:rsidRDefault="00161065" w:rsidP="00161065">
            <w:pPr>
              <w:jc w:val="center"/>
              <w:rPr>
                <w:rFonts w:asciiTheme="minorHAnsi" w:hAnsiTheme="minorHAnsi" w:cstheme="minorHAnsi"/>
                <w:b/>
                <w:sz w:val="20"/>
                <w:szCs w:val="20"/>
              </w:rPr>
            </w:pPr>
            <w:r w:rsidRPr="007C0B4F">
              <w:rPr>
                <w:rFonts w:asciiTheme="minorHAnsi" w:hAnsiTheme="minorHAnsi" w:cstheme="minorHAnsi"/>
                <w:b/>
                <w:sz w:val="20"/>
                <w:szCs w:val="20"/>
              </w:rPr>
              <w:t>Up to AUD 12</w:t>
            </w:r>
          </w:p>
          <w:p w14:paraId="475C9B6D" w14:textId="77777777" w:rsidR="00161065" w:rsidRPr="007C0B4F" w:rsidRDefault="00161065" w:rsidP="00161065">
            <w:pPr>
              <w:jc w:val="center"/>
              <w:rPr>
                <w:rFonts w:asciiTheme="minorHAnsi" w:hAnsiTheme="minorHAnsi" w:cstheme="minorHAnsi"/>
                <w:b/>
                <w:sz w:val="20"/>
                <w:szCs w:val="20"/>
              </w:rPr>
            </w:pPr>
            <w:r w:rsidRPr="007C0B4F">
              <w:rPr>
                <w:rFonts w:asciiTheme="minorHAnsi" w:hAnsiTheme="minorHAnsi" w:cstheme="minorHAnsi"/>
                <w:b/>
                <w:sz w:val="20"/>
                <w:szCs w:val="20"/>
              </w:rPr>
              <w:t xml:space="preserve"> million</w:t>
            </w:r>
          </w:p>
          <w:p w14:paraId="475C9B6E" w14:textId="77777777" w:rsidR="00161065" w:rsidRPr="007C0B4F" w:rsidRDefault="00161065" w:rsidP="00161065">
            <w:pPr>
              <w:jc w:val="center"/>
              <w:rPr>
                <w:rFonts w:asciiTheme="minorHAnsi" w:hAnsiTheme="minorHAnsi" w:cstheme="minorHAnsi"/>
                <w:b/>
                <w:sz w:val="20"/>
                <w:szCs w:val="20"/>
              </w:rPr>
            </w:pPr>
          </w:p>
        </w:tc>
        <w:tc>
          <w:tcPr>
            <w:tcW w:w="7229" w:type="dxa"/>
          </w:tcPr>
          <w:p w14:paraId="475C9B6F" w14:textId="77777777" w:rsidR="00161065" w:rsidRPr="007C0B4F" w:rsidRDefault="00161065" w:rsidP="00161065">
            <w:pPr>
              <w:rPr>
                <w:rFonts w:asciiTheme="minorHAnsi" w:hAnsiTheme="minorHAnsi" w:cstheme="minorHAnsi"/>
                <w:sz w:val="20"/>
                <w:szCs w:val="20"/>
              </w:rPr>
            </w:pPr>
            <w:r w:rsidRPr="007C0B4F">
              <w:rPr>
                <w:rFonts w:asciiTheme="minorHAnsi" w:hAnsiTheme="minorHAnsi" w:cstheme="minorHAnsi"/>
                <w:sz w:val="20"/>
                <w:szCs w:val="20"/>
              </w:rPr>
              <w:t>To provide visibility of Australia as a partner supporting Indonesia’s education development goals, through public affairs &amp; outreach activities. For example, production &amp; delivery of educational materials packs -including library books to all Component 1 &amp; 3 recipient schools; delivery of English language training workshops for teachers; &amp; organisation of high profile media events such as Ministerial openings of education partnership constructed schools. EPOS tender closed on 29 May 2012.</w:t>
            </w:r>
          </w:p>
        </w:tc>
        <w:tc>
          <w:tcPr>
            <w:tcW w:w="2584" w:type="dxa"/>
          </w:tcPr>
          <w:p w14:paraId="475C9B70" w14:textId="77777777" w:rsidR="00161065" w:rsidRPr="007C0B4F" w:rsidRDefault="00161065" w:rsidP="00161065">
            <w:pPr>
              <w:rPr>
                <w:rFonts w:asciiTheme="minorHAnsi" w:hAnsiTheme="minorHAnsi" w:cstheme="minorHAnsi"/>
                <w:sz w:val="20"/>
                <w:szCs w:val="20"/>
              </w:rPr>
            </w:pPr>
          </w:p>
          <w:p w14:paraId="475C9B71" w14:textId="77777777" w:rsidR="00161065" w:rsidRPr="007C0B4F" w:rsidRDefault="00161065" w:rsidP="00161065">
            <w:pPr>
              <w:rPr>
                <w:rFonts w:asciiTheme="minorHAnsi" w:hAnsiTheme="minorHAnsi" w:cstheme="minorHAnsi"/>
                <w:sz w:val="20"/>
                <w:szCs w:val="20"/>
              </w:rPr>
            </w:pPr>
            <w:r w:rsidRPr="007C0B4F">
              <w:rPr>
                <w:rFonts w:asciiTheme="minorHAnsi" w:hAnsiTheme="minorHAnsi" w:cstheme="minorHAnsi"/>
                <w:sz w:val="20"/>
                <w:szCs w:val="20"/>
              </w:rPr>
              <w:t>Contractor (Contract 3: URS Australia)</w:t>
            </w:r>
          </w:p>
        </w:tc>
      </w:tr>
      <w:tr w:rsidR="00161065" w:rsidRPr="007C0B4F" w14:paraId="475C9B77" w14:textId="77777777" w:rsidTr="00161065">
        <w:tc>
          <w:tcPr>
            <w:tcW w:w="2943" w:type="dxa"/>
          </w:tcPr>
          <w:p w14:paraId="475C9B73" w14:textId="77777777" w:rsidR="00161065" w:rsidRPr="007C0B4F" w:rsidRDefault="00161065" w:rsidP="00161065">
            <w:pPr>
              <w:rPr>
                <w:rFonts w:asciiTheme="minorHAnsi" w:hAnsiTheme="minorHAnsi" w:cstheme="minorHAnsi"/>
                <w:b/>
                <w:sz w:val="20"/>
                <w:szCs w:val="20"/>
              </w:rPr>
            </w:pPr>
          </w:p>
        </w:tc>
        <w:tc>
          <w:tcPr>
            <w:tcW w:w="1418" w:type="dxa"/>
          </w:tcPr>
          <w:p w14:paraId="475C9B74" w14:textId="77777777" w:rsidR="00161065" w:rsidRPr="007C0B4F" w:rsidRDefault="00161065" w:rsidP="00161065">
            <w:pPr>
              <w:jc w:val="center"/>
              <w:rPr>
                <w:rFonts w:asciiTheme="minorHAnsi" w:hAnsiTheme="minorHAnsi" w:cstheme="minorHAnsi"/>
                <w:b/>
                <w:sz w:val="20"/>
                <w:szCs w:val="20"/>
              </w:rPr>
            </w:pPr>
            <w:r w:rsidRPr="007C0B4F">
              <w:rPr>
                <w:rFonts w:asciiTheme="minorHAnsi" w:hAnsiTheme="minorHAnsi" w:cstheme="minorHAnsi"/>
                <w:b/>
                <w:sz w:val="20"/>
                <w:szCs w:val="20"/>
              </w:rPr>
              <w:t>AUD 500m</w:t>
            </w:r>
          </w:p>
        </w:tc>
        <w:tc>
          <w:tcPr>
            <w:tcW w:w="7229" w:type="dxa"/>
          </w:tcPr>
          <w:p w14:paraId="475C9B75" w14:textId="77777777" w:rsidR="00161065" w:rsidRPr="007C0B4F" w:rsidRDefault="00161065" w:rsidP="00161065">
            <w:pPr>
              <w:rPr>
                <w:rFonts w:asciiTheme="minorHAnsi" w:hAnsiTheme="minorHAnsi" w:cstheme="minorHAnsi"/>
                <w:sz w:val="20"/>
                <w:szCs w:val="20"/>
              </w:rPr>
            </w:pPr>
          </w:p>
        </w:tc>
        <w:tc>
          <w:tcPr>
            <w:tcW w:w="2584" w:type="dxa"/>
          </w:tcPr>
          <w:p w14:paraId="475C9B76" w14:textId="77777777" w:rsidR="00161065" w:rsidRPr="007C0B4F" w:rsidRDefault="00161065" w:rsidP="00161065">
            <w:pPr>
              <w:rPr>
                <w:rFonts w:asciiTheme="minorHAnsi" w:hAnsiTheme="minorHAnsi" w:cstheme="minorHAnsi"/>
                <w:sz w:val="20"/>
                <w:szCs w:val="20"/>
              </w:rPr>
            </w:pPr>
          </w:p>
        </w:tc>
      </w:tr>
      <w:bookmarkEnd w:id="75"/>
    </w:tbl>
    <w:p w14:paraId="475C9B78" w14:textId="77777777" w:rsidR="00BE30A0" w:rsidRPr="007C0B4F" w:rsidRDefault="00BE30A0">
      <w:pPr>
        <w:spacing w:after="0"/>
      </w:pPr>
    </w:p>
    <w:p w14:paraId="475C9B79" w14:textId="77777777" w:rsidR="00BE30A0" w:rsidRPr="007C0B4F" w:rsidRDefault="00BE30A0">
      <w:pPr>
        <w:spacing w:after="0"/>
      </w:pPr>
    </w:p>
    <w:p w14:paraId="475C9B7A" w14:textId="77777777" w:rsidR="00BE30A0" w:rsidRPr="007C0B4F" w:rsidRDefault="00BE30A0">
      <w:pPr>
        <w:spacing w:after="0"/>
        <w:sectPr w:rsidR="00BE30A0" w:rsidRPr="007C0B4F" w:rsidSect="00415631">
          <w:pgSz w:w="16838" w:h="11906" w:orient="landscape"/>
          <w:pgMar w:top="1440" w:right="1440" w:bottom="1440" w:left="1440" w:header="708" w:footer="708" w:gutter="0"/>
          <w:cols w:space="708"/>
          <w:docGrid w:linePitch="360"/>
        </w:sectPr>
      </w:pPr>
    </w:p>
    <w:p w14:paraId="475C9B7B" w14:textId="77777777" w:rsidR="00E65A2E" w:rsidRPr="007C0B4F" w:rsidRDefault="00E65A2E" w:rsidP="00E65A2E">
      <w:pPr>
        <w:pStyle w:val="Heading2"/>
        <w:numPr>
          <w:ilvl w:val="0"/>
          <w:numId w:val="0"/>
        </w:numPr>
        <w:rPr>
          <w:lang w:val="en-GB"/>
        </w:rPr>
      </w:pPr>
      <w:bookmarkStart w:id="76" w:name="_Toc361407165"/>
      <w:bookmarkStart w:id="77" w:name="_Toc365366061"/>
      <w:r w:rsidRPr="007C0B4F">
        <w:lastRenderedPageBreak/>
        <w:t xml:space="preserve">A4 – Donor support to basic education in Indonesia </w:t>
      </w:r>
      <w:r w:rsidRPr="007C0B4F">
        <w:rPr>
          <w:lang w:val="en-GB"/>
        </w:rPr>
        <w:t>and lessons learned</w:t>
      </w:r>
      <w:bookmarkEnd w:id="76"/>
      <w:bookmarkEnd w:id="77"/>
    </w:p>
    <w:p w14:paraId="475C9B7C" w14:textId="77777777" w:rsidR="008E49D0" w:rsidRPr="007C0B4F" w:rsidRDefault="008E49D0" w:rsidP="008E49D0">
      <w:pPr>
        <w:rPr>
          <w:rFonts w:asciiTheme="minorHAnsi" w:eastAsia="Times New Roman" w:hAnsiTheme="minorHAnsi" w:cstheme="minorHAnsi"/>
          <w:b/>
          <w:noProof/>
          <w:szCs w:val="22"/>
          <w:lang w:val="en-GB" w:bidi="en-US"/>
        </w:rPr>
      </w:pPr>
      <w:r w:rsidRPr="007C0B4F">
        <w:rPr>
          <w:rFonts w:asciiTheme="minorHAnsi" w:eastAsia="Times New Roman" w:hAnsiTheme="minorHAnsi" w:cstheme="minorHAnsi"/>
          <w:b/>
          <w:noProof/>
          <w:szCs w:val="22"/>
          <w:lang w:val="en-GB" w:bidi="en-US"/>
        </w:rPr>
        <w:t>Lessons learned from donor support to basic education in Indonesia</w:t>
      </w:r>
    </w:p>
    <w:p w14:paraId="475C9B7D" w14:textId="77777777" w:rsidR="008E49D0" w:rsidRPr="007C0B4F" w:rsidRDefault="008E49D0" w:rsidP="008E49D0">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The main lessons that need to inform the design of the proposed EIF are as follows:</w:t>
      </w:r>
    </w:p>
    <w:p w14:paraId="475C9B7E" w14:textId="77777777" w:rsidR="008E49D0" w:rsidRPr="007C0B4F" w:rsidRDefault="008E49D0" w:rsidP="008E49D0">
      <w:pPr>
        <w:numPr>
          <w:ilvl w:val="0"/>
          <w:numId w:val="7"/>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 xml:space="preserve">The education system in Indonesia is large, dispersed, variable, and comprised of a large number of individuals operating under different incentives and pursuing different ends.  It has proven itself resistant to change in the functional sense (i.e. delivering better learning outcomes for students) while undergoing successive reforms in systems and process.  Development interventions need to take account of this reality and apply adaptive management principles of experimentation and iteration.  </w:t>
      </w:r>
    </w:p>
    <w:p w14:paraId="475C9B7F" w14:textId="77777777" w:rsidR="008E49D0" w:rsidRPr="007C0B4F" w:rsidRDefault="008E49D0" w:rsidP="008E49D0">
      <w:pPr>
        <w:numPr>
          <w:ilvl w:val="0"/>
          <w:numId w:val="7"/>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The ability to influence or leverage system governance (including the legal/regulatory framework, incentives, accountability mechanisms, and resourcing flows) is critical if interventions are to be scaled up or have systemic and lasting impact.  There are many examples of international partners working intensively at the school level with good results, but with models that are not affordable or replicable for the world’s fourth largest education system.</w:t>
      </w:r>
    </w:p>
    <w:p w14:paraId="475C9B80" w14:textId="77777777" w:rsidR="008E49D0" w:rsidRPr="007C0B4F" w:rsidRDefault="008E49D0" w:rsidP="008E49D0">
      <w:pPr>
        <w:numPr>
          <w:ilvl w:val="0"/>
          <w:numId w:val="7"/>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 xml:space="preserve">Improvements in the quality of basic education require a holistic systems-based approach.  Single or isolated interventions on their own, such as classroom-based teacher training, can have limited or no impact on education quality unless they are complemented by improvements to other elements of the system, such as teacher incentives to perform, improved school management and financing arrangements, and/or enhanced community and parent engagement in supporting their children’s learning.  </w:t>
      </w:r>
    </w:p>
    <w:p w14:paraId="475C9B81" w14:textId="77777777" w:rsidR="008E49D0" w:rsidRPr="007C0B4F" w:rsidRDefault="008E49D0" w:rsidP="008E49D0">
      <w:pPr>
        <w:numPr>
          <w:ilvl w:val="0"/>
          <w:numId w:val="7"/>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 xml:space="preserve">Developing partnerships based on mutual respect/trust, and a clear understanding of mutual responsibilities, is critical if donor support is to be effective.  Establishing such partnerships takes time, and needs to be built on/sustained.  Depth of engagement can be easily compromised if donor resources are spread too thinly.  </w:t>
      </w:r>
    </w:p>
    <w:p w14:paraId="475C9B82" w14:textId="77777777" w:rsidR="008E49D0" w:rsidRPr="007C0B4F" w:rsidRDefault="008E49D0" w:rsidP="008E49D0">
      <w:pPr>
        <w:numPr>
          <w:ilvl w:val="0"/>
          <w:numId w:val="7"/>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 xml:space="preserve">There is a significant amount of data already being collected by education sector stakeholders that is relevant to supporting improvements in basic education.  However, there is often limited analysis of this data, or effective presentation and sharing of findings, that would better help decision makers improve their resource allocation and management decisions. </w:t>
      </w:r>
    </w:p>
    <w:p w14:paraId="475C9B83" w14:textId="77777777" w:rsidR="008E49D0" w:rsidRPr="007C0B4F" w:rsidRDefault="008E49D0" w:rsidP="008E49D0">
      <w:pPr>
        <w:numPr>
          <w:ilvl w:val="0"/>
          <w:numId w:val="7"/>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Despite decentralisation, decision making within Indonesian institutions is still largely centralised, and it is often difficult for middle-level managers to take any initiative without clear instruction from higher levels.  New initiatives / ways of working within the bureaucracy often need to be supported by new formal regulations.</w:t>
      </w:r>
    </w:p>
    <w:p w14:paraId="475C9B84" w14:textId="77777777" w:rsidR="008E49D0" w:rsidRPr="007C0B4F" w:rsidRDefault="008E49D0" w:rsidP="008E49D0">
      <w:pPr>
        <w:numPr>
          <w:ilvl w:val="0"/>
          <w:numId w:val="7"/>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 xml:space="preserve">Coordination and cooperation between the different agencies / bodies with a responsibility for, or direct interest in, improving the quality of education in schools is often weak.  Donors can usefully support enhanced communication and collaboration between these stakeholders when they are seen as a trusted and objective partner.  Improved provincial and district level coordination can build shared accountability for better education outcomes by embedding the practice of joint problem-solving amongst actors with different capabilities and authority.  </w:t>
      </w:r>
    </w:p>
    <w:p w14:paraId="475C9B85" w14:textId="77777777" w:rsidR="008E49D0" w:rsidRPr="007C0B4F" w:rsidRDefault="008E49D0" w:rsidP="008E49D0">
      <w:pPr>
        <w:numPr>
          <w:ilvl w:val="0"/>
          <w:numId w:val="7"/>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 xml:space="preserve">Professional development for education providers needs to be continuous, and the impact of sporadic classroom based training is limited.  </w:t>
      </w:r>
      <w:r w:rsidR="0051766F" w:rsidRPr="007C0B4F">
        <w:rPr>
          <w:rFonts w:asciiTheme="minorHAnsi" w:eastAsia="Times New Roman" w:hAnsiTheme="minorHAnsi" w:cstheme="minorHAnsi"/>
          <w:szCs w:val="22"/>
          <w:lang w:val="en-GB" w:eastAsia="x-none"/>
        </w:rPr>
        <w:t>On-going</w:t>
      </w:r>
      <w:r w:rsidRPr="007C0B4F">
        <w:rPr>
          <w:rFonts w:asciiTheme="minorHAnsi" w:eastAsia="Times New Roman" w:hAnsiTheme="minorHAnsi" w:cstheme="minorHAnsi"/>
          <w:szCs w:val="22"/>
          <w:lang w:val="en-GB" w:eastAsia="x-none"/>
        </w:rPr>
        <w:t xml:space="preserve"> mentoring, support and incentive mechanisms are required.  </w:t>
      </w:r>
    </w:p>
    <w:p w14:paraId="475C9B86" w14:textId="77777777" w:rsidR="008E49D0" w:rsidRPr="007C0B4F" w:rsidRDefault="008E49D0" w:rsidP="008E49D0">
      <w:pPr>
        <w:numPr>
          <w:ilvl w:val="0"/>
          <w:numId w:val="7"/>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 xml:space="preserve">There are many known good practices that can support improved quality of education, such as using more active and participatory teaching/learning approaches in the classroom, having active school committees, training teachers/principals and supervisors together, etc.  The main problem is replication and sustainability after-donor support has finished.  </w:t>
      </w:r>
    </w:p>
    <w:p w14:paraId="475C9B87" w14:textId="77777777" w:rsidR="008E49D0" w:rsidRPr="007C0B4F" w:rsidRDefault="008E49D0" w:rsidP="008E49D0">
      <w:pPr>
        <w:pStyle w:val="ListParagraph"/>
        <w:numPr>
          <w:ilvl w:val="0"/>
          <w:numId w:val="7"/>
        </w:numPr>
        <w:spacing w:after="0"/>
        <w:rPr>
          <w:rFonts w:asciiTheme="minorHAnsi" w:hAnsiTheme="minorHAnsi" w:cstheme="minorHAnsi"/>
          <w:szCs w:val="22"/>
        </w:rPr>
      </w:pPr>
      <w:r w:rsidRPr="007C0B4F">
        <w:rPr>
          <w:rFonts w:asciiTheme="minorHAnsi" w:hAnsiTheme="minorHAnsi" w:cstheme="minorHAnsi"/>
          <w:szCs w:val="22"/>
          <w:lang w:eastAsia="x-none"/>
        </w:rPr>
        <w:lastRenderedPageBreak/>
        <w:t xml:space="preserve">Donor expectations as to what they can and cannot influence need to be realistic.  There is often a political imperative to show quick results, and to have these clearly branded as the donor’s achievements.  This needs to be tempered by a recognition that donors, particularly in a large emerging economy such as Indonesia, are only a minor player in influencing most development outcomes. </w:t>
      </w:r>
    </w:p>
    <w:p w14:paraId="475C9B88" w14:textId="77777777" w:rsidR="00E65A2E" w:rsidRPr="007C0B4F" w:rsidRDefault="00E65A2E">
      <w:pPr>
        <w:spacing w:after="0"/>
        <w:rPr>
          <w:rFonts w:asciiTheme="minorHAnsi" w:hAnsiTheme="minorHAnsi" w:cstheme="minorHAnsi"/>
          <w:szCs w:val="22"/>
        </w:rPr>
      </w:pPr>
    </w:p>
    <w:p w14:paraId="475C9B89" w14:textId="77777777" w:rsidR="00E65A2E" w:rsidRPr="007C0B4F" w:rsidRDefault="008E49D0">
      <w:pPr>
        <w:spacing w:after="0"/>
        <w:rPr>
          <w:rFonts w:asciiTheme="minorHAnsi" w:hAnsiTheme="minorHAnsi" w:cstheme="minorHAnsi"/>
          <w:b/>
          <w:szCs w:val="22"/>
        </w:rPr>
      </w:pPr>
      <w:r w:rsidRPr="007C0B4F">
        <w:rPr>
          <w:rFonts w:asciiTheme="minorHAnsi" w:hAnsiTheme="minorHAnsi" w:cstheme="minorHAnsi"/>
          <w:b/>
          <w:szCs w:val="22"/>
        </w:rPr>
        <w:t>Summary of recent d</w:t>
      </w:r>
      <w:r w:rsidR="00E65A2E" w:rsidRPr="007C0B4F">
        <w:rPr>
          <w:rFonts w:asciiTheme="minorHAnsi" w:hAnsiTheme="minorHAnsi" w:cstheme="minorHAnsi"/>
          <w:b/>
          <w:szCs w:val="22"/>
        </w:rPr>
        <w:t>onor support</w:t>
      </w:r>
      <w:r w:rsidRPr="007C0B4F">
        <w:rPr>
          <w:rFonts w:asciiTheme="minorHAnsi" w:hAnsiTheme="minorHAnsi" w:cstheme="minorHAnsi"/>
          <w:b/>
          <w:szCs w:val="22"/>
        </w:rPr>
        <w:t xml:space="preserve"> to basic education in Indonesia</w:t>
      </w:r>
    </w:p>
    <w:p w14:paraId="475C9B8A" w14:textId="77777777" w:rsidR="00E65A2E" w:rsidRPr="007C0B4F" w:rsidRDefault="007E34EA" w:rsidP="00E65A2E">
      <w:pPr>
        <w:rPr>
          <w:rFonts w:asciiTheme="minorHAnsi" w:hAnsiTheme="minorHAnsi" w:cstheme="minorHAnsi"/>
          <w:b/>
          <w:i/>
          <w:szCs w:val="22"/>
          <w:lang w:val="en-GB" w:eastAsia="x-none"/>
        </w:rPr>
      </w:pPr>
      <w:r w:rsidRPr="007C0B4F">
        <w:rPr>
          <w:rFonts w:asciiTheme="minorHAnsi" w:hAnsiTheme="minorHAnsi" w:cstheme="minorHAnsi"/>
          <w:b/>
          <w:i/>
          <w:szCs w:val="22"/>
          <w:lang w:val="en-GB" w:eastAsia="x-none"/>
        </w:rPr>
        <w:t>AusAID</w:t>
      </w:r>
    </w:p>
    <w:p w14:paraId="475C9B8B"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Australia is the largest bi-lateral donor to Indonesia’s education sector.  </w:t>
      </w:r>
    </w:p>
    <w:p w14:paraId="475C9B8C"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AusAID works in partnership with the Ministry of Education and Culture and the Ministry of Religious Affairs, in support of both ministries’ sector objectives, as articulated in their strategic plans (Renstra 2009-2014).  </w:t>
      </w:r>
    </w:p>
    <w:p w14:paraId="475C9B8D"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Australia’s main program in the sector, the Education Partnership 2011-2016 (with a value of around AUD5</w:t>
      </w:r>
      <w:r w:rsidR="007E34EA" w:rsidRPr="007C0B4F">
        <w:rPr>
          <w:rFonts w:asciiTheme="minorHAnsi" w:hAnsiTheme="minorHAnsi" w:cstheme="minorHAnsi"/>
          <w:szCs w:val="22"/>
          <w:lang w:val="en-GB" w:eastAsia="x-none"/>
        </w:rPr>
        <w:t>24</w:t>
      </w:r>
      <w:r w:rsidRPr="007C0B4F">
        <w:rPr>
          <w:rFonts w:asciiTheme="minorHAnsi" w:hAnsiTheme="minorHAnsi" w:cstheme="minorHAnsi"/>
          <w:szCs w:val="22"/>
          <w:lang w:val="en-GB" w:eastAsia="x-none"/>
        </w:rPr>
        <w:t>m), contributes to:</w:t>
      </w:r>
    </w:p>
    <w:p w14:paraId="475C9B8E" w14:textId="77777777" w:rsidR="00E65A2E" w:rsidRPr="007C0B4F" w:rsidRDefault="00E65A2E" w:rsidP="00E65A2E">
      <w:pPr>
        <w:numPr>
          <w:ilvl w:val="0"/>
          <w:numId w:val="3"/>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 xml:space="preserve">increased access to education at the junior secondary level, through school construction; </w:t>
      </w:r>
    </w:p>
    <w:p w14:paraId="475C9B8F" w14:textId="77777777" w:rsidR="00E65A2E" w:rsidRPr="007C0B4F" w:rsidRDefault="00E65A2E" w:rsidP="00E65A2E">
      <w:pPr>
        <w:numPr>
          <w:ilvl w:val="0"/>
          <w:numId w:val="3"/>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improved education quality through better school based management as a result of the principals’</w:t>
      </w:r>
      <w:r w:rsidR="007E34EA" w:rsidRPr="007C0B4F">
        <w:rPr>
          <w:rFonts w:asciiTheme="minorHAnsi" w:eastAsia="Times New Roman" w:hAnsiTheme="minorHAnsi" w:cstheme="minorHAnsi"/>
          <w:szCs w:val="22"/>
          <w:lang w:val="en-GB" w:eastAsia="x-none"/>
        </w:rPr>
        <w:t xml:space="preserve"> </w:t>
      </w:r>
      <w:r w:rsidRPr="007C0B4F">
        <w:rPr>
          <w:rFonts w:asciiTheme="minorHAnsi" w:eastAsia="Times New Roman" w:hAnsiTheme="minorHAnsi" w:cstheme="minorHAnsi"/>
          <w:szCs w:val="22"/>
          <w:lang w:val="en-GB" w:eastAsia="x-none"/>
        </w:rPr>
        <w:t xml:space="preserve">continuous professional development program; </w:t>
      </w:r>
    </w:p>
    <w:p w14:paraId="475C9B90" w14:textId="77777777" w:rsidR="00E65A2E" w:rsidRPr="007C0B4F" w:rsidRDefault="00E65A2E" w:rsidP="00E65A2E">
      <w:pPr>
        <w:numPr>
          <w:ilvl w:val="0"/>
          <w:numId w:val="3"/>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 xml:space="preserve">improved education quality through supporting the accreditation of schools (madrasah) in the Islamic education sector; and </w:t>
      </w:r>
    </w:p>
    <w:p w14:paraId="475C9B91" w14:textId="77777777" w:rsidR="00E65A2E" w:rsidRPr="007C0B4F" w:rsidRDefault="00E65A2E" w:rsidP="00E65A2E">
      <w:pPr>
        <w:numPr>
          <w:ilvl w:val="0"/>
          <w:numId w:val="3"/>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 xml:space="preserve">more informed policy-making through access to high quality research and analysis.  </w:t>
      </w:r>
    </w:p>
    <w:p w14:paraId="475C9B92" w14:textId="77777777" w:rsidR="00E65A2E" w:rsidRPr="007C0B4F" w:rsidRDefault="00E65A2E" w:rsidP="00E65A2E">
      <w:pPr>
        <w:rPr>
          <w:rFonts w:asciiTheme="minorHAnsi" w:hAnsiTheme="minorHAnsi" w:cstheme="minorHAnsi"/>
          <w:szCs w:val="22"/>
          <w:lang w:val="en-GB"/>
        </w:rPr>
      </w:pPr>
      <w:r w:rsidRPr="007C0B4F">
        <w:rPr>
          <w:rFonts w:asciiTheme="minorHAnsi" w:hAnsiTheme="minorHAnsi" w:cstheme="minorHAnsi"/>
          <w:szCs w:val="22"/>
          <w:lang w:val="en-GB"/>
        </w:rPr>
        <w:t>The Education Partnership also funds independent monitoring and audit to protect Australian funds, and the promotion of learning and outreach across all program components.</w:t>
      </w:r>
    </w:p>
    <w:p w14:paraId="475C9B93" w14:textId="77777777" w:rsidR="00E65A2E" w:rsidRPr="007C0B4F" w:rsidRDefault="00E65A2E" w:rsidP="00E65A2E">
      <w:pPr>
        <w:rPr>
          <w:rFonts w:asciiTheme="minorHAnsi" w:hAnsiTheme="minorHAnsi" w:cstheme="minorHAnsi"/>
          <w:szCs w:val="22"/>
          <w:lang w:val="en-GB"/>
        </w:rPr>
      </w:pPr>
      <w:r w:rsidRPr="007C0B4F">
        <w:rPr>
          <w:rFonts w:asciiTheme="minorHAnsi" w:hAnsiTheme="minorHAnsi" w:cstheme="minorHAnsi"/>
          <w:szCs w:val="22"/>
          <w:lang w:val="en-GB"/>
        </w:rPr>
        <w:t xml:space="preserve">A key strength of the Education Partnership is that it is largely implemented through GoI systems, and thus has strong national level ownership.  However, a weakness, at least for AusAID, is that it provides little opportunity for engagement at the sub-national level, and thus limits opportunities for AusAID to learn about what is happening on the ground.  The Education Partnership, as currently configured, has very limited flexibility for experimentation or for responding to specific (or emerging) issues affecting education quality in schools. </w:t>
      </w:r>
    </w:p>
    <w:p w14:paraId="475C9B94"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In addition to the broader EP, AusAID has also been providing targeted support to the provinces of</w:t>
      </w:r>
      <w:r w:rsidR="007E34EA" w:rsidRPr="007C0B4F">
        <w:rPr>
          <w:rFonts w:asciiTheme="minorHAnsi" w:hAnsiTheme="minorHAnsi" w:cstheme="minorHAnsi"/>
          <w:szCs w:val="22"/>
          <w:lang w:val="en-GB" w:eastAsia="x-none"/>
        </w:rPr>
        <w:t xml:space="preserve"> Aceh</w:t>
      </w:r>
      <w:r w:rsidRPr="007C0B4F">
        <w:rPr>
          <w:rFonts w:asciiTheme="minorHAnsi" w:hAnsiTheme="minorHAnsi" w:cstheme="minorHAnsi"/>
          <w:szCs w:val="22"/>
          <w:lang w:val="en-GB" w:eastAsia="x-none"/>
        </w:rPr>
        <w:t>, Papua and West Papua to improve education policy and service delivery.  Support to Aceh Province through the SEDIA program end</w:t>
      </w:r>
      <w:r w:rsidR="007E34EA" w:rsidRPr="007C0B4F">
        <w:rPr>
          <w:rFonts w:asciiTheme="minorHAnsi" w:hAnsiTheme="minorHAnsi" w:cstheme="minorHAnsi"/>
          <w:szCs w:val="22"/>
          <w:lang w:val="en-GB" w:eastAsia="x-none"/>
        </w:rPr>
        <w:t>ed in June</w:t>
      </w:r>
      <w:r w:rsidRPr="007C0B4F">
        <w:rPr>
          <w:rFonts w:asciiTheme="minorHAnsi" w:hAnsiTheme="minorHAnsi" w:cstheme="minorHAnsi"/>
          <w:szCs w:val="22"/>
          <w:lang w:val="en-GB" w:eastAsia="x-none"/>
        </w:rPr>
        <w:t xml:space="preserve"> 2013, while</w:t>
      </w:r>
      <w:r w:rsidR="007E34EA" w:rsidRPr="007C0B4F">
        <w:rPr>
          <w:rFonts w:asciiTheme="minorHAnsi" w:hAnsiTheme="minorHAnsi" w:cstheme="minorHAnsi"/>
          <w:szCs w:val="22"/>
          <w:lang w:val="en-GB" w:eastAsia="x-none"/>
        </w:rPr>
        <w:t xml:space="preserve"> a second phase of</w:t>
      </w:r>
      <w:r w:rsidRPr="007C0B4F">
        <w:rPr>
          <w:rFonts w:asciiTheme="minorHAnsi" w:hAnsiTheme="minorHAnsi" w:cstheme="minorHAnsi"/>
          <w:szCs w:val="22"/>
          <w:lang w:val="en-GB" w:eastAsia="x-none"/>
        </w:rPr>
        <w:t xml:space="preserve"> support to Papua and West Papua (through UNICEF) is currently </w:t>
      </w:r>
      <w:r w:rsidR="007E34EA" w:rsidRPr="007C0B4F">
        <w:rPr>
          <w:rFonts w:asciiTheme="minorHAnsi" w:hAnsiTheme="minorHAnsi" w:cstheme="minorHAnsi"/>
          <w:szCs w:val="22"/>
          <w:lang w:val="en-GB" w:eastAsia="x-none"/>
        </w:rPr>
        <w:t>being designed</w:t>
      </w:r>
      <w:r w:rsidRPr="007C0B4F">
        <w:rPr>
          <w:rFonts w:asciiTheme="minorHAnsi" w:hAnsiTheme="minorHAnsi" w:cstheme="minorHAnsi"/>
          <w:szCs w:val="22"/>
          <w:lang w:val="en-GB" w:eastAsia="x-none"/>
        </w:rPr>
        <w:t xml:space="preserve">.  </w:t>
      </w:r>
    </w:p>
    <w:p w14:paraId="475C9B95"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A matrix summarising the main elements of the Education Partnership, including expected results, funding and delivery mechanisms is provided at Annex </w:t>
      </w:r>
      <w:r w:rsidR="007E34EA" w:rsidRPr="007C0B4F">
        <w:rPr>
          <w:rFonts w:asciiTheme="minorHAnsi" w:hAnsiTheme="minorHAnsi" w:cstheme="minorHAnsi"/>
          <w:szCs w:val="22"/>
          <w:lang w:val="en-GB" w:eastAsia="x-none"/>
        </w:rPr>
        <w:t>2</w:t>
      </w:r>
      <w:r w:rsidRPr="007C0B4F">
        <w:rPr>
          <w:rFonts w:asciiTheme="minorHAnsi" w:hAnsiTheme="minorHAnsi" w:cstheme="minorHAnsi"/>
          <w:szCs w:val="22"/>
          <w:lang w:val="en-GB" w:eastAsia="x-none"/>
        </w:rPr>
        <w:t xml:space="preserve">. </w:t>
      </w:r>
    </w:p>
    <w:p w14:paraId="475C9B96"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It is also important that AusAID support for education at the sub-national level be effectively coordinated with other relevant AusAID programs, in line with AusAID’s emerging focus on having a more coherent focus across the aid program on front-line service delivery.  For example, the AIDP, LOGICA and ACCESS programs all include a focus on improving basic service delivery (including education), and have already established working partnerships with key provincial, district and community level stakeholders.  AusAID investments in education at the sub-national level must complement and build on this work and these partnerships.  At present there remains significant fragmentation, which can be confusing for local partners. </w:t>
      </w:r>
    </w:p>
    <w:p w14:paraId="475C9B97" w14:textId="77777777" w:rsidR="00E65A2E" w:rsidRPr="007C0B4F" w:rsidRDefault="00E65A2E" w:rsidP="00E65A2E">
      <w:pPr>
        <w:rPr>
          <w:rFonts w:asciiTheme="minorHAnsi" w:hAnsiTheme="minorHAnsi" w:cstheme="minorHAnsi"/>
          <w:b/>
          <w:szCs w:val="22"/>
          <w:lang w:val="en-GB" w:eastAsia="x-none"/>
        </w:rPr>
      </w:pPr>
      <w:r w:rsidRPr="007C0B4F">
        <w:rPr>
          <w:rFonts w:asciiTheme="minorHAnsi" w:hAnsiTheme="minorHAnsi" w:cstheme="minorHAnsi"/>
          <w:b/>
          <w:szCs w:val="22"/>
          <w:lang w:val="en-GB" w:eastAsia="x-none"/>
        </w:rPr>
        <w:t>Other development partners</w:t>
      </w:r>
    </w:p>
    <w:p w14:paraId="475C9B98" w14:textId="77777777" w:rsidR="004672B0"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b/>
          <w:i/>
          <w:szCs w:val="22"/>
          <w:lang w:val="en-GB" w:eastAsia="x-none"/>
        </w:rPr>
        <w:t>USAID</w:t>
      </w:r>
      <w:r w:rsidRPr="007C0B4F">
        <w:rPr>
          <w:rFonts w:asciiTheme="minorHAnsi" w:hAnsiTheme="minorHAnsi" w:cstheme="minorHAnsi"/>
          <w:szCs w:val="22"/>
          <w:lang w:val="en-GB" w:eastAsia="x-none"/>
        </w:rPr>
        <w:t xml:space="preserve">  </w:t>
      </w:r>
    </w:p>
    <w:p w14:paraId="475C9B99"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lastRenderedPageBreak/>
        <w:t xml:space="preserve">The most significant other bilateral donor to the education sector in Indonesia is USAID, primarily through its current </w:t>
      </w:r>
      <w:r w:rsidR="008A50D1" w:rsidRPr="007C0B4F">
        <w:rPr>
          <w:rFonts w:asciiTheme="minorHAnsi" w:hAnsiTheme="minorHAnsi" w:cstheme="minorHAnsi"/>
          <w:szCs w:val="22"/>
          <w:lang w:val="en-GB" w:eastAsia="x-none"/>
        </w:rPr>
        <w:t xml:space="preserve">PRIORITAS </w:t>
      </w:r>
      <w:r w:rsidRPr="007C0B4F">
        <w:rPr>
          <w:rFonts w:asciiTheme="minorHAnsi" w:hAnsiTheme="minorHAnsi" w:cstheme="minorHAnsi"/>
          <w:szCs w:val="22"/>
          <w:lang w:val="en-GB" w:eastAsia="x-none"/>
        </w:rPr>
        <w:t>Program for basic education.  This program runs from 2012-2016 with a value of US$84</w:t>
      </w:r>
      <w:r w:rsidR="008A50D1" w:rsidRPr="007C0B4F">
        <w:rPr>
          <w:rFonts w:asciiTheme="minorHAnsi" w:hAnsiTheme="minorHAnsi" w:cstheme="minorHAnsi"/>
          <w:szCs w:val="22"/>
          <w:lang w:val="en-GB" w:eastAsia="x-none"/>
        </w:rPr>
        <w:t xml:space="preserve"> million</w:t>
      </w:r>
      <w:r w:rsidRPr="007C0B4F">
        <w:rPr>
          <w:rFonts w:asciiTheme="minorHAnsi" w:hAnsiTheme="minorHAnsi" w:cstheme="minorHAnsi"/>
          <w:szCs w:val="22"/>
          <w:lang w:val="en-GB" w:eastAsia="x-none"/>
        </w:rPr>
        <w:t xml:space="preserve">.  </w:t>
      </w:r>
    </w:p>
    <w:p w14:paraId="475C9B9A"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USAID Prioritas builds on the experience of more than 20 years of previous USAID support to basic education in Indonesia.  Its main aims are to:</w:t>
      </w:r>
    </w:p>
    <w:p w14:paraId="475C9B9B" w14:textId="77777777" w:rsidR="00E65A2E" w:rsidRPr="007C0B4F" w:rsidRDefault="00E65A2E" w:rsidP="00E65A2E">
      <w:pPr>
        <w:numPr>
          <w:ilvl w:val="0"/>
          <w:numId w:val="4"/>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Improve the quality and relevance of teaching and learning in schools through pre and in-service training</w:t>
      </w:r>
    </w:p>
    <w:p w14:paraId="475C9B9C" w14:textId="77777777" w:rsidR="00E65A2E" w:rsidRPr="007C0B4F" w:rsidRDefault="00E65A2E" w:rsidP="00E65A2E">
      <w:pPr>
        <w:numPr>
          <w:ilvl w:val="0"/>
          <w:numId w:val="4"/>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Develop better management and governance in schools and districts; and</w:t>
      </w:r>
    </w:p>
    <w:p w14:paraId="475C9B9D" w14:textId="77777777" w:rsidR="00E65A2E" w:rsidRPr="007C0B4F" w:rsidRDefault="00E65A2E" w:rsidP="00E65A2E">
      <w:pPr>
        <w:numPr>
          <w:ilvl w:val="0"/>
          <w:numId w:val="4"/>
        </w:numPr>
        <w:rPr>
          <w:rFonts w:asciiTheme="minorHAnsi" w:eastAsia="Times New Roman" w:hAnsiTheme="minorHAnsi" w:cstheme="minorHAnsi"/>
          <w:szCs w:val="22"/>
          <w:lang w:val="en-GB" w:eastAsia="x-none"/>
        </w:rPr>
      </w:pPr>
      <w:r w:rsidRPr="007C0B4F">
        <w:rPr>
          <w:rFonts w:asciiTheme="minorHAnsi" w:eastAsia="Times New Roman" w:hAnsiTheme="minorHAnsi" w:cstheme="minorHAnsi"/>
          <w:szCs w:val="22"/>
          <w:lang w:val="en-GB" w:eastAsia="x-none"/>
        </w:rPr>
        <w:t>Support better coordination within and between schools, teacher training institutions (TTI’s and government at all levels.</w:t>
      </w:r>
    </w:p>
    <w:p w14:paraId="475C9B9E"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The program currently works in 7 provinces (Aceh, North Sumatra, Banten, West Java, Central Java, East Java and Central Sulawesi) and 69 partner districts.  It is expected to expand to Papua and possibly to NTT and NTB in 2013/14.  </w:t>
      </w:r>
    </w:p>
    <w:p w14:paraId="475C9B9F"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It will be essential that the proposed </w:t>
      </w:r>
      <w:r w:rsidR="00361929" w:rsidRPr="007C0B4F">
        <w:rPr>
          <w:rFonts w:asciiTheme="minorHAnsi" w:hAnsiTheme="minorHAnsi" w:cstheme="minorHAnsi"/>
          <w:szCs w:val="22"/>
          <w:lang w:val="en-GB" w:eastAsia="x-none"/>
        </w:rPr>
        <w:t>Facility</w:t>
      </w:r>
      <w:r w:rsidRPr="007C0B4F">
        <w:rPr>
          <w:rFonts w:asciiTheme="minorHAnsi" w:hAnsiTheme="minorHAnsi" w:cstheme="minorHAnsi"/>
          <w:szCs w:val="22"/>
          <w:lang w:val="en-GB" w:eastAsia="x-none"/>
        </w:rPr>
        <w:t xml:space="preserve"> coordinates with and complements the work of USAID Prioritas at the sub-national level.  The </w:t>
      </w:r>
      <w:r w:rsidR="00361929" w:rsidRPr="007C0B4F">
        <w:rPr>
          <w:rFonts w:asciiTheme="minorHAnsi" w:hAnsiTheme="minorHAnsi" w:cstheme="minorHAnsi"/>
          <w:szCs w:val="22"/>
          <w:lang w:val="en-GB" w:eastAsia="x-none"/>
        </w:rPr>
        <w:t>Facility</w:t>
      </w:r>
      <w:r w:rsidRPr="007C0B4F">
        <w:rPr>
          <w:rFonts w:asciiTheme="minorHAnsi" w:hAnsiTheme="minorHAnsi" w:cstheme="minorHAnsi"/>
          <w:szCs w:val="22"/>
          <w:lang w:val="en-GB" w:eastAsia="x-none"/>
        </w:rPr>
        <w:t xml:space="preserve"> will nevertheless be significantly different in scope, given that it aims to facilitate improved learning and innovation rather than deliver a pre-planned package of training and related support services.  </w:t>
      </w:r>
    </w:p>
    <w:p w14:paraId="475C9BA0" w14:textId="77777777" w:rsidR="00E65A2E" w:rsidRPr="007C0B4F" w:rsidRDefault="00E65A2E" w:rsidP="00E65A2E">
      <w:pPr>
        <w:rPr>
          <w:rFonts w:asciiTheme="minorHAnsi" w:hAnsiTheme="minorHAnsi" w:cstheme="minorHAnsi"/>
          <w:b/>
          <w:i/>
          <w:szCs w:val="22"/>
          <w:lang w:val="en-GB" w:eastAsia="x-none"/>
        </w:rPr>
      </w:pPr>
      <w:r w:rsidRPr="007C0B4F">
        <w:rPr>
          <w:rFonts w:asciiTheme="minorHAnsi" w:hAnsiTheme="minorHAnsi" w:cstheme="minorHAnsi"/>
          <w:b/>
          <w:i/>
          <w:szCs w:val="22"/>
          <w:lang w:val="en-GB" w:eastAsia="x-none"/>
        </w:rPr>
        <w:t xml:space="preserve">World Bank </w:t>
      </w:r>
    </w:p>
    <w:p w14:paraId="475C9BA1"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The World Bank has a long history of engagement in supporting the education sector in Indonesia.  It provides financing, support for analytical work and some specific project support.  Two particularly relevant projects are summarised below: </w:t>
      </w:r>
    </w:p>
    <w:p w14:paraId="475C9BA2" w14:textId="77777777" w:rsidR="00E65A2E" w:rsidRPr="007C0B4F" w:rsidRDefault="00E65A2E" w:rsidP="00E65A2E">
      <w:pPr>
        <w:rPr>
          <w:rFonts w:asciiTheme="minorHAnsi" w:hAnsiTheme="minorHAnsi" w:cstheme="minorHAnsi"/>
          <w:i/>
          <w:szCs w:val="22"/>
          <w:lang w:val="en-GB" w:eastAsia="x-none"/>
        </w:rPr>
      </w:pPr>
      <w:r w:rsidRPr="007C0B4F">
        <w:rPr>
          <w:rFonts w:asciiTheme="minorHAnsi" w:hAnsiTheme="minorHAnsi" w:cstheme="minorHAnsi"/>
          <w:i/>
          <w:szCs w:val="22"/>
          <w:lang w:val="en-GB" w:eastAsia="x-none"/>
        </w:rPr>
        <w:t>Better Education through Reformed Management and Universal Teacher Upgrading (BERMUTU)</w:t>
      </w:r>
    </w:p>
    <w:p w14:paraId="475C9BA3"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The BERMUTU project seeks to improve teaching quality and performance.    This project supports a framework for ensuring that teachers will have the opportunity to upgrade their knowledge of the subjects they are teaching, and at the same time improve their teaching skills.  It also works to improve the accreditation system for teacher training courses. </w:t>
      </w:r>
    </w:p>
    <w:p w14:paraId="475C9BA4" w14:textId="77777777" w:rsidR="00E65A2E" w:rsidRPr="007C0B4F" w:rsidRDefault="00E65A2E"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The project works in several ways, through university based teacher education, through local level teacher development programs, and through finding ways to increase teacher accountability and incentives systems.  BERMUTU works directly with selected universities which have teacher training programs, providing grants on a competitive basis to encourage them to improve their accreditation status and to improve their outreach programs for training teachers in remote and rural areas, mainly through IT based methods.  It also works with groups of teachers, school principals and supervisors in 16 provinces and 75 districts/cities (in selected school clusters), providing opportunities for teachers in rural and remote areas to upgrade their skills through distance learning.</w:t>
      </w:r>
    </w:p>
    <w:p w14:paraId="475C9BA5" w14:textId="77777777" w:rsidR="00885638" w:rsidRPr="007C0B4F" w:rsidRDefault="00885638" w:rsidP="00E65A2E">
      <w:pPr>
        <w:rPr>
          <w:rFonts w:asciiTheme="minorHAnsi" w:hAnsiTheme="minorHAnsi" w:cstheme="minorHAnsi"/>
          <w:szCs w:val="22"/>
          <w:lang w:val="en-GB" w:eastAsia="x-none"/>
        </w:rPr>
      </w:pPr>
      <w:r w:rsidRPr="007C0B4F">
        <w:rPr>
          <w:rFonts w:asciiTheme="minorHAnsi" w:hAnsiTheme="minorHAnsi" w:cstheme="minorHAnsi"/>
          <w:i/>
          <w:szCs w:val="22"/>
          <w:lang w:val="en-GB" w:eastAsia="x-none"/>
        </w:rPr>
        <w:t>Basic Education Capacity Trust Fund (BEC-TF)</w:t>
      </w:r>
    </w:p>
    <w:p w14:paraId="475C9BA6" w14:textId="77777777" w:rsidR="00885638" w:rsidRPr="007C0B4F" w:rsidRDefault="00885638"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t xml:space="preserve">The BEC-TF aims to help GoI to achieve Millennium Development and Education for All Goals by supporting good governance in education.  It worked with national and local governments to improve the way finances and information are managed, so that both funds and information flow through the system more efficiently and allow better </w:t>
      </w:r>
      <w:r w:rsidR="00957C09" w:rsidRPr="007C0B4F">
        <w:rPr>
          <w:rFonts w:asciiTheme="minorHAnsi" w:hAnsiTheme="minorHAnsi" w:cstheme="minorHAnsi"/>
          <w:szCs w:val="22"/>
          <w:lang w:val="en-GB" w:eastAsia="x-none"/>
        </w:rPr>
        <w:t xml:space="preserve">decisions to be made at all levels in Indonesia’s decentralised system.  It worked with local governments, education offices, parliaments, education boards, and representatives of school committees and head teachers who will all have improved access to the information they need to be able to perform their duties better, and the knowledge and skills to use this information in the planning, management and monitoring of education service delivery.  </w:t>
      </w:r>
    </w:p>
    <w:p w14:paraId="475C9BA7" w14:textId="77777777" w:rsidR="00957C09" w:rsidRPr="007C0B4F" w:rsidRDefault="00957C09" w:rsidP="00E65A2E">
      <w:pPr>
        <w:rPr>
          <w:rFonts w:asciiTheme="minorHAnsi" w:hAnsiTheme="minorHAnsi" w:cstheme="minorHAnsi"/>
          <w:szCs w:val="22"/>
          <w:lang w:val="en-GB" w:eastAsia="x-none"/>
        </w:rPr>
      </w:pPr>
      <w:r w:rsidRPr="007C0B4F">
        <w:rPr>
          <w:rFonts w:asciiTheme="minorHAnsi" w:hAnsiTheme="minorHAnsi" w:cstheme="minorHAnsi"/>
          <w:szCs w:val="22"/>
          <w:lang w:val="en-GB" w:eastAsia="x-none"/>
        </w:rPr>
        <w:lastRenderedPageBreak/>
        <w:t>The BEC-TF focused on three main areas, using a combination of technical assistance, training and grants to local governments:</w:t>
      </w:r>
    </w:p>
    <w:p w14:paraId="475C9BA8" w14:textId="77777777" w:rsidR="00957C09" w:rsidRPr="007C0B4F" w:rsidRDefault="00957C09" w:rsidP="005803D0">
      <w:pPr>
        <w:pStyle w:val="ListParagraph"/>
        <w:numPr>
          <w:ilvl w:val="0"/>
          <w:numId w:val="20"/>
        </w:numPr>
        <w:rPr>
          <w:rFonts w:asciiTheme="minorHAnsi" w:hAnsiTheme="minorHAnsi" w:cstheme="minorHAnsi"/>
          <w:szCs w:val="22"/>
          <w:lang w:eastAsia="x-none"/>
        </w:rPr>
      </w:pPr>
      <w:r w:rsidRPr="007C0B4F">
        <w:rPr>
          <w:rFonts w:asciiTheme="minorHAnsi" w:hAnsiTheme="minorHAnsi" w:cstheme="minorHAnsi"/>
          <w:szCs w:val="22"/>
          <w:lang w:eastAsia="x-none"/>
        </w:rPr>
        <w:t>Supporting the Government-led Thematic Education Dialogue forum to conduct policy analysis, engage in policy dialogue with stakeholders and development partners, and maintain an overview of the education sector as a whole;</w:t>
      </w:r>
    </w:p>
    <w:p w14:paraId="475C9BA9" w14:textId="77777777" w:rsidR="00957C09" w:rsidRPr="007C0B4F" w:rsidRDefault="00957C09" w:rsidP="005803D0">
      <w:pPr>
        <w:pStyle w:val="ListParagraph"/>
        <w:numPr>
          <w:ilvl w:val="0"/>
          <w:numId w:val="20"/>
        </w:numPr>
        <w:rPr>
          <w:rFonts w:asciiTheme="minorHAnsi" w:hAnsiTheme="minorHAnsi" w:cstheme="minorHAnsi"/>
          <w:szCs w:val="22"/>
          <w:lang w:eastAsia="x-none"/>
        </w:rPr>
      </w:pPr>
      <w:r w:rsidRPr="007C0B4F">
        <w:rPr>
          <w:rFonts w:asciiTheme="minorHAnsi" w:hAnsiTheme="minorHAnsi" w:cstheme="minorHAnsi"/>
          <w:szCs w:val="22"/>
          <w:lang w:eastAsia="x-none"/>
        </w:rPr>
        <w:t>Improving governance and efficient resource use through increased transparency, accountability, improved budget processes and performance-based financing, improve financial management and accounting, especially in local governments;</w:t>
      </w:r>
    </w:p>
    <w:p w14:paraId="475C9BAA" w14:textId="77777777" w:rsidR="00957C09" w:rsidRPr="007C0B4F" w:rsidRDefault="00957C09" w:rsidP="005803D0">
      <w:pPr>
        <w:pStyle w:val="ListParagraph"/>
        <w:numPr>
          <w:ilvl w:val="0"/>
          <w:numId w:val="20"/>
        </w:numPr>
        <w:rPr>
          <w:rFonts w:asciiTheme="minorHAnsi" w:hAnsiTheme="minorHAnsi" w:cstheme="minorHAnsi"/>
          <w:szCs w:val="22"/>
          <w:lang w:eastAsia="x-none"/>
        </w:rPr>
      </w:pPr>
      <w:r w:rsidRPr="007C0B4F">
        <w:rPr>
          <w:rFonts w:asciiTheme="minorHAnsi" w:hAnsiTheme="minorHAnsi" w:cstheme="minorHAnsi"/>
          <w:szCs w:val="22"/>
          <w:lang w:eastAsia="x-none"/>
        </w:rPr>
        <w:t xml:space="preserve">Strengthening capacity of existing information and performance assessment system so that better, more timely information can be used by stakeholders at all levels.  </w:t>
      </w:r>
    </w:p>
    <w:p w14:paraId="475C9BAB" w14:textId="77777777" w:rsidR="00E65A2E" w:rsidRPr="007C0B4F" w:rsidRDefault="00E65A2E" w:rsidP="005803D0">
      <w:pPr>
        <w:spacing w:after="0"/>
        <w:rPr>
          <w:rFonts w:asciiTheme="minorHAnsi" w:hAnsiTheme="minorHAnsi" w:cstheme="minorHAnsi"/>
          <w:b/>
          <w:i/>
          <w:lang w:val="en-GB" w:eastAsia="x-none"/>
        </w:rPr>
      </w:pPr>
      <w:r w:rsidRPr="007C0B4F">
        <w:rPr>
          <w:rFonts w:asciiTheme="minorHAnsi" w:hAnsiTheme="minorHAnsi" w:cstheme="minorHAnsi"/>
          <w:b/>
          <w:i/>
          <w:lang w:val="en-GB" w:eastAsia="x-none"/>
        </w:rPr>
        <w:t xml:space="preserve">European Union </w:t>
      </w:r>
    </w:p>
    <w:p w14:paraId="475C9BAC" w14:textId="77777777" w:rsidR="00E65A2E" w:rsidRPr="007C0B4F" w:rsidRDefault="00E65A2E" w:rsidP="00E65A2E">
      <w:pPr>
        <w:rPr>
          <w:rFonts w:asciiTheme="minorHAnsi" w:hAnsiTheme="minorHAnsi" w:cstheme="minorHAnsi"/>
          <w:lang w:val="en-GB" w:eastAsia="x-none"/>
        </w:rPr>
      </w:pPr>
      <w:r w:rsidRPr="007C0B4F">
        <w:rPr>
          <w:rFonts w:asciiTheme="minorHAnsi" w:hAnsiTheme="minorHAnsi" w:cstheme="minorHAnsi"/>
          <w:lang w:val="en-GB" w:eastAsia="x-none"/>
        </w:rPr>
        <w:t xml:space="preserve">The EU has been a key development partner in the education sector over the last decade. Its engagement has been mostly in partnership with other development partners (ADB, AusAID, the Netherlands, UNICEF, World Bank), thereby contributing to more harmonised approaches to external assistance.  </w:t>
      </w:r>
    </w:p>
    <w:p w14:paraId="475C9BAD" w14:textId="77777777" w:rsidR="00885638" w:rsidRPr="007C0B4F" w:rsidRDefault="00E65A2E" w:rsidP="00E65A2E">
      <w:pPr>
        <w:rPr>
          <w:rFonts w:asciiTheme="minorHAnsi" w:hAnsiTheme="minorHAnsi" w:cstheme="minorHAnsi"/>
          <w:lang w:val="en-GB" w:eastAsia="x-none"/>
        </w:rPr>
      </w:pPr>
      <w:r w:rsidRPr="007C0B4F">
        <w:rPr>
          <w:rFonts w:asciiTheme="minorHAnsi" w:hAnsiTheme="minorHAnsi" w:cstheme="minorHAnsi"/>
          <w:lang w:val="en-GB" w:eastAsia="x-none"/>
        </w:rPr>
        <w:t xml:space="preserve">The EU is currently providing a contribution </w:t>
      </w:r>
      <w:r w:rsidR="004672B0" w:rsidRPr="007C0B4F">
        <w:rPr>
          <w:rFonts w:asciiTheme="minorHAnsi" w:hAnsiTheme="minorHAnsi" w:cstheme="minorHAnsi"/>
          <w:lang w:val="en-GB" w:eastAsia="x-none"/>
        </w:rPr>
        <w:t>of EUR</w:t>
      </w:r>
      <w:r w:rsidRPr="007C0B4F">
        <w:rPr>
          <w:rFonts w:asciiTheme="minorHAnsi" w:hAnsiTheme="minorHAnsi" w:cstheme="minorHAnsi"/>
          <w:lang w:val="en-GB" w:eastAsia="x-none"/>
        </w:rPr>
        <w:t xml:space="preserve">119 million to the Education Sector Support Program Phase 2.  The previous EU contribution to Phase 1 was EUR 201 million. </w:t>
      </w:r>
    </w:p>
    <w:p w14:paraId="475C9BAE" w14:textId="77777777" w:rsidR="00E65A2E" w:rsidRPr="007C0B4F" w:rsidRDefault="00E65A2E" w:rsidP="00E65A2E">
      <w:pPr>
        <w:rPr>
          <w:rFonts w:asciiTheme="minorHAnsi" w:hAnsiTheme="minorHAnsi" w:cstheme="minorHAnsi"/>
          <w:b/>
          <w:lang w:val="en-GB" w:eastAsia="x-none"/>
        </w:rPr>
      </w:pPr>
      <w:r w:rsidRPr="007C0B4F">
        <w:rPr>
          <w:rFonts w:asciiTheme="minorHAnsi" w:hAnsiTheme="minorHAnsi" w:cstheme="minorHAnsi"/>
          <w:b/>
          <w:lang w:val="en-GB" w:eastAsia="x-none"/>
        </w:rPr>
        <w:t xml:space="preserve">UNICEF </w:t>
      </w:r>
    </w:p>
    <w:p w14:paraId="475C9BAF" w14:textId="77777777" w:rsidR="00605D53" w:rsidRPr="007C0B4F" w:rsidRDefault="00605D53" w:rsidP="00605D53">
      <w:pPr>
        <w:rPr>
          <w:rFonts w:asciiTheme="minorHAnsi" w:hAnsiTheme="minorHAnsi" w:cstheme="minorHAnsi"/>
          <w:lang w:val="en-AU" w:eastAsia="x-none"/>
        </w:rPr>
      </w:pPr>
      <w:r w:rsidRPr="007C0B4F">
        <w:rPr>
          <w:rFonts w:asciiTheme="minorHAnsi" w:hAnsiTheme="minorHAnsi" w:cstheme="minorHAnsi"/>
          <w:lang w:val="en-AU" w:eastAsia="x-none"/>
        </w:rPr>
        <w:t>In general, UNICEF’s work in education in Indonesia focuses on understanding and responding to inequities in education service delivery including:</w:t>
      </w:r>
    </w:p>
    <w:p w14:paraId="475C9BB0" w14:textId="77777777" w:rsidR="00605D53" w:rsidRPr="007C0B4F" w:rsidRDefault="00605D53" w:rsidP="00605D53">
      <w:pPr>
        <w:pStyle w:val="ListParagraph"/>
        <w:numPr>
          <w:ilvl w:val="0"/>
          <w:numId w:val="9"/>
        </w:numPr>
        <w:rPr>
          <w:rFonts w:asciiTheme="minorHAnsi" w:hAnsiTheme="minorHAnsi" w:cstheme="minorHAnsi"/>
          <w:lang w:val="en-AU" w:eastAsia="x-none"/>
        </w:rPr>
      </w:pPr>
      <w:r w:rsidRPr="007C0B4F">
        <w:rPr>
          <w:rFonts w:asciiTheme="minorHAnsi" w:hAnsiTheme="minorHAnsi" w:cstheme="minorHAnsi"/>
          <w:lang w:val="en-AU" w:eastAsia="x-none"/>
        </w:rPr>
        <w:t>Strengthening the collection of data on the situation of children in schools, and out of classes, through community-based information systems;</w:t>
      </w:r>
    </w:p>
    <w:p w14:paraId="475C9BB1" w14:textId="77777777" w:rsidR="00605D53" w:rsidRPr="007C0B4F" w:rsidRDefault="00605D53" w:rsidP="00605D53">
      <w:pPr>
        <w:pStyle w:val="ListParagraph"/>
        <w:numPr>
          <w:ilvl w:val="0"/>
          <w:numId w:val="9"/>
        </w:numPr>
        <w:rPr>
          <w:rFonts w:asciiTheme="minorHAnsi" w:hAnsiTheme="minorHAnsi" w:cstheme="minorHAnsi"/>
          <w:lang w:val="en-AU" w:eastAsia="x-none"/>
        </w:rPr>
      </w:pPr>
      <w:r w:rsidRPr="007C0B4F">
        <w:rPr>
          <w:rFonts w:asciiTheme="minorHAnsi" w:hAnsiTheme="minorHAnsi" w:cstheme="minorHAnsi"/>
          <w:lang w:val="en-AU" w:eastAsia="x-none"/>
        </w:rPr>
        <w:t>Assessing the reasons why many young children do not participate in early childhood development, which limits their success in entering and completing primary classes, and other barriers to primary school enrolment and completion;</w:t>
      </w:r>
    </w:p>
    <w:p w14:paraId="475C9BB2" w14:textId="77777777" w:rsidR="00605D53" w:rsidRPr="007C0B4F" w:rsidRDefault="00605D53" w:rsidP="00605D53">
      <w:pPr>
        <w:pStyle w:val="ListParagraph"/>
        <w:numPr>
          <w:ilvl w:val="0"/>
          <w:numId w:val="9"/>
        </w:numPr>
        <w:rPr>
          <w:rFonts w:asciiTheme="minorHAnsi" w:hAnsiTheme="minorHAnsi" w:cstheme="minorHAnsi"/>
          <w:lang w:val="en-AU" w:eastAsia="x-none"/>
        </w:rPr>
      </w:pPr>
      <w:r w:rsidRPr="007C0B4F">
        <w:rPr>
          <w:rFonts w:asciiTheme="minorHAnsi" w:hAnsiTheme="minorHAnsi" w:cstheme="minorHAnsi"/>
          <w:lang w:val="en-AU" w:eastAsia="x-none"/>
        </w:rPr>
        <w:t>Improving the skills of school principals, supervisors and education officials to manage and delivery quality primary education that reaches all children;</w:t>
      </w:r>
    </w:p>
    <w:p w14:paraId="475C9BB3" w14:textId="77777777" w:rsidR="00605D53" w:rsidRPr="007C0B4F" w:rsidRDefault="00605D53" w:rsidP="00605D53">
      <w:pPr>
        <w:pStyle w:val="ListParagraph"/>
        <w:numPr>
          <w:ilvl w:val="0"/>
          <w:numId w:val="9"/>
        </w:numPr>
        <w:rPr>
          <w:rFonts w:asciiTheme="minorHAnsi" w:hAnsiTheme="minorHAnsi" w:cstheme="minorHAnsi"/>
          <w:lang w:val="en-AU" w:eastAsia="x-none"/>
        </w:rPr>
      </w:pPr>
      <w:r w:rsidRPr="007C0B4F">
        <w:rPr>
          <w:rFonts w:asciiTheme="minorHAnsi" w:hAnsiTheme="minorHAnsi" w:cstheme="minorHAnsi"/>
          <w:lang w:val="en-AU" w:eastAsia="x-none"/>
        </w:rPr>
        <w:t>Engaging communities and local civil society to deliver better quality services for marginalised children, for example through school-based management.</w:t>
      </w:r>
    </w:p>
    <w:p w14:paraId="475C9BB4" w14:textId="77777777" w:rsidR="00E65A2E" w:rsidRPr="007C0B4F" w:rsidRDefault="00E65A2E" w:rsidP="00E65A2E">
      <w:pPr>
        <w:rPr>
          <w:rFonts w:asciiTheme="minorHAnsi" w:hAnsiTheme="minorHAnsi" w:cstheme="minorHAnsi"/>
          <w:lang w:val="en-AU" w:eastAsia="x-none"/>
        </w:rPr>
      </w:pPr>
      <w:r w:rsidRPr="007C0B4F">
        <w:rPr>
          <w:rFonts w:asciiTheme="minorHAnsi" w:hAnsiTheme="minorHAnsi" w:cstheme="minorHAnsi"/>
          <w:lang w:val="en-AU" w:eastAsia="x-none"/>
        </w:rPr>
        <w:t xml:space="preserve">Australia provided funding of around $7.3 million (Rp72.4 billion) to UNICEF to implement the Australia-UNICEF Education Assistance to Papua and West Papua program.  The program runs from April 2010 to June 2013.   </w:t>
      </w:r>
    </w:p>
    <w:p w14:paraId="475C9BB5" w14:textId="77777777" w:rsidR="00E65A2E" w:rsidRPr="007C0B4F" w:rsidRDefault="00E65A2E" w:rsidP="00E65A2E">
      <w:pPr>
        <w:rPr>
          <w:rFonts w:asciiTheme="minorHAnsi" w:hAnsiTheme="minorHAnsi" w:cstheme="minorHAnsi"/>
          <w:lang w:val="en-AU" w:eastAsia="x-none"/>
        </w:rPr>
      </w:pPr>
      <w:r w:rsidRPr="007C0B4F">
        <w:rPr>
          <w:rFonts w:asciiTheme="minorHAnsi" w:hAnsiTheme="minorHAnsi" w:cstheme="minorHAnsi"/>
          <w:lang w:val="en-AU" w:eastAsia="x-none"/>
        </w:rPr>
        <w:t>The goal of the current program is to contribute to improved quality of primary education in Papua and West Papua through strengthened education planning, teaching practices and school management.</w:t>
      </w:r>
    </w:p>
    <w:p w14:paraId="475C9BB6" w14:textId="77777777" w:rsidR="00E65A2E" w:rsidRPr="007C0B4F" w:rsidRDefault="00E65A2E" w:rsidP="00E65A2E">
      <w:pPr>
        <w:rPr>
          <w:rFonts w:asciiTheme="minorHAnsi" w:hAnsiTheme="minorHAnsi" w:cstheme="minorHAnsi"/>
          <w:lang w:val="en-AU" w:eastAsia="x-none"/>
        </w:rPr>
      </w:pPr>
      <w:r w:rsidRPr="007C0B4F">
        <w:rPr>
          <w:rFonts w:asciiTheme="minorHAnsi" w:hAnsiTheme="minorHAnsi" w:cstheme="minorHAnsi"/>
          <w:lang w:val="en-AU" w:eastAsia="x-none"/>
        </w:rPr>
        <w:t>The program has two components:</w:t>
      </w:r>
    </w:p>
    <w:p w14:paraId="475C9BB7" w14:textId="77777777" w:rsidR="00E65A2E" w:rsidRPr="007C0B4F" w:rsidRDefault="00E65A2E" w:rsidP="00720B96">
      <w:pPr>
        <w:numPr>
          <w:ilvl w:val="0"/>
          <w:numId w:val="9"/>
        </w:numPr>
        <w:rPr>
          <w:rFonts w:asciiTheme="minorHAnsi" w:eastAsia="Times New Roman" w:hAnsiTheme="minorHAnsi" w:cstheme="minorHAnsi"/>
          <w:lang w:val="en-AU" w:eastAsia="x-none"/>
        </w:rPr>
      </w:pPr>
      <w:r w:rsidRPr="007C0B4F">
        <w:rPr>
          <w:rFonts w:asciiTheme="minorHAnsi" w:eastAsia="Times New Roman" w:hAnsiTheme="minorHAnsi" w:cstheme="minorHAnsi"/>
          <w:lang w:val="en-AU" w:eastAsia="x-none"/>
        </w:rPr>
        <w:t>Component 1: supports the provincial education offices of Papua and West Papua and six targeted districts to improve education planning and budgeting.</w:t>
      </w:r>
    </w:p>
    <w:p w14:paraId="475C9BB8" w14:textId="77777777" w:rsidR="00E65A2E" w:rsidRPr="007C0B4F" w:rsidRDefault="00E65A2E" w:rsidP="00720B96">
      <w:pPr>
        <w:numPr>
          <w:ilvl w:val="0"/>
          <w:numId w:val="9"/>
        </w:numPr>
        <w:rPr>
          <w:rFonts w:asciiTheme="minorHAnsi" w:eastAsia="Times New Roman" w:hAnsiTheme="minorHAnsi" w:cstheme="minorHAnsi"/>
          <w:lang w:val="en-AU" w:eastAsia="x-none"/>
        </w:rPr>
      </w:pPr>
      <w:r w:rsidRPr="007C0B4F">
        <w:rPr>
          <w:rFonts w:asciiTheme="minorHAnsi" w:eastAsia="Times New Roman" w:hAnsiTheme="minorHAnsi" w:cstheme="minorHAnsi"/>
          <w:lang w:val="en-AU" w:eastAsia="x-none"/>
        </w:rPr>
        <w:t xml:space="preserve">Component 2: supports improved school based management in urban schools and improved early grade and multi-grade teaching practices in rural and remote schools in the six targeted districts.  491 primary schools (out of total 809 schools), 307 in Papua and 184 in West Papua, will be directly supported.    </w:t>
      </w:r>
    </w:p>
    <w:p w14:paraId="475C9BB9" w14:textId="77777777" w:rsidR="00E65A2E" w:rsidRPr="007C0B4F" w:rsidRDefault="00E65A2E" w:rsidP="001E41F3">
      <w:pPr>
        <w:rPr>
          <w:rFonts w:asciiTheme="minorHAnsi" w:eastAsiaTheme="majorEastAsia" w:hAnsiTheme="minorHAnsi" w:cstheme="minorHAnsi"/>
          <w:b/>
          <w:bCs/>
          <w:iCs/>
          <w:lang w:val="x-none" w:eastAsia="x-none"/>
        </w:rPr>
      </w:pPr>
      <w:r w:rsidRPr="007C0B4F">
        <w:rPr>
          <w:rFonts w:asciiTheme="minorHAnsi" w:hAnsiTheme="minorHAnsi" w:cstheme="minorHAnsi"/>
          <w:lang w:val="en-AU" w:eastAsia="x-none"/>
        </w:rPr>
        <w:t>A second phase of support</w:t>
      </w:r>
      <w:r w:rsidR="00EB3649" w:rsidRPr="007C0B4F">
        <w:rPr>
          <w:rFonts w:asciiTheme="minorHAnsi" w:hAnsiTheme="minorHAnsi" w:cstheme="minorHAnsi"/>
          <w:lang w:val="en-AU" w:eastAsia="x-none"/>
        </w:rPr>
        <w:t xml:space="preserve"> </w:t>
      </w:r>
      <w:r w:rsidRPr="007C0B4F">
        <w:rPr>
          <w:rFonts w:asciiTheme="minorHAnsi" w:hAnsiTheme="minorHAnsi" w:cstheme="minorHAnsi"/>
          <w:lang w:val="en-AU" w:eastAsia="x-none"/>
        </w:rPr>
        <w:t>is currently being designed. The second phase will focus on improving education in rural and remote areas.</w:t>
      </w:r>
    </w:p>
    <w:sectPr w:rsidR="00E65A2E" w:rsidRPr="007C0B4F" w:rsidSect="00C641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C9BBE" w14:textId="77777777" w:rsidR="00C64A5B" w:rsidRDefault="00C64A5B" w:rsidP="007F4B29">
      <w:pPr>
        <w:spacing w:after="0"/>
      </w:pPr>
      <w:r>
        <w:separator/>
      </w:r>
    </w:p>
  </w:endnote>
  <w:endnote w:type="continuationSeparator" w:id="0">
    <w:p w14:paraId="475C9BBF" w14:textId="77777777" w:rsidR="00C64A5B" w:rsidRDefault="00C64A5B" w:rsidP="007F4B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C9BC1" w14:textId="77777777" w:rsidR="00C64A5B" w:rsidRDefault="00C64A5B">
    <w:pPr>
      <w:pStyle w:val="Footer"/>
      <w:jc w:val="right"/>
    </w:pPr>
  </w:p>
  <w:p w14:paraId="475C9BC2" w14:textId="77777777" w:rsidR="00C64A5B" w:rsidRDefault="00C64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860781"/>
      <w:docPartObj>
        <w:docPartGallery w:val="Page Numbers (Bottom of Page)"/>
        <w:docPartUnique/>
      </w:docPartObj>
    </w:sdtPr>
    <w:sdtEndPr>
      <w:rPr>
        <w:rFonts w:asciiTheme="minorHAnsi" w:hAnsiTheme="minorHAnsi" w:cstheme="minorHAnsi"/>
        <w:noProof/>
      </w:rPr>
    </w:sdtEndPr>
    <w:sdtContent>
      <w:p w14:paraId="475C9BC3" w14:textId="77777777" w:rsidR="00C64A5B" w:rsidRPr="0079725A" w:rsidRDefault="00C64A5B">
        <w:pPr>
          <w:pStyle w:val="Footer"/>
          <w:jc w:val="right"/>
          <w:rPr>
            <w:rFonts w:asciiTheme="minorHAnsi" w:hAnsiTheme="minorHAnsi" w:cstheme="minorHAnsi"/>
          </w:rPr>
        </w:pPr>
        <w:r w:rsidRPr="0079725A">
          <w:rPr>
            <w:rFonts w:asciiTheme="minorHAnsi" w:hAnsiTheme="minorHAnsi" w:cstheme="minorHAnsi"/>
          </w:rPr>
          <w:fldChar w:fldCharType="begin"/>
        </w:r>
        <w:r w:rsidRPr="0079725A">
          <w:rPr>
            <w:rFonts w:asciiTheme="minorHAnsi" w:hAnsiTheme="minorHAnsi" w:cstheme="minorHAnsi"/>
          </w:rPr>
          <w:instrText xml:space="preserve"> PAGE   \* MERGEFORMAT </w:instrText>
        </w:r>
        <w:r w:rsidRPr="0079725A">
          <w:rPr>
            <w:rFonts w:asciiTheme="minorHAnsi" w:hAnsiTheme="minorHAnsi" w:cstheme="minorHAnsi"/>
          </w:rPr>
          <w:fldChar w:fldCharType="separate"/>
        </w:r>
        <w:r w:rsidR="00FE556F">
          <w:rPr>
            <w:rFonts w:asciiTheme="minorHAnsi" w:hAnsiTheme="minorHAnsi" w:cstheme="minorHAnsi"/>
            <w:noProof/>
          </w:rPr>
          <w:t>28</w:t>
        </w:r>
        <w:r w:rsidRPr="0079725A">
          <w:rPr>
            <w:rFonts w:asciiTheme="minorHAnsi" w:hAnsiTheme="minorHAnsi" w:cstheme="minorHAnsi"/>
            <w:noProof/>
          </w:rPr>
          <w:fldChar w:fldCharType="end"/>
        </w:r>
      </w:p>
    </w:sdtContent>
  </w:sdt>
  <w:p w14:paraId="475C9BC4" w14:textId="77777777" w:rsidR="00C64A5B" w:rsidRPr="0079725A" w:rsidRDefault="00C64A5B">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C9BBC" w14:textId="77777777" w:rsidR="00C64A5B" w:rsidRDefault="00C64A5B" w:rsidP="007F4B29">
      <w:pPr>
        <w:spacing w:after="0"/>
      </w:pPr>
      <w:r>
        <w:separator/>
      </w:r>
    </w:p>
  </w:footnote>
  <w:footnote w:type="continuationSeparator" w:id="0">
    <w:p w14:paraId="475C9BBD" w14:textId="77777777" w:rsidR="00C64A5B" w:rsidRDefault="00C64A5B" w:rsidP="007F4B29">
      <w:pPr>
        <w:spacing w:after="0"/>
      </w:pPr>
      <w:r>
        <w:continuationSeparator/>
      </w:r>
    </w:p>
  </w:footnote>
  <w:footnote w:id="1">
    <w:p w14:paraId="475C9BC5" w14:textId="77777777" w:rsidR="00C64A5B" w:rsidRPr="003C1437" w:rsidRDefault="00C64A5B">
      <w:pPr>
        <w:pStyle w:val="FootnoteText"/>
        <w:rPr>
          <w:rFonts w:asciiTheme="minorHAnsi" w:hAnsiTheme="minorHAnsi" w:cstheme="minorHAnsi"/>
          <w:sz w:val="18"/>
          <w:szCs w:val="18"/>
          <w:lang w:val="en-AU"/>
        </w:rPr>
      </w:pPr>
      <w:r w:rsidRPr="003C1437">
        <w:rPr>
          <w:rStyle w:val="FootnoteReference"/>
          <w:rFonts w:asciiTheme="minorHAnsi" w:hAnsiTheme="minorHAnsi" w:cstheme="minorHAnsi"/>
          <w:sz w:val="18"/>
          <w:szCs w:val="18"/>
        </w:rPr>
        <w:footnoteRef/>
      </w:r>
      <w:r w:rsidRPr="003C1437">
        <w:rPr>
          <w:rFonts w:asciiTheme="minorHAnsi" w:hAnsiTheme="minorHAnsi" w:cstheme="minorHAnsi"/>
          <w:sz w:val="18"/>
          <w:szCs w:val="18"/>
        </w:rPr>
        <w:t xml:space="preserve"> </w:t>
      </w:r>
      <w:r w:rsidRPr="003C1437">
        <w:rPr>
          <w:rFonts w:asciiTheme="minorHAnsi" w:hAnsiTheme="minorHAnsi" w:cstheme="minorHAnsi"/>
          <w:sz w:val="18"/>
          <w:szCs w:val="18"/>
          <w:lang w:val="en-AU"/>
        </w:rPr>
        <w:t xml:space="preserve">UN MDG Statistical Database. While Indonesia’s record with regard to gender parity in education participation is commendable (in both access and transition at primary and junior secondary levels), broader issues associated with gender equality remain.  These include gender stereotyping in teaching material; teaching and classroom practice; restricting girls’ or boys’ participating in certain types of activities or roles; and ensuring safety from harm or harassment to, during, and from the school day.  </w:t>
      </w:r>
    </w:p>
  </w:footnote>
  <w:footnote w:id="2">
    <w:p w14:paraId="475C9BC6" w14:textId="77777777" w:rsidR="00C64A5B" w:rsidRPr="003C1437" w:rsidRDefault="00C64A5B" w:rsidP="00873635">
      <w:pPr>
        <w:pStyle w:val="FootnoteText"/>
        <w:rPr>
          <w:rFonts w:asciiTheme="minorHAnsi" w:hAnsiTheme="minorHAnsi" w:cstheme="minorHAnsi"/>
          <w:sz w:val="18"/>
          <w:szCs w:val="18"/>
        </w:rPr>
      </w:pPr>
      <w:r w:rsidRPr="003C1437">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UNICEF, </w:t>
      </w:r>
      <w:r>
        <w:rPr>
          <w:rFonts w:asciiTheme="minorHAnsi" w:hAnsiTheme="minorHAnsi" w:cstheme="minorHAnsi"/>
          <w:i/>
          <w:sz w:val="18"/>
          <w:szCs w:val="18"/>
        </w:rPr>
        <w:t>Global Initiative on Out-of-School Children: Indonesia Country Study</w:t>
      </w:r>
      <w:r>
        <w:rPr>
          <w:rFonts w:asciiTheme="minorHAnsi" w:hAnsiTheme="minorHAnsi" w:cstheme="minorHAnsi"/>
          <w:sz w:val="18"/>
          <w:szCs w:val="18"/>
        </w:rPr>
        <w:t xml:space="preserve"> (2012)</w:t>
      </w:r>
      <w:r w:rsidRPr="003C1437">
        <w:rPr>
          <w:rFonts w:asciiTheme="minorHAnsi" w:hAnsiTheme="minorHAnsi" w:cstheme="minorHAnsi"/>
          <w:sz w:val="18"/>
          <w:szCs w:val="18"/>
        </w:rPr>
        <w:t>.</w:t>
      </w:r>
    </w:p>
  </w:footnote>
  <w:footnote w:id="3">
    <w:p w14:paraId="475C9BC7" w14:textId="77777777" w:rsidR="00C64A5B" w:rsidRPr="0095178E" w:rsidRDefault="00C64A5B">
      <w:pPr>
        <w:pStyle w:val="FootnoteText"/>
        <w:rPr>
          <w:lang w:val="en-AU"/>
        </w:rPr>
      </w:pPr>
      <w:r w:rsidRPr="0095178E">
        <w:rPr>
          <w:rStyle w:val="FootnoteReference"/>
          <w:color w:val="4BACC6" w:themeColor="accent5"/>
        </w:rPr>
        <w:footnoteRef/>
      </w:r>
      <w:r w:rsidRPr="0095178E">
        <w:rPr>
          <w:color w:val="4BACC6" w:themeColor="accent5"/>
        </w:rPr>
        <w:t xml:space="preserve"> </w:t>
      </w:r>
      <w:r w:rsidRPr="0095178E">
        <w:rPr>
          <w:rFonts w:asciiTheme="minorHAnsi" w:hAnsiTheme="minorHAnsi"/>
          <w:color w:val="4BACC6" w:themeColor="accent5"/>
          <w:sz w:val="18"/>
          <w:szCs w:val="18"/>
          <w:lang w:val="en-AU"/>
        </w:rPr>
        <w:t>A distinction is drawn in this note between access to schooling (</w:t>
      </w:r>
      <w:r>
        <w:rPr>
          <w:rFonts w:asciiTheme="minorHAnsi" w:hAnsiTheme="minorHAnsi"/>
          <w:color w:val="4BACC6" w:themeColor="accent5"/>
          <w:sz w:val="18"/>
          <w:szCs w:val="18"/>
          <w:lang w:val="en-AU"/>
        </w:rPr>
        <w:t>including</w:t>
      </w:r>
      <w:r w:rsidRPr="0095178E">
        <w:rPr>
          <w:rFonts w:asciiTheme="minorHAnsi" w:hAnsiTheme="minorHAnsi"/>
          <w:color w:val="4BACC6" w:themeColor="accent5"/>
          <w:sz w:val="18"/>
          <w:szCs w:val="18"/>
          <w:lang w:val="en-AU"/>
        </w:rPr>
        <w:t xml:space="preserve"> enrolment, physical access, financial access) and participation in schooling (which includes attendance, </w:t>
      </w:r>
      <w:r>
        <w:rPr>
          <w:rFonts w:asciiTheme="minorHAnsi" w:hAnsiTheme="minorHAnsi"/>
          <w:color w:val="4BACC6" w:themeColor="accent5"/>
          <w:sz w:val="18"/>
          <w:szCs w:val="18"/>
          <w:lang w:val="en-AU"/>
        </w:rPr>
        <w:t xml:space="preserve">grade repetition, </w:t>
      </w:r>
      <w:r w:rsidRPr="0095178E">
        <w:rPr>
          <w:rFonts w:asciiTheme="minorHAnsi" w:hAnsiTheme="minorHAnsi"/>
          <w:color w:val="4BACC6" w:themeColor="accent5"/>
          <w:sz w:val="18"/>
          <w:szCs w:val="18"/>
          <w:lang w:val="en-AU"/>
        </w:rPr>
        <w:t>ability to learn, and acquisition of knowledge and skills).</w:t>
      </w:r>
    </w:p>
  </w:footnote>
  <w:footnote w:id="4">
    <w:p w14:paraId="475C9BC8" w14:textId="77777777" w:rsidR="00C64A5B" w:rsidRPr="0073617A" w:rsidRDefault="00C64A5B">
      <w:pPr>
        <w:pStyle w:val="FootnoteText"/>
        <w:rPr>
          <w:lang w:val="en-AU"/>
        </w:rPr>
      </w:pPr>
      <w:r w:rsidRPr="003C1437">
        <w:rPr>
          <w:rStyle w:val="FootnoteReference"/>
          <w:rFonts w:asciiTheme="minorHAnsi" w:hAnsiTheme="minorHAnsi" w:cstheme="minorHAnsi"/>
          <w:sz w:val="18"/>
          <w:szCs w:val="18"/>
        </w:rPr>
        <w:footnoteRef/>
      </w:r>
      <w:r>
        <w:t xml:space="preserve"> </w:t>
      </w:r>
      <w:r w:rsidRPr="0073617A">
        <w:rPr>
          <w:rFonts w:asciiTheme="minorHAnsi" w:hAnsiTheme="minorHAnsi" w:cstheme="minorHAnsi"/>
          <w:sz w:val="18"/>
          <w:szCs w:val="18"/>
        </w:rPr>
        <w:t xml:space="preserve">Ali, Mohammed et al. </w:t>
      </w:r>
      <w:r w:rsidRPr="0073617A">
        <w:rPr>
          <w:rFonts w:asciiTheme="minorHAnsi" w:hAnsiTheme="minorHAnsi" w:cstheme="minorHAnsi"/>
          <w:i/>
          <w:sz w:val="18"/>
          <w:szCs w:val="18"/>
        </w:rPr>
        <w:t>Quality of Education in Madrasah: Main Study</w:t>
      </w:r>
      <w:r w:rsidRPr="0073617A">
        <w:rPr>
          <w:rFonts w:asciiTheme="minorHAnsi" w:hAnsiTheme="minorHAnsi" w:cstheme="minorHAnsi"/>
          <w:sz w:val="18"/>
          <w:szCs w:val="18"/>
        </w:rPr>
        <w:t xml:space="preserve"> (2010), joint publication of AusAID and World Bank Indonesia.</w:t>
      </w:r>
    </w:p>
  </w:footnote>
  <w:footnote w:id="5">
    <w:p w14:paraId="475C9BC9" w14:textId="77777777" w:rsidR="00C64A5B" w:rsidRPr="005B0E72" w:rsidRDefault="00C64A5B">
      <w:pPr>
        <w:pStyle w:val="FootnoteText"/>
        <w:rPr>
          <w:rFonts w:asciiTheme="minorHAnsi" w:hAnsiTheme="minorHAnsi" w:cstheme="minorHAnsi"/>
          <w:sz w:val="18"/>
          <w:szCs w:val="18"/>
          <w:lang w:val="en-AU"/>
        </w:rPr>
      </w:pPr>
      <w:r w:rsidRPr="005B0E72">
        <w:rPr>
          <w:rStyle w:val="FootnoteReference"/>
          <w:rFonts w:asciiTheme="minorHAnsi" w:hAnsiTheme="minorHAnsi" w:cstheme="minorHAnsi"/>
          <w:sz w:val="18"/>
          <w:szCs w:val="18"/>
        </w:rPr>
        <w:footnoteRef/>
      </w:r>
      <w:r w:rsidRPr="005B0E72">
        <w:rPr>
          <w:rFonts w:asciiTheme="minorHAnsi" w:hAnsiTheme="minorHAnsi" w:cstheme="minorHAnsi"/>
          <w:sz w:val="18"/>
          <w:szCs w:val="18"/>
        </w:rPr>
        <w:t xml:space="preserve"> </w:t>
      </w:r>
      <w:r w:rsidRPr="005B0E72">
        <w:rPr>
          <w:rFonts w:asciiTheme="minorHAnsi" w:hAnsiTheme="minorHAnsi" w:cstheme="minorHAnsi"/>
          <w:sz w:val="18"/>
          <w:szCs w:val="18"/>
          <w:lang w:val="en-AU"/>
        </w:rPr>
        <w:t>Fahmi, Maulana and Yusup (2011)</w:t>
      </w:r>
    </w:p>
  </w:footnote>
  <w:footnote w:id="6">
    <w:p w14:paraId="475C9BCA" w14:textId="77777777" w:rsidR="00C64A5B" w:rsidRPr="005B0E72" w:rsidRDefault="00C64A5B" w:rsidP="00873635">
      <w:pPr>
        <w:pStyle w:val="FootnoteText"/>
        <w:rPr>
          <w:rFonts w:asciiTheme="minorHAnsi" w:hAnsiTheme="minorHAnsi" w:cstheme="minorHAnsi"/>
          <w:sz w:val="18"/>
          <w:szCs w:val="18"/>
        </w:rPr>
      </w:pPr>
      <w:r w:rsidRPr="005B0E72">
        <w:rPr>
          <w:rStyle w:val="FootnoteReference"/>
          <w:rFonts w:asciiTheme="minorHAnsi" w:hAnsiTheme="minorHAnsi" w:cstheme="minorHAnsi"/>
          <w:sz w:val="18"/>
          <w:szCs w:val="18"/>
        </w:rPr>
        <w:footnoteRef/>
      </w:r>
      <w:r w:rsidRPr="005B0E72">
        <w:rPr>
          <w:rFonts w:asciiTheme="minorHAnsi" w:hAnsiTheme="minorHAnsi" w:cstheme="minorHAnsi"/>
          <w:sz w:val="18"/>
          <w:szCs w:val="18"/>
        </w:rPr>
        <w:t xml:space="preserve"> Between 2005 and 2009, Indonesia increased public expenditure on education by over 60 per cent in real terms.</w:t>
      </w:r>
    </w:p>
  </w:footnote>
  <w:footnote w:id="7">
    <w:p w14:paraId="475C9BCB" w14:textId="77777777" w:rsidR="00C64A5B" w:rsidRDefault="00C64A5B" w:rsidP="00873635">
      <w:pPr>
        <w:pStyle w:val="FootnoteText"/>
      </w:pPr>
      <w:r w:rsidRPr="005B0E72">
        <w:rPr>
          <w:rStyle w:val="FootnoteReference"/>
          <w:rFonts w:asciiTheme="minorHAnsi" w:hAnsiTheme="minorHAnsi" w:cstheme="minorHAnsi"/>
          <w:sz w:val="18"/>
          <w:szCs w:val="18"/>
        </w:rPr>
        <w:footnoteRef/>
      </w:r>
      <w:r w:rsidRPr="005B0E72">
        <w:rPr>
          <w:rFonts w:asciiTheme="minorHAnsi" w:hAnsiTheme="minorHAnsi" w:cstheme="minorHAnsi"/>
          <w:sz w:val="18"/>
          <w:szCs w:val="18"/>
        </w:rPr>
        <w:t xml:space="preserve"> This priority is articulated in the Medium Term Development Plan 2010-14 and the Master Plan for Advancing and Accelerating Indonesia’s Economic Growth.</w:t>
      </w:r>
      <w:r>
        <w:t xml:space="preserve">  </w:t>
      </w:r>
    </w:p>
  </w:footnote>
  <w:footnote w:id="8">
    <w:p w14:paraId="475C9BCC" w14:textId="77777777" w:rsidR="00C64A5B" w:rsidRPr="005B0E72" w:rsidRDefault="00C64A5B" w:rsidP="00873635">
      <w:pPr>
        <w:pStyle w:val="FootnoteText"/>
        <w:rPr>
          <w:rFonts w:asciiTheme="minorHAnsi" w:hAnsiTheme="minorHAnsi" w:cstheme="minorHAnsi"/>
          <w:sz w:val="18"/>
          <w:szCs w:val="18"/>
        </w:rPr>
      </w:pPr>
      <w:r w:rsidRPr="005B0E72">
        <w:rPr>
          <w:rStyle w:val="FootnoteReference"/>
          <w:rFonts w:asciiTheme="minorHAnsi" w:hAnsiTheme="minorHAnsi" w:cstheme="minorHAnsi"/>
          <w:sz w:val="18"/>
          <w:szCs w:val="18"/>
        </w:rPr>
        <w:footnoteRef/>
      </w:r>
      <w:r w:rsidRPr="005B0E72">
        <w:rPr>
          <w:rFonts w:asciiTheme="minorHAnsi" w:hAnsiTheme="minorHAnsi" w:cstheme="minorHAnsi"/>
          <w:sz w:val="18"/>
          <w:szCs w:val="18"/>
        </w:rPr>
        <w:t xml:space="preserve"> Under the Australia-Indonesia Basic Education Program (BEP) Australia supported the construction of over 2,000 junior secondary schools which created 330,000 new places for 13-15 year olds.</w:t>
      </w:r>
      <w:r>
        <w:rPr>
          <w:rFonts w:asciiTheme="minorHAnsi" w:hAnsiTheme="minorHAnsi" w:cstheme="minorHAnsi"/>
          <w:sz w:val="18"/>
          <w:szCs w:val="18"/>
        </w:rPr>
        <w:t xml:space="preserve"> Under the EP, Australia will build or renovate up to 2,000 additional junior secondary schools.</w:t>
      </w:r>
    </w:p>
  </w:footnote>
  <w:footnote w:id="9">
    <w:p w14:paraId="475C9BCD" w14:textId="77777777" w:rsidR="00C64A5B" w:rsidRPr="007C0C47" w:rsidRDefault="00C64A5B">
      <w:pPr>
        <w:pStyle w:val="FootnoteText"/>
        <w:rPr>
          <w:rFonts w:asciiTheme="minorHAnsi" w:hAnsiTheme="minorHAnsi" w:cstheme="minorHAnsi"/>
          <w:sz w:val="18"/>
          <w:szCs w:val="18"/>
          <w:lang w:val="en-GB"/>
        </w:rPr>
      </w:pPr>
      <w:r w:rsidRPr="007C0C47">
        <w:rPr>
          <w:rStyle w:val="FootnoteReference"/>
          <w:rFonts w:asciiTheme="minorHAnsi" w:hAnsiTheme="minorHAnsi" w:cstheme="minorHAnsi"/>
          <w:sz w:val="18"/>
          <w:szCs w:val="18"/>
        </w:rPr>
        <w:footnoteRef/>
      </w:r>
      <w:r w:rsidRPr="007C0C47">
        <w:rPr>
          <w:rFonts w:asciiTheme="minorHAnsi" w:hAnsiTheme="minorHAnsi" w:cstheme="minorHAnsi"/>
          <w:sz w:val="18"/>
          <w:szCs w:val="18"/>
        </w:rPr>
        <w:t xml:space="preserve"> </w:t>
      </w:r>
      <w:r w:rsidRPr="007C0C47">
        <w:rPr>
          <w:rFonts w:asciiTheme="minorHAnsi" w:hAnsiTheme="minorHAnsi" w:cstheme="minorHAnsi"/>
          <w:sz w:val="18"/>
          <w:szCs w:val="18"/>
          <w:lang w:val="en-GB"/>
        </w:rPr>
        <w:t xml:space="preserve">The current scope of the Education Partnerships is profiled at Annex 2.  While the Facility itself will (at least initially) operate outside the established structures/arrangement for broader EP, it must nevertheless be seen (and used) as an important complementary initiative.  Lessons learned from the Facility’s work could be used to inform AusAID’s assessments of current EP initiatives (such as the impact of the professional development for school principals/supervisors and the madrasah accreditation programs) as well as the development of future programs.  </w:t>
      </w:r>
    </w:p>
  </w:footnote>
  <w:footnote w:id="10">
    <w:p w14:paraId="475C9BCE" w14:textId="77777777" w:rsidR="00C64A5B" w:rsidRPr="00A87B11" w:rsidRDefault="00C64A5B" w:rsidP="00953823">
      <w:pPr>
        <w:pStyle w:val="FootnoteText"/>
        <w:rPr>
          <w:rFonts w:asciiTheme="minorHAnsi" w:hAnsiTheme="minorHAnsi" w:cstheme="minorHAnsi"/>
          <w:sz w:val="18"/>
          <w:szCs w:val="18"/>
          <w:lang w:val="en-GB"/>
        </w:rPr>
      </w:pPr>
      <w:r w:rsidRPr="00A87B11">
        <w:rPr>
          <w:rStyle w:val="FootnoteReference"/>
          <w:rFonts w:asciiTheme="minorHAnsi" w:hAnsiTheme="minorHAnsi" w:cstheme="minorHAnsi"/>
          <w:sz w:val="18"/>
          <w:szCs w:val="18"/>
        </w:rPr>
        <w:footnoteRef/>
      </w:r>
      <w:r w:rsidRPr="00A87B11">
        <w:rPr>
          <w:rFonts w:asciiTheme="minorHAnsi" w:hAnsiTheme="minorHAnsi" w:cstheme="minorHAnsi"/>
          <w:sz w:val="18"/>
          <w:szCs w:val="18"/>
        </w:rPr>
        <w:t xml:space="preserve"> </w:t>
      </w:r>
      <w:r w:rsidRPr="00A87B11">
        <w:rPr>
          <w:rFonts w:asciiTheme="minorHAnsi" w:hAnsiTheme="minorHAnsi" w:cstheme="minorHAnsi"/>
          <w:sz w:val="18"/>
          <w:szCs w:val="18"/>
          <w:lang w:val="en-GB"/>
        </w:rPr>
        <w:t xml:space="preserve">UNICEF, </w:t>
      </w:r>
      <w:r w:rsidRPr="00A87B11">
        <w:rPr>
          <w:rFonts w:asciiTheme="minorHAnsi" w:hAnsiTheme="minorHAnsi" w:cstheme="minorHAnsi"/>
          <w:i/>
          <w:sz w:val="18"/>
          <w:szCs w:val="18"/>
          <w:lang w:val="en-GB"/>
        </w:rPr>
        <w:t>Global Initiative on Out-of-School Children</w:t>
      </w:r>
      <w:r w:rsidRPr="00A87B11">
        <w:rPr>
          <w:rFonts w:asciiTheme="minorHAnsi" w:hAnsiTheme="minorHAnsi" w:cstheme="minorHAnsi"/>
          <w:sz w:val="18"/>
          <w:szCs w:val="18"/>
          <w:lang w:val="en-GB"/>
        </w:rPr>
        <w:t xml:space="preserve">, Indonesia Country Report (2012).  </w:t>
      </w:r>
    </w:p>
  </w:footnote>
  <w:footnote w:id="11">
    <w:p w14:paraId="475C9BCF" w14:textId="77777777" w:rsidR="00C64A5B" w:rsidRPr="00A87B11" w:rsidRDefault="00C64A5B" w:rsidP="00953823">
      <w:pPr>
        <w:pStyle w:val="FootnoteText"/>
        <w:rPr>
          <w:rFonts w:asciiTheme="minorHAnsi" w:hAnsiTheme="minorHAnsi" w:cstheme="minorHAnsi"/>
          <w:sz w:val="18"/>
          <w:szCs w:val="18"/>
          <w:lang w:val="en-GB"/>
        </w:rPr>
      </w:pPr>
      <w:r w:rsidRPr="00A87B11">
        <w:rPr>
          <w:rStyle w:val="FootnoteReference"/>
          <w:rFonts w:asciiTheme="minorHAnsi" w:hAnsiTheme="minorHAnsi" w:cstheme="minorHAnsi"/>
          <w:sz w:val="18"/>
          <w:szCs w:val="18"/>
        </w:rPr>
        <w:footnoteRef/>
      </w:r>
      <w:r w:rsidRPr="00A87B11">
        <w:rPr>
          <w:rFonts w:asciiTheme="minorHAnsi" w:hAnsiTheme="minorHAnsi" w:cstheme="minorHAnsi"/>
          <w:sz w:val="18"/>
          <w:szCs w:val="18"/>
        </w:rPr>
        <w:t xml:space="preserve"> </w:t>
      </w:r>
      <w:r w:rsidRPr="00A87B11">
        <w:rPr>
          <w:rFonts w:asciiTheme="minorHAnsi" w:hAnsiTheme="minorHAnsi" w:cstheme="minorHAnsi"/>
          <w:sz w:val="18"/>
          <w:szCs w:val="18"/>
          <w:lang w:val="en-GB"/>
        </w:rPr>
        <w:t xml:space="preserve">The CREATE framework analyses the impact on overall ‘access to learning’ rates of children who enrol late, fail to attend properly, drop out or repeat, fail to transition, and/or fail to acquire requisite knowledge and skills </w:t>
      </w:r>
    </w:p>
  </w:footnote>
  <w:footnote w:id="12">
    <w:p w14:paraId="475C9BD0" w14:textId="77777777" w:rsidR="00C64A5B" w:rsidRPr="00A87B11" w:rsidRDefault="00C64A5B" w:rsidP="00953823">
      <w:pPr>
        <w:pStyle w:val="FootnoteText"/>
        <w:rPr>
          <w:rFonts w:asciiTheme="minorHAnsi" w:hAnsiTheme="minorHAnsi" w:cstheme="minorHAnsi"/>
          <w:sz w:val="18"/>
          <w:szCs w:val="18"/>
          <w:lang w:val="en-GB"/>
        </w:rPr>
      </w:pPr>
      <w:r w:rsidRPr="00A87B11">
        <w:rPr>
          <w:rStyle w:val="FootnoteReference"/>
          <w:rFonts w:asciiTheme="minorHAnsi" w:hAnsiTheme="minorHAnsi" w:cstheme="minorHAnsi"/>
          <w:sz w:val="18"/>
          <w:szCs w:val="18"/>
        </w:rPr>
        <w:footnoteRef/>
      </w:r>
      <w:r w:rsidRPr="00A87B11">
        <w:rPr>
          <w:rFonts w:asciiTheme="minorHAnsi" w:hAnsiTheme="minorHAnsi" w:cstheme="minorHAnsi"/>
          <w:sz w:val="18"/>
          <w:szCs w:val="18"/>
        </w:rPr>
        <w:t xml:space="preserve"> </w:t>
      </w:r>
      <w:r w:rsidRPr="00A87B11">
        <w:rPr>
          <w:rFonts w:asciiTheme="minorHAnsi" w:hAnsiTheme="minorHAnsi" w:cstheme="minorHAnsi"/>
          <w:sz w:val="18"/>
          <w:szCs w:val="18"/>
          <w:lang w:val="en-GB"/>
        </w:rPr>
        <w:t xml:space="preserve">Wold Bank, 2012, Spending more or spending better: Improving education financing in Indonesia: A public expenditure review.  Still in draft. </w:t>
      </w:r>
    </w:p>
  </w:footnote>
  <w:footnote w:id="13">
    <w:p w14:paraId="475C9BD1" w14:textId="77777777" w:rsidR="00C64A5B" w:rsidRPr="00A87B11" w:rsidRDefault="00C64A5B" w:rsidP="00953823">
      <w:pPr>
        <w:pStyle w:val="FootnoteText"/>
        <w:rPr>
          <w:rFonts w:asciiTheme="minorHAnsi" w:hAnsiTheme="minorHAnsi" w:cstheme="minorHAnsi"/>
          <w:sz w:val="18"/>
          <w:szCs w:val="18"/>
          <w:lang w:val="en-GB"/>
        </w:rPr>
      </w:pPr>
      <w:r w:rsidRPr="00A87B11">
        <w:rPr>
          <w:rStyle w:val="FootnoteReference"/>
          <w:rFonts w:asciiTheme="minorHAnsi" w:hAnsiTheme="minorHAnsi" w:cstheme="minorHAnsi"/>
          <w:sz w:val="18"/>
          <w:szCs w:val="18"/>
        </w:rPr>
        <w:footnoteRef/>
      </w:r>
      <w:r w:rsidRPr="00A87B11">
        <w:rPr>
          <w:rFonts w:asciiTheme="minorHAnsi" w:hAnsiTheme="minorHAnsi" w:cstheme="minorHAnsi"/>
          <w:sz w:val="18"/>
          <w:szCs w:val="18"/>
        </w:rPr>
        <w:t xml:space="preserve"> </w:t>
      </w:r>
      <w:r w:rsidRPr="00A87B11">
        <w:rPr>
          <w:rFonts w:asciiTheme="minorHAnsi" w:hAnsiTheme="minorHAnsi" w:cstheme="minorHAnsi"/>
          <w:sz w:val="18"/>
          <w:szCs w:val="18"/>
          <w:lang w:val="en-GB"/>
        </w:rPr>
        <w:t>Ministry of Education and Culture, 2009-10 Education Statistics in Brief</w:t>
      </w:r>
    </w:p>
  </w:footnote>
  <w:footnote w:id="14">
    <w:p w14:paraId="475C9BD2" w14:textId="77777777" w:rsidR="00C64A5B" w:rsidRPr="00A15168" w:rsidRDefault="00C64A5B" w:rsidP="00953823">
      <w:pPr>
        <w:pStyle w:val="FootnoteText"/>
        <w:rPr>
          <w:lang w:val="en-GB"/>
        </w:rPr>
      </w:pPr>
      <w:r w:rsidRPr="00A87B11">
        <w:rPr>
          <w:rStyle w:val="FootnoteReference"/>
          <w:rFonts w:asciiTheme="minorHAnsi" w:hAnsiTheme="minorHAnsi" w:cstheme="minorHAnsi"/>
          <w:sz w:val="18"/>
          <w:szCs w:val="18"/>
        </w:rPr>
        <w:footnoteRef/>
      </w:r>
      <w:r w:rsidRPr="00A87B11">
        <w:rPr>
          <w:rFonts w:asciiTheme="minorHAnsi" w:hAnsiTheme="minorHAnsi" w:cstheme="minorHAnsi"/>
          <w:sz w:val="18"/>
          <w:szCs w:val="18"/>
        </w:rPr>
        <w:t xml:space="preserve"> </w:t>
      </w:r>
      <w:r w:rsidRPr="00A87B11">
        <w:rPr>
          <w:rFonts w:asciiTheme="minorHAnsi" w:hAnsiTheme="minorHAnsi" w:cstheme="minorHAnsi"/>
          <w:sz w:val="18"/>
          <w:szCs w:val="18"/>
          <w:lang w:val="en-GB"/>
        </w:rPr>
        <w:t>Review of a Decade of Gender Mainstreaming in Education.  ACDP-005. June 2012.</w:t>
      </w:r>
      <w:r>
        <w:rPr>
          <w:lang w:val="en-GB"/>
        </w:rPr>
        <w:t xml:space="preserve"> </w:t>
      </w:r>
    </w:p>
  </w:footnote>
  <w:footnote w:id="15">
    <w:p w14:paraId="475C9BD3" w14:textId="77777777" w:rsidR="00C64A5B" w:rsidRPr="005803D0" w:rsidRDefault="00C64A5B" w:rsidP="00953823">
      <w:pPr>
        <w:pStyle w:val="FootnoteText"/>
        <w:rPr>
          <w:rFonts w:asciiTheme="minorHAnsi" w:hAnsiTheme="minorHAnsi" w:cstheme="minorHAnsi"/>
          <w:sz w:val="18"/>
          <w:szCs w:val="18"/>
          <w:lang w:val="en-GB"/>
        </w:rPr>
      </w:pPr>
      <w:r w:rsidRPr="005803D0">
        <w:rPr>
          <w:rStyle w:val="FootnoteReference"/>
          <w:rFonts w:asciiTheme="minorHAnsi" w:hAnsiTheme="minorHAnsi" w:cstheme="minorHAnsi"/>
          <w:sz w:val="18"/>
          <w:szCs w:val="18"/>
        </w:rPr>
        <w:footnoteRef/>
      </w:r>
      <w:r w:rsidRPr="005803D0">
        <w:rPr>
          <w:rFonts w:asciiTheme="minorHAnsi" w:hAnsiTheme="minorHAnsi" w:cstheme="minorHAnsi"/>
          <w:sz w:val="18"/>
          <w:szCs w:val="18"/>
        </w:rPr>
        <w:t xml:space="preserve"> </w:t>
      </w:r>
      <w:r w:rsidRPr="005803D0">
        <w:rPr>
          <w:rFonts w:asciiTheme="minorHAnsi" w:hAnsiTheme="minorHAnsi" w:cstheme="minorHAnsi"/>
          <w:sz w:val="18"/>
          <w:szCs w:val="18"/>
          <w:lang w:val="en-GB"/>
        </w:rPr>
        <w:t>Hanushek and Woessmann, 2007, The Role of Education Quality in Economic Growth</w:t>
      </w:r>
    </w:p>
  </w:footnote>
  <w:footnote w:id="16">
    <w:p w14:paraId="475C9BD4" w14:textId="77777777" w:rsidR="00C64A5B" w:rsidRPr="005803D0" w:rsidRDefault="00C64A5B" w:rsidP="00953823">
      <w:pPr>
        <w:pStyle w:val="FootnoteText"/>
        <w:rPr>
          <w:rFonts w:asciiTheme="minorHAnsi" w:hAnsiTheme="minorHAnsi" w:cstheme="minorHAnsi"/>
          <w:sz w:val="18"/>
          <w:szCs w:val="18"/>
          <w:lang w:val="en-GB"/>
        </w:rPr>
      </w:pPr>
      <w:r w:rsidRPr="005803D0">
        <w:rPr>
          <w:rStyle w:val="FootnoteReference"/>
          <w:rFonts w:asciiTheme="minorHAnsi" w:hAnsiTheme="minorHAnsi" w:cstheme="minorHAnsi"/>
          <w:sz w:val="18"/>
          <w:szCs w:val="18"/>
        </w:rPr>
        <w:footnoteRef/>
      </w:r>
      <w:r w:rsidRPr="005803D0">
        <w:rPr>
          <w:rFonts w:asciiTheme="minorHAnsi" w:hAnsiTheme="minorHAnsi" w:cstheme="minorHAnsi"/>
          <w:sz w:val="18"/>
          <w:szCs w:val="18"/>
        </w:rPr>
        <w:t xml:space="preserve"> World Bank, Education Strategy, p. 2.</w:t>
      </w:r>
    </w:p>
  </w:footnote>
  <w:footnote w:id="17">
    <w:p w14:paraId="475C9BD5" w14:textId="77777777" w:rsidR="00C64A5B" w:rsidRPr="005803D0" w:rsidRDefault="00C64A5B" w:rsidP="00953823">
      <w:pPr>
        <w:pStyle w:val="FootnoteText"/>
        <w:rPr>
          <w:rFonts w:asciiTheme="minorHAnsi" w:hAnsiTheme="minorHAnsi" w:cstheme="minorHAnsi"/>
          <w:sz w:val="18"/>
          <w:szCs w:val="18"/>
          <w:lang w:val="en-GB"/>
        </w:rPr>
      </w:pPr>
      <w:r w:rsidRPr="005803D0">
        <w:rPr>
          <w:rStyle w:val="FootnoteReference"/>
          <w:rFonts w:asciiTheme="minorHAnsi" w:hAnsiTheme="minorHAnsi" w:cstheme="minorHAnsi"/>
          <w:sz w:val="18"/>
          <w:szCs w:val="18"/>
        </w:rPr>
        <w:footnoteRef/>
      </w:r>
      <w:r w:rsidRPr="005803D0">
        <w:rPr>
          <w:rFonts w:asciiTheme="minorHAnsi" w:hAnsiTheme="minorHAnsi" w:cstheme="minorHAnsi"/>
          <w:sz w:val="18"/>
          <w:szCs w:val="18"/>
        </w:rPr>
        <w:t xml:space="preserve"> </w:t>
      </w:r>
      <w:r w:rsidRPr="005803D0">
        <w:rPr>
          <w:rFonts w:asciiTheme="minorHAnsi" w:hAnsiTheme="minorHAnsi" w:cstheme="minorHAnsi"/>
          <w:sz w:val="18"/>
          <w:szCs w:val="18"/>
          <w:lang w:val="en-GB"/>
        </w:rPr>
        <w:t>The OECD Programme for International Student Assessment (PISA) evaluates education systems worldwide every three years by assessing 15 year olds’ competencies in the key subjects of reading, maths and science.   The International Association for the Evaluation of Education Achievement’s (IEA) Trends in International Mathematics and Science Study (TIMMS) reports every four years on the maths and science achievement of 4</w:t>
      </w:r>
      <w:r w:rsidRPr="005803D0">
        <w:rPr>
          <w:rFonts w:asciiTheme="minorHAnsi" w:hAnsiTheme="minorHAnsi" w:cstheme="minorHAnsi"/>
          <w:sz w:val="18"/>
          <w:szCs w:val="18"/>
          <w:vertAlign w:val="superscript"/>
          <w:lang w:val="en-GB"/>
        </w:rPr>
        <w:t>th</w:t>
      </w:r>
      <w:r w:rsidRPr="005803D0">
        <w:rPr>
          <w:rFonts w:asciiTheme="minorHAnsi" w:hAnsiTheme="minorHAnsi" w:cstheme="minorHAnsi"/>
          <w:sz w:val="18"/>
          <w:szCs w:val="18"/>
          <w:lang w:val="en-GB"/>
        </w:rPr>
        <w:t xml:space="preserve"> and 8</w:t>
      </w:r>
      <w:r w:rsidRPr="005803D0">
        <w:rPr>
          <w:rFonts w:asciiTheme="minorHAnsi" w:hAnsiTheme="minorHAnsi" w:cstheme="minorHAnsi"/>
          <w:sz w:val="18"/>
          <w:szCs w:val="18"/>
          <w:vertAlign w:val="superscript"/>
          <w:lang w:val="en-GB"/>
        </w:rPr>
        <w:t>th</w:t>
      </w:r>
      <w:r w:rsidRPr="005803D0">
        <w:rPr>
          <w:rFonts w:asciiTheme="minorHAnsi" w:hAnsiTheme="minorHAnsi" w:cstheme="minorHAnsi"/>
          <w:sz w:val="18"/>
          <w:szCs w:val="18"/>
          <w:lang w:val="en-GB"/>
        </w:rPr>
        <w:t xml:space="preserve"> grade students worldwide. </w:t>
      </w:r>
    </w:p>
  </w:footnote>
  <w:footnote w:id="18">
    <w:p w14:paraId="475C9BD6" w14:textId="77777777" w:rsidR="00C64A5B" w:rsidRPr="005803D0" w:rsidRDefault="00C64A5B" w:rsidP="00953823">
      <w:pPr>
        <w:pStyle w:val="FootnoteText"/>
        <w:rPr>
          <w:rFonts w:asciiTheme="minorHAnsi" w:hAnsiTheme="minorHAnsi" w:cstheme="minorHAnsi"/>
          <w:sz w:val="18"/>
          <w:szCs w:val="18"/>
          <w:lang w:val="en-GB"/>
        </w:rPr>
      </w:pPr>
      <w:r w:rsidRPr="005803D0">
        <w:rPr>
          <w:rStyle w:val="FootnoteReference"/>
          <w:rFonts w:asciiTheme="minorHAnsi" w:hAnsiTheme="minorHAnsi" w:cstheme="minorHAnsi"/>
          <w:sz w:val="18"/>
          <w:szCs w:val="18"/>
        </w:rPr>
        <w:footnoteRef/>
      </w:r>
      <w:r w:rsidRPr="005803D0">
        <w:rPr>
          <w:rFonts w:asciiTheme="minorHAnsi" w:hAnsiTheme="minorHAnsi" w:cstheme="minorHAnsi"/>
          <w:sz w:val="18"/>
          <w:szCs w:val="18"/>
        </w:rPr>
        <w:t xml:space="preserve"> </w:t>
      </w:r>
      <w:r w:rsidRPr="005803D0">
        <w:rPr>
          <w:rFonts w:asciiTheme="minorHAnsi" w:hAnsiTheme="minorHAnsi" w:cstheme="minorHAnsi"/>
          <w:sz w:val="18"/>
          <w:szCs w:val="18"/>
          <w:lang w:val="en-GB"/>
        </w:rPr>
        <w:t xml:space="preserve">World Bank, 2010, Transforming Indonesia’s Teaching Force, p2. </w:t>
      </w:r>
    </w:p>
  </w:footnote>
  <w:footnote w:id="19">
    <w:p w14:paraId="475C9BD7" w14:textId="77777777" w:rsidR="00C64A5B" w:rsidRPr="005F5557" w:rsidRDefault="00C64A5B" w:rsidP="00953823">
      <w:pPr>
        <w:pStyle w:val="FootnoteText"/>
        <w:rPr>
          <w:lang w:val="en-GB"/>
        </w:rPr>
      </w:pPr>
      <w:r w:rsidRPr="005803D0">
        <w:rPr>
          <w:rStyle w:val="FootnoteReference"/>
          <w:rFonts w:asciiTheme="minorHAnsi" w:hAnsiTheme="minorHAnsi" w:cstheme="minorHAnsi"/>
          <w:sz w:val="18"/>
          <w:szCs w:val="18"/>
        </w:rPr>
        <w:footnoteRef/>
      </w:r>
      <w:r w:rsidRPr="005803D0">
        <w:rPr>
          <w:rFonts w:asciiTheme="minorHAnsi" w:hAnsiTheme="minorHAnsi" w:cstheme="minorHAnsi"/>
          <w:sz w:val="18"/>
          <w:szCs w:val="18"/>
        </w:rPr>
        <w:t xml:space="preserve"> </w:t>
      </w:r>
      <w:r w:rsidRPr="005803D0">
        <w:rPr>
          <w:rFonts w:asciiTheme="minorHAnsi" w:hAnsiTheme="minorHAnsi" w:cstheme="minorHAnsi"/>
          <w:sz w:val="18"/>
          <w:szCs w:val="18"/>
          <w:lang w:val="en-GB"/>
        </w:rPr>
        <w:t>Personal communication, World Bank office Jakarta.</w:t>
      </w:r>
    </w:p>
  </w:footnote>
  <w:footnote w:id="20">
    <w:p w14:paraId="475C9BD8" w14:textId="77777777" w:rsidR="00C64A5B" w:rsidRPr="00A87B11" w:rsidRDefault="00C64A5B" w:rsidP="00953823">
      <w:pPr>
        <w:pStyle w:val="FootnoteText"/>
        <w:rPr>
          <w:rFonts w:asciiTheme="minorHAnsi" w:hAnsiTheme="minorHAnsi" w:cstheme="minorHAnsi"/>
          <w:sz w:val="18"/>
          <w:szCs w:val="18"/>
          <w:lang w:val="en-GB"/>
        </w:rPr>
      </w:pPr>
      <w:r w:rsidRPr="00A87B11">
        <w:rPr>
          <w:rStyle w:val="FootnoteReference"/>
          <w:rFonts w:asciiTheme="minorHAnsi" w:hAnsiTheme="minorHAnsi" w:cstheme="minorHAnsi"/>
          <w:sz w:val="18"/>
          <w:szCs w:val="18"/>
        </w:rPr>
        <w:footnoteRef/>
      </w:r>
      <w:r w:rsidRPr="00A87B11">
        <w:rPr>
          <w:rFonts w:asciiTheme="minorHAnsi" w:hAnsiTheme="minorHAnsi" w:cstheme="minorHAnsi"/>
          <w:sz w:val="18"/>
          <w:szCs w:val="18"/>
        </w:rPr>
        <w:t xml:space="preserve"> </w:t>
      </w:r>
      <w:r w:rsidRPr="00A87B11">
        <w:rPr>
          <w:rFonts w:asciiTheme="minorHAnsi" w:hAnsiTheme="minorHAnsi" w:cstheme="minorHAnsi"/>
          <w:sz w:val="18"/>
          <w:szCs w:val="18"/>
          <w:lang w:val="en-GB"/>
        </w:rPr>
        <w:t>World Bank, Implementation of School-Based Management in Indonesia, 2012, p.127</w:t>
      </w:r>
    </w:p>
  </w:footnote>
  <w:footnote w:id="21">
    <w:p w14:paraId="475C9BD9" w14:textId="77777777" w:rsidR="00C64A5B" w:rsidRPr="00A87B11" w:rsidRDefault="00C64A5B" w:rsidP="00953823">
      <w:pPr>
        <w:pStyle w:val="FootnoteText"/>
        <w:rPr>
          <w:rFonts w:asciiTheme="minorHAnsi" w:hAnsiTheme="minorHAnsi" w:cstheme="minorHAnsi"/>
          <w:sz w:val="18"/>
          <w:szCs w:val="18"/>
          <w:lang w:val="en-GB"/>
        </w:rPr>
      </w:pPr>
      <w:r w:rsidRPr="00A87B11">
        <w:rPr>
          <w:rStyle w:val="FootnoteReference"/>
          <w:rFonts w:asciiTheme="minorHAnsi" w:hAnsiTheme="minorHAnsi" w:cstheme="minorHAnsi"/>
          <w:sz w:val="18"/>
          <w:szCs w:val="18"/>
        </w:rPr>
        <w:footnoteRef/>
      </w:r>
      <w:r w:rsidRPr="00A87B11">
        <w:rPr>
          <w:rFonts w:asciiTheme="minorHAnsi" w:hAnsiTheme="minorHAnsi" w:cstheme="minorHAnsi"/>
          <w:sz w:val="18"/>
          <w:szCs w:val="18"/>
        </w:rPr>
        <w:t xml:space="preserve"> </w:t>
      </w:r>
      <w:r w:rsidRPr="00A87B11">
        <w:rPr>
          <w:rFonts w:asciiTheme="minorHAnsi" w:hAnsiTheme="minorHAnsi" w:cstheme="minorHAnsi"/>
          <w:sz w:val="18"/>
          <w:szCs w:val="18"/>
          <w:lang w:val="en-GB"/>
        </w:rPr>
        <w:t>World Bank, Spending more or spending better : Improving education financing in Indonesia : A public expenditure review, op.cit</w:t>
      </w:r>
    </w:p>
  </w:footnote>
  <w:footnote w:id="22">
    <w:p w14:paraId="475C9BDA" w14:textId="77777777" w:rsidR="00C64A5B" w:rsidRPr="005F5557" w:rsidRDefault="00C64A5B" w:rsidP="00953823">
      <w:pPr>
        <w:pStyle w:val="FootnoteText"/>
        <w:rPr>
          <w:lang w:val="en-GB"/>
        </w:rPr>
      </w:pPr>
      <w:r w:rsidRPr="00A87B11">
        <w:rPr>
          <w:rStyle w:val="FootnoteReference"/>
          <w:rFonts w:asciiTheme="minorHAnsi" w:hAnsiTheme="minorHAnsi" w:cstheme="minorHAnsi"/>
          <w:sz w:val="18"/>
          <w:szCs w:val="18"/>
        </w:rPr>
        <w:footnoteRef/>
      </w:r>
      <w:r w:rsidRPr="00A87B11">
        <w:rPr>
          <w:rFonts w:asciiTheme="minorHAnsi" w:hAnsiTheme="minorHAnsi" w:cstheme="minorHAnsi"/>
          <w:sz w:val="18"/>
          <w:szCs w:val="18"/>
        </w:rPr>
        <w:t xml:space="preserve"> </w:t>
      </w:r>
      <w:r w:rsidRPr="00A87B11">
        <w:rPr>
          <w:rFonts w:asciiTheme="minorHAnsi" w:hAnsiTheme="minorHAnsi" w:cstheme="minorHAnsi"/>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C9BC0" w14:textId="77777777" w:rsidR="00C64A5B" w:rsidRPr="002A2902" w:rsidRDefault="00C64A5B" w:rsidP="007F4B29">
    <w:pPr>
      <w:pStyle w:val="Header"/>
      <w:pBdr>
        <w:bottom w:val="single" w:sz="4" w:space="1" w:color="auto"/>
      </w:pBdr>
      <w:rPr>
        <w:rFonts w:asciiTheme="minorHAnsi" w:hAnsiTheme="minorHAnsi" w:cstheme="minorHAnsi"/>
        <w:b/>
        <w:i/>
      </w:rPr>
    </w:pPr>
    <w:r w:rsidRPr="002A2902">
      <w:rPr>
        <w:rFonts w:asciiTheme="minorHAnsi" w:hAnsiTheme="minorHAnsi" w:cstheme="minorHAnsi"/>
        <w:b/>
        <w:i/>
      </w:rPr>
      <w:t>Australia Indonesia Education Innovation Facility –</w:t>
    </w:r>
    <w:r>
      <w:rPr>
        <w:rFonts w:asciiTheme="minorHAnsi" w:hAnsiTheme="minorHAnsi" w:cstheme="minorHAnsi"/>
        <w:b/>
        <w:i/>
      </w:rPr>
      <w:t xml:space="preserve"> </w:t>
    </w:r>
    <w:r w:rsidRPr="002A2902">
      <w:rPr>
        <w:rFonts w:asciiTheme="minorHAnsi" w:hAnsiTheme="minorHAnsi" w:cstheme="minorHAnsi"/>
        <w:b/>
        <w:i/>
      </w:rPr>
      <w:t xml:space="preserve">Concept Note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F68"/>
    <w:multiLevelType w:val="hybridMultilevel"/>
    <w:tmpl w:val="F62A4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D75238"/>
    <w:multiLevelType w:val="hybridMultilevel"/>
    <w:tmpl w:val="F224FEE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7623A75"/>
    <w:multiLevelType w:val="hybridMultilevel"/>
    <w:tmpl w:val="09AA2E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47190F"/>
    <w:multiLevelType w:val="hybridMultilevel"/>
    <w:tmpl w:val="DC9E1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937B01"/>
    <w:multiLevelType w:val="hybridMultilevel"/>
    <w:tmpl w:val="49ACC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5113EB7"/>
    <w:multiLevelType w:val="hybridMultilevel"/>
    <w:tmpl w:val="83C81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63F7033"/>
    <w:multiLevelType w:val="hybridMultilevel"/>
    <w:tmpl w:val="2802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555655"/>
    <w:multiLevelType w:val="hybridMultilevel"/>
    <w:tmpl w:val="AAC6E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B1025E"/>
    <w:multiLevelType w:val="hybridMultilevel"/>
    <w:tmpl w:val="FB6C1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EB21141"/>
    <w:multiLevelType w:val="hybridMultilevel"/>
    <w:tmpl w:val="35C2D4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FB900E3"/>
    <w:multiLevelType w:val="hybridMultilevel"/>
    <w:tmpl w:val="8458A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1048A7"/>
    <w:multiLevelType w:val="multilevel"/>
    <w:tmpl w:val="15942178"/>
    <w:styleLink w:val="reportheadings"/>
    <w:lvl w:ilvl="0">
      <w:start w:val="1"/>
      <w:numFmt w:val="decimal"/>
      <w:pStyle w:val="Heading1"/>
      <w:lvlText w:val="%1"/>
      <w:lvlJc w:val="left"/>
      <w:pPr>
        <w:tabs>
          <w:tab w:val="num" w:pos="432"/>
        </w:tabs>
        <w:ind w:left="431" w:hanging="431"/>
      </w:pPr>
      <w:rPr>
        <w:rFonts w:hint="default"/>
      </w:rPr>
    </w:lvl>
    <w:lvl w:ilvl="1">
      <w:start w:val="1"/>
      <w:numFmt w:val="decimal"/>
      <w:pStyle w:val="Heading2"/>
      <w:lvlText w:val="%1.%2"/>
      <w:lvlJc w:val="left"/>
      <w:pPr>
        <w:tabs>
          <w:tab w:val="num" w:pos="432"/>
        </w:tabs>
        <w:ind w:left="431" w:hanging="431"/>
      </w:pPr>
      <w:rPr>
        <w:rFonts w:hint="default"/>
      </w:rPr>
    </w:lvl>
    <w:lvl w:ilvl="2">
      <w:start w:val="1"/>
      <w:numFmt w:val="decimal"/>
      <w:pStyle w:val="Heading3"/>
      <w:lvlText w:val="%1.%2.%3"/>
      <w:lvlJc w:val="left"/>
      <w:pPr>
        <w:tabs>
          <w:tab w:val="num" w:pos="432"/>
        </w:tabs>
        <w:ind w:left="431" w:hanging="431"/>
      </w:pPr>
      <w:rPr>
        <w:rFonts w:hint="default"/>
      </w:rPr>
    </w:lvl>
    <w:lvl w:ilvl="3">
      <w:start w:val="1"/>
      <w:numFmt w:val="decimal"/>
      <w:pStyle w:val="Heading4"/>
      <w:lvlText w:val="%1.%2.%3.%4"/>
      <w:lvlJc w:val="left"/>
      <w:pPr>
        <w:tabs>
          <w:tab w:val="num" w:pos="432"/>
        </w:tabs>
        <w:ind w:left="431" w:hanging="431"/>
      </w:pPr>
      <w:rPr>
        <w:rFonts w:hint="default"/>
      </w:rPr>
    </w:lvl>
    <w:lvl w:ilvl="4">
      <w:start w:val="1"/>
      <w:numFmt w:val="decimal"/>
      <w:pStyle w:val="Heading5"/>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pStyle w:val="Heading7"/>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12">
    <w:nsid w:val="32843448"/>
    <w:multiLevelType w:val="hybridMultilevel"/>
    <w:tmpl w:val="7AFC8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807895"/>
    <w:multiLevelType w:val="hybridMultilevel"/>
    <w:tmpl w:val="5A8E7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112A31"/>
    <w:multiLevelType w:val="hybridMultilevel"/>
    <w:tmpl w:val="A1A4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462DB6"/>
    <w:multiLevelType w:val="hybridMultilevel"/>
    <w:tmpl w:val="B4B06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6D69BC"/>
    <w:multiLevelType w:val="hybridMultilevel"/>
    <w:tmpl w:val="55A2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2A48CF"/>
    <w:multiLevelType w:val="hybridMultilevel"/>
    <w:tmpl w:val="FC2E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E22B1B"/>
    <w:multiLevelType w:val="hybridMultilevel"/>
    <w:tmpl w:val="C684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7525E1"/>
    <w:multiLevelType w:val="hybridMultilevel"/>
    <w:tmpl w:val="D92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A8635A"/>
    <w:multiLevelType w:val="hybridMultilevel"/>
    <w:tmpl w:val="8CA6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BE367A"/>
    <w:multiLevelType w:val="hybridMultilevel"/>
    <w:tmpl w:val="68C81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DFF21BA"/>
    <w:multiLevelType w:val="hybridMultilevel"/>
    <w:tmpl w:val="0CEC1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73A2F96"/>
    <w:multiLevelType w:val="hybridMultilevel"/>
    <w:tmpl w:val="C216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6C2AB7"/>
    <w:multiLevelType w:val="hybridMultilevel"/>
    <w:tmpl w:val="E65E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9"/>
  </w:num>
  <w:num w:numId="4">
    <w:abstractNumId w:val="16"/>
  </w:num>
  <w:num w:numId="5">
    <w:abstractNumId w:val="23"/>
  </w:num>
  <w:num w:numId="6">
    <w:abstractNumId w:val="7"/>
  </w:num>
  <w:num w:numId="7">
    <w:abstractNumId w:val="3"/>
  </w:num>
  <w:num w:numId="8">
    <w:abstractNumId w:val="21"/>
  </w:num>
  <w:num w:numId="9">
    <w:abstractNumId w:val="18"/>
  </w:num>
  <w:num w:numId="10">
    <w:abstractNumId w:val="20"/>
  </w:num>
  <w:num w:numId="11">
    <w:abstractNumId w:val="24"/>
  </w:num>
  <w:num w:numId="12">
    <w:abstractNumId w:val="14"/>
  </w:num>
  <w:num w:numId="13">
    <w:abstractNumId w:val="13"/>
  </w:num>
  <w:num w:numId="14">
    <w:abstractNumId w:val="6"/>
  </w:num>
  <w:num w:numId="15">
    <w:abstractNumId w:val="17"/>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8"/>
  </w:num>
  <w:num w:numId="21">
    <w:abstractNumId w:val="11"/>
  </w:num>
  <w:num w:numId="22">
    <w:abstractNumId w:val="12"/>
  </w:num>
  <w:num w:numId="23">
    <w:abstractNumId w:val="22"/>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4"/>
  </w:num>
  <w:num w:numId="31">
    <w:abstractNumId w:val="5"/>
  </w:num>
  <w:num w:numId="32">
    <w:abstractNumId w:val="0"/>
  </w:num>
  <w:num w:numId="3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B5"/>
    <w:rsid w:val="00000B9C"/>
    <w:rsid w:val="00002E94"/>
    <w:rsid w:val="00003302"/>
    <w:rsid w:val="000049F8"/>
    <w:rsid w:val="00005630"/>
    <w:rsid w:val="00006660"/>
    <w:rsid w:val="00014206"/>
    <w:rsid w:val="00020C90"/>
    <w:rsid w:val="0002122C"/>
    <w:rsid w:val="0002147C"/>
    <w:rsid w:val="00022905"/>
    <w:rsid w:val="00022C18"/>
    <w:rsid w:val="0005020C"/>
    <w:rsid w:val="000532D7"/>
    <w:rsid w:val="00053994"/>
    <w:rsid w:val="000606BD"/>
    <w:rsid w:val="0006250D"/>
    <w:rsid w:val="000639C0"/>
    <w:rsid w:val="0006675F"/>
    <w:rsid w:val="00066894"/>
    <w:rsid w:val="000724CB"/>
    <w:rsid w:val="000729F2"/>
    <w:rsid w:val="000802BD"/>
    <w:rsid w:val="00083A2B"/>
    <w:rsid w:val="00085780"/>
    <w:rsid w:val="00085F15"/>
    <w:rsid w:val="000868CF"/>
    <w:rsid w:val="0008745F"/>
    <w:rsid w:val="00091C0B"/>
    <w:rsid w:val="00092340"/>
    <w:rsid w:val="00092F0D"/>
    <w:rsid w:val="00093422"/>
    <w:rsid w:val="00093A7A"/>
    <w:rsid w:val="00093F49"/>
    <w:rsid w:val="00097093"/>
    <w:rsid w:val="000A08B3"/>
    <w:rsid w:val="000A3349"/>
    <w:rsid w:val="000A4FF7"/>
    <w:rsid w:val="000C0C91"/>
    <w:rsid w:val="000C1D20"/>
    <w:rsid w:val="000C2983"/>
    <w:rsid w:val="000C2ED0"/>
    <w:rsid w:val="000C3706"/>
    <w:rsid w:val="000C5870"/>
    <w:rsid w:val="000D45E0"/>
    <w:rsid w:val="000D46CC"/>
    <w:rsid w:val="000D7CCA"/>
    <w:rsid w:val="000E36E5"/>
    <w:rsid w:val="000E4333"/>
    <w:rsid w:val="000F2F79"/>
    <w:rsid w:val="00101BA2"/>
    <w:rsid w:val="001026AB"/>
    <w:rsid w:val="001041FF"/>
    <w:rsid w:val="00104FD5"/>
    <w:rsid w:val="00106C98"/>
    <w:rsid w:val="001227F7"/>
    <w:rsid w:val="00123C24"/>
    <w:rsid w:val="001253A0"/>
    <w:rsid w:val="0013463F"/>
    <w:rsid w:val="00142D4A"/>
    <w:rsid w:val="00143514"/>
    <w:rsid w:val="00145F3E"/>
    <w:rsid w:val="0014621F"/>
    <w:rsid w:val="00154E14"/>
    <w:rsid w:val="001604F1"/>
    <w:rsid w:val="00161065"/>
    <w:rsid w:val="00176AC2"/>
    <w:rsid w:val="00184ED7"/>
    <w:rsid w:val="00195590"/>
    <w:rsid w:val="001A1AFA"/>
    <w:rsid w:val="001A2410"/>
    <w:rsid w:val="001A2F8B"/>
    <w:rsid w:val="001A3864"/>
    <w:rsid w:val="001A3BE0"/>
    <w:rsid w:val="001A7269"/>
    <w:rsid w:val="001B0A7E"/>
    <w:rsid w:val="001B362F"/>
    <w:rsid w:val="001B67B8"/>
    <w:rsid w:val="001B717A"/>
    <w:rsid w:val="001C2C5A"/>
    <w:rsid w:val="001C3BAF"/>
    <w:rsid w:val="001D28F0"/>
    <w:rsid w:val="001D448F"/>
    <w:rsid w:val="001D458A"/>
    <w:rsid w:val="001E2AB9"/>
    <w:rsid w:val="001E41F3"/>
    <w:rsid w:val="001E695B"/>
    <w:rsid w:val="001F58C9"/>
    <w:rsid w:val="001F5D46"/>
    <w:rsid w:val="001F645D"/>
    <w:rsid w:val="001F6EAD"/>
    <w:rsid w:val="0020141C"/>
    <w:rsid w:val="002056A2"/>
    <w:rsid w:val="0021019C"/>
    <w:rsid w:val="00210C29"/>
    <w:rsid w:val="00212858"/>
    <w:rsid w:val="00212B9F"/>
    <w:rsid w:val="00214B20"/>
    <w:rsid w:val="0021587A"/>
    <w:rsid w:val="002212B8"/>
    <w:rsid w:val="00222B11"/>
    <w:rsid w:val="00231AEB"/>
    <w:rsid w:val="002336E5"/>
    <w:rsid w:val="00236FA9"/>
    <w:rsid w:val="0024007B"/>
    <w:rsid w:val="00245B90"/>
    <w:rsid w:val="00245C01"/>
    <w:rsid w:val="00246203"/>
    <w:rsid w:val="00247DEF"/>
    <w:rsid w:val="00252EB7"/>
    <w:rsid w:val="00253457"/>
    <w:rsid w:val="002559D8"/>
    <w:rsid w:val="002573CB"/>
    <w:rsid w:val="00262489"/>
    <w:rsid w:val="00263ED2"/>
    <w:rsid w:val="00264329"/>
    <w:rsid w:val="002660C6"/>
    <w:rsid w:val="002664DE"/>
    <w:rsid w:val="00271EA4"/>
    <w:rsid w:val="002734C2"/>
    <w:rsid w:val="00280BEA"/>
    <w:rsid w:val="00282944"/>
    <w:rsid w:val="00283420"/>
    <w:rsid w:val="00283F35"/>
    <w:rsid w:val="00286C3B"/>
    <w:rsid w:val="002870AB"/>
    <w:rsid w:val="00287439"/>
    <w:rsid w:val="00291385"/>
    <w:rsid w:val="0029698B"/>
    <w:rsid w:val="002A0134"/>
    <w:rsid w:val="002A2335"/>
    <w:rsid w:val="002A2902"/>
    <w:rsid w:val="002A3C8E"/>
    <w:rsid w:val="002A3CBB"/>
    <w:rsid w:val="002A4CC1"/>
    <w:rsid w:val="002B005E"/>
    <w:rsid w:val="002B709E"/>
    <w:rsid w:val="002C1AA2"/>
    <w:rsid w:val="002C2AAB"/>
    <w:rsid w:val="002C41FF"/>
    <w:rsid w:val="002C4E36"/>
    <w:rsid w:val="002C7BF1"/>
    <w:rsid w:val="002D17F3"/>
    <w:rsid w:val="002D4470"/>
    <w:rsid w:val="002D473B"/>
    <w:rsid w:val="002D5126"/>
    <w:rsid w:val="002D5307"/>
    <w:rsid w:val="002D56F5"/>
    <w:rsid w:val="002E4610"/>
    <w:rsid w:val="002F00EE"/>
    <w:rsid w:val="002F0422"/>
    <w:rsid w:val="00301B60"/>
    <w:rsid w:val="00303F60"/>
    <w:rsid w:val="003117A3"/>
    <w:rsid w:val="00314904"/>
    <w:rsid w:val="00314C07"/>
    <w:rsid w:val="00315114"/>
    <w:rsid w:val="003225C2"/>
    <w:rsid w:val="0032290F"/>
    <w:rsid w:val="00337D9F"/>
    <w:rsid w:val="00341269"/>
    <w:rsid w:val="00351A9C"/>
    <w:rsid w:val="00354B04"/>
    <w:rsid w:val="00357860"/>
    <w:rsid w:val="0036054A"/>
    <w:rsid w:val="00361929"/>
    <w:rsid w:val="003619A8"/>
    <w:rsid w:val="00362886"/>
    <w:rsid w:val="003631E4"/>
    <w:rsid w:val="003635D7"/>
    <w:rsid w:val="00366667"/>
    <w:rsid w:val="003673EA"/>
    <w:rsid w:val="003726E3"/>
    <w:rsid w:val="003747CE"/>
    <w:rsid w:val="00374956"/>
    <w:rsid w:val="003767B9"/>
    <w:rsid w:val="00376D5B"/>
    <w:rsid w:val="00381772"/>
    <w:rsid w:val="0038306F"/>
    <w:rsid w:val="00390EFC"/>
    <w:rsid w:val="00395BD8"/>
    <w:rsid w:val="00395F94"/>
    <w:rsid w:val="003A1497"/>
    <w:rsid w:val="003A2749"/>
    <w:rsid w:val="003A3AFC"/>
    <w:rsid w:val="003B12D8"/>
    <w:rsid w:val="003B46F9"/>
    <w:rsid w:val="003B6B82"/>
    <w:rsid w:val="003B717B"/>
    <w:rsid w:val="003C1437"/>
    <w:rsid w:val="003C2719"/>
    <w:rsid w:val="003C3ABA"/>
    <w:rsid w:val="003C49E9"/>
    <w:rsid w:val="003C5249"/>
    <w:rsid w:val="003C53AF"/>
    <w:rsid w:val="003D048A"/>
    <w:rsid w:val="003D766D"/>
    <w:rsid w:val="003E157E"/>
    <w:rsid w:val="003E2B17"/>
    <w:rsid w:val="003E340D"/>
    <w:rsid w:val="003E59D6"/>
    <w:rsid w:val="003E5A92"/>
    <w:rsid w:val="003F1157"/>
    <w:rsid w:val="003F493E"/>
    <w:rsid w:val="003F5503"/>
    <w:rsid w:val="00403C4C"/>
    <w:rsid w:val="00413E89"/>
    <w:rsid w:val="004153FE"/>
    <w:rsid w:val="00415631"/>
    <w:rsid w:val="00421AC9"/>
    <w:rsid w:val="00424532"/>
    <w:rsid w:val="00425D5B"/>
    <w:rsid w:val="00431B59"/>
    <w:rsid w:val="00431F31"/>
    <w:rsid w:val="00445231"/>
    <w:rsid w:val="00446C74"/>
    <w:rsid w:val="00450976"/>
    <w:rsid w:val="0045120E"/>
    <w:rsid w:val="00452743"/>
    <w:rsid w:val="0045597E"/>
    <w:rsid w:val="0046186F"/>
    <w:rsid w:val="00461C00"/>
    <w:rsid w:val="004672B0"/>
    <w:rsid w:val="00476AD5"/>
    <w:rsid w:val="00476AF2"/>
    <w:rsid w:val="0048191E"/>
    <w:rsid w:val="00484EC0"/>
    <w:rsid w:val="004930B6"/>
    <w:rsid w:val="0049559F"/>
    <w:rsid w:val="0049602B"/>
    <w:rsid w:val="0049627F"/>
    <w:rsid w:val="004A15C2"/>
    <w:rsid w:val="004A500A"/>
    <w:rsid w:val="004B0F81"/>
    <w:rsid w:val="004B3B7C"/>
    <w:rsid w:val="004B5BBE"/>
    <w:rsid w:val="004B679C"/>
    <w:rsid w:val="004C069A"/>
    <w:rsid w:val="004C0F53"/>
    <w:rsid w:val="004C1052"/>
    <w:rsid w:val="004D02D5"/>
    <w:rsid w:val="004D2899"/>
    <w:rsid w:val="004D3025"/>
    <w:rsid w:val="004D614E"/>
    <w:rsid w:val="004D67A6"/>
    <w:rsid w:val="004D6ECF"/>
    <w:rsid w:val="004E013E"/>
    <w:rsid w:val="004E6623"/>
    <w:rsid w:val="004E6FD5"/>
    <w:rsid w:val="004F2895"/>
    <w:rsid w:val="00504D3E"/>
    <w:rsid w:val="005128DD"/>
    <w:rsid w:val="005159D2"/>
    <w:rsid w:val="0051766F"/>
    <w:rsid w:val="00517B61"/>
    <w:rsid w:val="0052278B"/>
    <w:rsid w:val="0052367D"/>
    <w:rsid w:val="00524FEB"/>
    <w:rsid w:val="005325AE"/>
    <w:rsid w:val="005325D3"/>
    <w:rsid w:val="005406D8"/>
    <w:rsid w:val="005413A2"/>
    <w:rsid w:val="00542C53"/>
    <w:rsid w:val="005619B1"/>
    <w:rsid w:val="00561D65"/>
    <w:rsid w:val="00563A2D"/>
    <w:rsid w:val="00564617"/>
    <w:rsid w:val="00573E09"/>
    <w:rsid w:val="00574DFC"/>
    <w:rsid w:val="005803D0"/>
    <w:rsid w:val="005813C6"/>
    <w:rsid w:val="00582449"/>
    <w:rsid w:val="005905A0"/>
    <w:rsid w:val="0059089C"/>
    <w:rsid w:val="0059230B"/>
    <w:rsid w:val="00596045"/>
    <w:rsid w:val="005A09EF"/>
    <w:rsid w:val="005A2AEA"/>
    <w:rsid w:val="005B0E72"/>
    <w:rsid w:val="005B12F2"/>
    <w:rsid w:val="005B1D94"/>
    <w:rsid w:val="005B2914"/>
    <w:rsid w:val="005B329C"/>
    <w:rsid w:val="005B414C"/>
    <w:rsid w:val="005C1765"/>
    <w:rsid w:val="005C1B78"/>
    <w:rsid w:val="005C2584"/>
    <w:rsid w:val="005C2BCE"/>
    <w:rsid w:val="005C3A72"/>
    <w:rsid w:val="005D0D90"/>
    <w:rsid w:val="005D1293"/>
    <w:rsid w:val="005D762B"/>
    <w:rsid w:val="005E1E33"/>
    <w:rsid w:val="005E3714"/>
    <w:rsid w:val="005E48CF"/>
    <w:rsid w:val="005E756C"/>
    <w:rsid w:val="005F1A22"/>
    <w:rsid w:val="005F5557"/>
    <w:rsid w:val="005F5F4A"/>
    <w:rsid w:val="005F7064"/>
    <w:rsid w:val="00601510"/>
    <w:rsid w:val="00601C5D"/>
    <w:rsid w:val="00601DF9"/>
    <w:rsid w:val="00603382"/>
    <w:rsid w:val="006037AA"/>
    <w:rsid w:val="00605D53"/>
    <w:rsid w:val="00606888"/>
    <w:rsid w:val="0061281B"/>
    <w:rsid w:val="00612D58"/>
    <w:rsid w:val="00613127"/>
    <w:rsid w:val="0062650E"/>
    <w:rsid w:val="00633428"/>
    <w:rsid w:val="006351B5"/>
    <w:rsid w:val="00641350"/>
    <w:rsid w:val="00643E9A"/>
    <w:rsid w:val="00645785"/>
    <w:rsid w:val="006505FC"/>
    <w:rsid w:val="00650F33"/>
    <w:rsid w:val="00660707"/>
    <w:rsid w:val="006607F7"/>
    <w:rsid w:val="0066254C"/>
    <w:rsid w:val="00663443"/>
    <w:rsid w:val="0066598B"/>
    <w:rsid w:val="006672D4"/>
    <w:rsid w:val="006701F2"/>
    <w:rsid w:val="006716A4"/>
    <w:rsid w:val="00671B04"/>
    <w:rsid w:val="0067237C"/>
    <w:rsid w:val="006730BD"/>
    <w:rsid w:val="006763C2"/>
    <w:rsid w:val="00677457"/>
    <w:rsid w:val="00681783"/>
    <w:rsid w:val="00682338"/>
    <w:rsid w:val="00693FED"/>
    <w:rsid w:val="00695222"/>
    <w:rsid w:val="006A2C70"/>
    <w:rsid w:val="006B164D"/>
    <w:rsid w:val="006B2533"/>
    <w:rsid w:val="006B315A"/>
    <w:rsid w:val="006B45B5"/>
    <w:rsid w:val="006B5885"/>
    <w:rsid w:val="006C42A8"/>
    <w:rsid w:val="006C64A1"/>
    <w:rsid w:val="006D37A0"/>
    <w:rsid w:val="006E230F"/>
    <w:rsid w:val="006E2D22"/>
    <w:rsid w:val="006E57B9"/>
    <w:rsid w:val="006E5F90"/>
    <w:rsid w:val="006E678E"/>
    <w:rsid w:val="006F0702"/>
    <w:rsid w:val="006F786F"/>
    <w:rsid w:val="00703CCA"/>
    <w:rsid w:val="00707219"/>
    <w:rsid w:val="00720797"/>
    <w:rsid w:val="00720B96"/>
    <w:rsid w:val="007225B4"/>
    <w:rsid w:val="00727545"/>
    <w:rsid w:val="00727990"/>
    <w:rsid w:val="007301BF"/>
    <w:rsid w:val="00733A03"/>
    <w:rsid w:val="0073617A"/>
    <w:rsid w:val="00740211"/>
    <w:rsid w:val="0074198D"/>
    <w:rsid w:val="007420F9"/>
    <w:rsid w:val="0074240C"/>
    <w:rsid w:val="00742BF0"/>
    <w:rsid w:val="00742D56"/>
    <w:rsid w:val="00743036"/>
    <w:rsid w:val="00744904"/>
    <w:rsid w:val="00750FEF"/>
    <w:rsid w:val="007516E6"/>
    <w:rsid w:val="00754DEF"/>
    <w:rsid w:val="00755AC4"/>
    <w:rsid w:val="00764385"/>
    <w:rsid w:val="007671CC"/>
    <w:rsid w:val="00767E72"/>
    <w:rsid w:val="00780D76"/>
    <w:rsid w:val="00783CF3"/>
    <w:rsid w:val="00783D93"/>
    <w:rsid w:val="00784860"/>
    <w:rsid w:val="0079725A"/>
    <w:rsid w:val="007A51B3"/>
    <w:rsid w:val="007A79D2"/>
    <w:rsid w:val="007B0AD3"/>
    <w:rsid w:val="007B1384"/>
    <w:rsid w:val="007B1622"/>
    <w:rsid w:val="007C0B4F"/>
    <w:rsid w:val="007C0C47"/>
    <w:rsid w:val="007C1888"/>
    <w:rsid w:val="007C1A08"/>
    <w:rsid w:val="007C2589"/>
    <w:rsid w:val="007C41C6"/>
    <w:rsid w:val="007C6B5F"/>
    <w:rsid w:val="007D013C"/>
    <w:rsid w:val="007D03B4"/>
    <w:rsid w:val="007D0CAF"/>
    <w:rsid w:val="007D1E6A"/>
    <w:rsid w:val="007D3811"/>
    <w:rsid w:val="007D4CFE"/>
    <w:rsid w:val="007E0B28"/>
    <w:rsid w:val="007E2425"/>
    <w:rsid w:val="007E34EA"/>
    <w:rsid w:val="007E3AA8"/>
    <w:rsid w:val="007E3E36"/>
    <w:rsid w:val="007E4338"/>
    <w:rsid w:val="007E5EEE"/>
    <w:rsid w:val="007F014D"/>
    <w:rsid w:val="007F3172"/>
    <w:rsid w:val="007F4B29"/>
    <w:rsid w:val="007F7FF7"/>
    <w:rsid w:val="00800608"/>
    <w:rsid w:val="00822F45"/>
    <w:rsid w:val="008322E9"/>
    <w:rsid w:val="0083637D"/>
    <w:rsid w:val="0084043D"/>
    <w:rsid w:val="00841698"/>
    <w:rsid w:val="00841F08"/>
    <w:rsid w:val="00851331"/>
    <w:rsid w:val="00854940"/>
    <w:rsid w:val="00855B0F"/>
    <w:rsid w:val="00857E1F"/>
    <w:rsid w:val="00857E90"/>
    <w:rsid w:val="00861B15"/>
    <w:rsid w:val="008630C6"/>
    <w:rsid w:val="008632B5"/>
    <w:rsid w:val="0086687C"/>
    <w:rsid w:val="0087140E"/>
    <w:rsid w:val="00873635"/>
    <w:rsid w:val="00873EA5"/>
    <w:rsid w:val="0087414E"/>
    <w:rsid w:val="00883B38"/>
    <w:rsid w:val="00884769"/>
    <w:rsid w:val="00885638"/>
    <w:rsid w:val="00887F83"/>
    <w:rsid w:val="00890913"/>
    <w:rsid w:val="008A1EA0"/>
    <w:rsid w:val="008A2184"/>
    <w:rsid w:val="008A4BF6"/>
    <w:rsid w:val="008A50D1"/>
    <w:rsid w:val="008A5CC0"/>
    <w:rsid w:val="008B5C5E"/>
    <w:rsid w:val="008C4621"/>
    <w:rsid w:val="008C72AD"/>
    <w:rsid w:val="008D726A"/>
    <w:rsid w:val="008D7A07"/>
    <w:rsid w:val="008E3963"/>
    <w:rsid w:val="008E4928"/>
    <w:rsid w:val="008E49D0"/>
    <w:rsid w:val="008E5711"/>
    <w:rsid w:val="008E63A8"/>
    <w:rsid w:val="008E7AC7"/>
    <w:rsid w:val="008F0FB2"/>
    <w:rsid w:val="008F1A71"/>
    <w:rsid w:val="008F215F"/>
    <w:rsid w:val="008F32CB"/>
    <w:rsid w:val="008F47FA"/>
    <w:rsid w:val="008F5D53"/>
    <w:rsid w:val="008F7FDE"/>
    <w:rsid w:val="009037F7"/>
    <w:rsid w:val="009041DF"/>
    <w:rsid w:val="009129F9"/>
    <w:rsid w:val="00914E1C"/>
    <w:rsid w:val="0091530E"/>
    <w:rsid w:val="00921680"/>
    <w:rsid w:val="0092235A"/>
    <w:rsid w:val="00923A3D"/>
    <w:rsid w:val="00934DB7"/>
    <w:rsid w:val="00934F2E"/>
    <w:rsid w:val="009360CB"/>
    <w:rsid w:val="00936D6E"/>
    <w:rsid w:val="0095178E"/>
    <w:rsid w:val="00953823"/>
    <w:rsid w:val="00955B02"/>
    <w:rsid w:val="00957C09"/>
    <w:rsid w:val="00963652"/>
    <w:rsid w:val="0096543B"/>
    <w:rsid w:val="00967D87"/>
    <w:rsid w:val="00971658"/>
    <w:rsid w:val="0097368D"/>
    <w:rsid w:val="0097610B"/>
    <w:rsid w:val="0098414E"/>
    <w:rsid w:val="00984BCE"/>
    <w:rsid w:val="009853F4"/>
    <w:rsid w:val="00985ACE"/>
    <w:rsid w:val="00992FE3"/>
    <w:rsid w:val="009A17E5"/>
    <w:rsid w:val="009A1E88"/>
    <w:rsid w:val="009A4AEC"/>
    <w:rsid w:val="009A6F46"/>
    <w:rsid w:val="009B1703"/>
    <w:rsid w:val="009C095A"/>
    <w:rsid w:val="009C0C39"/>
    <w:rsid w:val="009C3759"/>
    <w:rsid w:val="009C5DD6"/>
    <w:rsid w:val="009D0CBB"/>
    <w:rsid w:val="009D4810"/>
    <w:rsid w:val="009D5753"/>
    <w:rsid w:val="009D6126"/>
    <w:rsid w:val="009F0312"/>
    <w:rsid w:val="009F125C"/>
    <w:rsid w:val="009F4978"/>
    <w:rsid w:val="009F4B61"/>
    <w:rsid w:val="009F6051"/>
    <w:rsid w:val="009F692A"/>
    <w:rsid w:val="009F7D05"/>
    <w:rsid w:val="00A04489"/>
    <w:rsid w:val="00A10C8E"/>
    <w:rsid w:val="00A117FD"/>
    <w:rsid w:val="00A15168"/>
    <w:rsid w:val="00A227E0"/>
    <w:rsid w:val="00A23301"/>
    <w:rsid w:val="00A23F48"/>
    <w:rsid w:val="00A256C2"/>
    <w:rsid w:val="00A25D99"/>
    <w:rsid w:val="00A27038"/>
    <w:rsid w:val="00A302EC"/>
    <w:rsid w:val="00A3213F"/>
    <w:rsid w:val="00A328FF"/>
    <w:rsid w:val="00A3445B"/>
    <w:rsid w:val="00A37F35"/>
    <w:rsid w:val="00A44643"/>
    <w:rsid w:val="00A46014"/>
    <w:rsid w:val="00A46F86"/>
    <w:rsid w:val="00A4728C"/>
    <w:rsid w:val="00A47ED7"/>
    <w:rsid w:val="00A52634"/>
    <w:rsid w:val="00A5417A"/>
    <w:rsid w:val="00A54251"/>
    <w:rsid w:val="00A554D1"/>
    <w:rsid w:val="00A63BA1"/>
    <w:rsid w:val="00A7646A"/>
    <w:rsid w:val="00A87B11"/>
    <w:rsid w:val="00A9137B"/>
    <w:rsid w:val="00A92284"/>
    <w:rsid w:val="00A96405"/>
    <w:rsid w:val="00A96F2E"/>
    <w:rsid w:val="00A971DF"/>
    <w:rsid w:val="00AA0B98"/>
    <w:rsid w:val="00AA0DCB"/>
    <w:rsid w:val="00AA4C8F"/>
    <w:rsid w:val="00AA512C"/>
    <w:rsid w:val="00AA5E43"/>
    <w:rsid w:val="00AA6C1A"/>
    <w:rsid w:val="00AA7396"/>
    <w:rsid w:val="00AA7656"/>
    <w:rsid w:val="00AB237B"/>
    <w:rsid w:val="00AB3637"/>
    <w:rsid w:val="00AC080B"/>
    <w:rsid w:val="00AC2989"/>
    <w:rsid w:val="00AD64A6"/>
    <w:rsid w:val="00AF0BEB"/>
    <w:rsid w:val="00AF19BF"/>
    <w:rsid w:val="00AF56DD"/>
    <w:rsid w:val="00AF64CB"/>
    <w:rsid w:val="00AF6E0A"/>
    <w:rsid w:val="00B06511"/>
    <w:rsid w:val="00B07C79"/>
    <w:rsid w:val="00B10913"/>
    <w:rsid w:val="00B150A8"/>
    <w:rsid w:val="00B233B2"/>
    <w:rsid w:val="00B26593"/>
    <w:rsid w:val="00B30587"/>
    <w:rsid w:val="00B31345"/>
    <w:rsid w:val="00B31C1F"/>
    <w:rsid w:val="00B32B1C"/>
    <w:rsid w:val="00B3490A"/>
    <w:rsid w:val="00B35304"/>
    <w:rsid w:val="00B35F0B"/>
    <w:rsid w:val="00B37D67"/>
    <w:rsid w:val="00B40993"/>
    <w:rsid w:val="00B425CD"/>
    <w:rsid w:val="00B43A84"/>
    <w:rsid w:val="00B456FB"/>
    <w:rsid w:val="00B501B2"/>
    <w:rsid w:val="00B51A45"/>
    <w:rsid w:val="00B52121"/>
    <w:rsid w:val="00B54DCA"/>
    <w:rsid w:val="00B56817"/>
    <w:rsid w:val="00B57306"/>
    <w:rsid w:val="00B63A5B"/>
    <w:rsid w:val="00B7144C"/>
    <w:rsid w:val="00B809FF"/>
    <w:rsid w:val="00B825F6"/>
    <w:rsid w:val="00B82F1C"/>
    <w:rsid w:val="00B8428B"/>
    <w:rsid w:val="00B873E3"/>
    <w:rsid w:val="00B90048"/>
    <w:rsid w:val="00B908A7"/>
    <w:rsid w:val="00B91BCE"/>
    <w:rsid w:val="00B92099"/>
    <w:rsid w:val="00BA0C99"/>
    <w:rsid w:val="00BA1BB1"/>
    <w:rsid w:val="00BA42BC"/>
    <w:rsid w:val="00BB5EA0"/>
    <w:rsid w:val="00BB7D3A"/>
    <w:rsid w:val="00BC0553"/>
    <w:rsid w:val="00BC1192"/>
    <w:rsid w:val="00BC2DD8"/>
    <w:rsid w:val="00BC45CD"/>
    <w:rsid w:val="00BD6AFC"/>
    <w:rsid w:val="00BE0C8C"/>
    <w:rsid w:val="00BE1E48"/>
    <w:rsid w:val="00BE30A0"/>
    <w:rsid w:val="00BF05A1"/>
    <w:rsid w:val="00BF19D6"/>
    <w:rsid w:val="00BF26C8"/>
    <w:rsid w:val="00BF4968"/>
    <w:rsid w:val="00C001EF"/>
    <w:rsid w:val="00C01170"/>
    <w:rsid w:val="00C02DE4"/>
    <w:rsid w:val="00C0505A"/>
    <w:rsid w:val="00C12B3F"/>
    <w:rsid w:val="00C133C5"/>
    <w:rsid w:val="00C14CDB"/>
    <w:rsid w:val="00C23337"/>
    <w:rsid w:val="00C3011B"/>
    <w:rsid w:val="00C303C1"/>
    <w:rsid w:val="00C316D3"/>
    <w:rsid w:val="00C35322"/>
    <w:rsid w:val="00C36C4D"/>
    <w:rsid w:val="00C4080C"/>
    <w:rsid w:val="00C40F0D"/>
    <w:rsid w:val="00C4219B"/>
    <w:rsid w:val="00C43221"/>
    <w:rsid w:val="00C5108F"/>
    <w:rsid w:val="00C543C6"/>
    <w:rsid w:val="00C55722"/>
    <w:rsid w:val="00C559C0"/>
    <w:rsid w:val="00C61439"/>
    <w:rsid w:val="00C61EC2"/>
    <w:rsid w:val="00C63665"/>
    <w:rsid w:val="00C641ED"/>
    <w:rsid w:val="00C64A5B"/>
    <w:rsid w:val="00C6621E"/>
    <w:rsid w:val="00C73872"/>
    <w:rsid w:val="00C73EAC"/>
    <w:rsid w:val="00C80C52"/>
    <w:rsid w:val="00C85B46"/>
    <w:rsid w:val="00C91DE8"/>
    <w:rsid w:val="00C92EA0"/>
    <w:rsid w:val="00C93001"/>
    <w:rsid w:val="00CA445B"/>
    <w:rsid w:val="00CB6476"/>
    <w:rsid w:val="00CC0933"/>
    <w:rsid w:val="00CC1788"/>
    <w:rsid w:val="00CC468B"/>
    <w:rsid w:val="00CC7E1C"/>
    <w:rsid w:val="00CD2AE0"/>
    <w:rsid w:val="00CD6859"/>
    <w:rsid w:val="00CE0EBB"/>
    <w:rsid w:val="00CE2C4B"/>
    <w:rsid w:val="00CE56AB"/>
    <w:rsid w:val="00CE6F39"/>
    <w:rsid w:val="00CE79B6"/>
    <w:rsid w:val="00CF0451"/>
    <w:rsid w:val="00CF2084"/>
    <w:rsid w:val="00CF4089"/>
    <w:rsid w:val="00D0099F"/>
    <w:rsid w:val="00D02108"/>
    <w:rsid w:val="00D02D5E"/>
    <w:rsid w:val="00D10DDA"/>
    <w:rsid w:val="00D15271"/>
    <w:rsid w:val="00D22745"/>
    <w:rsid w:val="00D230C6"/>
    <w:rsid w:val="00D245F3"/>
    <w:rsid w:val="00D25012"/>
    <w:rsid w:val="00D34E68"/>
    <w:rsid w:val="00D418D8"/>
    <w:rsid w:val="00D4345C"/>
    <w:rsid w:val="00D435B7"/>
    <w:rsid w:val="00D45892"/>
    <w:rsid w:val="00D46B27"/>
    <w:rsid w:val="00D50257"/>
    <w:rsid w:val="00D53BB7"/>
    <w:rsid w:val="00D53EE5"/>
    <w:rsid w:val="00D5526C"/>
    <w:rsid w:val="00D56A0D"/>
    <w:rsid w:val="00D56A67"/>
    <w:rsid w:val="00D62BD0"/>
    <w:rsid w:val="00D633DA"/>
    <w:rsid w:val="00D6368A"/>
    <w:rsid w:val="00D6620A"/>
    <w:rsid w:val="00D70E61"/>
    <w:rsid w:val="00D7761D"/>
    <w:rsid w:val="00D8203E"/>
    <w:rsid w:val="00D8240E"/>
    <w:rsid w:val="00D84F2D"/>
    <w:rsid w:val="00D96BA8"/>
    <w:rsid w:val="00D96FF0"/>
    <w:rsid w:val="00DA4614"/>
    <w:rsid w:val="00DA5E1D"/>
    <w:rsid w:val="00DB3843"/>
    <w:rsid w:val="00DB43A4"/>
    <w:rsid w:val="00DB4F33"/>
    <w:rsid w:val="00DB61CF"/>
    <w:rsid w:val="00DB646B"/>
    <w:rsid w:val="00DC3393"/>
    <w:rsid w:val="00DC6E1D"/>
    <w:rsid w:val="00DD4F99"/>
    <w:rsid w:val="00DE332F"/>
    <w:rsid w:val="00DE40D9"/>
    <w:rsid w:val="00DE644A"/>
    <w:rsid w:val="00DF22B7"/>
    <w:rsid w:val="00DF265F"/>
    <w:rsid w:val="00DF2C10"/>
    <w:rsid w:val="00DF2D94"/>
    <w:rsid w:val="00DF5771"/>
    <w:rsid w:val="00DF6D92"/>
    <w:rsid w:val="00E0158B"/>
    <w:rsid w:val="00E04425"/>
    <w:rsid w:val="00E11403"/>
    <w:rsid w:val="00E16138"/>
    <w:rsid w:val="00E166A6"/>
    <w:rsid w:val="00E22643"/>
    <w:rsid w:val="00E22E9C"/>
    <w:rsid w:val="00E2428E"/>
    <w:rsid w:val="00E27D14"/>
    <w:rsid w:val="00E31E7D"/>
    <w:rsid w:val="00E36C03"/>
    <w:rsid w:val="00E36DD2"/>
    <w:rsid w:val="00E40D1E"/>
    <w:rsid w:val="00E416B5"/>
    <w:rsid w:val="00E43CCE"/>
    <w:rsid w:val="00E44F58"/>
    <w:rsid w:val="00E51895"/>
    <w:rsid w:val="00E52F5A"/>
    <w:rsid w:val="00E530C0"/>
    <w:rsid w:val="00E54C27"/>
    <w:rsid w:val="00E64178"/>
    <w:rsid w:val="00E6466A"/>
    <w:rsid w:val="00E65A2E"/>
    <w:rsid w:val="00E666E7"/>
    <w:rsid w:val="00E708B2"/>
    <w:rsid w:val="00E72059"/>
    <w:rsid w:val="00E74CCC"/>
    <w:rsid w:val="00E75CB6"/>
    <w:rsid w:val="00E762FA"/>
    <w:rsid w:val="00EA17DC"/>
    <w:rsid w:val="00EA683F"/>
    <w:rsid w:val="00EB0F2D"/>
    <w:rsid w:val="00EB344F"/>
    <w:rsid w:val="00EB3649"/>
    <w:rsid w:val="00EC25CF"/>
    <w:rsid w:val="00EC4839"/>
    <w:rsid w:val="00EC5914"/>
    <w:rsid w:val="00ED07D0"/>
    <w:rsid w:val="00ED2087"/>
    <w:rsid w:val="00ED51F9"/>
    <w:rsid w:val="00ED5A85"/>
    <w:rsid w:val="00EE0E48"/>
    <w:rsid w:val="00EE3C26"/>
    <w:rsid w:val="00EE4759"/>
    <w:rsid w:val="00EF5065"/>
    <w:rsid w:val="00EF7F32"/>
    <w:rsid w:val="00F00081"/>
    <w:rsid w:val="00F14F25"/>
    <w:rsid w:val="00F15894"/>
    <w:rsid w:val="00F20DC9"/>
    <w:rsid w:val="00F221B0"/>
    <w:rsid w:val="00F31F07"/>
    <w:rsid w:val="00F33850"/>
    <w:rsid w:val="00F37739"/>
    <w:rsid w:val="00F438AC"/>
    <w:rsid w:val="00F47CBD"/>
    <w:rsid w:val="00F503B6"/>
    <w:rsid w:val="00F52F2F"/>
    <w:rsid w:val="00F57C08"/>
    <w:rsid w:val="00F610C9"/>
    <w:rsid w:val="00F62145"/>
    <w:rsid w:val="00F6313E"/>
    <w:rsid w:val="00F65D60"/>
    <w:rsid w:val="00F6789E"/>
    <w:rsid w:val="00F705DB"/>
    <w:rsid w:val="00F728DE"/>
    <w:rsid w:val="00F73E30"/>
    <w:rsid w:val="00F748B8"/>
    <w:rsid w:val="00F80B44"/>
    <w:rsid w:val="00F812B1"/>
    <w:rsid w:val="00F90255"/>
    <w:rsid w:val="00F914B5"/>
    <w:rsid w:val="00F918DE"/>
    <w:rsid w:val="00F95BD1"/>
    <w:rsid w:val="00F97875"/>
    <w:rsid w:val="00FA1CA7"/>
    <w:rsid w:val="00FA250B"/>
    <w:rsid w:val="00FA25E2"/>
    <w:rsid w:val="00FA431F"/>
    <w:rsid w:val="00FA620C"/>
    <w:rsid w:val="00FB3E1B"/>
    <w:rsid w:val="00FB3F41"/>
    <w:rsid w:val="00FB4E7F"/>
    <w:rsid w:val="00FB503A"/>
    <w:rsid w:val="00FC2144"/>
    <w:rsid w:val="00FC6894"/>
    <w:rsid w:val="00FD0499"/>
    <w:rsid w:val="00FD1D6B"/>
    <w:rsid w:val="00FD4891"/>
    <w:rsid w:val="00FD5056"/>
    <w:rsid w:val="00FD54B8"/>
    <w:rsid w:val="00FE556F"/>
    <w:rsid w:val="00FF00E5"/>
    <w:rsid w:val="00FF10F3"/>
    <w:rsid w:val="00FF1A78"/>
    <w:rsid w:val="00FF60F6"/>
    <w:rsid w:val="00FF7B4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5C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04"/>
    <w:pPr>
      <w:spacing w:after="120"/>
    </w:pPr>
    <w:rPr>
      <w:rFonts w:eastAsiaTheme="minorEastAsia"/>
      <w:sz w:val="22"/>
      <w:szCs w:val="24"/>
      <w:lang w:val="en-US"/>
    </w:rPr>
  </w:style>
  <w:style w:type="paragraph" w:styleId="Heading1">
    <w:name w:val="heading 1"/>
    <w:basedOn w:val="Normal"/>
    <w:next w:val="Normal"/>
    <w:link w:val="Heading1Char"/>
    <w:qFormat/>
    <w:rsid w:val="003B46F9"/>
    <w:pPr>
      <w:keepNext/>
      <w:numPr>
        <w:numId w:val="2"/>
      </w:numPr>
      <w:spacing w:before="360"/>
      <w:outlineLvl w:val="0"/>
    </w:pPr>
    <w:rPr>
      <w:rFonts w:ascii="Arial" w:eastAsiaTheme="majorEastAsia" w:hAnsi="Arial" w:cs="Arial"/>
      <w:b/>
      <w:bCs/>
      <w:kern w:val="32"/>
      <w:sz w:val="26"/>
      <w:szCs w:val="28"/>
      <w:lang w:val="x-none" w:eastAsia="x-none"/>
    </w:rPr>
  </w:style>
  <w:style w:type="paragraph" w:styleId="Heading2">
    <w:name w:val="heading 2"/>
    <w:basedOn w:val="Normal"/>
    <w:next w:val="Normal"/>
    <w:link w:val="Heading2Char"/>
    <w:qFormat/>
    <w:rsid w:val="00855B0F"/>
    <w:pPr>
      <w:keepNext/>
      <w:numPr>
        <w:ilvl w:val="1"/>
        <w:numId w:val="2"/>
      </w:numPr>
      <w:tabs>
        <w:tab w:val="left" w:pos="567"/>
      </w:tabs>
      <w:spacing w:before="240"/>
      <w:outlineLvl w:val="1"/>
    </w:pPr>
    <w:rPr>
      <w:rFonts w:asciiTheme="minorHAnsi" w:eastAsiaTheme="majorEastAsia" w:hAnsiTheme="minorHAnsi" w:cs="Arial"/>
      <w:b/>
      <w:bCs/>
      <w:iCs/>
      <w:sz w:val="24"/>
      <w:lang w:val="x-none" w:eastAsia="x-none"/>
    </w:rPr>
  </w:style>
  <w:style w:type="paragraph" w:styleId="Heading3">
    <w:name w:val="heading 3"/>
    <w:basedOn w:val="Heading2"/>
    <w:next w:val="Normal"/>
    <w:link w:val="Heading3Char"/>
    <w:qFormat/>
    <w:rsid w:val="00B52121"/>
    <w:pPr>
      <w:numPr>
        <w:ilvl w:val="2"/>
      </w:numPr>
      <w:spacing w:line="288" w:lineRule="auto"/>
      <w:outlineLvl w:val="2"/>
    </w:pPr>
    <w:rPr>
      <w:rFonts w:eastAsia="Times New Roman"/>
      <w:noProof/>
      <w:spacing w:val="10"/>
      <w:sz w:val="22"/>
      <w:lang w:val="en-GB" w:eastAsia="en-US" w:bidi="en-US"/>
    </w:rPr>
  </w:style>
  <w:style w:type="paragraph" w:styleId="Heading4">
    <w:name w:val="heading 4"/>
    <w:basedOn w:val="Normal"/>
    <w:next w:val="Normal"/>
    <w:link w:val="Heading4Char"/>
    <w:qFormat/>
    <w:rsid w:val="00DE332F"/>
    <w:pPr>
      <w:keepNext/>
      <w:numPr>
        <w:ilvl w:val="3"/>
        <w:numId w:val="2"/>
      </w:numPr>
      <w:autoSpaceDE w:val="0"/>
      <w:autoSpaceDN w:val="0"/>
      <w:adjustRightInd w:val="0"/>
      <w:outlineLvl w:val="3"/>
    </w:pPr>
    <w:rPr>
      <w:rFonts w:ascii="Arial" w:eastAsia="Times New Roman" w:hAnsi="Arial" w:cs="Arial"/>
      <w:b/>
      <w:bCs/>
      <w:shadow/>
      <w:sz w:val="28"/>
      <w:szCs w:val="28"/>
      <w:lang w:val="en-GB" w:eastAsia="de-DE"/>
    </w:rPr>
  </w:style>
  <w:style w:type="paragraph" w:styleId="Heading5">
    <w:name w:val="heading 5"/>
    <w:basedOn w:val="Normal"/>
    <w:next w:val="Normal"/>
    <w:link w:val="Heading5Char"/>
    <w:qFormat/>
    <w:rsid w:val="00DE332F"/>
    <w:pPr>
      <w:keepNext/>
      <w:numPr>
        <w:ilvl w:val="4"/>
        <w:numId w:val="2"/>
      </w:numPr>
      <w:outlineLvl w:val="4"/>
    </w:pPr>
    <w:rPr>
      <w:rFonts w:ascii="Arial" w:eastAsia="Times New Roman" w:hAnsi="Arial" w:cs="Arial"/>
      <w:b/>
      <w:bCs/>
      <w:lang w:val="en-GB"/>
    </w:rPr>
  </w:style>
  <w:style w:type="paragraph" w:styleId="Heading7">
    <w:name w:val="heading 7"/>
    <w:basedOn w:val="Normal"/>
    <w:next w:val="Normal"/>
    <w:link w:val="Heading7Char"/>
    <w:qFormat/>
    <w:rsid w:val="00DE332F"/>
    <w:pPr>
      <w:keepNext/>
      <w:numPr>
        <w:ilvl w:val="6"/>
        <w:numId w:val="2"/>
      </w:numPr>
      <w:outlineLvl w:val="6"/>
    </w:pPr>
    <w:rPr>
      <w:rFonts w:ascii="Arial" w:eastAsia="Times New Roman" w:hAnsi="Arial" w:cs="Angsana New"/>
      <w:b/>
      <w:bCs/>
      <w:noProof/>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46F9"/>
    <w:rPr>
      <w:rFonts w:ascii="Arial" w:eastAsiaTheme="majorEastAsia" w:hAnsi="Arial" w:cs="Arial"/>
      <w:b/>
      <w:bCs/>
      <w:kern w:val="32"/>
      <w:sz w:val="26"/>
      <w:szCs w:val="28"/>
      <w:lang w:val="x-none" w:eastAsia="x-none"/>
    </w:rPr>
  </w:style>
  <w:style w:type="character" w:customStyle="1" w:styleId="Heading2Char">
    <w:name w:val="Heading 2 Char"/>
    <w:link w:val="Heading2"/>
    <w:rsid w:val="00855B0F"/>
    <w:rPr>
      <w:rFonts w:asciiTheme="minorHAnsi" w:eastAsiaTheme="majorEastAsia" w:hAnsiTheme="minorHAnsi" w:cs="Arial"/>
      <w:b/>
      <w:bCs/>
      <w:iCs/>
      <w:sz w:val="24"/>
      <w:szCs w:val="24"/>
      <w:lang w:val="x-none" w:eastAsia="x-none"/>
    </w:rPr>
  </w:style>
  <w:style w:type="character" w:customStyle="1" w:styleId="Heading3Char">
    <w:name w:val="Heading 3 Char"/>
    <w:link w:val="Heading3"/>
    <w:rsid w:val="00B52121"/>
    <w:rPr>
      <w:rFonts w:asciiTheme="minorHAnsi" w:eastAsia="Times New Roman" w:hAnsiTheme="minorHAnsi" w:cs="Arial"/>
      <w:b/>
      <w:bCs/>
      <w:iCs/>
      <w:noProof/>
      <w:spacing w:val="10"/>
      <w:sz w:val="22"/>
      <w:szCs w:val="24"/>
      <w:lang w:bidi="en-US"/>
    </w:rPr>
  </w:style>
  <w:style w:type="character" w:customStyle="1" w:styleId="Heading4Char">
    <w:name w:val="Heading 4 Char"/>
    <w:link w:val="Heading4"/>
    <w:uiPriority w:val="9"/>
    <w:rsid w:val="003A2749"/>
    <w:rPr>
      <w:rFonts w:ascii="Arial" w:eastAsia="Times New Roman" w:hAnsi="Arial" w:cs="Arial"/>
      <w:b/>
      <w:bCs/>
      <w:shadow/>
      <w:sz w:val="28"/>
      <w:szCs w:val="28"/>
      <w:lang w:eastAsia="de-DE"/>
    </w:rPr>
  </w:style>
  <w:style w:type="character" w:customStyle="1" w:styleId="Heading5Char">
    <w:name w:val="Heading 5 Char"/>
    <w:link w:val="Heading5"/>
    <w:uiPriority w:val="9"/>
    <w:rsid w:val="003A2749"/>
    <w:rPr>
      <w:rFonts w:ascii="Arial" w:eastAsia="Times New Roman" w:hAnsi="Arial" w:cs="Arial"/>
      <w:b/>
      <w:bCs/>
      <w:sz w:val="22"/>
      <w:szCs w:val="24"/>
    </w:rPr>
  </w:style>
  <w:style w:type="character" w:customStyle="1" w:styleId="Heading7Char">
    <w:name w:val="Heading 7 Char"/>
    <w:link w:val="Heading7"/>
    <w:uiPriority w:val="9"/>
    <w:rsid w:val="003A2749"/>
    <w:rPr>
      <w:rFonts w:ascii="Arial" w:eastAsia="Times New Roman" w:hAnsi="Arial" w:cs="Angsana New"/>
      <w:b/>
      <w:bCs/>
      <w:noProof/>
      <w:sz w:val="22"/>
      <w:lang w:eastAsia="de-DE"/>
    </w:rPr>
  </w:style>
  <w:style w:type="paragraph" w:styleId="TOC3">
    <w:name w:val="toc 3"/>
    <w:basedOn w:val="Normal"/>
    <w:next w:val="Normal"/>
    <w:autoRedefine/>
    <w:uiPriority w:val="39"/>
    <w:qFormat/>
    <w:rsid w:val="003A2749"/>
    <w:pPr>
      <w:spacing w:after="0"/>
      <w:ind w:left="440"/>
    </w:pPr>
    <w:rPr>
      <w:rFonts w:asciiTheme="minorHAnsi" w:hAnsiTheme="minorHAnsi"/>
      <w:i/>
      <w:iCs/>
      <w:sz w:val="20"/>
      <w:szCs w:val="20"/>
    </w:rPr>
  </w:style>
  <w:style w:type="paragraph" w:styleId="Caption">
    <w:name w:val="caption"/>
    <w:basedOn w:val="Normal"/>
    <w:next w:val="Normal"/>
    <w:qFormat/>
    <w:rsid w:val="003A2749"/>
    <w:rPr>
      <w:rFonts w:eastAsia="Times New Roman"/>
      <w:b/>
      <w:bCs/>
      <w:sz w:val="20"/>
      <w:szCs w:val="20"/>
    </w:rPr>
  </w:style>
  <w:style w:type="character" w:styleId="Strong">
    <w:name w:val="Strong"/>
    <w:qFormat/>
    <w:rsid w:val="003A2749"/>
    <w:rPr>
      <w:rFonts w:cs="Times New Roman"/>
      <w:b/>
      <w:bCs/>
    </w:rPr>
  </w:style>
  <w:style w:type="paragraph" w:styleId="ListParagraph">
    <w:name w:val="List Paragraph"/>
    <w:basedOn w:val="Normal"/>
    <w:link w:val="ListParagraphChar"/>
    <w:uiPriority w:val="34"/>
    <w:qFormat/>
    <w:rsid w:val="003A2749"/>
    <w:pPr>
      <w:ind w:left="720"/>
    </w:pPr>
    <w:rPr>
      <w:rFonts w:eastAsia="Times New Roman"/>
      <w:lang w:val="en-GB"/>
    </w:rPr>
  </w:style>
  <w:style w:type="character" w:customStyle="1" w:styleId="ListParagraphChar">
    <w:name w:val="List Paragraph Char"/>
    <w:link w:val="ListParagraph"/>
    <w:uiPriority w:val="34"/>
    <w:locked/>
    <w:rsid w:val="003A2749"/>
    <w:rPr>
      <w:sz w:val="22"/>
      <w:szCs w:val="24"/>
    </w:rPr>
  </w:style>
  <w:style w:type="numbering" w:customStyle="1" w:styleId="reportheadings">
    <w:name w:val="report headings"/>
    <w:uiPriority w:val="99"/>
    <w:rsid w:val="00DE332F"/>
    <w:pPr>
      <w:numPr>
        <w:numId w:val="1"/>
      </w:numPr>
    </w:pPr>
  </w:style>
  <w:style w:type="paragraph" w:styleId="TOC1">
    <w:name w:val="toc 1"/>
    <w:basedOn w:val="Normal"/>
    <w:next w:val="Normal"/>
    <w:autoRedefine/>
    <w:uiPriority w:val="39"/>
    <w:unhideWhenUsed/>
    <w:rsid w:val="00D25012"/>
    <w:pPr>
      <w:tabs>
        <w:tab w:val="left" w:pos="440"/>
        <w:tab w:val="right" w:leader="dot" w:pos="9016"/>
      </w:tabs>
      <w:spacing w:before="120"/>
    </w:pPr>
    <w:rPr>
      <w:rFonts w:asciiTheme="minorHAnsi" w:hAnsiTheme="minorHAnsi"/>
      <w:b/>
      <w:bCs/>
      <w:caps/>
      <w:sz w:val="20"/>
      <w:szCs w:val="20"/>
    </w:rPr>
  </w:style>
  <w:style w:type="paragraph" w:styleId="TOC2">
    <w:name w:val="toc 2"/>
    <w:basedOn w:val="Normal"/>
    <w:next w:val="Normal"/>
    <w:autoRedefine/>
    <w:uiPriority w:val="39"/>
    <w:unhideWhenUsed/>
    <w:rsid w:val="00D25012"/>
    <w:pPr>
      <w:spacing w:after="0"/>
      <w:ind w:left="220"/>
    </w:pPr>
    <w:rPr>
      <w:rFonts w:asciiTheme="minorHAnsi" w:hAnsiTheme="minorHAnsi"/>
      <w:smallCaps/>
      <w:sz w:val="20"/>
      <w:szCs w:val="20"/>
    </w:rPr>
  </w:style>
  <w:style w:type="paragraph" w:styleId="TOC4">
    <w:name w:val="toc 4"/>
    <w:basedOn w:val="Normal"/>
    <w:next w:val="Normal"/>
    <w:autoRedefine/>
    <w:uiPriority w:val="39"/>
    <w:unhideWhenUsed/>
    <w:rsid w:val="00D2501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D2501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D2501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D2501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D2501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D25012"/>
    <w:pPr>
      <w:spacing w:after="0"/>
      <w:ind w:left="1760"/>
    </w:pPr>
    <w:rPr>
      <w:rFonts w:asciiTheme="minorHAnsi" w:hAnsiTheme="minorHAnsi"/>
      <w:sz w:val="18"/>
      <w:szCs w:val="18"/>
    </w:rPr>
  </w:style>
  <w:style w:type="character" w:styleId="Hyperlink">
    <w:name w:val="Hyperlink"/>
    <w:basedOn w:val="DefaultParagraphFont"/>
    <w:uiPriority w:val="99"/>
    <w:unhideWhenUsed/>
    <w:rsid w:val="00D25012"/>
    <w:rPr>
      <w:color w:val="0000FF" w:themeColor="hyperlink"/>
      <w:u w:val="single"/>
    </w:rPr>
  </w:style>
  <w:style w:type="paragraph" w:styleId="Header">
    <w:name w:val="header"/>
    <w:basedOn w:val="Normal"/>
    <w:link w:val="HeaderChar"/>
    <w:uiPriority w:val="99"/>
    <w:unhideWhenUsed/>
    <w:rsid w:val="007F4B29"/>
    <w:pPr>
      <w:tabs>
        <w:tab w:val="center" w:pos="4513"/>
        <w:tab w:val="right" w:pos="9026"/>
      </w:tabs>
      <w:spacing w:after="0"/>
    </w:pPr>
  </w:style>
  <w:style w:type="character" w:customStyle="1" w:styleId="HeaderChar">
    <w:name w:val="Header Char"/>
    <w:basedOn w:val="DefaultParagraphFont"/>
    <w:link w:val="Header"/>
    <w:uiPriority w:val="99"/>
    <w:rsid w:val="007F4B29"/>
    <w:rPr>
      <w:rFonts w:eastAsiaTheme="minorEastAsia"/>
      <w:sz w:val="22"/>
      <w:szCs w:val="24"/>
      <w:lang w:val="en-US"/>
    </w:rPr>
  </w:style>
  <w:style w:type="paragraph" w:styleId="Footer">
    <w:name w:val="footer"/>
    <w:basedOn w:val="Normal"/>
    <w:link w:val="FooterChar"/>
    <w:uiPriority w:val="99"/>
    <w:unhideWhenUsed/>
    <w:rsid w:val="007F4B29"/>
    <w:pPr>
      <w:tabs>
        <w:tab w:val="center" w:pos="4513"/>
        <w:tab w:val="right" w:pos="9026"/>
      </w:tabs>
      <w:spacing w:after="0"/>
    </w:pPr>
  </w:style>
  <w:style w:type="character" w:customStyle="1" w:styleId="FooterChar">
    <w:name w:val="Footer Char"/>
    <w:basedOn w:val="DefaultParagraphFont"/>
    <w:link w:val="Footer"/>
    <w:uiPriority w:val="99"/>
    <w:rsid w:val="007F4B29"/>
    <w:rPr>
      <w:rFonts w:eastAsiaTheme="minorEastAsia"/>
      <w:sz w:val="22"/>
      <w:szCs w:val="24"/>
      <w:lang w:val="en-US"/>
    </w:rPr>
  </w:style>
  <w:style w:type="table" w:styleId="TableGrid">
    <w:name w:val="Table Grid"/>
    <w:basedOn w:val="TableNormal"/>
    <w:uiPriority w:val="59"/>
    <w:rsid w:val="007F0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22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284"/>
    <w:rPr>
      <w:rFonts w:ascii="Tahoma" w:eastAsiaTheme="minorEastAsia" w:hAnsi="Tahoma" w:cs="Tahoma"/>
      <w:sz w:val="16"/>
      <w:szCs w:val="16"/>
      <w:lang w:val="en-US"/>
    </w:rPr>
  </w:style>
  <w:style w:type="paragraph" w:styleId="FootnoteText">
    <w:name w:val="footnote text"/>
    <w:basedOn w:val="Normal"/>
    <w:link w:val="FootnoteTextChar"/>
    <w:uiPriority w:val="99"/>
    <w:semiHidden/>
    <w:unhideWhenUsed/>
    <w:rsid w:val="00BE30A0"/>
    <w:pPr>
      <w:spacing w:after="0"/>
    </w:pPr>
    <w:rPr>
      <w:sz w:val="20"/>
      <w:szCs w:val="20"/>
    </w:rPr>
  </w:style>
  <w:style w:type="character" w:customStyle="1" w:styleId="FootnoteTextChar">
    <w:name w:val="Footnote Text Char"/>
    <w:basedOn w:val="DefaultParagraphFont"/>
    <w:link w:val="FootnoteText"/>
    <w:uiPriority w:val="99"/>
    <w:semiHidden/>
    <w:rsid w:val="00BE30A0"/>
    <w:rPr>
      <w:rFonts w:eastAsiaTheme="minorEastAsia"/>
      <w:lang w:val="en-US"/>
    </w:rPr>
  </w:style>
  <w:style w:type="character" w:styleId="FootnoteReference">
    <w:name w:val="footnote reference"/>
    <w:basedOn w:val="DefaultParagraphFont"/>
    <w:uiPriority w:val="99"/>
    <w:semiHidden/>
    <w:unhideWhenUsed/>
    <w:rsid w:val="00BE30A0"/>
    <w:rPr>
      <w:vertAlign w:val="superscript"/>
    </w:rPr>
  </w:style>
  <w:style w:type="character" w:styleId="CommentReference">
    <w:name w:val="annotation reference"/>
    <w:basedOn w:val="DefaultParagraphFont"/>
    <w:uiPriority w:val="99"/>
    <w:semiHidden/>
    <w:unhideWhenUsed/>
    <w:rsid w:val="00DF6D92"/>
    <w:rPr>
      <w:sz w:val="16"/>
      <w:szCs w:val="16"/>
    </w:rPr>
  </w:style>
  <w:style w:type="paragraph" w:styleId="CommentText">
    <w:name w:val="annotation text"/>
    <w:basedOn w:val="Normal"/>
    <w:link w:val="CommentTextChar"/>
    <w:uiPriority w:val="99"/>
    <w:semiHidden/>
    <w:unhideWhenUsed/>
    <w:rsid w:val="00DF6D92"/>
    <w:rPr>
      <w:sz w:val="20"/>
      <w:szCs w:val="20"/>
    </w:rPr>
  </w:style>
  <w:style w:type="character" w:customStyle="1" w:styleId="CommentTextChar">
    <w:name w:val="Comment Text Char"/>
    <w:basedOn w:val="DefaultParagraphFont"/>
    <w:link w:val="CommentText"/>
    <w:uiPriority w:val="99"/>
    <w:semiHidden/>
    <w:rsid w:val="00DF6D92"/>
    <w:rPr>
      <w:rFonts w:eastAsiaTheme="minorEastAsia"/>
      <w:lang w:val="en-US"/>
    </w:rPr>
  </w:style>
  <w:style w:type="paragraph" w:styleId="CommentSubject">
    <w:name w:val="annotation subject"/>
    <w:basedOn w:val="CommentText"/>
    <w:next w:val="CommentText"/>
    <w:link w:val="CommentSubjectChar"/>
    <w:uiPriority w:val="99"/>
    <w:semiHidden/>
    <w:unhideWhenUsed/>
    <w:rsid w:val="00DF6D92"/>
    <w:rPr>
      <w:b/>
      <w:bCs/>
    </w:rPr>
  </w:style>
  <w:style w:type="character" w:customStyle="1" w:styleId="CommentSubjectChar">
    <w:name w:val="Comment Subject Char"/>
    <w:basedOn w:val="CommentTextChar"/>
    <w:link w:val="CommentSubject"/>
    <w:uiPriority w:val="99"/>
    <w:semiHidden/>
    <w:rsid w:val="00DF6D92"/>
    <w:rPr>
      <w:rFonts w:eastAsiaTheme="minorEastAsia"/>
      <w:b/>
      <w:bCs/>
      <w:lang w:val="en-US"/>
    </w:rPr>
  </w:style>
  <w:style w:type="paragraph" w:styleId="TOCHeading">
    <w:name w:val="TOC Heading"/>
    <w:basedOn w:val="Heading1"/>
    <w:next w:val="Normal"/>
    <w:uiPriority w:val="39"/>
    <w:semiHidden/>
    <w:unhideWhenUsed/>
    <w:qFormat/>
    <w:rsid w:val="00421AC9"/>
    <w:pPr>
      <w:keepLines/>
      <w:numPr>
        <w:numId w:val="0"/>
      </w:numPr>
      <w:spacing w:before="480" w:after="0" w:line="276" w:lineRule="auto"/>
      <w:outlineLvl w:val="9"/>
    </w:pPr>
    <w:rPr>
      <w:rFonts w:asciiTheme="majorHAnsi" w:hAnsiTheme="majorHAnsi" w:cstheme="majorBidi"/>
      <w:color w:val="365F91" w:themeColor="accent1" w:themeShade="BF"/>
      <w:kern w:val="0"/>
      <w:sz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04"/>
    <w:pPr>
      <w:spacing w:after="120"/>
    </w:pPr>
    <w:rPr>
      <w:rFonts w:eastAsiaTheme="minorEastAsia"/>
      <w:sz w:val="22"/>
      <w:szCs w:val="24"/>
      <w:lang w:val="en-US"/>
    </w:rPr>
  </w:style>
  <w:style w:type="paragraph" w:styleId="Heading1">
    <w:name w:val="heading 1"/>
    <w:basedOn w:val="Normal"/>
    <w:next w:val="Normal"/>
    <w:link w:val="Heading1Char"/>
    <w:qFormat/>
    <w:rsid w:val="003B46F9"/>
    <w:pPr>
      <w:keepNext/>
      <w:numPr>
        <w:numId w:val="2"/>
      </w:numPr>
      <w:spacing w:before="360"/>
      <w:outlineLvl w:val="0"/>
    </w:pPr>
    <w:rPr>
      <w:rFonts w:ascii="Arial" w:eastAsiaTheme="majorEastAsia" w:hAnsi="Arial" w:cs="Arial"/>
      <w:b/>
      <w:bCs/>
      <w:kern w:val="32"/>
      <w:sz w:val="26"/>
      <w:szCs w:val="28"/>
      <w:lang w:val="x-none" w:eastAsia="x-none"/>
    </w:rPr>
  </w:style>
  <w:style w:type="paragraph" w:styleId="Heading2">
    <w:name w:val="heading 2"/>
    <w:basedOn w:val="Normal"/>
    <w:next w:val="Normal"/>
    <w:link w:val="Heading2Char"/>
    <w:qFormat/>
    <w:rsid w:val="00855B0F"/>
    <w:pPr>
      <w:keepNext/>
      <w:numPr>
        <w:ilvl w:val="1"/>
        <w:numId w:val="2"/>
      </w:numPr>
      <w:tabs>
        <w:tab w:val="left" w:pos="567"/>
      </w:tabs>
      <w:spacing w:before="240"/>
      <w:outlineLvl w:val="1"/>
    </w:pPr>
    <w:rPr>
      <w:rFonts w:asciiTheme="minorHAnsi" w:eastAsiaTheme="majorEastAsia" w:hAnsiTheme="minorHAnsi" w:cs="Arial"/>
      <w:b/>
      <w:bCs/>
      <w:iCs/>
      <w:sz w:val="24"/>
      <w:lang w:val="x-none" w:eastAsia="x-none"/>
    </w:rPr>
  </w:style>
  <w:style w:type="paragraph" w:styleId="Heading3">
    <w:name w:val="heading 3"/>
    <w:basedOn w:val="Heading2"/>
    <w:next w:val="Normal"/>
    <w:link w:val="Heading3Char"/>
    <w:qFormat/>
    <w:rsid w:val="00B52121"/>
    <w:pPr>
      <w:numPr>
        <w:ilvl w:val="2"/>
      </w:numPr>
      <w:spacing w:line="288" w:lineRule="auto"/>
      <w:outlineLvl w:val="2"/>
    </w:pPr>
    <w:rPr>
      <w:rFonts w:eastAsia="Times New Roman"/>
      <w:noProof/>
      <w:spacing w:val="10"/>
      <w:sz w:val="22"/>
      <w:lang w:val="en-GB" w:eastAsia="en-US" w:bidi="en-US"/>
    </w:rPr>
  </w:style>
  <w:style w:type="paragraph" w:styleId="Heading4">
    <w:name w:val="heading 4"/>
    <w:basedOn w:val="Normal"/>
    <w:next w:val="Normal"/>
    <w:link w:val="Heading4Char"/>
    <w:qFormat/>
    <w:rsid w:val="00DE332F"/>
    <w:pPr>
      <w:keepNext/>
      <w:numPr>
        <w:ilvl w:val="3"/>
        <w:numId w:val="2"/>
      </w:numPr>
      <w:autoSpaceDE w:val="0"/>
      <w:autoSpaceDN w:val="0"/>
      <w:adjustRightInd w:val="0"/>
      <w:outlineLvl w:val="3"/>
    </w:pPr>
    <w:rPr>
      <w:rFonts w:ascii="Arial" w:eastAsia="Times New Roman" w:hAnsi="Arial" w:cs="Arial"/>
      <w:b/>
      <w:bCs/>
      <w:shadow/>
      <w:sz w:val="28"/>
      <w:szCs w:val="28"/>
      <w:lang w:val="en-GB" w:eastAsia="de-DE"/>
    </w:rPr>
  </w:style>
  <w:style w:type="paragraph" w:styleId="Heading5">
    <w:name w:val="heading 5"/>
    <w:basedOn w:val="Normal"/>
    <w:next w:val="Normal"/>
    <w:link w:val="Heading5Char"/>
    <w:qFormat/>
    <w:rsid w:val="00DE332F"/>
    <w:pPr>
      <w:keepNext/>
      <w:numPr>
        <w:ilvl w:val="4"/>
        <w:numId w:val="2"/>
      </w:numPr>
      <w:outlineLvl w:val="4"/>
    </w:pPr>
    <w:rPr>
      <w:rFonts w:ascii="Arial" w:eastAsia="Times New Roman" w:hAnsi="Arial" w:cs="Arial"/>
      <w:b/>
      <w:bCs/>
      <w:lang w:val="en-GB"/>
    </w:rPr>
  </w:style>
  <w:style w:type="paragraph" w:styleId="Heading7">
    <w:name w:val="heading 7"/>
    <w:basedOn w:val="Normal"/>
    <w:next w:val="Normal"/>
    <w:link w:val="Heading7Char"/>
    <w:qFormat/>
    <w:rsid w:val="00DE332F"/>
    <w:pPr>
      <w:keepNext/>
      <w:numPr>
        <w:ilvl w:val="6"/>
        <w:numId w:val="2"/>
      </w:numPr>
      <w:outlineLvl w:val="6"/>
    </w:pPr>
    <w:rPr>
      <w:rFonts w:ascii="Arial" w:eastAsia="Times New Roman" w:hAnsi="Arial" w:cs="Angsana New"/>
      <w:b/>
      <w:bCs/>
      <w:noProof/>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46F9"/>
    <w:rPr>
      <w:rFonts w:ascii="Arial" w:eastAsiaTheme="majorEastAsia" w:hAnsi="Arial" w:cs="Arial"/>
      <w:b/>
      <w:bCs/>
      <w:kern w:val="32"/>
      <w:sz w:val="26"/>
      <w:szCs w:val="28"/>
      <w:lang w:val="x-none" w:eastAsia="x-none"/>
    </w:rPr>
  </w:style>
  <w:style w:type="character" w:customStyle="1" w:styleId="Heading2Char">
    <w:name w:val="Heading 2 Char"/>
    <w:link w:val="Heading2"/>
    <w:rsid w:val="00855B0F"/>
    <w:rPr>
      <w:rFonts w:asciiTheme="minorHAnsi" w:eastAsiaTheme="majorEastAsia" w:hAnsiTheme="minorHAnsi" w:cs="Arial"/>
      <w:b/>
      <w:bCs/>
      <w:iCs/>
      <w:sz w:val="24"/>
      <w:szCs w:val="24"/>
      <w:lang w:val="x-none" w:eastAsia="x-none"/>
    </w:rPr>
  </w:style>
  <w:style w:type="character" w:customStyle="1" w:styleId="Heading3Char">
    <w:name w:val="Heading 3 Char"/>
    <w:link w:val="Heading3"/>
    <w:rsid w:val="00B52121"/>
    <w:rPr>
      <w:rFonts w:asciiTheme="minorHAnsi" w:eastAsia="Times New Roman" w:hAnsiTheme="minorHAnsi" w:cs="Arial"/>
      <w:b/>
      <w:bCs/>
      <w:iCs/>
      <w:noProof/>
      <w:spacing w:val="10"/>
      <w:sz w:val="22"/>
      <w:szCs w:val="24"/>
      <w:lang w:bidi="en-US"/>
    </w:rPr>
  </w:style>
  <w:style w:type="character" w:customStyle="1" w:styleId="Heading4Char">
    <w:name w:val="Heading 4 Char"/>
    <w:link w:val="Heading4"/>
    <w:uiPriority w:val="9"/>
    <w:rsid w:val="003A2749"/>
    <w:rPr>
      <w:rFonts w:ascii="Arial" w:eastAsia="Times New Roman" w:hAnsi="Arial" w:cs="Arial"/>
      <w:b/>
      <w:bCs/>
      <w:shadow/>
      <w:sz w:val="28"/>
      <w:szCs w:val="28"/>
      <w:lang w:eastAsia="de-DE"/>
    </w:rPr>
  </w:style>
  <w:style w:type="character" w:customStyle="1" w:styleId="Heading5Char">
    <w:name w:val="Heading 5 Char"/>
    <w:link w:val="Heading5"/>
    <w:uiPriority w:val="9"/>
    <w:rsid w:val="003A2749"/>
    <w:rPr>
      <w:rFonts w:ascii="Arial" w:eastAsia="Times New Roman" w:hAnsi="Arial" w:cs="Arial"/>
      <w:b/>
      <w:bCs/>
      <w:sz w:val="22"/>
      <w:szCs w:val="24"/>
    </w:rPr>
  </w:style>
  <w:style w:type="character" w:customStyle="1" w:styleId="Heading7Char">
    <w:name w:val="Heading 7 Char"/>
    <w:link w:val="Heading7"/>
    <w:uiPriority w:val="9"/>
    <w:rsid w:val="003A2749"/>
    <w:rPr>
      <w:rFonts w:ascii="Arial" w:eastAsia="Times New Roman" w:hAnsi="Arial" w:cs="Angsana New"/>
      <w:b/>
      <w:bCs/>
      <w:noProof/>
      <w:sz w:val="22"/>
      <w:lang w:eastAsia="de-DE"/>
    </w:rPr>
  </w:style>
  <w:style w:type="paragraph" w:styleId="TOC3">
    <w:name w:val="toc 3"/>
    <w:basedOn w:val="Normal"/>
    <w:next w:val="Normal"/>
    <w:autoRedefine/>
    <w:uiPriority w:val="39"/>
    <w:qFormat/>
    <w:rsid w:val="003A2749"/>
    <w:pPr>
      <w:spacing w:after="0"/>
      <w:ind w:left="440"/>
    </w:pPr>
    <w:rPr>
      <w:rFonts w:asciiTheme="minorHAnsi" w:hAnsiTheme="minorHAnsi"/>
      <w:i/>
      <w:iCs/>
      <w:sz w:val="20"/>
      <w:szCs w:val="20"/>
    </w:rPr>
  </w:style>
  <w:style w:type="paragraph" w:styleId="Caption">
    <w:name w:val="caption"/>
    <w:basedOn w:val="Normal"/>
    <w:next w:val="Normal"/>
    <w:qFormat/>
    <w:rsid w:val="003A2749"/>
    <w:rPr>
      <w:rFonts w:eastAsia="Times New Roman"/>
      <w:b/>
      <w:bCs/>
      <w:sz w:val="20"/>
      <w:szCs w:val="20"/>
    </w:rPr>
  </w:style>
  <w:style w:type="character" w:styleId="Strong">
    <w:name w:val="Strong"/>
    <w:qFormat/>
    <w:rsid w:val="003A2749"/>
    <w:rPr>
      <w:rFonts w:cs="Times New Roman"/>
      <w:b/>
      <w:bCs/>
    </w:rPr>
  </w:style>
  <w:style w:type="paragraph" w:styleId="ListParagraph">
    <w:name w:val="List Paragraph"/>
    <w:basedOn w:val="Normal"/>
    <w:link w:val="ListParagraphChar"/>
    <w:uiPriority w:val="34"/>
    <w:qFormat/>
    <w:rsid w:val="003A2749"/>
    <w:pPr>
      <w:ind w:left="720"/>
    </w:pPr>
    <w:rPr>
      <w:rFonts w:eastAsia="Times New Roman"/>
      <w:lang w:val="en-GB"/>
    </w:rPr>
  </w:style>
  <w:style w:type="character" w:customStyle="1" w:styleId="ListParagraphChar">
    <w:name w:val="List Paragraph Char"/>
    <w:link w:val="ListParagraph"/>
    <w:uiPriority w:val="34"/>
    <w:locked/>
    <w:rsid w:val="003A2749"/>
    <w:rPr>
      <w:sz w:val="22"/>
      <w:szCs w:val="24"/>
    </w:rPr>
  </w:style>
  <w:style w:type="numbering" w:customStyle="1" w:styleId="reportheadings">
    <w:name w:val="report headings"/>
    <w:uiPriority w:val="99"/>
    <w:rsid w:val="00DE332F"/>
    <w:pPr>
      <w:numPr>
        <w:numId w:val="1"/>
      </w:numPr>
    </w:pPr>
  </w:style>
  <w:style w:type="paragraph" w:styleId="TOC1">
    <w:name w:val="toc 1"/>
    <w:basedOn w:val="Normal"/>
    <w:next w:val="Normal"/>
    <w:autoRedefine/>
    <w:uiPriority w:val="39"/>
    <w:unhideWhenUsed/>
    <w:rsid w:val="00D25012"/>
    <w:pPr>
      <w:tabs>
        <w:tab w:val="left" w:pos="440"/>
        <w:tab w:val="right" w:leader="dot" w:pos="9016"/>
      </w:tabs>
      <w:spacing w:before="120"/>
    </w:pPr>
    <w:rPr>
      <w:rFonts w:asciiTheme="minorHAnsi" w:hAnsiTheme="minorHAnsi"/>
      <w:b/>
      <w:bCs/>
      <w:caps/>
      <w:sz w:val="20"/>
      <w:szCs w:val="20"/>
    </w:rPr>
  </w:style>
  <w:style w:type="paragraph" w:styleId="TOC2">
    <w:name w:val="toc 2"/>
    <w:basedOn w:val="Normal"/>
    <w:next w:val="Normal"/>
    <w:autoRedefine/>
    <w:uiPriority w:val="39"/>
    <w:unhideWhenUsed/>
    <w:rsid w:val="00D25012"/>
    <w:pPr>
      <w:spacing w:after="0"/>
      <w:ind w:left="220"/>
    </w:pPr>
    <w:rPr>
      <w:rFonts w:asciiTheme="minorHAnsi" w:hAnsiTheme="minorHAnsi"/>
      <w:smallCaps/>
      <w:sz w:val="20"/>
      <w:szCs w:val="20"/>
    </w:rPr>
  </w:style>
  <w:style w:type="paragraph" w:styleId="TOC4">
    <w:name w:val="toc 4"/>
    <w:basedOn w:val="Normal"/>
    <w:next w:val="Normal"/>
    <w:autoRedefine/>
    <w:uiPriority w:val="39"/>
    <w:unhideWhenUsed/>
    <w:rsid w:val="00D2501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D2501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D2501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D2501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D2501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D25012"/>
    <w:pPr>
      <w:spacing w:after="0"/>
      <w:ind w:left="1760"/>
    </w:pPr>
    <w:rPr>
      <w:rFonts w:asciiTheme="minorHAnsi" w:hAnsiTheme="minorHAnsi"/>
      <w:sz w:val="18"/>
      <w:szCs w:val="18"/>
    </w:rPr>
  </w:style>
  <w:style w:type="character" w:styleId="Hyperlink">
    <w:name w:val="Hyperlink"/>
    <w:basedOn w:val="DefaultParagraphFont"/>
    <w:uiPriority w:val="99"/>
    <w:unhideWhenUsed/>
    <w:rsid w:val="00D25012"/>
    <w:rPr>
      <w:color w:val="0000FF" w:themeColor="hyperlink"/>
      <w:u w:val="single"/>
    </w:rPr>
  </w:style>
  <w:style w:type="paragraph" w:styleId="Header">
    <w:name w:val="header"/>
    <w:basedOn w:val="Normal"/>
    <w:link w:val="HeaderChar"/>
    <w:uiPriority w:val="99"/>
    <w:unhideWhenUsed/>
    <w:rsid w:val="007F4B29"/>
    <w:pPr>
      <w:tabs>
        <w:tab w:val="center" w:pos="4513"/>
        <w:tab w:val="right" w:pos="9026"/>
      </w:tabs>
      <w:spacing w:after="0"/>
    </w:pPr>
  </w:style>
  <w:style w:type="character" w:customStyle="1" w:styleId="HeaderChar">
    <w:name w:val="Header Char"/>
    <w:basedOn w:val="DefaultParagraphFont"/>
    <w:link w:val="Header"/>
    <w:uiPriority w:val="99"/>
    <w:rsid w:val="007F4B29"/>
    <w:rPr>
      <w:rFonts w:eastAsiaTheme="minorEastAsia"/>
      <w:sz w:val="22"/>
      <w:szCs w:val="24"/>
      <w:lang w:val="en-US"/>
    </w:rPr>
  </w:style>
  <w:style w:type="paragraph" w:styleId="Footer">
    <w:name w:val="footer"/>
    <w:basedOn w:val="Normal"/>
    <w:link w:val="FooterChar"/>
    <w:uiPriority w:val="99"/>
    <w:unhideWhenUsed/>
    <w:rsid w:val="007F4B29"/>
    <w:pPr>
      <w:tabs>
        <w:tab w:val="center" w:pos="4513"/>
        <w:tab w:val="right" w:pos="9026"/>
      </w:tabs>
      <w:spacing w:after="0"/>
    </w:pPr>
  </w:style>
  <w:style w:type="character" w:customStyle="1" w:styleId="FooterChar">
    <w:name w:val="Footer Char"/>
    <w:basedOn w:val="DefaultParagraphFont"/>
    <w:link w:val="Footer"/>
    <w:uiPriority w:val="99"/>
    <w:rsid w:val="007F4B29"/>
    <w:rPr>
      <w:rFonts w:eastAsiaTheme="minorEastAsia"/>
      <w:sz w:val="22"/>
      <w:szCs w:val="24"/>
      <w:lang w:val="en-US"/>
    </w:rPr>
  </w:style>
  <w:style w:type="table" w:styleId="TableGrid">
    <w:name w:val="Table Grid"/>
    <w:basedOn w:val="TableNormal"/>
    <w:uiPriority w:val="59"/>
    <w:rsid w:val="007F0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22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284"/>
    <w:rPr>
      <w:rFonts w:ascii="Tahoma" w:eastAsiaTheme="minorEastAsia" w:hAnsi="Tahoma" w:cs="Tahoma"/>
      <w:sz w:val="16"/>
      <w:szCs w:val="16"/>
      <w:lang w:val="en-US"/>
    </w:rPr>
  </w:style>
  <w:style w:type="paragraph" w:styleId="FootnoteText">
    <w:name w:val="footnote text"/>
    <w:basedOn w:val="Normal"/>
    <w:link w:val="FootnoteTextChar"/>
    <w:uiPriority w:val="99"/>
    <w:semiHidden/>
    <w:unhideWhenUsed/>
    <w:rsid w:val="00BE30A0"/>
    <w:pPr>
      <w:spacing w:after="0"/>
    </w:pPr>
    <w:rPr>
      <w:sz w:val="20"/>
      <w:szCs w:val="20"/>
    </w:rPr>
  </w:style>
  <w:style w:type="character" w:customStyle="1" w:styleId="FootnoteTextChar">
    <w:name w:val="Footnote Text Char"/>
    <w:basedOn w:val="DefaultParagraphFont"/>
    <w:link w:val="FootnoteText"/>
    <w:uiPriority w:val="99"/>
    <w:semiHidden/>
    <w:rsid w:val="00BE30A0"/>
    <w:rPr>
      <w:rFonts w:eastAsiaTheme="minorEastAsia"/>
      <w:lang w:val="en-US"/>
    </w:rPr>
  </w:style>
  <w:style w:type="character" w:styleId="FootnoteReference">
    <w:name w:val="footnote reference"/>
    <w:basedOn w:val="DefaultParagraphFont"/>
    <w:uiPriority w:val="99"/>
    <w:semiHidden/>
    <w:unhideWhenUsed/>
    <w:rsid w:val="00BE30A0"/>
    <w:rPr>
      <w:vertAlign w:val="superscript"/>
    </w:rPr>
  </w:style>
  <w:style w:type="character" w:styleId="CommentReference">
    <w:name w:val="annotation reference"/>
    <w:basedOn w:val="DefaultParagraphFont"/>
    <w:uiPriority w:val="99"/>
    <w:semiHidden/>
    <w:unhideWhenUsed/>
    <w:rsid w:val="00DF6D92"/>
    <w:rPr>
      <w:sz w:val="16"/>
      <w:szCs w:val="16"/>
    </w:rPr>
  </w:style>
  <w:style w:type="paragraph" w:styleId="CommentText">
    <w:name w:val="annotation text"/>
    <w:basedOn w:val="Normal"/>
    <w:link w:val="CommentTextChar"/>
    <w:uiPriority w:val="99"/>
    <w:semiHidden/>
    <w:unhideWhenUsed/>
    <w:rsid w:val="00DF6D92"/>
    <w:rPr>
      <w:sz w:val="20"/>
      <w:szCs w:val="20"/>
    </w:rPr>
  </w:style>
  <w:style w:type="character" w:customStyle="1" w:styleId="CommentTextChar">
    <w:name w:val="Comment Text Char"/>
    <w:basedOn w:val="DefaultParagraphFont"/>
    <w:link w:val="CommentText"/>
    <w:uiPriority w:val="99"/>
    <w:semiHidden/>
    <w:rsid w:val="00DF6D92"/>
    <w:rPr>
      <w:rFonts w:eastAsiaTheme="minorEastAsia"/>
      <w:lang w:val="en-US"/>
    </w:rPr>
  </w:style>
  <w:style w:type="paragraph" w:styleId="CommentSubject">
    <w:name w:val="annotation subject"/>
    <w:basedOn w:val="CommentText"/>
    <w:next w:val="CommentText"/>
    <w:link w:val="CommentSubjectChar"/>
    <w:uiPriority w:val="99"/>
    <w:semiHidden/>
    <w:unhideWhenUsed/>
    <w:rsid w:val="00DF6D92"/>
    <w:rPr>
      <w:b/>
      <w:bCs/>
    </w:rPr>
  </w:style>
  <w:style w:type="character" w:customStyle="1" w:styleId="CommentSubjectChar">
    <w:name w:val="Comment Subject Char"/>
    <w:basedOn w:val="CommentTextChar"/>
    <w:link w:val="CommentSubject"/>
    <w:uiPriority w:val="99"/>
    <w:semiHidden/>
    <w:rsid w:val="00DF6D92"/>
    <w:rPr>
      <w:rFonts w:eastAsiaTheme="minorEastAsia"/>
      <w:b/>
      <w:bCs/>
      <w:lang w:val="en-US"/>
    </w:rPr>
  </w:style>
  <w:style w:type="paragraph" w:styleId="TOCHeading">
    <w:name w:val="TOC Heading"/>
    <w:basedOn w:val="Heading1"/>
    <w:next w:val="Normal"/>
    <w:uiPriority w:val="39"/>
    <w:semiHidden/>
    <w:unhideWhenUsed/>
    <w:qFormat/>
    <w:rsid w:val="00421AC9"/>
    <w:pPr>
      <w:keepLines/>
      <w:numPr>
        <w:numId w:val="0"/>
      </w:numPr>
      <w:spacing w:before="480" w:after="0" w:line="276" w:lineRule="auto"/>
      <w:outlineLvl w:val="9"/>
    </w:pPr>
    <w:rPr>
      <w:rFonts w:asciiTheme="majorHAnsi" w:hAnsiTheme="majorHAnsi" w:cstheme="majorBidi"/>
      <w:color w:val="365F91" w:themeColor="accent1" w:themeShade="BF"/>
      <w:kern w:val="0"/>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9014">
      <w:bodyDiv w:val="1"/>
      <w:marLeft w:val="0"/>
      <w:marRight w:val="0"/>
      <w:marTop w:val="0"/>
      <w:marBottom w:val="0"/>
      <w:divBdr>
        <w:top w:val="none" w:sz="0" w:space="0" w:color="auto"/>
        <w:left w:val="none" w:sz="0" w:space="0" w:color="auto"/>
        <w:bottom w:val="none" w:sz="0" w:space="0" w:color="auto"/>
        <w:right w:val="none" w:sz="0" w:space="0" w:color="auto"/>
      </w:divBdr>
      <w:divsChild>
        <w:div w:id="641278954">
          <w:marLeft w:val="547"/>
          <w:marRight w:val="0"/>
          <w:marTop w:val="130"/>
          <w:marBottom w:val="0"/>
          <w:divBdr>
            <w:top w:val="none" w:sz="0" w:space="0" w:color="auto"/>
            <w:left w:val="none" w:sz="0" w:space="0" w:color="auto"/>
            <w:bottom w:val="none" w:sz="0" w:space="0" w:color="auto"/>
            <w:right w:val="none" w:sz="0" w:space="0" w:color="auto"/>
          </w:divBdr>
        </w:div>
        <w:div w:id="2072146122">
          <w:marLeft w:val="547"/>
          <w:marRight w:val="0"/>
          <w:marTop w:val="130"/>
          <w:marBottom w:val="0"/>
          <w:divBdr>
            <w:top w:val="none" w:sz="0" w:space="0" w:color="auto"/>
            <w:left w:val="none" w:sz="0" w:space="0" w:color="auto"/>
            <w:bottom w:val="none" w:sz="0" w:space="0" w:color="auto"/>
            <w:right w:val="none" w:sz="0" w:space="0" w:color="auto"/>
          </w:divBdr>
        </w:div>
        <w:div w:id="1078790650">
          <w:marLeft w:val="547"/>
          <w:marRight w:val="0"/>
          <w:marTop w:val="130"/>
          <w:marBottom w:val="0"/>
          <w:divBdr>
            <w:top w:val="none" w:sz="0" w:space="0" w:color="auto"/>
            <w:left w:val="none" w:sz="0" w:space="0" w:color="auto"/>
            <w:bottom w:val="none" w:sz="0" w:space="0" w:color="auto"/>
            <w:right w:val="none" w:sz="0" w:space="0" w:color="auto"/>
          </w:divBdr>
        </w:div>
        <w:div w:id="1477264778">
          <w:marLeft w:val="547"/>
          <w:marRight w:val="0"/>
          <w:marTop w:val="130"/>
          <w:marBottom w:val="0"/>
          <w:divBdr>
            <w:top w:val="none" w:sz="0" w:space="0" w:color="auto"/>
            <w:left w:val="none" w:sz="0" w:space="0" w:color="auto"/>
            <w:bottom w:val="none" w:sz="0" w:space="0" w:color="auto"/>
            <w:right w:val="none" w:sz="0" w:space="0" w:color="auto"/>
          </w:divBdr>
        </w:div>
        <w:div w:id="398019736">
          <w:marLeft w:val="547"/>
          <w:marRight w:val="0"/>
          <w:marTop w:val="130"/>
          <w:marBottom w:val="0"/>
          <w:divBdr>
            <w:top w:val="none" w:sz="0" w:space="0" w:color="auto"/>
            <w:left w:val="none" w:sz="0" w:space="0" w:color="auto"/>
            <w:bottom w:val="none" w:sz="0" w:space="0" w:color="auto"/>
            <w:right w:val="none" w:sz="0" w:space="0" w:color="auto"/>
          </w:divBdr>
        </w:div>
        <w:div w:id="1728258464">
          <w:marLeft w:val="547"/>
          <w:marRight w:val="0"/>
          <w:marTop w:val="130"/>
          <w:marBottom w:val="0"/>
          <w:divBdr>
            <w:top w:val="none" w:sz="0" w:space="0" w:color="auto"/>
            <w:left w:val="none" w:sz="0" w:space="0" w:color="auto"/>
            <w:bottom w:val="none" w:sz="0" w:space="0" w:color="auto"/>
            <w:right w:val="none" w:sz="0" w:space="0" w:color="auto"/>
          </w:divBdr>
        </w:div>
      </w:divsChild>
    </w:div>
    <w:div w:id="409618308">
      <w:bodyDiv w:val="1"/>
      <w:marLeft w:val="0"/>
      <w:marRight w:val="0"/>
      <w:marTop w:val="0"/>
      <w:marBottom w:val="0"/>
      <w:divBdr>
        <w:top w:val="none" w:sz="0" w:space="0" w:color="auto"/>
        <w:left w:val="none" w:sz="0" w:space="0" w:color="auto"/>
        <w:bottom w:val="none" w:sz="0" w:space="0" w:color="auto"/>
        <w:right w:val="none" w:sz="0" w:space="0" w:color="auto"/>
      </w:divBdr>
    </w:div>
    <w:div w:id="1349789774">
      <w:bodyDiv w:val="1"/>
      <w:marLeft w:val="0"/>
      <w:marRight w:val="0"/>
      <w:marTop w:val="0"/>
      <w:marBottom w:val="0"/>
      <w:divBdr>
        <w:top w:val="none" w:sz="0" w:space="0" w:color="auto"/>
        <w:left w:val="none" w:sz="0" w:space="0" w:color="auto"/>
        <w:bottom w:val="none" w:sz="0" w:space="0" w:color="auto"/>
        <w:right w:val="none" w:sz="0" w:space="0" w:color="auto"/>
      </w:divBdr>
    </w:div>
    <w:div w:id="1414232625">
      <w:bodyDiv w:val="1"/>
      <w:marLeft w:val="0"/>
      <w:marRight w:val="0"/>
      <w:marTop w:val="0"/>
      <w:marBottom w:val="0"/>
      <w:divBdr>
        <w:top w:val="none" w:sz="0" w:space="0" w:color="auto"/>
        <w:left w:val="none" w:sz="0" w:space="0" w:color="auto"/>
        <w:bottom w:val="none" w:sz="0" w:space="0" w:color="auto"/>
        <w:right w:val="none" w:sz="0" w:space="0" w:color="auto"/>
      </w:divBdr>
      <w:divsChild>
        <w:div w:id="462773192">
          <w:marLeft w:val="547"/>
          <w:marRight w:val="0"/>
          <w:marTop w:val="144"/>
          <w:marBottom w:val="0"/>
          <w:divBdr>
            <w:top w:val="none" w:sz="0" w:space="0" w:color="auto"/>
            <w:left w:val="none" w:sz="0" w:space="0" w:color="auto"/>
            <w:bottom w:val="none" w:sz="0" w:space="0" w:color="auto"/>
            <w:right w:val="none" w:sz="0" w:space="0" w:color="auto"/>
          </w:divBdr>
        </w:div>
        <w:div w:id="2057315005">
          <w:marLeft w:val="547"/>
          <w:marRight w:val="0"/>
          <w:marTop w:val="144"/>
          <w:marBottom w:val="0"/>
          <w:divBdr>
            <w:top w:val="none" w:sz="0" w:space="0" w:color="auto"/>
            <w:left w:val="none" w:sz="0" w:space="0" w:color="auto"/>
            <w:bottom w:val="none" w:sz="0" w:space="0" w:color="auto"/>
            <w:right w:val="none" w:sz="0" w:space="0" w:color="auto"/>
          </w:divBdr>
        </w:div>
        <w:div w:id="1120076528">
          <w:marLeft w:val="547"/>
          <w:marRight w:val="0"/>
          <w:marTop w:val="144"/>
          <w:marBottom w:val="0"/>
          <w:divBdr>
            <w:top w:val="none" w:sz="0" w:space="0" w:color="auto"/>
            <w:left w:val="none" w:sz="0" w:space="0" w:color="auto"/>
            <w:bottom w:val="none" w:sz="0" w:space="0" w:color="auto"/>
            <w:right w:val="none" w:sz="0" w:space="0" w:color="auto"/>
          </w:divBdr>
        </w:div>
        <w:div w:id="592133880">
          <w:marLeft w:val="547"/>
          <w:marRight w:val="0"/>
          <w:marTop w:val="144"/>
          <w:marBottom w:val="0"/>
          <w:divBdr>
            <w:top w:val="none" w:sz="0" w:space="0" w:color="auto"/>
            <w:left w:val="none" w:sz="0" w:space="0" w:color="auto"/>
            <w:bottom w:val="none" w:sz="0" w:space="0" w:color="auto"/>
            <w:right w:val="none" w:sz="0" w:space="0" w:color="auto"/>
          </w:divBdr>
        </w:div>
      </w:divsChild>
    </w:div>
    <w:div w:id="20432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9530E-CD72-47EF-8C0A-99DC1C3E3BBE}"/>
</file>

<file path=customXml/itemProps2.xml><?xml version="1.0" encoding="utf-8"?>
<ds:datastoreItem xmlns:ds="http://schemas.openxmlformats.org/officeDocument/2006/customXml" ds:itemID="{29E78E92-6AD0-48E6-8380-A8FB978DAC10}"/>
</file>

<file path=customXml/itemProps3.xml><?xml version="1.0" encoding="utf-8"?>
<ds:datastoreItem xmlns:ds="http://schemas.openxmlformats.org/officeDocument/2006/customXml" ds:itemID="{37D8B545-4722-4128-87C2-99C036EAE994}"/>
</file>

<file path=customXml/itemProps4.xml><?xml version="1.0" encoding="utf-8"?>
<ds:datastoreItem xmlns:ds="http://schemas.openxmlformats.org/officeDocument/2006/customXml" ds:itemID="{7502F21F-9CF9-4817-9171-7A8C4D6CDF02}"/>
</file>

<file path=docProps/app.xml><?xml version="1.0" encoding="utf-8"?>
<Properties xmlns="http://schemas.openxmlformats.org/officeDocument/2006/extended-properties" xmlns:vt="http://schemas.openxmlformats.org/officeDocument/2006/docPropsVTypes">
  <Template>Normal.dotm</Template>
  <TotalTime>0</TotalTime>
  <Pages>35</Pages>
  <Words>15401</Words>
  <Characters>87787</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102983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dc:creator>
  <cp:lastModifiedBy>Tom Ffrench</cp:lastModifiedBy>
  <cp:revision>2</cp:revision>
  <cp:lastPrinted>2013-08-27T04:24:00Z</cp:lastPrinted>
  <dcterms:created xsi:type="dcterms:W3CDTF">2013-11-27T04:03:00Z</dcterms:created>
  <dcterms:modified xsi:type="dcterms:W3CDTF">2013-11-27T04:03:00Z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29700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