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F7" w:rsidRDefault="00026F08">
      <w:pPr>
        <w:spacing w:after="160" w:line="259" w:lineRule="auto"/>
        <w:jc w:val="center"/>
      </w:pPr>
      <w:bookmarkStart w:id="0" w:name="_GoBack"/>
      <w:bookmarkEnd w:id="0"/>
      <w:r>
        <w:t>Management Response:</w:t>
      </w:r>
    </w:p>
    <w:p w:rsidR="00117CF7" w:rsidRDefault="00C320BB">
      <w:pPr>
        <w:spacing w:after="160" w:line="259" w:lineRule="auto"/>
        <w:jc w:val="center"/>
      </w:pPr>
      <w:r>
        <w:t xml:space="preserve">Independent </w:t>
      </w:r>
      <w:r w:rsidR="00026F08">
        <w:t>Review of the Australia-Indonesia Partnership for Rural Economic Development (AIP-Rural) Program End of Program Evaluation</w:t>
      </w:r>
    </w:p>
    <w:p w:rsidR="00117CF7" w:rsidRDefault="00117CF7">
      <w:pPr>
        <w:spacing w:after="160" w:line="259" w:lineRule="auto"/>
        <w:jc w:val="center"/>
      </w:pPr>
    </w:p>
    <w:p w:rsidR="00117CF7" w:rsidRDefault="004063BF">
      <w:pPr>
        <w:spacing w:after="160" w:line="259" w:lineRule="auto"/>
      </w:pPr>
      <w:r>
        <w:t>The Department of Foreign Affairs and Trade (</w:t>
      </w:r>
      <w:r w:rsidR="00026F08">
        <w:t>DFAT</w:t>
      </w:r>
      <w:r>
        <w:t>)</w:t>
      </w:r>
      <w:r w:rsidR="00026F08">
        <w:t xml:space="preserve"> commissioned an end of program review for the AIP-Rural program in November 2018. This </w:t>
      </w:r>
      <w:r w:rsidR="00C320BB">
        <w:t xml:space="preserve">independent </w:t>
      </w:r>
      <w:r w:rsidR="00026F08">
        <w:t>review was conducted by the Strategic Review Panel</w:t>
      </w:r>
      <w:r>
        <w:t xml:space="preserve"> (SRP)</w:t>
      </w:r>
      <w:r w:rsidR="00026F08">
        <w:t xml:space="preserve">, </w:t>
      </w:r>
      <w:r w:rsidR="00026F08">
        <w:rPr>
          <w:rFonts w:eastAsia="Arial" w:hAnsi="Arial"/>
        </w:rPr>
        <w:t xml:space="preserve">an independent advisory group comprising two senior experts in the fields of market systems development, rural development, agriculture, and performance management. Its function is to provide strategic advice to the program on how to maximise impact. The SRP conducts reviews on AIP Rural every six months. This review was conducted as the ninth and final SRP input during November 4-14, 2018. It took place in the context of the transition between completion of AIP-Rural and inception of PRISMA-2. </w:t>
      </w:r>
      <w:r w:rsidR="00026F08">
        <w:t xml:space="preserve">The review assessed the following: </w:t>
      </w:r>
    </w:p>
    <w:p w:rsidR="00117CF7" w:rsidRDefault="00026F08">
      <w:pPr>
        <w:pStyle w:val="BodyText"/>
        <w:numPr>
          <w:ilvl w:val="0"/>
          <w:numId w:val="1"/>
        </w:numPr>
        <w:spacing w:before="60" w:after="60"/>
        <w:ind w:hanging="295"/>
        <w:jc w:val="left"/>
        <w:rPr>
          <w:rFonts w:ascii="Calibri" w:eastAsia="Arial"/>
          <w:sz w:val="22"/>
          <w:szCs w:val="22"/>
        </w:rPr>
      </w:pPr>
      <w:r>
        <w:rPr>
          <w:rFonts w:ascii="Calibri" w:eastAsia="Arial"/>
          <w:sz w:val="22"/>
          <w:szCs w:val="22"/>
        </w:rPr>
        <w:t>PRISMA progress towards achieving end of program outcomes and identifying lessons learned</w:t>
      </w:r>
    </w:p>
    <w:p w:rsidR="004063BF" w:rsidRPr="004063BF" w:rsidRDefault="004063BF" w:rsidP="004063BF">
      <w:pPr>
        <w:pStyle w:val="BodyText"/>
        <w:numPr>
          <w:ilvl w:val="0"/>
          <w:numId w:val="1"/>
        </w:numPr>
        <w:spacing w:before="60" w:after="60"/>
        <w:ind w:hanging="295"/>
        <w:jc w:val="left"/>
        <w:rPr>
          <w:rFonts w:cs="Arial"/>
        </w:rPr>
      </w:pPr>
      <w:r w:rsidRPr="004063BF">
        <w:rPr>
          <w:rFonts w:cs="Arial"/>
        </w:rPr>
        <w:t>Proof of Concept for the other three programs within the AIP Rural portfolio</w:t>
      </w:r>
    </w:p>
    <w:p w:rsidR="004063BF" w:rsidRDefault="004063BF" w:rsidP="004063BF">
      <w:pPr>
        <w:pStyle w:val="BodyText"/>
        <w:numPr>
          <w:ilvl w:val="1"/>
          <w:numId w:val="1"/>
        </w:numPr>
        <w:spacing w:before="60" w:after="60"/>
        <w:rPr>
          <w:rFonts w:cs="Arial"/>
        </w:rPr>
      </w:pPr>
      <w:r>
        <w:rPr>
          <w:rFonts w:cs="Arial"/>
        </w:rPr>
        <w:t>Tertiary Irrigation Technical Assistance (</w:t>
      </w:r>
      <w:r w:rsidRPr="002F0094">
        <w:rPr>
          <w:rFonts w:cs="Arial"/>
        </w:rPr>
        <w:t>TIRTA</w:t>
      </w:r>
      <w:r>
        <w:rPr>
          <w:rFonts w:cs="Arial"/>
        </w:rPr>
        <w:t xml:space="preserve">) </w:t>
      </w:r>
    </w:p>
    <w:p w:rsidR="004063BF" w:rsidRDefault="004063BF" w:rsidP="004063BF">
      <w:pPr>
        <w:pStyle w:val="BodyText"/>
        <w:numPr>
          <w:ilvl w:val="1"/>
          <w:numId w:val="1"/>
        </w:numPr>
        <w:spacing w:before="60" w:after="60"/>
        <w:rPr>
          <w:rFonts w:cs="Arial"/>
        </w:rPr>
      </w:pPr>
      <w:r>
        <w:rPr>
          <w:rFonts w:cs="Arial"/>
        </w:rPr>
        <w:t>Strengthening Agriculture Finance in Rural Areas (</w:t>
      </w:r>
      <w:r w:rsidRPr="002F0094">
        <w:rPr>
          <w:rFonts w:cs="Arial"/>
        </w:rPr>
        <w:t>SAFIRA</w:t>
      </w:r>
      <w:r>
        <w:rPr>
          <w:rFonts w:cs="Arial"/>
        </w:rPr>
        <w:t xml:space="preserve">) </w:t>
      </w:r>
    </w:p>
    <w:p w:rsidR="004063BF" w:rsidRDefault="004063BF" w:rsidP="004063BF">
      <w:pPr>
        <w:pStyle w:val="BodyText"/>
        <w:numPr>
          <w:ilvl w:val="1"/>
          <w:numId w:val="1"/>
        </w:numPr>
        <w:spacing w:before="60" w:after="60"/>
        <w:rPr>
          <w:rFonts w:cs="Arial"/>
        </w:rPr>
      </w:pPr>
      <w:r>
        <w:rPr>
          <w:rFonts w:cs="Arial"/>
        </w:rPr>
        <w:t>Applied Research and Innovation Systems in Agriculture (</w:t>
      </w:r>
      <w:r w:rsidRPr="002F0094">
        <w:rPr>
          <w:rFonts w:cs="Arial"/>
        </w:rPr>
        <w:t>ARISA</w:t>
      </w:r>
      <w:r>
        <w:rPr>
          <w:rFonts w:cs="Arial"/>
        </w:rPr>
        <w:t xml:space="preserve">) </w:t>
      </w:r>
    </w:p>
    <w:p w:rsidR="00117CF7" w:rsidRDefault="00026F08">
      <w:pPr>
        <w:pStyle w:val="BodyText"/>
        <w:numPr>
          <w:ilvl w:val="0"/>
          <w:numId w:val="1"/>
        </w:numPr>
        <w:spacing w:before="60" w:after="60"/>
        <w:ind w:hanging="295"/>
        <w:jc w:val="left"/>
        <w:rPr>
          <w:rFonts w:ascii="Calibri" w:eastAsia="Arial"/>
          <w:sz w:val="22"/>
          <w:szCs w:val="22"/>
        </w:rPr>
      </w:pPr>
      <w:r>
        <w:rPr>
          <w:rFonts w:ascii="Calibri" w:eastAsia="Arial"/>
          <w:sz w:val="22"/>
          <w:szCs w:val="22"/>
        </w:rPr>
        <w:t>Progress against the transition plan and in planning for inception of PRISMA-2</w:t>
      </w:r>
    </w:p>
    <w:p w:rsidR="00117CF7" w:rsidRDefault="00117CF7">
      <w:pPr>
        <w:spacing w:after="160" w:line="259" w:lineRule="auto"/>
      </w:pPr>
    </w:p>
    <w:p w:rsidR="00117CF7" w:rsidRDefault="00026F08">
      <w:pPr>
        <w:spacing w:after="160" w:line="259" w:lineRule="auto"/>
        <w:sectPr w:rsidR="00117C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pPr>
      <w:r>
        <w:t xml:space="preserve">Out of the six recommendations provided by the review team, DFAT </w:t>
      </w:r>
      <w:r w:rsidR="00826E92">
        <w:t xml:space="preserve">fully </w:t>
      </w:r>
      <w:r>
        <w:t xml:space="preserve">agrees with four and agrees in part with </w:t>
      </w:r>
      <w:r w:rsidR="00826E92">
        <w:t>two</w:t>
      </w:r>
      <w:r>
        <w:t xml:space="preserve">. DFAT will work closely with Palladium, </w:t>
      </w:r>
      <w:r w:rsidR="004063BF" w:rsidRPr="004063BF">
        <w:rPr>
          <w:rFonts w:asciiTheme="minorHAnsi" w:hAnsiTheme="minorHAnsi" w:cstheme="minorHAnsi"/>
          <w:color w:val="222222"/>
        </w:rPr>
        <w:t>Commonwealth Scientific and Industrial Research Organisation (</w:t>
      </w:r>
      <w:r w:rsidRPr="004063BF">
        <w:rPr>
          <w:rFonts w:asciiTheme="minorHAnsi" w:hAnsiTheme="minorHAnsi" w:cstheme="minorHAnsi"/>
        </w:rPr>
        <w:t>CSIRO</w:t>
      </w:r>
      <w:r w:rsidR="004063BF" w:rsidRPr="004063BF">
        <w:rPr>
          <w:rFonts w:asciiTheme="minorHAnsi" w:hAnsiTheme="minorHAnsi" w:cstheme="minorHAnsi"/>
        </w:rPr>
        <w:t>)</w:t>
      </w:r>
      <w:r w:rsidRPr="004063BF">
        <w:rPr>
          <w:rFonts w:asciiTheme="minorHAnsi" w:hAnsiTheme="minorHAnsi" w:cstheme="minorHAnsi"/>
        </w:rPr>
        <w:t xml:space="preserve"> </w:t>
      </w:r>
      <w:r>
        <w:t xml:space="preserve">and the Government of Indonesia </w:t>
      </w:r>
      <w:r w:rsidR="004063BF">
        <w:t xml:space="preserve">(GoI) </w:t>
      </w:r>
      <w:r>
        <w:t xml:space="preserve">to implement the recommendations. </w:t>
      </w:r>
    </w:p>
    <w:p w:rsidR="00117CF7" w:rsidRDefault="00026F08">
      <w:pPr>
        <w:spacing w:after="160" w:line="259" w:lineRule="auto"/>
        <w:rPr>
          <w:b/>
        </w:rPr>
      </w:pPr>
      <w:r>
        <w:rPr>
          <w:b/>
        </w:rPr>
        <w:lastRenderedPageBreak/>
        <w:t>DFAT’s Management Response to the Recommendations</w:t>
      </w:r>
    </w:p>
    <w:tbl>
      <w:tblPr>
        <w:tblStyle w:val="TableGrid"/>
        <w:tblW w:w="13958" w:type="dxa"/>
        <w:tblLayout w:type="fixed"/>
        <w:tblLook w:val="04A0" w:firstRow="1" w:lastRow="0" w:firstColumn="1" w:lastColumn="0" w:noHBand="0" w:noVBand="1"/>
      </w:tblPr>
      <w:tblGrid>
        <w:gridCol w:w="3029"/>
        <w:gridCol w:w="1658"/>
        <w:gridCol w:w="3052"/>
        <w:gridCol w:w="3167"/>
        <w:gridCol w:w="3052"/>
      </w:tblGrid>
      <w:tr w:rsidR="00117CF7">
        <w:tc>
          <w:tcPr>
            <w:tcW w:w="3029" w:type="dxa"/>
          </w:tcPr>
          <w:p w:rsidR="00117CF7" w:rsidRDefault="00026F08">
            <w:pPr>
              <w:jc w:val="both"/>
              <w:rPr>
                <w:b/>
              </w:rPr>
            </w:pPr>
            <w:r>
              <w:rPr>
                <w:b/>
              </w:rPr>
              <w:t xml:space="preserve">Recommendation </w:t>
            </w:r>
          </w:p>
        </w:tc>
        <w:tc>
          <w:tcPr>
            <w:tcW w:w="1658" w:type="dxa"/>
          </w:tcPr>
          <w:p w:rsidR="00117CF7" w:rsidRDefault="00026F08">
            <w:pPr>
              <w:jc w:val="both"/>
              <w:rPr>
                <w:b/>
              </w:rPr>
            </w:pPr>
            <w:r>
              <w:rPr>
                <w:b/>
              </w:rPr>
              <w:t>Response (agree, agree in part, disagree)</w:t>
            </w:r>
          </w:p>
        </w:tc>
        <w:tc>
          <w:tcPr>
            <w:tcW w:w="3052" w:type="dxa"/>
          </w:tcPr>
          <w:p w:rsidR="00117CF7" w:rsidRDefault="00026F08">
            <w:pPr>
              <w:jc w:val="both"/>
              <w:rPr>
                <w:b/>
              </w:rPr>
            </w:pPr>
            <w:r>
              <w:rPr>
                <w:b/>
              </w:rPr>
              <w:t>Explanation (especially if response is not agree)</w:t>
            </w:r>
          </w:p>
        </w:tc>
        <w:tc>
          <w:tcPr>
            <w:tcW w:w="3167" w:type="dxa"/>
          </w:tcPr>
          <w:p w:rsidR="00117CF7" w:rsidRDefault="00026F08">
            <w:pPr>
              <w:jc w:val="both"/>
              <w:rPr>
                <w:b/>
              </w:rPr>
            </w:pPr>
            <w:r>
              <w:rPr>
                <w:b/>
              </w:rPr>
              <w:t>Action Plan</w:t>
            </w:r>
          </w:p>
        </w:tc>
        <w:tc>
          <w:tcPr>
            <w:tcW w:w="3052" w:type="dxa"/>
          </w:tcPr>
          <w:p w:rsidR="00117CF7" w:rsidRDefault="00026F08">
            <w:pPr>
              <w:jc w:val="both"/>
              <w:rPr>
                <w:b/>
              </w:rPr>
            </w:pPr>
            <w:r>
              <w:rPr>
                <w:b/>
              </w:rPr>
              <w:t>Timeframe</w:t>
            </w:r>
          </w:p>
        </w:tc>
      </w:tr>
      <w:tr w:rsidR="00117CF7">
        <w:tc>
          <w:tcPr>
            <w:tcW w:w="3029" w:type="dxa"/>
          </w:tcPr>
          <w:p w:rsidR="00117CF7" w:rsidRDefault="00026F08" w:rsidP="004063BF">
            <w:r>
              <w:t>Select and peer review criteria for selection and prioritisation of initial PRISMA-2 portfolio of interventions; and include no-go lessons from Phase 1. (</w:t>
            </w:r>
            <w:r>
              <w:rPr>
                <w:i/>
              </w:rPr>
              <w:t>e.g</w:t>
            </w:r>
            <w:r>
              <w:t xml:space="preserve">. </w:t>
            </w:r>
            <w:r>
              <w:rPr>
                <w:b/>
                <w:i/>
                <w:u w:val="single"/>
              </w:rPr>
              <w:t>no</w:t>
            </w:r>
            <w:r>
              <w:t xml:space="preserve"> organisational change [banks, </w:t>
            </w:r>
            <w:r w:rsidR="004063BF">
              <w:t>irrigation associations (</w:t>
            </w:r>
            <w:r>
              <w:t>HIPPAs</w:t>
            </w:r>
            <w:r w:rsidR="004063BF">
              <w:t>)</w:t>
            </w:r>
            <w:r>
              <w:t xml:space="preserve">, </w:t>
            </w:r>
            <w:r w:rsidR="004063BF">
              <w:t>village owned enterprise (</w:t>
            </w:r>
            <w:r>
              <w:t>BUMDes</w:t>
            </w:r>
            <w:r w:rsidR="004063BF">
              <w:t>)</w:t>
            </w:r>
            <w:r>
              <w:t xml:space="preserve">, </w:t>
            </w:r>
            <w:r w:rsidR="004063BF">
              <w:t>agriculture extension workers (</w:t>
            </w:r>
            <w:r>
              <w:t>PPL</w:t>
            </w:r>
            <w:r w:rsidR="004063BF">
              <w:t>s)</w:t>
            </w:r>
            <w:r>
              <w:t xml:space="preserve">] and </w:t>
            </w:r>
            <w:r>
              <w:rPr>
                <w:b/>
                <w:i/>
                <w:u w:val="single"/>
              </w:rPr>
              <w:t>no</w:t>
            </w:r>
            <w:r>
              <w:t xml:space="preserve"> co-facilitators or GoI-led interventions).</w:t>
            </w:r>
          </w:p>
        </w:tc>
        <w:tc>
          <w:tcPr>
            <w:tcW w:w="1658" w:type="dxa"/>
          </w:tcPr>
          <w:p w:rsidR="00117CF7" w:rsidRDefault="00026F08">
            <w:pPr>
              <w:jc w:val="both"/>
            </w:pPr>
            <w:r>
              <w:t xml:space="preserve">Agree in part </w:t>
            </w:r>
          </w:p>
          <w:p w:rsidR="00117CF7" w:rsidRDefault="00117CF7">
            <w:pPr>
              <w:jc w:val="both"/>
            </w:pPr>
          </w:p>
          <w:p w:rsidR="00117CF7" w:rsidRDefault="00117CF7">
            <w:pPr>
              <w:jc w:val="both"/>
            </w:pPr>
          </w:p>
        </w:tc>
        <w:tc>
          <w:tcPr>
            <w:tcW w:w="3052" w:type="dxa"/>
          </w:tcPr>
          <w:p w:rsidR="00117CF7" w:rsidRDefault="00826E92">
            <w:pPr>
              <w:jc w:val="both"/>
            </w:pPr>
            <w:r>
              <w:t>T</w:t>
            </w:r>
            <w:r w:rsidR="00026F08">
              <w:t xml:space="preserve">he primary intention and mechanism of MSD is organisational change, </w:t>
            </w:r>
            <w:r>
              <w:t xml:space="preserve">including this as a no go lesson </w:t>
            </w:r>
            <w:r w:rsidR="00026F08">
              <w:t xml:space="preserve">directly contravenes the fundamental mechanism.  </w:t>
            </w:r>
          </w:p>
          <w:p w:rsidR="00117CF7" w:rsidRDefault="00117CF7">
            <w:pPr>
              <w:jc w:val="both"/>
            </w:pPr>
          </w:p>
          <w:p w:rsidR="00117CF7" w:rsidRDefault="00026F08">
            <w:pPr>
              <w:jc w:val="both"/>
            </w:pPr>
            <w:r>
              <w:t xml:space="preserve">PRISMA-2 should have space </w:t>
            </w:r>
            <w:r w:rsidR="001E5837">
              <w:t xml:space="preserve">to support </w:t>
            </w:r>
            <w:r w:rsidR="00826E92">
              <w:t xml:space="preserve">organisational change and co-facilitators </w:t>
            </w:r>
            <w:r w:rsidR="004063BF">
              <w:t xml:space="preserve">based on </w:t>
            </w:r>
            <w:r w:rsidR="00826E92">
              <w:t xml:space="preserve">rigorous analysis and as part of a balanced portfolio. </w:t>
            </w:r>
          </w:p>
          <w:p w:rsidR="00117CF7" w:rsidRDefault="00117CF7">
            <w:pPr>
              <w:jc w:val="both"/>
            </w:pPr>
          </w:p>
          <w:p w:rsidR="00117CF7" w:rsidRDefault="00026F08">
            <w:pPr>
              <w:jc w:val="both"/>
            </w:pPr>
            <w:r>
              <w:t xml:space="preserve">PRISMA-2 should be cautious of </w:t>
            </w:r>
            <w:r w:rsidR="00EB2905">
              <w:t xml:space="preserve">generalizing </w:t>
            </w:r>
            <w:r>
              <w:t>lessons from AIP-R about certain institutions and modalities (e.g. HIPPAs).</w:t>
            </w:r>
            <w:r w:rsidR="00826E92">
              <w:t xml:space="preserve"> Their performance is not uniform. </w:t>
            </w:r>
          </w:p>
          <w:p w:rsidR="00117CF7" w:rsidRDefault="00117CF7">
            <w:pPr>
              <w:jc w:val="both"/>
            </w:pPr>
          </w:p>
          <w:p w:rsidR="00117CF7" w:rsidRDefault="00E12F92" w:rsidP="00826E92">
            <w:pPr>
              <w:jc w:val="both"/>
            </w:pPr>
            <w:r>
              <w:t xml:space="preserve">Similarly </w:t>
            </w:r>
            <w:r w:rsidR="00026F08">
              <w:t>with co-facilitators</w:t>
            </w:r>
            <w:r>
              <w:t xml:space="preserve"> t</w:t>
            </w:r>
            <w:r w:rsidR="00026F08">
              <w:t>he learning is not clear cut</w:t>
            </w:r>
            <w:r w:rsidR="00826E92">
              <w:t xml:space="preserve">. </w:t>
            </w:r>
            <w:r w:rsidR="00026F08">
              <w:t>PRISMA-2 will apply learning to determine whether co-fac</w:t>
            </w:r>
            <w:r>
              <w:t>ilitator</w:t>
            </w:r>
            <w:r w:rsidR="00026F08">
              <w:t>s are appropriate</w:t>
            </w:r>
            <w:r w:rsidR="0058174D">
              <w:t xml:space="preserve"> for an intervention</w:t>
            </w:r>
            <w:r w:rsidR="00026F08">
              <w:t>, and which ones are best.</w:t>
            </w:r>
          </w:p>
        </w:tc>
        <w:tc>
          <w:tcPr>
            <w:tcW w:w="3167" w:type="dxa"/>
          </w:tcPr>
          <w:p w:rsidR="00117CF7" w:rsidRDefault="00026F08">
            <w:pPr>
              <w:jc w:val="both"/>
            </w:pPr>
            <w:r>
              <w:t>PRISMA2 will review selection criteria for its opening portfolio and continue to refine these as the programme progresses.  Key to this will be a Partnership Review to incorporate relationship management into the Q</w:t>
            </w:r>
            <w:r w:rsidR="00826E92">
              <w:t xml:space="preserve">uality </w:t>
            </w:r>
            <w:r>
              <w:t>M</w:t>
            </w:r>
            <w:r w:rsidR="00826E92">
              <w:t xml:space="preserve">onitoring </w:t>
            </w:r>
            <w:r>
              <w:t>T</w:t>
            </w:r>
            <w:r w:rsidR="00826E92">
              <w:t>ool</w:t>
            </w:r>
            <w:r>
              <w:t xml:space="preserve"> process.</w:t>
            </w:r>
          </w:p>
          <w:p w:rsidR="00117CF7" w:rsidRDefault="00117CF7">
            <w:pPr>
              <w:jc w:val="both"/>
            </w:pPr>
          </w:p>
          <w:p w:rsidR="00117CF7" w:rsidRDefault="00026F08">
            <w:pPr>
              <w:jc w:val="both"/>
            </w:pPr>
            <w:r>
              <w:t>In order to retain flexibility</w:t>
            </w:r>
            <w:r w:rsidR="00EB2905">
              <w:t xml:space="preserve"> and </w:t>
            </w:r>
            <w:r>
              <w:t>attain the ambitions of PRISMA-2</w:t>
            </w:r>
            <w:r w:rsidR="00EB2905">
              <w:t>,</w:t>
            </w:r>
            <w:r>
              <w:t xml:space="preserve"> nothing </w:t>
            </w:r>
            <w:r w:rsidR="00EB2905">
              <w:t>should be “</w:t>
            </w:r>
            <w:r>
              <w:t xml:space="preserve">off the table”. </w:t>
            </w:r>
            <w:r w:rsidR="00EB2905">
              <w:t>The program</w:t>
            </w:r>
            <w:r w:rsidR="006A1EAB">
              <w:t>me</w:t>
            </w:r>
            <w:r>
              <w:t xml:space="preserve"> </w:t>
            </w:r>
            <w:r w:rsidR="00EB2905">
              <w:t>should determine</w:t>
            </w:r>
            <w:r>
              <w:t xml:space="preserve"> who to partner with, and the means of partnering</w:t>
            </w:r>
            <w:r w:rsidR="00EB2905">
              <w:t xml:space="preserve"> for each intervention</w:t>
            </w:r>
            <w:r>
              <w:t xml:space="preserve">.  </w:t>
            </w:r>
          </w:p>
          <w:p w:rsidR="00117CF7" w:rsidRDefault="00117CF7">
            <w:pPr>
              <w:jc w:val="both"/>
            </w:pPr>
          </w:p>
          <w:p w:rsidR="00117CF7" w:rsidRDefault="00026F08">
            <w:pPr>
              <w:jc w:val="both"/>
            </w:pPr>
            <w:r>
              <w:t>E.g. if co-facilitators are appropriate for a given intervention (e.g. based on Phase 1 successes), they will be considered alongside alternatives.</w:t>
            </w:r>
          </w:p>
          <w:p w:rsidR="00117CF7" w:rsidRDefault="00117CF7">
            <w:pPr>
              <w:jc w:val="both"/>
            </w:pPr>
          </w:p>
          <w:p w:rsidR="00117CF7" w:rsidRDefault="00026F08">
            <w:pPr>
              <w:jc w:val="both"/>
              <w:rPr>
                <w:b/>
              </w:rPr>
            </w:pPr>
            <w:r>
              <w:t xml:space="preserve">Modalities such as co-housing co-facilitator staff to aide better information flow, management </w:t>
            </w:r>
            <w:r>
              <w:lastRenderedPageBreak/>
              <w:t>and knowledge transfer will also be considered.</w:t>
            </w:r>
          </w:p>
        </w:tc>
        <w:tc>
          <w:tcPr>
            <w:tcW w:w="3052" w:type="dxa"/>
          </w:tcPr>
          <w:p w:rsidR="00EB2905" w:rsidRDefault="00EB2905" w:rsidP="00EB2905">
            <w:pPr>
              <w:jc w:val="both"/>
            </w:pPr>
            <w:r>
              <w:lastRenderedPageBreak/>
              <w:t>Selection and peer review criteria for selection and prioritisation of initial PRISMA-2 portfolio of interventions is planned for Q</w:t>
            </w:r>
            <w:r w:rsidR="004063BF">
              <w:t xml:space="preserve">uarter </w:t>
            </w:r>
            <w:r>
              <w:t xml:space="preserve">1. </w:t>
            </w:r>
          </w:p>
          <w:p w:rsidR="00EB2905" w:rsidRDefault="00EB2905" w:rsidP="00EB2905">
            <w:pPr>
              <w:jc w:val="both"/>
            </w:pPr>
          </w:p>
          <w:p w:rsidR="00117CF7" w:rsidRDefault="00026F08">
            <w:pPr>
              <w:jc w:val="both"/>
            </w:pPr>
            <w:r>
              <w:t>The Partnership Review (</w:t>
            </w:r>
            <w:r w:rsidR="00826E92">
              <w:t xml:space="preserve">to </w:t>
            </w:r>
            <w:r>
              <w:t>review current partnering modalities) will be conducted in April 2019.</w:t>
            </w:r>
          </w:p>
          <w:p w:rsidR="00117CF7" w:rsidRDefault="00117CF7">
            <w:pPr>
              <w:jc w:val="both"/>
            </w:pPr>
          </w:p>
          <w:p w:rsidR="00117CF7" w:rsidRDefault="00026F08">
            <w:pPr>
              <w:jc w:val="both"/>
            </w:pPr>
            <w:r>
              <w:t xml:space="preserve">Consideration </w:t>
            </w:r>
            <w:r w:rsidR="00826E92">
              <w:t xml:space="preserve">of </w:t>
            </w:r>
            <w:r>
              <w:t>no</w:t>
            </w:r>
            <w:r w:rsidR="00EB2905">
              <w:t>-</w:t>
            </w:r>
            <w:r>
              <w:t>go lessons will be ongoing</w:t>
            </w:r>
          </w:p>
          <w:p w:rsidR="00117CF7" w:rsidRDefault="00117CF7">
            <w:pPr>
              <w:jc w:val="both"/>
            </w:pPr>
          </w:p>
        </w:tc>
      </w:tr>
      <w:tr w:rsidR="00117CF7">
        <w:tc>
          <w:tcPr>
            <w:tcW w:w="3029" w:type="dxa"/>
          </w:tcPr>
          <w:p w:rsidR="00117CF7" w:rsidRDefault="00026F08">
            <w:r>
              <w:t>Review functions and organisation to include financial, ICT and irrigation innovations in the PRISMA-2 portfolio so that they are treated consistently with other sectors and best use is made of resources in the Mentoring Hub.</w:t>
            </w:r>
          </w:p>
        </w:tc>
        <w:tc>
          <w:tcPr>
            <w:tcW w:w="1658" w:type="dxa"/>
          </w:tcPr>
          <w:p w:rsidR="00117CF7" w:rsidRDefault="00026F08">
            <w:pPr>
              <w:jc w:val="both"/>
            </w:pPr>
            <w:r>
              <w:t>Agree</w:t>
            </w:r>
          </w:p>
        </w:tc>
        <w:tc>
          <w:tcPr>
            <w:tcW w:w="3052" w:type="dxa"/>
          </w:tcPr>
          <w:p w:rsidR="00117CF7" w:rsidRDefault="00117CF7">
            <w:pPr>
              <w:jc w:val="both"/>
            </w:pPr>
          </w:p>
        </w:tc>
        <w:tc>
          <w:tcPr>
            <w:tcW w:w="3167" w:type="dxa"/>
          </w:tcPr>
          <w:p w:rsidR="00117CF7" w:rsidRDefault="001E5837" w:rsidP="001E5837">
            <w:pPr>
              <w:jc w:val="both"/>
            </w:pPr>
            <w:r>
              <w:t>PRISMA-2 will r</w:t>
            </w:r>
            <w:r w:rsidR="00026F08">
              <w:t>e-visit structure in Semester 1 – possible re-shuffle as needed.</w:t>
            </w:r>
          </w:p>
        </w:tc>
        <w:tc>
          <w:tcPr>
            <w:tcW w:w="3052" w:type="dxa"/>
          </w:tcPr>
          <w:p w:rsidR="00117CF7" w:rsidRDefault="00026F08">
            <w:pPr>
              <w:jc w:val="both"/>
            </w:pPr>
            <w:r>
              <w:t>30 June 2019</w:t>
            </w:r>
          </w:p>
        </w:tc>
      </w:tr>
      <w:tr w:rsidR="00117CF7">
        <w:tc>
          <w:tcPr>
            <w:tcW w:w="3029" w:type="dxa"/>
          </w:tcPr>
          <w:p w:rsidR="00117CF7" w:rsidRDefault="00026F08">
            <w:pPr>
              <w:jc w:val="both"/>
            </w:pPr>
            <w:r>
              <w:t>Capture and communicate final AIP-Rural resources (</w:t>
            </w:r>
            <w:r>
              <w:rPr>
                <w:i/>
              </w:rPr>
              <w:t>e.g</w:t>
            </w:r>
            <w:r>
              <w:t>. the MSD training curriculum developed for government partners), as well as lessons from case studies, MIS and completion report.</w:t>
            </w:r>
          </w:p>
        </w:tc>
        <w:tc>
          <w:tcPr>
            <w:tcW w:w="1658" w:type="dxa"/>
          </w:tcPr>
          <w:p w:rsidR="00117CF7" w:rsidRDefault="00026F08">
            <w:pPr>
              <w:jc w:val="both"/>
            </w:pPr>
            <w:r>
              <w:t xml:space="preserve">Agree </w:t>
            </w:r>
          </w:p>
        </w:tc>
        <w:tc>
          <w:tcPr>
            <w:tcW w:w="3052" w:type="dxa"/>
          </w:tcPr>
          <w:p w:rsidR="00117CF7" w:rsidRDefault="00117CF7">
            <w:pPr>
              <w:jc w:val="both"/>
            </w:pPr>
          </w:p>
        </w:tc>
        <w:tc>
          <w:tcPr>
            <w:tcW w:w="3167" w:type="dxa"/>
          </w:tcPr>
          <w:p w:rsidR="00117CF7" w:rsidRDefault="00026F08">
            <w:pPr>
              <w:jc w:val="both"/>
            </w:pPr>
            <w:r>
              <w:t>PRISMA</w:t>
            </w:r>
            <w:r w:rsidR="001E5837">
              <w:t>-2</w:t>
            </w:r>
            <w:r>
              <w:t xml:space="preserve"> </w:t>
            </w:r>
            <w:r w:rsidR="00EB2905">
              <w:t>has developed a</w:t>
            </w:r>
            <w:r>
              <w:t xml:space="preserve"> completion report</w:t>
            </w:r>
            <w:r w:rsidR="00EB2905">
              <w:t xml:space="preserve"> and </w:t>
            </w:r>
            <w:r>
              <w:t xml:space="preserve">lessons learned document that will be published and distributed to relevant private sector and public sector stakeholders.  </w:t>
            </w:r>
          </w:p>
        </w:tc>
        <w:tc>
          <w:tcPr>
            <w:tcW w:w="3052" w:type="dxa"/>
          </w:tcPr>
          <w:p w:rsidR="00117CF7" w:rsidRDefault="00026F08">
            <w:pPr>
              <w:jc w:val="both"/>
            </w:pPr>
            <w:r>
              <w:t xml:space="preserve">31 December 2019 </w:t>
            </w:r>
          </w:p>
        </w:tc>
      </w:tr>
      <w:tr w:rsidR="00117CF7">
        <w:tc>
          <w:tcPr>
            <w:tcW w:w="3029" w:type="dxa"/>
          </w:tcPr>
          <w:p w:rsidR="00117CF7" w:rsidRDefault="00026F08">
            <w:pPr>
              <w:jc w:val="both"/>
            </w:pPr>
            <w:r>
              <w:t>Manage risk of loss of momentum – partners, staff, interventions, including maintaining the HOP capacity and an active Mentoring Hub.</w:t>
            </w:r>
          </w:p>
        </w:tc>
        <w:tc>
          <w:tcPr>
            <w:tcW w:w="1658" w:type="dxa"/>
          </w:tcPr>
          <w:p w:rsidR="00117CF7" w:rsidRDefault="00026F08">
            <w:pPr>
              <w:jc w:val="both"/>
            </w:pPr>
            <w:r>
              <w:t>Agree</w:t>
            </w:r>
          </w:p>
        </w:tc>
        <w:tc>
          <w:tcPr>
            <w:tcW w:w="3052" w:type="dxa"/>
          </w:tcPr>
          <w:p w:rsidR="00117CF7" w:rsidRDefault="00117CF7">
            <w:pPr>
              <w:jc w:val="both"/>
            </w:pPr>
          </w:p>
        </w:tc>
        <w:tc>
          <w:tcPr>
            <w:tcW w:w="3167" w:type="dxa"/>
          </w:tcPr>
          <w:p w:rsidR="00117CF7" w:rsidRDefault="00026F08">
            <w:pPr>
              <w:jc w:val="both"/>
            </w:pPr>
            <w:r>
              <w:t xml:space="preserve">Palladium has developed a transition plan and key messages for partners and staff to ensure smooth transition. </w:t>
            </w:r>
          </w:p>
          <w:p w:rsidR="00117CF7" w:rsidRDefault="00026F08" w:rsidP="001E5837">
            <w:pPr>
              <w:jc w:val="both"/>
            </w:pPr>
            <w:r>
              <w:t>However</w:t>
            </w:r>
            <w:r w:rsidR="001E5837">
              <w:t>, some factors are beyond Palladium/DFAt’s control (e.g GOI approvals, visas) and</w:t>
            </w:r>
            <w:r>
              <w:t xml:space="preserve"> the risk of staff not wanting to continue to Phase </w:t>
            </w:r>
            <w:r w:rsidR="00826E92">
              <w:t>2</w:t>
            </w:r>
            <w:r>
              <w:t xml:space="preserve"> is still high. Palladium will recruit staff to replace people </w:t>
            </w:r>
            <w:r w:rsidR="006A1EAB">
              <w:t>as needed</w:t>
            </w:r>
            <w:r>
              <w:t>.</w:t>
            </w:r>
          </w:p>
        </w:tc>
        <w:tc>
          <w:tcPr>
            <w:tcW w:w="3052" w:type="dxa"/>
          </w:tcPr>
          <w:p w:rsidR="00117CF7" w:rsidRDefault="00026F08">
            <w:pPr>
              <w:jc w:val="both"/>
            </w:pPr>
            <w:r>
              <w:t>Ongoing</w:t>
            </w:r>
          </w:p>
        </w:tc>
      </w:tr>
      <w:tr w:rsidR="00117CF7">
        <w:tc>
          <w:tcPr>
            <w:tcW w:w="3029" w:type="dxa"/>
          </w:tcPr>
          <w:p w:rsidR="00117CF7" w:rsidRDefault="00026F08">
            <w:pPr>
              <w:jc w:val="both"/>
            </w:pPr>
            <w:r>
              <w:t>Manage new budget constraint context with better financial planning, forecasting and reporting.</w:t>
            </w:r>
          </w:p>
        </w:tc>
        <w:tc>
          <w:tcPr>
            <w:tcW w:w="1658" w:type="dxa"/>
          </w:tcPr>
          <w:p w:rsidR="00117CF7" w:rsidRDefault="00026F08">
            <w:pPr>
              <w:jc w:val="both"/>
            </w:pPr>
            <w:r>
              <w:t>Agree</w:t>
            </w:r>
          </w:p>
        </w:tc>
        <w:tc>
          <w:tcPr>
            <w:tcW w:w="3052" w:type="dxa"/>
          </w:tcPr>
          <w:p w:rsidR="00117CF7" w:rsidRDefault="00117CF7" w:rsidP="001E5837">
            <w:pPr>
              <w:jc w:val="both"/>
            </w:pPr>
          </w:p>
        </w:tc>
        <w:tc>
          <w:tcPr>
            <w:tcW w:w="3167" w:type="dxa"/>
          </w:tcPr>
          <w:p w:rsidR="00117CF7" w:rsidRDefault="001E5837">
            <w:pPr>
              <w:jc w:val="both"/>
            </w:pPr>
            <w:r>
              <w:t>PRISMA-2 will provide ongoing p</w:t>
            </w:r>
            <w:r w:rsidR="00026F08">
              <w:t>rogram management and budgeting training for senior staff.</w:t>
            </w:r>
          </w:p>
          <w:p w:rsidR="001E5837" w:rsidRDefault="008F3038" w:rsidP="001E5837">
            <w:pPr>
              <w:jc w:val="both"/>
            </w:pPr>
            <w:r>
              <w:lastRenderedPageBreak/>
              <w:t xml:space="preserve">PRISMA-2 will continue to improve </w:t>
            </w:r>
            <w:r w:rsidR="001E5837">
              <w:t xml:space="preserve">both systems and the people who run them – as making improvements involves finance/budgeting </w:t>
            </w:r>
            <w:r w:rsidR="001E5837">
              <w:rPr>
                <w:i/>
              </w:rPr>
              <w:t>and</w:t>
            </w:r>
            <w:r w:rsidR="001E5837">
              <w:t xml:space="preserve"> management.</w:t>
            </w:r>
          </w:p>
          <w:p w:rsidR="00117CF7" w:rsidRDefault="00117CF7">
            <w:pPr>
              <w:jc w:val="both"/>
            </w:pPr>
          </w:p>
          <w:p w:rsidR="00117CF7" w:rsidRDefault="001E5837">
            <w:pPr>
              <w:jc w:val="both"/>
            </w:pPr>
            <w:r>
              <w:t>For example, PRISMA-2 will i</w:t>
            </w:r>
            <w:r w:rsidR="00026F08">
              <w:t>ncentiv</w:t>
            </w:r>
            <w:r w:rsidR="006A1EAB">
              <w:t>iz</w:t>
            </w:r>
            <w:r w:rsidR="00026F08">
              <w:t>e good performance and display KPIs in prominent places</w:t>
            </w:r>
            <w:r>
              <w:t xml:space="preserve"> and will review </w:t>
            </w:r>
            <w:r w:rsidR="00026F08">
              <w:t>budgeting system</w:t>
            </w:r>
            <w:r w:rsidR="008F3038">
              <w:t>s</w:t>
            </w:r>
            <w:r w:rsidR="00026F08">
              <w:t xml:space="preserve"> to explore options for improvement.</w:t>
            </w:r>
          </w:p>
          <w:p w:rsidR="00117CF7" w:rsidRDefault="00117CF7">
            <w:pPr>
              <w:jc w:val="both"/>
            </w:pPr>
          </w:p>
        </w:tc>
        <w:tc>
          <w:tcPr>
            <w:tcW w:w="3052" w:type="dxa"/>
          </w:tcPr>
          <w:p w:rsidR="00117CF7" w:rsidRDefault="00026F08">
            <w:pPr>
              <w:jc w:val="both"/>
            </w:pPr>
            <w:r>
              <w:lastRenderedPageBreak/>
              <w:t xml:space="preserve">Start 1 January 2019 </w:t>
            </w:r>
          </w:p>
        </w:tc>
      </w:tr>
      <w:tr w:rsidR="00117CF7">
        <w:trPr>
          <w:trHeight w:val="1784"/>
        </w:trPr>
        <w:tc>
          <w:tcPr>
            <w:tcW w:w="3029" w:type="dxa"/>
          </w:tcPr>
          <w:p w:rsidR="00117CF7" w:rsidRDefault="00026F08">
            <w:pPr>
              <w:jc w:val="both"/>
            </w:pPr>
            <w:r>
              <w:t>Measure outreach from all AIP-Rural interventions (direct and systemic) for 2 years from their completion.</w:t>
            </w:r>
          </w:p>
        </w:tc>
        <w:tc>
          <w:tcPr>
            <w:tcW w:w="1658" w:type="dxa"/>
          </w:tcPr>
          <w:p w:rsidR="00117CF7" w:rsidRDefault="00026F08">
            <w:pPr>
              <w:jc w:val="both"/>
            </w:pPr>
            <w:r>
              <w:t xml:space="preserve">Agree in part </w:t>
            </w:r>
          </w:p>
        </w:tc>
        <w:tc>
          <w:tcPr>
            <w:tcW w:w="3052" w:type="dxa"/>
          </w:tcPr>
          <w:p w:rsidR="00117CF7" w:rsidRDefault="00026F08" w:rsidP="001E5837">
            <w:pPr>
              <w:jc w:val="both"/>
            </w:pPr>
            <w:r w:rsidRPr="001E5837">
              <w:t>Subject to resources</w:t>
            </w:r>
            <w:r>
              <w:rPr>
                <w:b/>
              </w:rPr>
              <w:t xml:space="preserve"> </w:t>
            </w:r>
            <w:r w:rsidR="001E5837">
              <w:t xml:space="preserve">PRISMA-2 </w:t>
            </w:r>
            <w:r w:rsidR="006A1EAB">
              <w:t>will</w:t>
            </w:r>
            <w:r>
              <w:t xml:space="preserve"> select </w:t>
            </w:r>
            <w:r w:rsidR="006A1EAB">
              <w:t xml:space="preserve">the larger interventions </w:t>
            </w:r>
            <w:r>
              <w:t xml:space="preserve">that </w:t>
            </w:r>
            <w:r w:rsidR="006A1EAB">
              <w:t xml:space="preserve">have </w:t>
            </w:r>
            <w:r>
              <w:t>had</w:t>
            </w:r>
            <w:r w:rsidR="006A1EAB">
              <w:t xml:space="preserve"> an</w:t>
            </w:r>
            <w:r>
              <w:t xml:space="preserve"> impact worth measuring.  </w:t>
            </w:r>
          </w:p>
        </w:tc>
        <w:tc>
          <w:tcPr>
            <w:tcW w:w="3167" w:type="dxa"/>
          </w:tcPr>
          <w:p w:rsidR="00117CF7" w:rsidRDefault="00026F08">
            <w:pPr>
              <w:jc w:val="both"/>
            </w:pPr>
            <w:r>
              <w:t xml:space="preserve">PRISMA-2 will report on systemic change and indirect outreach. </w:t>
            </w:r>
          </w:p>
          <w:p w:rsidR="00117CF7" w:rsidRDefault="00117CF7">
            <w:pPr>
              <w:jc w:val="both"/>
            </w:pPr>
          </w:p>
          <w:p w:rsidR="00117CF7" w:rsidRDefault="00026F08">
            <w:pPr>
              <w:jc w:val="both"/>
            </w:pPr>
            <w:r>
              <w:t xml:space="preserve">DFAT will work with Palladium to implement this recommendation and ensure that </w:t>
            </w:r>
            <w:r w:rsidR="006A1EAB">
              <w:t xml:space="preserve">sufficient </w:t>
            </w:r>
            <w:r>
              <w:t xml:space="preserve">resources </w:t>
            </w:r>
            <w:r w:rsidR="006A1EAB">
              <w:t xml:space="preserve">are allocated </w:t>
            </w:r>
            <w:r>
              <w:t>for selected interventions.</w:t>
            </w:r>
          </w:p>
        </w:tc>
        <w:tc>
          <w:tcPr>
            <w:tcW w:w="3052" w:type="dxa"/>
          </w:tcPr>
          <w:p w:rsidR="00117CF7" w:rsidRDefault="00026F08">
            <w:pPr>
              <w:jc w:val="both"/>
            </w:pPr>
            <w:r>
              <w:t xml:space="preserve">31 December 2019 </w:t>
            </w:r>
          </w:p>
        </w:tc>
      </w:tr>
    </w:tbl>
    <w:p w:rsidR="00117CF7" w:rsidRDefault="00117CF7">
      <w:pPr>
        <w:spacing w:after="160" w:line="259" w:lineRule="auto"/>
        <w:jc w:val="both"/>
      </w:pPr>
    </w:p>
    <w:sectPr w:rsidR="00117CF7">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1A" w:rsidRDefault="005B511A" w:rsidP="005B511A">
      <w:r>
        <w:separator/>
      </w:r>
    </w:p>
  </w:endnote>
  <w:endnote w:type="continuationSeparator" w:id="0">
    <w:p w:rsidR="005B511A" w:rsidRDefault="005B511A" w:rsidP="005B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A" w:rsidRDefault="005B5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A" w:rsidRDefault="005B5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A" w:rsidRDefault="005B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1A" w:rsidRDefault="005B511A" w:rsidP="005B511A">
      <w:r>
        <w:separator/>
      </w:r>
    </w:p>
  </w:footnote>
  <w:footnote w:type="continuationSeparator" w:id="0">
    <w:p w:rsidR="005B511A" w:rsidRDefault="005B511A" w:rsidP="005B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A" w:rsidRDefault="005B5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A" w:rsidRDefault="005B5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A" w:rsidRDefault="005B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334B"/>
    <w:multiLevelType w:val="hybridMultilevel"/>
    <w:tmpl w:val="DFDA5E5E"/>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F000000"/>
    <w:multiLevelType w:val="hybridMultilevel"/>
    <w:tmpl w:val="1F0020D3"/>
    <w:lvl w:ilvl="0" w:tplc="7F3A54FA">
      <w:start w:val="1"/>
      <w:numFmt w:val="bullet"/>
      <w:lvlText w:val="§"/>
      <w:lvlJc w:val="left"/>
      <w:pPr>
        <w:ind w:left="295" w:hanging="360"/>
        <w:jc w:val="both"/>
      </w:pPr>
      <w:rPr>
        <w:rFonts w:ascii="Wingdings" w:eastAsia="Wingdings" w:hAnsi="Wingdings"/>
        <w:w w:val="100"/>
        <w:sz w:val="20"/>
        <w:szCs w:val="20"/>
        <w:shd w:val="clear" w:color="auto" w:fill="auto"/>
      </w:rPr>
    </w:lvl>
    <w:lvl w:ilvl="1" w:tplc="93B62538">
      <w:start w:val="1"/>
      <w:numFmt w:val="bullet"/>
      <w:lvlText w:val="o"/>
      <w:lvlJc w:val="left"/>
      <w:pPr>
        <w:ind w:left="1015" w:hanging="360"/>
        <w:jc w:val="both"/>
      </w:pPr>
      <w:rPr>
        <w:rFonts w:ascii="Courier New" w:eastAsia="Courier New" w:hAnsi="Courier New"/>
        <w:w w:val="100"/>
        <w:sz w:val="20"/>
        <w:szCs w:val="20"/>
        <w:shd w:val="clear" w:color="auto" w:fill="auto"/>
      </w:rPr>
    </w:lvl>
    <w:lvl w:ilvl="2" w:tplc="51D23DA0">
      <w:start w:val="1"/>
      <w:numFmt w:val="bullet"/>
      <w:lvlText w:val="§"/>
      <w:lvlJc w:val="left"/>
      <w:pPr>
        <w:ind w:left="1735" w:hanging="360"/>
        <w:jc w:val="both"/>
      </w:pPr>
      <w:rPr>
        <w:rFonts w:ascii="Wingdings" w:eastAsia="Wingdings" w:hAnsi="Wingdings"/>
        <w:w w:val="100"/>
        <w:sz w:val="20"/>
        <w:szCs w:val="20"/>
        <w:shd w:val="clear" w:color="auto" w:fill="auto"/>
      </w:rPr>
    </w:lvl>
    <w:lvl w:ilvl="3" w:tplc="98A8FAFA">
      <w:start w:val="1"/>
      <w:numFmt w:val="bullet"/>
      <w:lvlText w:val="·"/>
      <w:lvlJc w:val="left"/>
      <w:pPr>
        <w:ind w:left="2455" w:hanging="360"/>
        <w:jc w:val="both"/>
      </w:pPr>
      <w:rPr>
        <w:rFonts w:ascii="Symbol" w:eastAsia="Symbol" w:hAnsi="Symbol"/>
        <w:w w:val="100"/>
        <w:sz w:val="20"/>
        <w:szCs w:val="20"/>
        <w:shd w:val="clear" w:color="auto" w:fill="auto"/>
      </w:rPr>
    </w:lvl>
    <w:lvl w:ilvl="4" w:tplc="F9B8AE52">
      <w:start w:val="1"/>
      <w:numFmt w:val="bullet"/>
      <w:lvlText w:val="o"/>
      <w:lvlJc w:val="left"/>
      <w:pPr>
        <w:ind w:left="3175" w:hanging="360"/>
        <w:jc w:val="both"/>
      </w:pPr>
      <w:rPr>
        <w:rFonts w:ascii="Courier New" w:eastAsia="Courier New" w:hAnsi="Courier New"/>
        <w:w w:val="100"/>
        <w:sz w:val="20"/>
        <w:szCs w:val="20"/>
        <w:shd w:val="clear" w:color="auto" w:fill="auto"/>
      </w:rPr>
    </w:lvl>
    <w:lvl w:ilvl="5" w:tplc="0D68B8E0">
      <w:start w:val="1"/>
      <w:numFmt w:val="bullet"/>
      <w:lvlText w:val="§"/>
      <w:lvlJc w:val="left"/>
      <w:pPr>
        <w:ind w:left="3895" w:hanging="360"/>
        <w:jc w:val="both"/>
      </w:pPr>
      <w:rPr>
        <w:rFonts w:ascii="Wingdings" w:eastAsia="Wingdings" w:hAnsi="Wingdings"/>
        <w:w w:val="100"/>
        <w:sz w:val="20"/>
        <w:szCs w:val="20"/>
        <w:shd w:val="clear" w:color="auto" w:fill="auto"/>
      </w:rPr>
    </w:lvl>
    <w:lvl w:ilvl="6" w:tplc="F360347E">
      <w:start w:val="1"/>
      <w:numFmt w:val="bullet"/>
      <w:lvlText w:val="·"/>
      <w:lvlJc w:val="left"/>
      <w:pPr>
        <w:ind w:left="4615" w:hanging="360"/>
        <w:jc w:val="both"/>
      </w:pPr>
      <w:rPr>
        <w:rFonts w:ascii="Symbol" w:eastAsia="Symbol" w:hAnsi="Symbol"/>
        <w:w w:val="100"/>
        <w:sz w:val="20"/>
        <w:szCs w:val="20"/>
        <w:shd w:val="clear" w:color="auto" w:fill="auto"/>
      </w:rPr>
    </w:lvl>
    <w:lvl w:ilvl="7" w:tplc="0EE4C320">
      <w:start w:val="1"/>
      <w:numFmt w:val="bullet"/>
      <w:lvlText w:val="o"/>
      <w:lvlJc w:val="left"/>
      <w:pPr>
        <w:ind w:left="5335" w:hanging="360"/>
        <w:jc w:val="both"/>
      </w:pPr>
      <w:rPr>
        <w:rFonts w:ascii="Courier New" w:eastAsia="Courier New" w:hAnsi="Courier New"/>
        <w:w w:val="100"/>
        <w:sz w:val="20"/>
        <w:szCs w:val="20"/>
        <w:shd w:val="clear" w:color="auto" w:fill="auto"/>
      </w:rPr>
    </w:lvl>
    <w:lvl w:ilvl="8" w:tplc="3E76A9A2">
      <w:start w:val="1"/>
      <w:numFmt w:val="bullet"/>
      <w:lvlText w:val="§"/>
      <w:lvlJc w:val="left"/>
      <w:pPr>
        <w:ind w:left="6055" w:hanging="360"/>
        <w:jc w:val="both"/>
      </w:pPr>
      <w:rPr>
        <w:rFonts w:ascii="Wingdings" w:eastAsia="Wingdings" w:hAnsi="Wingdings"/>
        <w:w w:val="100"/>
        <w:sz w:val="20"/>
        <w:szCs w:val="20"/>
        <w:shd w:val="clear" w:color="auto" w:fill="auto"/>
      </w:rPr>
    </w:lvl>
  </w:abstractNum>
  <w:abstractNum w:abstractNumId="2" w15:restartNumberingAfterBreak="0">
    <w:nsid w:val="2F000001"/>
    <w:multiLevelType w:val="hybridMultilevel"/>
    <w:tmpl w:val="276B1D78"/>
    <w:lvl w:ilvl="0" w:tplc="F22C41A8">
      <w:start w:val="1"/>
      <w:numFmt w:val="decimal"/>
      <w:lvlText w:val="(%1)"/>
      <w:lvlJc w:val="left"/>
      <w:pPr>
        <w:ind w:left="644" w:hanging="360"/>
        <w:jc w:val="both"/>
      </w:pPr>
      <w:rPr>
        <w:w w:val="100"/>
        <w:sz w:val="20"/>
        <w:szCs w:val="20"/>
        <w:shd w:val="clear" w:color="auto" w:fill="auto"/>
      </w:rPr>
    </w:lvl>
    <w:lvl w:ilvl="1" w:tplc="5532E3B8">
      <w:start w:val="1"/>
      <w:numFmt w:val="lowerLetter"/>
      <w:lvlText w:val="%2."/>
      <w:lvlJc w:val="left"/>
      <w:pPr>
        <w:ind w:left="1364" w:hanging="360"/>
        <w:jc w:val="both"/>
      </w:pPr>
    </w:lvl>
    <w:lvl w:ilvl="2" w:tplc="C332F214">
      <w:start w:val="1"/>
      <w:numFmt w:val="lowerRoman"/>
      <w:lvlText w:val="%3."/>
      <w:lvlJc w:val="right"/>
      <w:pPr>
        <w:ind w:left="2084" w:hanging="180"/>
        <w:jc w:val="both"/>
      </w:pPr>
    </w:lvl>
    <w:lvl w:ilvl="3" w:tplc="ABAC709A">
      <w:start w:val="1"/>
      <w:numFmt w:val="decimal"/>
      <w:lvlText w:val="%4."/>
      <w:lvlJc w:val="left"/>
      <w:pPr>
        <w:ind w:left="2804" w:hanging="360"/>
        <w:jc w:val="both"/>
      </w:pPr>
    </w:lvl>
    <w:lvl w:ilvl="4" w:tplc="410AB174">
      <w:start w:val="1"/>
      <w:numFmt w:val="lowerLetter"/>
      <w:lvlText w:val="%5."/>
      <w:lvlJc w:val="left"/>
      <w:pPr>
        <w:ind w:left="3524" w:hanging="360"/>
        <w:jc w:val="both"/>
      </w:pPr>
    </w:lvl>
    <w:lvl w:ilvl="5" w:tplc="575C0070">
      <w:start w:val="1"/>
      <w:numFmt w:val="lowerRoman"/>
      <w:lvlText w:val="%6."/>
      <w:lvlJc w:val="right"/>
      <w:pPr>
        <w:ind w:left="4244" w:hanging="180"/>
        <w:jc w:val="both"/>
      </w:pPr>
    </w:lvl>
    <w:lvl w:ilvl="6" w:tplc="2B68B79C">
      <w:start w:val="1"/>
      <w:numFmt w:val="decimal"/>
      <w:lvlText w:val="%7."/>
      <w:lvlJc w:val="left"/>
      <w:pPr>
        <w:ind w:left="4964" w:hanging="360"/>
        <w:jc w:val="both"/>
      </w:pPr>
    </w:lvl>
    <w:lvl w:ilvl="7" w:tplc="7988DFBA">
      <w:start w:val="1"/>
      <w:numFmt w:val="lowerLetter"/>
      <w:lvlText w:val="%8."/>
      <w:lvlJc w:val="left"/>
      <w:pPr>
        <w:ind w:left="5684" w:hanging="360"/>
        <w:jc w:val="both"/>
      </w:pPr>
    </w:lvl>
    <w:lvl w:ilvl="8" w:tplc="8828F6FC">
      <w:start w:val="1"/>
      <w:numFmt w:val="lowerRoman"/>
      <w:lvlText w:val="%9."/>
      <w:lvlJc w:val="right"/>
      <w:pPr>
        <w:ind w:left="6404" w:hanging="180"/>
        <w:jc w:val="both"/>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F7"/>
    <w:rsid w:val="00026F08"/>
    <w:rsid w:val="000E3D39"/>
    <w:rsid w:val="00117CF7"/>
    <w:rsid w:val="001923EF"/>
    <w:rsid w:val="001E5837"/>
    <w:rsid w:val="004063BF"/>
    <w:rsid w:val="0058174D"/>
    <w:rsid w:val="005B511A"/>
    <w:rsid w:val="006A1EAB"/>
    <w:rsid w:val="00826E92"/>
    <w:rsid w:val="008F3038"/>
    <w:rsid w:val="00C320BB"/>
    <w:rsid w:val="00E12F92"/>
    <w:rsid w:val="00EB290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pPr>
      <w:ind w:left="284"/>
      <w:jc w:val="both"/>
    </w:pPr>
    <w:rPr>
      <w:rFonts w:ascii="Arial" w:eastAsia="Times New Roman" w:hAnsi="Arial"/>
      <w:spacing w:val="-5"/>
      <w:sz w:val="20"/>
      <w:szCs w:val="20"/>
    </w:rPr>
  </w:style>
  <w:style w:type="character" w:customStyle="1" w:styleId="BodyTextChar">
    <w:name w:val="Body Text Char"/>
    <w:basedOn w:val="DefaultParagraphFont"/>
    <w:link w:val="BodyText"/>
    <w:semiHidden/>
    <w:rPr>
      <w:rFonts w:ascii="Arial" w:eastAsia="Times New Roman" w:hAnsi="Arial"/>
      <w:spacing w:val="-5"/>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paragraph" w:styleId="Header">
    <w:name w:val="header"/>
    <w:basedOn w:val="Normal"/>
    <w:link w:val="HeaderChar"/>
    <w:uiPriority w:val="99"/>
    <w:unhideWhenUsed/>
    <w:rsid w:val="005B511A"/>
    <w:pPr>
      <w:tabs>
        <w:tab w:val="center" w:pos="4513"/>
        <w:tab w:val="right" w:pos="9026"/>
      </w:tabs>
    </w:pPr>
  </w:style>
  <w:style w:type="character" w:customStyle="1" w:styleId="HeaderChar">
    <w:name w:val="Header Char"/>
    <w:basedOn w:val="DefaultParagraphFont"/>
    <w:link w:val="Header"/>
    <w:uiPriority w:val="99"/>
    <w:rsid w:val="005B511A"/>
  </w:style>
  <w:style w:type="paragraph" w:styleId="Footer">
    <w:name w:val="footer"/>
    <w:basedOn w:val="Normal"/>
    <w:link w:val="FooterChar"/>
    <w:uiPriority w:val="99"/>
    <w:unhideWhenUsed/>
    <w:rsid w:val="005B511A"/>
    <w:pPr>
      <w:tabs>
        <w:tab w:val="center" w:pos="4513"/>
        <w:tab w:val="right" w:pos="9026"/>
      </w:tabs>
    </w:pPr>
  </w:style>
  <w:style w:type="character" w:customStyle="1" w:styleId="FooterChar">
    <w:name w:val="Footer Char"/>
    <w:basedOn w:val="DefaultParagraphFont"/>
    <w:link w:val="Footer"/>
    <w:uiPriority w:val="99"/>
    <w:rsid w:val="005B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A4C56-A802-4697-AA85-3927A5140966}"/>
</file>

<file path=customXml/itemProps2.xml><?xml version="1.0" encoding="utf-8"?>
<ds:datastoreItem xmlns:ds="http://schemas.openxmlformats.org/officeDocument/2006/customXml" ds:itemID="{7905BDC4-6520-4325-BAE3-77AB649E6730}"/>
</file>

<file path=customXml/itemProps3.xml><?xml version="1.0" encoding="utf-8"?>
<ds:datastoreItem xmlns:ds="http://schemas.openxmlformats.org/officeDocument/2006/customXml" ds:itemID="{88567A8A-33B6-4A18-BDE0-6D1C58D6D970}"/>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5157</Characters>
  <Application>Microsoft Office Word</Application>
  <DocSecurity>0</DocSecurity>
  <Lines>93</Lines>
  <Paragraphs>26</Paragraphs>
  <MMClips>0</MMClip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2019-09-12T05:02:00Z</dcterms:created>
  <dcterms:modified xsi:type="dcterms:W3CDTF">2019-09-12T05:02:00Z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a0b439ce-dceb-4b15-9c25-c621e081aac2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1261600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