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26F70" w14:textId="77777777" w:rsidR="003E0F82" w:rsidRPr="00EE1BC5" w:rsidRDefault="003E0F82" w:rsidP="003E0F82">
      <w:pPr>
        <w:pStyle w:val="Heading2"/>
        <w:spacing w:after="0"/>
        <w:jc w:val="center"/>
        <w:rPr>
          <w:color w:val="FF0000"/>
        </w:rPr>
      </w:pPr>
      <w:r w:rsidRPr="00EA5935">
        <w:t>ANNEX 9</w:t>
      </w:r>
      <w:r w:rsidRPr="00EA5935">
        <w:rPr>
          <w:color w:val="000000" w:themeColor="text1"/>
        </w:rPr>
        <w:t>C</w:t>
      </w:r>
    </w:p>
    <w:p w14:paraId="1029D263" w14:textId="77777777" w:rsidR="003E0F82" w:rsidRPr="00EE1BC5" w:rsidRDefault="003E0F82" w:rsidP="003E0F82">
      <w:pPr>
        <w:spacing w:after="0" w:line="240" w:lineRule="auto"/>
        <w:rPr>
          <w:rFonts w:ascii="Times New Roman" w:hAnsi="Times New Roman" w:cs="Times New Roman"/>
          <w:sz w:val="24"/>
          <w:szCs w:val="24"/>
        </w:rPr>
      </w:pPr>
    </w:p>
    <w:p w14:paraId="2F78EA5F" w14:textId="77777777" w:rsidR="003E0F82" w:rsidRPr="00EE1BC5" w:rsidRDefault="003E0F82" w:rsidP="003E0F82">
      <w:pPr>
        <w:pStyle w:val="Heading2"/>
        <w:spacing w:after="0"/>
        <w:jc w:val="center"/>
      </w:pPr>
      <w:r w:rsidRPr="00EE1BC5">
        <w:t>Financial Services Regulatory Cooperation</w:t>
      </w:r>
    </w:p>
    <w:p w14:paraId="4CC40026" w14:textId="77777777" w:rsidR="003E0F82" w:rsidRPr="00EE1BC5" w:rsidRDefault="003E0F82" w:rsidP="003E0F82">
      <w:pPr>
        <w:spacing w:after="0" w:line="240" w:lineRule="auto"/>
        <w:rPr>
          <w:rFonts w:ascii="Times New Roman" w:hAnsi="Times New Roman" w:cs="Times New Roman"/>
          <w:sz w:val="24"/>
          <w:szCs w:val="24"/>
        </w:rPr>
      </w:pPr>
    </w:p>
    <w:p w14:paraId="16469024" w14:textId="77777777" w:rsidR="003E0F82" w:rsidRPr="00EE1BC5" w:rsidRDefault="003E0F82" w:rsidP="003E0F82">
      <w:pPr>
        <w:spacing w:after="0" w:line="240" w:lineRule="auto"/>
        <w:rPr>
          <w:rFonts w:ascii="Times New Roman" w:hAnsi="Times New Roman" w:cs="Times New Roman"/>
          <w:sz w:val="24"/>
          <w:szCs w:val="24"/>
        </w:rPr>
      </w:pPr>
      <w:bookmarkStart w:id="0" w:name="_Hlk73451457"/>
      <w:bookmarkStart w:id="1" w:name="_Hlk71882941"/>
    </w:p>
    <w:p w14:paraId="2C1482DB" w14:textId="77777777" w:rsidR="003E0F82" w:rsidRPr="00EE1BC5" w:rsidRDefault="003E0F82" w:rsidP="003E0F82">
      <w:pPr>
        <w:pStyle w:val="Heading2"/>
        <w:spacing w:after="0"/>
        <w:jc w:val="center"/>
      </w:pPr>
      <w:r w:rsidRPr="00EA5935">
        <w:t>Article 9</w:t>
      </w:r>
      <w:r w:rsidRPr="00EA5935">
        <w:rPr>
          <w:color w:val="000000" w:themeColor="text1"/>
        </w:rPr>
        <w:t>C</w:t>
      </w:r>
      <w:r w:rsidRPr="00EA5935">
        <w:t>.1</w:t>
      </w:r>
    </w:p>
    <w:p w14:paraId="29ECD3DE" w14:textId="77777777" w:rsidR="003E0F82" w:rsidRPr="00EE1BC5" w:rsidRDefault="003E0F82" w:rsidP="003E0F82">
      <w:pPr>
        <w:pStyle w:val="Heading2"/>
        <w:spacing w:after="0"/>
        <w:jc w:val="center"/>
      </w:pPr>
      <w:r w:rsidRPr="00EE1BC5">
        <w:t>Objectives of Regulatory Cooperation</w:t>
      </w:r>
    </w:p>
    <w:p w14:paraId="7D88A9FC" w14:textId="77777777" w:rsidR="003E0F82" w:rsidRPr="00EE1BC5" w:rsidRDefault="003E0F82" w:rsidP="003E0F82">
      <w:pPr>
        <w:pStyle w:val="paragraph"/>
        <w:spacing w:before="0" w:beforeAutospacing="0" w:after="0" w:afterAutospacing="0"/>
        <w:jc w:val="both"/>
        <w:textAlignment w:val="baseline"/>
        <w:rPr>
          <w:rStyle w:val="normaltextrun"/>
        </w:rPr>
      </w:pPr>
    </w:p>
    <w:p w14:paraId="7EEE2D8B" w14:textId="77777777" w:rsidR="003E0F82" w:rsidRPr="00EE1BC5" w:rsidRDefault="003E0F82" w:rsidP="003E0F82">
      <w:pPr>
        <w:pStyle w:val="paragraph"/>
        <w:spacing w:before="0" w:beforeAutospacing="0" w:after="0" w:afterAutospacing="0"/>
        <w:ind w:left="709" w:hanging="709"/>
        <w:jc w:val="both"/>
        <w:textAlignment w:val="baseline"/>
      </w:pPr>
      <w:r w:rsidRPr="00EE1BC5">
        <w:rPr>
          <w:rStyle w:val="normaltextrun"/>
        </w:rPr>
        <w:t xml:space="preserve">1. </w:t>
      </w:r>
      <w:r>
        <w:rPr>
          <w:rStyle w:val="normaltextrun"/>
        </w:rPr>
        <w:tab/>
      </w:r>
      <w:r w:rsidRPr="00EE1BC5">
        <w:rPr>
          <w:rStyle w:val="normaltextrun"/>
        </w:rPr>
        <w:t xml:space="preserve">The Parties recognise that promoting cooperation between the Parties and their financial regulatory authorities supports </w:t>
      </w:r>
      <w:r w:rsidRPr="00EE1BC5">
        <w:rPr>
          <w:rStyle w:val="normaltextrun"/>
          <w:color w:val="000000" w:themeColor="text1"/>
        </w:rPr>
        <w:t>several</w:t>
      </w:r>
      <w:r w:rsidRPr="00EE1BC5">
        <w:rPr>
          <w:rStyle w:val="normaltextrun"/>
        </w:rPr>
        <w:t xml:space="preserve"> objectives </w:t>
      </w:r>
      <w:r w:rsidRPr="00EE1BC5">
        <w:rPr>
          <w:rStyle w:val="normaltextrun"/>
          <w:color w:val="000000" w:themeColor="text1"/>
        </w:rPr>
        <w:t>including</w:t>
      </w:r>
      <w:r w:rsidRPr="00EE1BC5">
        <w:rPr>
          <w:rStyle w:val="normaltextrun"/>
        </w:rPr>
        <w:t>:</w:t>
      </w:r>
    </w:p>
    <w:p w14:paraId="12561739" w14:textId="77777777" w:rsidR="003E0F82" w:rsidRPr="00EE1BC5" w:rsidRDefault="003E0F82" w:rsidP="003E0F82">
      <w:pPr>
        <w:pStyle w:val="paragraph"/>
        <w:spacing w:before="0" w:beforeAutospacing="0" w:after="0" w:afterAutospacing="0"/>
        <w:jc w:val="both"/>
        <w:textAlignment w:val="baseline"/>
      </w:pPr>
    </w:p>
    <w:p w14:paraId="0BC5A493" w14:textId="77777777" w:rsidR="003E0F82" w:rsidRPr="00EE1BC5" w:rsidRDefault="003E0F82" w:rsidP="003E0F82">
      <w:pPr>
        <w:pStyle w:val="paragraph"/>
        <w:spacing w:before="0" w:beforeAutospacing="0" w:after="0" w:afterAutospacing="0"/>
        <w:ind w:left="1418" w:hanging="698"/>
        <w:jc w:val="both"/>
        <w:textAlignment w:val="baseline"/>
        <w:rPr>
          <w:lang w:val="en-AU"/>
        </w:rPr>
      </w:pPr>
      <w:bookmarkStart w:id="2" w:name="_Hlk71807671"/>
      <w:r w:rsidRPr="00EE1BC5">
        <w:rPr>
          <w:lang w:val="en-AU"/>
        </w:rPr>
        <w:t xml:space="preserve">(a) </w:t>
      </w:r>
      <w:r>
        <w:rPr>
          <w:lang w:val="en-AU"/>
        </w:rPr>
        <w:tab/>
      </w:r>
      <w:r w:rsidRPr="00EE1BC5">
        <w:rPr>
          <w:lang w:val="en-AU"/>
        </w:rPr>
        <w:t xml:space="preserve">enhancing financial services trade and investment between the </w:t>
      </w:r>
      <w:proofErr w:type="gramStart"/>
      <w:r w:rsidRPr="00EE1BC5">
        <w:rPr>
          <w:lang w:val="en-AU"/>
        </w:rPr>
        <w:t>Parties;</w:t>
      </w:r>
      <w:proofErr w:type="gramEnd"/>
    </w:p>
    <w:p w14:paraId="38475E17"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bookmarkEnd w:id="2"/>
    <w:p w14:paraId="24F16529"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(b) </w:t>
      </w:r>
      <w:r>
        <w:rPr>
          <w:lang w:val="en-AU"/>
        </w:rPr>
        <w:tab/>
      </w:r>
      <w:r w:rsidRPr="00EE1BC5">
        <w:rPr>
          <w:lang w:val="en-AU"/>
        </w:rPr>
        <w:t xml:space="preserve">strengthening financial systems and promoting financial </w:t>
      </w:r>
      <w:proofErr w:type="gramStart"/>
      <w:r w:rsidRPr="00EE1BC5">
        <w:rPr>
          <w:lang w:val="en-AU"/>
        </w:rPr>
        <w:t>stability;</w:t>
      </w:r>
      <w:proofErr w:type="gramEnd"/>
    </w:p>
    <w:p w14:paraId="5BC29056"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52282728"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(c) </w:t>
      </w:r>
      <w:r>
        <w:rPr>
          <w:lang w:val="en-AU"/>
        </w:rPr>
        <w:tab/>
      </w:r>
      <w:r w:rsidRPr="00EE1BC5">
        <w:rPr>
          <w:lang w:val="en-AU"/>
        </w:rPr>
        <w:t xml:space="preserve">improving market integrity and countering undesirable market </w:t>
      </w:r>
      <w:proofErr w:type="gramStart"/>
      <w:r w:rsidRPr="00EE1BC5">
        <w:rPr>
          <w:lang w:val="en-AU"/>
        </w:rPr>
        <w:t>fragmentation;</w:t>
      </w:r>
      <w:proofErr w:type="gramEnd"/>
    </w:p>
    <w:p w14:paraId="6973034B"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7C52454F"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(d) </w:t>
      </w:r>
      <w:r>
        <w:rPr>
          <w:lang w:val="en-AU"/>
        </w:rPr>
        <w:tab/>
      </w:r>
      <w:r w:rsidRPr="00EE1BC5">
        <w:rPr>
          <w:lang w:val="en-AU"/>
        </w:rPr>
        <w:t xml:space="preserve">promoting fair and competitive </w:t>
      </w:r>
      <w:proofErr w:type="gramStart"/>
      <w:r w:rsidRPr="00EE1BC5">
        <w:rPr>
          <w:lang w:val="en-AU"/>
        </w:rPr>
        <w:t>markets;</w:t>
      </w:r>
      <w:proofErr w:type="gramEnd"/>
    </w:p>
    <w:p w14:paraId="7B39EB92"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780F3440"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(e) </w:t>
      </w:r>
      <w:r>
        <w:rPr>
          <w:lang w:val="en-AU"/>
        </w:rPr>
        <w:tab/>
      </w:r>
      <w:r w:rsidRPr="00EE1BC5">
        <w:rPr>
          <w:lang w:val="en-AU"/>
        </w:rPr>
        <w:t xml:space="preserve">promoting robust and efficient financial service suppliers, markets, and </w:t>
      </w:r>
      <w:proofErr w:type="gramStart"/>
      <w:r w:rsidRPr="00EE1BC5">
        <w:rPr>
          <w:lang w:val="en-AU"/>
        </w:rPr>
        <w:t>infrastructure;</w:t>
      </w:r>
      <w:proofErr w:type="gramEnd"/>
    </w:p>
    <w:p w14:paraId="7A5470F6"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147E74FF"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(f) </w:t>
      </w:r>
      <w:r>
        <w:rPr>
          <w:lang w:val="en-AU"/>
        </w:rPr>
        <w:tab/>
      </w:r>
      <w:r w:rsidRPr="00EE1BC5">
        <w:rPr>
          <w:lang w:val="en-AU"/>
        </w:rPr>
        <w:t>protecting consumers, investors, depositors, policy holders and persons to whom a fiduciary and / or statutory duty is owed by a financial service supplier; and</w:t>
      </w:r>
    </w:p>
    <w:p w14:paraId="525B1634"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0B6FB23E" w14:textId="77777777" w:rsidR="003E0F82" w:rsidRPr="00EE1BC5" w:rsidRDefault="003E0F82" w:rsidP="003E0F82">
      <w:pPr>
        <w:pStyle w:val="paragraph"/>
        <w:spacing w:before="0" w:beforeAutospacing="0" w:after="0" w:afterAutospacing="0"/>
        <w:ind w:left="1418" w:hanging="698"/>
        <w:jc w:val="both"/>
        <w:textAlignment w:val="baseline"/>
        <w:rPr>
          <w:rStyle w:val="eop"/>
        </w:rPr>
      </w:pPr>
      <w:r w:rsidRPr="00EE1BC5">
        <w:rPr>
          <w:lang w:val="en-AU"/>
        </w:rPr>
        <w:t xml:space="preserve">(g) </w:t>
      </w:r>
      <w:r>
        <w:rPr>
          <w:lang w:val="en-AU"/>
        </w:rPr>
        <w:tab/>
      </w:r>
      <w:r w:rsidRPr="00EE1BC5">
        <w:rPr>
          <w:lang w:val="en-AU"/>
        </w:rPr>
        <w:t>providing a transparent and predictable environment for financial service suppliers.</w:t>
      </w:r>
      <w:bookmarkEnd w:id="0"/>
    </w:p>
    <w:p w14:paraId="5715B6D5" w14:textId="77777777" w:rsidR="003E0F82" w:rsidRPr="00EE1BC5" w:rsidRDefault="003E0F82" w:rsidP="003E0F82">
      <w:pPr>
        <w:pStyle w:val="paragraph"/>
        <w:spacing w:before="0" w:beforeAutospacing="0" w:after="0" w:afterAutospacing="0"/>
        <w:jc w:val="both"/>
        <w:textAlignment w:val="baseline"/>
        <w:rPr>
          <w:rStyle w:val="normaltextrun"/>
        </w:rPr>
      </w:pPr>
      <w:bookmarkStart w:id="3" w:name="_Hlk73451465"/>
    </w:p>
    <w:p w14:paraId="77140010" w14:textId="77777777" w:rsidR="003E0F82" w:rsidRPr="00EE1BC5" w:rsidRDefault="003E0F82" w:rsidP="003E0F82">
      <w:pPr>
        <w:pStyle w:val="paragraph"/>
        <w:spacing w:before="0" w:beforeAutospacing="0" w:after="0" w:afterAutospacing="0"/>
        <w:ind w:left="709" w:hanging="709"/>
        <w:jc w:val="both"/>
        <w:textAlignment w:val="baseline"/>
        <w:rPr>
          <w:rStyle w:val="normaltextrun"/>
        </w:rPr>
      </w:pPr>
      <w:r w:rsidRPr="00EE1BC5">
        <w:rPr>
          <w:rStyle w:val="normaltextrun"/>
        </w:rPr>
        <w:t xml:space="preserve">2. </w:t>
      </w:r>
      <w:r>
        <w:rPr>
          <w:rStyle w:val="normaltextrun"/>
        </w:rPr>
        <w:tab/>
      </w:r>
      <w:r w:rsidRPr="00EE1BC5">
        <w:rPr>
          <w:rStyle w:val="normaltextrun"/>
        </w:rPr>
        <w:t>The Parties shall</w:t>
      </w:r>
      <w:r w:rsidRPr="00EE1BC5">
        <w:rPr>
          <w:rStyle w:val="normaltextrun"/>
          <w:color w:val="4472C4" w:themeColor="accent1"/>
        </w:rPr>
        <w:t xml:space="preserve"> </w:t>
      </w:r>
      <w:r w:rsidRPr="00EE1BC5">
        <w:rPr>
          <w:rStyle w:val="normaltextrun"/>
        </w:rPr>
        <w:t>wherever practicable work together bilaterally and in international bodies to achieve the objectives referred to in paragraph 1 (hereinafter referred to in this Annex as “regulatory cooperation”).</w:t>
      </w:r>
    </w:p>
    <w:bookmarkEnd w:id="3"/>
    <w:p w14:paraId="55535B39" w14:textId="77777777" w:rsidR="003E0F82" w:rsidRPr="00EE1BC5" w:rsidRDefault="003E0F82" w:rsidP="003E0F82">
      <w:pPr>
        <w:pStyle w:val="paragraph"/>
        <w:spacing w:before="0" w:beforeAutospacing="0" w:after="0" w:afterAutospacing="0"/>
        <w:ind w:left="709" w:hanging="709"/>
        <w:jc w:val="both"/>
        <w:textAlignment w:val="baseline"/>
        <w:rPr>
          <w:rStyle w:val="normaltextrun"/>
        </w:rPr>
      </w:pPr>
    </w:p>
    <w:p w14:paraId="79DF8BD2" w14:textId="77777777" w:rsidR="003E0F82" w:rsidRDefault="003E0F82" w:rsidP="003E0F82">
      <w:pPr>
        <w:spacing w:after="0" w:line="240" w:lineRule="auto"/>
        <w:ind w:left="709" w:hanging="709"/>
        <w:jc w:val="both"/>
        <w:rPr>
          <w:rFonts w:ascii="Times New Roman" w:hAnsi="Times New Roman" w:cs="Times New Roman"/>
          <w:sz w:val="24"/>
          <w:szCs w:val="24"/>
        </w:rPr>
      </w:pPr>
      <w:bookmarkStart w:id="4" w:name="_Hlk73451510"/>
      <w:r w:rsidRPr="00EE1BC5">
        <w:rPr>
          <w:rFonts w:ascii="Times New Roman" w:hAnsi="Times New Roman" w:cs="Times New Roman"/>
          <w:sz w:val="24"/>
          <w:szCs w:val="24"/>
        </w:rPr>
        <w:t xml:space="preserve">3. </w:t>
      </w:r>
      <w:r>
        <w:rPr>
          <w:rFonts w:ascii="Times New Roman" w:hAnsi="Times New Roman" w:cs="Times New Roman"/>
          <w:sz w:val="24"/>
          <w:szCs w:val="24"/>
        </w:rPr>
        <w:tab/>
      </w:r>
      <w:r w:rsidRPr="00EE1BC5">
        <w:rPr>
          <w:rFonts w:ascii="Times New Roman" w:hAnsi="Times New Roman" w:cs="Times New Roman"/>
          <w:sz w:val="24"/>
          <w:szCs w:val="24"/>
        </w:rPr>
        <w:t>The Parties shall</w:t>
      </w:r>
      <w:r>
        <w:rPr>
          <w:rFonts w:ascii="Times New Roman" w:hAnsi="Times New Roman" w:cs="Times New Roman"/>
          <w:sz w:val="24"/>
          <w:szCs w:val="24"/>
        </w:rPr>
        <w:t>,</w:t>
      </w:r>
      <w:r w:rsidRPr="00EE1BC5">
        <w:rPr>
          <w:rFonts w:ascii="Times New Roman" w:hAnsi="Times New Roman" w:cs="Times New Roman"/>
          <w:sz w:val="24"/>
          <w:szCs w:val="24"/>
        </w:rPr>
        <w:t xml:space="preserve"> wherever practicable</w:t>
      </w:r>
      <w:r>
        <w:rPr>
          <w:rFonts w:ascii="Times New Roman" w:hAnsi="Times New Roman" w:cs="Times New Roman"/>
          <w:sz w:val="24"/>
          <w:szCs w:val="24"/>
        </w:rPr>
        <w:t>,</w:t>
      </w:r>
      <w:r w:rsidRPr="00EE1BC5">
        <w:rPr>
          <w:rFonts w:ascii="Times New Roman" w:hAnsi="Times New Roman" w:cs="Times New Roman"/>
          <w:sz w:val="24"/>
          <w:szCs w:val="24"/>
        </w:rPr>
        <w:t xml:space="preserve"> base their regulatory cooperation on the principles and prudential standards agreed at the international level where applicable</w:t>
      </w:r>
      <w:r w:rsidRPr="00EE1BC5">
        <w:rPr>
          <w:rStyle w:val="FootnoteReference"/>
          <w:rFonts w:ascii="Times New Roman" w:hAnsi="Times New Roman" w:cs="Times New Roman"/>
          <w:sz w:val="24"/>
          <w:szCs w:val="24"/>
        </w:rPr>
        <w:footnoteReference w:id="1"/>
      </w:r>
      <w:r w:rsidRPr="00EE1BC5">
        <w:rPr>
          <w:rFonts w:ascii="Times New Roman" w:hAnsi="Times New Roman" w:cs="Times New Roman"/>
          <w:sz w:val="24"/>
          <w:szCs w:val="24"/>
        </w:rPr>
        <w:t xml:space="preserve"> and follow the principles set out in </w:t>
      </w:r>
      <w:r w:rsidRPr="00D90C31">
        <w:rPr>
          <w:rFonts w:ascii="Times New Roman" w:hAnsi="Times New Roman" w:cs="Times New Roman"/>
          <w:sz w:val="24"/>
          <w:szCs w:val="24"/>
        </w:rPr>
        <w:t>Article 9</w:t>
      </w:r>
      <w:r w:rsidRPr="00D90C31">
        <w:rPr>
          <w:rFonts w:ascii="Times New Roman" w:hAnsi="Times New Roman" w:cs="Times New Roman"/>
          <w:color w:val="000000" w:themeColor="text1"/>
          <w:sz w:val="24"/>
          <w:szCs w:val="24"/>
        </w:rPr>
        <w:t>C</w:t>
      </w:r>
      <w:r w:rsidRPr="00D90C31">
        <w:rPr>
          <w:rFonts w:ascii="Times New Roman" w:hAnsi="Times New Roman" w:cs="Times New Roman"/>
          <w:sz w:val="24"/>
          <w:szCs w:val="24"/>
        </w:rPr>
        <w:t>.3 (Principles of Regulatory Cooperation), as implemented in the framework developed in accordance with Article 9</w:t>
      </w:r>
      <w:r w:rsidRPr="00D90C31">
        <w:rPr>
          <w:rFonts w:ascii="Times New Roman" w:hAnsi="Times New Roman" w:cs="Times New Roman"/>
          <w:color w:val="000000" w:themeColor="text1"/>
          <w:sz w:val="24"/>
          <w:szCs w:val="24"/>
        </w:rPr>
        <w:t>C</w:t>
      </w:r>
      <w:r w:rsidRPr="00D90C31">
        <w:rPr>
          <w:rFonts w:ascii="Times New Roman" w:hAnsi="Times New Roman" w:cs="Times New Roman"/>
          <w:sz w:val="24"/>
          <w:szCs w:val="24"/>
        </w:rPr>
        <w:t>.5 (Framework for Regulatory Cooperation).</w:t>
      </w:r>
    </w:p>
    <w:p w14:paraId="1003E9A2" w14:textId="77777777" w:rsidR="003E0F82" w:rsidRPr="00EE1BC5" w:rsidRDefault="003E0F82" w:rsidP="003E0F82">
      <w:pPr>
        <w:spacing w:after="0" w:line="240" w:lineRule="auto"/>
        <w:ind w:left="709" w:hanging="709"/>
        <w:rPr>
          <w:rFonts w:ascii="Times New Roman" w:eastAsiaTheme="minorEastAsia" w:hAnsi="Times New Roman" w:cs="Times New Roman"/>
          <w:sz w:val="24"/>
          <w:szCs w:val="24"/>
        </w:rPr>
      </w:pPr>
    </w:p>
    <w:p w14:paraId="0126A686"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bookmarkStart w:id="5" w:name="_Hlk73451519"/>
      <w:bookmarkEnd w:id="4"/>
      <w:r w:rsidRPr="00EE1BC5">
        <w:rPr>
          <w:rFonts w:ascii="Times New Roman" w:hAnsi="Times New Roman" w:cs="Times New Roman"/>
          <w:sz w:val="24"/>
          <w:szCs w:val="24"/>
        </w:rPr>
        <w:t xml:space="preserve">4. </w:t>
      </w:r>
      <w:r>
        <w:rPr>
          <w:rFonts w:ascii="Times New Roman" w:hAnsi="Times New Roman" w:cs="Times New Roman"/>
          <w:sz w:val="24"/>
          <w:szCs w:val="24"/>
        </w:rPr>
        <w:tab/>
      </w:r>
      <w:r w:rsidRPr="00EE1BC5">
        <w:rPr>
          <w:rFonts w:ascii="Times New Roman" w:hAnsi="Times New Roman" w:cs="Times New Roman"/>
          <w:sz w:val="24"/>
          <w:szCs w:val="24"/>
        </w:rPr>
        <w:t>This Annex is without prejudice to the right of a Party to determine its own appropriate level of prudential regulation, including the establishment and enforcement of measures that provide a higher level of prudential protection than those set out in internationally agreed standards.</w:t>
      </w:r>
    </w:p>
    <w:p w14:paraId="42CF1EC6" w14:textId="77777777" w:rsidR="003E0F82" w:rsidRPr="00EE1BC5" w:rsidRDefault="003E0F82" w:rsidP="003E0F82">
      <w:pPr>
        <w:spacing w:after="0" w:line="240" w:lineRule="auto"/>
        <w:jc w:val="both"/>
        <w:rPr>
          <w:rFonts w:ascii="Times New Roman" w:hAnsi="Times New Roman" w:cs="Times New Roman"/>
          <w:sz w:val="24"/>
          <w:szCs w:val="24"/>
        </w:rPr>
      </w:pPr>
    </w:p>
    <w:p w14:paraId="1EDC5F56" w14:textId="77777777" w:rsidR="003E0F82" w:rsidRPr="00EE1BC5" w:rsidRDefault="003E0F82" w:rsidP="003E0F82">
      <w:pPr>
        <w:spacing w:after="0" w:line="240" w:lineRule="auto"/>
        <w:jc w:val="both"/>
        <w:rPr>
          <w:rFonts w:ascii="Times New Roman" w:hAnsi="Times New Roman" w:cs="Times New Roman"/>
          <w:sz w:val="24"/>
          <w:szCs w:val="24"/>
        </w:rPr>
      </w:pPr>
    </w:p>
    <w:bookmarkEnd w:id="5"/>
    <w:p w14:paraId="0742172D" w14:textId="77777777" w:rsidR="003E0F82" w:rsidRPr="00EE1BC5" w:rsidRDefault="003E0F82" w:rsidP="003E0F82">
      <w:pPr>
        <w:pStyle w:val="Heading2"/>
        <w:spacing w:after="0"/>
        <w:jc w:val="center"/>
      </w:pPr>
      <w:r w:rsidRPr="00EA5935">
        <w:t>Article 9</w:t>
      </w:r>
      <w:r w:rsidRPr="00EA5935">
        <w:rPr>
          <w:color w:val="000000" w:themeColor="text1"/>
        </w:rPr>
        <w:t>C</w:t>
      </w:r>
      <w:r w:rsidRPr="00EA5935">
        <w:t>.2</w:t>
      </w:r>
      <w:r w:rsidRPr="00EE1BC5">
        <w:t xml:space="preserve"> </w:t>
      </w:r>
    </w:p>
    <w:p w14:paraId="0D7FBDEB" w14:textId="77777777" w:rsidR="003E0F82" w:rsidRPr="00EE1BC5" w:rsidRDefault="003E0F82" w:rsidP="003E0F82">
      <w:pPr>
        <w:pStyle w:val="Heading2"/>
        <w:spacing w:after="0"/>
        <w:jc w:val="center"/>
      </w:pPr>
      <w:bookmarkStart w:id="6" w:name="_Hlk73451532"/>
      <w:r w:rsidRPr="00EE1BC5">
        <w:t>Scope of Regulatory Cooperation</w:t>
      </w:r>
    </w:p>
    <w:p w14:paraId="78A5860F" w14:textId="77777777" w:rsidR="003E0F82" w:rsidRPr="00EE1BC5" w:rsidRDefault="003E0F82" w:rsidP="003E0F82">
      <w:pPr>
        <w:spacing w:after="0" w:line="240" w:lineRule="auto"/>
        <w:jc w:val="both"/>
        <w:rPr>
          <w:rFonts w:ascii="Times New Roman" w:hAnsi="Times New Roman" w:cs="Times New Roman"/>
          <w:sz w:val="24"/>
          <w:szCs w:val="24"/>
        </w:rPr>
      </w:pPr>
    </w:p>
    <w:p w14:paraId="0114D54E"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1. </w:t>
      </w:r>
      <w:r>
        <w:rPr>
          <w:rFonts w:ascii="Times New Roman" w:hAnsi="Times New Roman" w:cs="Times New Roman"/>
          <w:sz w:val="24"/>
          <w:szCs w:val="24"/>
        </w:rPr>
        <w:tab/>
      </w:r>
      <w:r w:rsidRPr="00EE1BC5">
        <w:rPr>
          <w:rFonts w:ascii="Times New Roman" w:hAnsi="Times New Roman" w:cs="Times New Roman"/>
          <w:sz w:val="24"/>
          <w:szCs w:val="24"/>
        </w:rPr>
        <w:t xml:space="preserve">Regulatory cooperation between the Parties shall cover all areas of financial services, as defined in Article 9.1 (Definitions), unless the Parties agree otherwise. </w:t>
      </w:r>
    </w:p>
    <w:p w14:paraId="1747BB86"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p>
    <w:p w14:paraId="35F1C146"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2</w:t>
      </w:r>
      <w:r w:rsidRPr="00EE1BC5">
        <w:rPr>
          <w:rFonts w:ascii="Times New Roman" w:hAnsi="Times New Roman" w:cs="Times New Roman"/>
          <w:sz w:val="24"/>
          <w:szCs w:val="24"/>
        </w:rPr>
        <w:t xml:space="preserve">. </w:t>
      </w:r>
      <w:r>
        <w:rPr>
          <w:rFonts w:ascii="Times New Roman" w:hAnsi="Times New Roman" w:cs="Times New Roman"/>
          <w:sz w:val="24"/>
          <w:szCs w:val="24"/>
        </w:rPr>
        <w:tab/>
      </w:r>
      <w:r w:rsidRPr="00EE1BC5">
        <w:rPr>
          <w:rFonts w:ascii="Times New Roman" w:hAnsi="Times New Roman" w:cs="Times New Roman"/>
          <w:sz w:val="24"/>
          <w:szCs w:val="24"/>
        </w:rPr>
        <w:t xml:space="preserve">Article </w:t>
      </w:r>
      <w:r w:rsidRPr="00DF4819">
        <w:rPr>
          <w:rFonts w:ascii="Times New Roman" w:hAnsi="Times New Roman" w:cs="Times New Roman"/>
          <w:sz w:val="24"/>
          <w:szCs w:val="24"/>
          <w:lang w:val="en-AU"/>
        </w:rPr>
        <w:t xml:space="preserve">26.2 (General Provision </w:t>
      </w:r>
      <w:r w:rsidRPr="00AC0B9A">
        <w:rPr>
          <w:rFonts w:ascii="Times New Roman" w:hAnsi="Times New Roman" w:cs="Times New Roman"/>
          <w:spacing w:val="2"/>
          <w:sz w:val="24"/>
          <w:szCs w:val="24"/>
          <w:lang w:eastAsia="en-AU"/>
        </w:rPr>
        <w:t>–</w:t>
      </w:r>
      <w:r w:rsidRPr="00DF4819">
        <w:rPr>
          <w:rFonts w:ascii="Times New Roman" w:hAnsi="Times New Roman" w:cs="Times New Roman"/>
          <w:sz w:val="24"/>
          <w:szCs w:val="24"/>
          <w:lang w:val="en-AU"/>
        </w:rPr>
        <w:t xml:space="preserve"> Good Regulatory Practice), </w:t>
      </w:r>
      <w:r>
        <w:rPr>
          <w:rFonts w:ascii="Times New Roman" w:hAnsi="Times New Roman" w:cs="Times New Roman"/>
          <w:sz w:val="24"/>
          <w:szCs w:val="24"/>
          <w:lang w:val="en-AU"/>
        </w:rPr>
        <w:t xml:space="preserve">Article </w:t>
      </w:r>
      <w:r w:rsidRPr="00DF4819">
        <w:rPr>
          <w:rFonts w:ascii="Times New Roman" w:hAnsi="Times New Roman" w:cs="Times New Roman"/>
          <w:sz w:val="24"/>
          <w:szCs w:val="24"/>
          <w:lang w:val="en-AU"/>
        </w:rPr>
        <w:t xml:space="preserve">26.6 (Public Consultation </w:t>
      </w:r>
      <w:r w:rsidRPr="00AC0B9A">
        <w:rPr>
          <w:rFonts w:ascii="Times New Roman" w:hAnsi="Times New Roman" w:cs="Times New Roman"/>
          <w:spacing w:val="2"/>
          <w:sz w:val="24"/>
          <w:szCs w:val="24"/>
          <w:lang w:eastAsia="en-AU"/>
        </w:rPr>
        <w:t>–</w:t>
      </w:r>
      <w:r w:rsidRPr="00DF4819">
        <w:rPr>
          <w:rFonts w:ascii="Times New Roman" w:hAnsi="Times New Roman" w:cs="Times New Roman"/>
          <w:sz w:val="24"/>
          <w:szCs w:val="24"/>
          <w:lang w:val="en-AU"/>
        </w:rPr>
        <w:t xml:space="preserve"> Good Regulatory Practice), </w:t>
      </w:r>
      <w:r>
        <w:rPr>
          <w:rFonts w:ascii="Times New Roman" w:hAnsi="Times New Roman" w:cs="Times New Roman"/>
          <w:sz w:val="24"/>
          <w:szCs w:val="24"/>
          <w:lang w:val="en-AU"/>
        </w:rPr>
        <w:t xml:space="preserve">Article </w:t>
      </w:r>
      <w:r w:rsidRPr="00DF4819">
        <w:rPr>
          <w:rFonts w:ascii="Times New Roman" w:hAnsi="Times New Roman" w:cs="Times New Roman"/>
          <w:sz w:val="24"/>
          <w:szCs w:val="24"/>
          <w:lang w:val="en-AU"/>
        </w:rPr>
        <w:t xml:space="preserve">26.10 (Regulatory Cooperation </w:t>
      </w:r>
      <w:r w:rsidRPr="00AC0B9A">
        <w:rPr>
          <w:rFonts w:ascii="Times New Roman" w:hAnsi="Times New Roman" w:cs="Times New Roman"/>
          <w:spacing w:val="2"/>
          <w:sz w:val="24"/>
          <w:szCs w:val="24"/>
          <w:lang w:eastAsia="en-AU"/>
        </w:rPr>
        <w:t>–</w:t>
      </w:r>
      <w:r w:rsidRPr="00DF4819">
        <w:rPr>
          <w:rFonts w:ascii="Times New Roman" w:hAnsi="Times New Roman" w:cs="Times New Roman"/>
          <w:sz w:val="24"/>
          <w:szCs w:val="24"/>
          <w:lang w:val="en-AU"/>
        </w:rPr>
        <w:t xml:space="preserve"> Good Regulatory Practice) and </w:t>
      </w:r>
      <w:r>
        <w:rPr>
          <w:rFonts w:ascii="Times New Roman" w:hAnsi="Times New Roman" w:cs="Times New Roman"/>
          <w:sz w:val="24"/>
          <w:szCs w:val="24"/>
          <w:lang w:val="en-AU"/>
        </w:rPr>
        <w:t xml:space="preserve">Article </w:t>
      </w:r>
      <w:r w:rsidRPr="00DF4819">
        <w:rPr>
          <w:rFonts w:ascii="Times New Roman" w:hAnsi="Times New Roman" w:cs="Times New Roman"/>
          <w:sz w:val="24"/>
          <w:szCs w:val="24"/>
          <w:lang w:val="en-AU"/>
        </w:rPr>
        <w:t xml:space="preserve">26.11 </w:t>
      </w:r>
      <w:r>
        <w:rPr>
          <w:rFonts w:ascii="Times New Roman" w:hAnsi="Times New Roman" w:cs="Times New Roman"/>
          <w:sz w:val="24"/>
          <w:szCs w:val="24"/>
          <w:lang w:val="en-AU"/>
        </w:rPr>
        <w:t xml:space="preserve">(Contact Points </w:t>
      </w:r>
      <w:r w:rsidRPr="00AC0B9A">
        <w:rPr>
          <w:rFonts w:ascii="Times New Roman" w:hAnsi="Times New Roman" w:cs="Times New Roman"/>
          <w:spacing w:val="2"/>
          <w:sz w:val="24"/>
          <w:szCs w:val="24"/>
          <w:lang w:eastAsia="en-AU"/>
        </w:rPr>
        <w:t>–</w:t>
      </w:r>
      <w:r>
        <w:rPr>
          <w:rFonts w:ascii="Times New Roman" w:hAnsi="Times New Roman" w:cs="Times New Roman"/>
          <w:sz w:val="24"/>
          <w:szCs w:val="24"/>
          <w:lang w:val="en-AU"/>
        </w:rPr>
        <w:t xml:space="preserve"> </w:t>
      </w:r>
      <w:r w:rsidRPr="00BD361F">
        <w:rPr>
          <w:rFonts w:ascii="Times New Roman" w:hAnsi="Times New Roman" w:cs="Times New Roman"/>
          <w:sz w:val="24"/>
          <w:szCs w:val="24"/>
          <w:lang w:val="en-AU"/>
        </w:rPr>
        <w:t>Good Regulatory Practice</w:t>
      </w:r>
      <w:r w:rsidRPr="00637609">
        <w:rPr>
          <w:rFonts w:ascii="Times New Roman" w:hAnsi="Times New Roman" w:cs="Times New Roman"/>
          <w:sz w:val="24"/>
          <w:szCs w:val="24"/>
          <w:lang w:val="en-AU"/>
        </w:rPr>
        <w:t>)</w:t>
      </w:r>
      <w:r>
        <w:rPr>
          <w:rFonts w:ascii="Times New Roman" w:hAnsi="Times New Roman" w:cs="Times New Roman"/>
          <w:sz w:val="24"/>
          <w:szCs w:val="24"/>
          <w:lang w:val="en-AU"/>
        </w:rPr>
        <w:t xml:space="preserve"> </w:t>
      </w:r>
      <w:r w:rsidRPr="00EE1BC5">
        <w:rPr>
          <w:rFonts w:ascii="Times New Roman" w:hAnsi="Times New Roman" w:cs="Times New Roman"/>
          <w:sz w:val="24"/>
          <w:szCs w:val="24"/>
        </w:rPr>
        <w:t>do not apply to any matter covered by this Annex</w:t>
      </w:r>
      <w:r w:rsidRPr="00EE1BC5">
        <w:rPr>
          <w:rFonts w:ascii="Times New Roman" w:eastAsia="Times New Roman" w:hAnsi="Times New Roman" w:cs="Times New Roman"/>
          <w:b/>
          <w:bCs/>
          <w:i/>
          <w:iCs/>
          <w:sz w:val="24"/>
          <w:szCs w:val="24"/>
        </w:rPr>
        <w:t>.</w:t>
      </w:r>
    </w:p>
    <w:p w14:paraId="16906540"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p>
    <w:p w14:paraId="3C88F6B5"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3</w:t>
      </w:r>
      <w:r w:rsidRPr="00EE1BC5">
        <w:rPr>
          <w:rFonts w:ascii="Times New Roman" w:hAnsi="Times New Roman" w:cs="Times New Roman"/>
          <w:sz w:val="24"/>
          <w:szCs w:val="24"/>
        </w:rPr>
        <w:t xml:space="preserve">. </w:t>
      </w:r>
      <w:r>
        <w:rPr>
          <w:rFonts w:ascii="Times New Roman" w:hAnsi="Times New Roman" w:cs="Times New Roman"/>
          <w:sz w:val="24"/>
          <w:szCs w:val="24"/>
        </w:rPr>
        <w:tab/>
      </w:r>
      <w:r w:rsidRPr="00EE1BC5">
        <w:rPr>
          <w:rFonts w:ascii="Times New Roman" w:hAnsi="Times New Roman" w:cs="Times New Roman"/>
          <w:sz w:val="24"/>
          <w:szCs w:val="24"/>
        </w:rPr>
        <w:t xml:space="preserve">The provisions of this Annex shall be without prejudice to the distribution and exercise of the duties of the regulatory and supervisory authorities of the Parties, in line with their statutory objectives. The Parties recognise that their regulatory cooperation in financial services should be based on due consideration </w:t>
      </w:r>
      <w:r w:rsidRPr="00EE1BC5">
        <w:rPr>
          <w:rFonts w:ascii="Times New Roman" w:eastAsia="Calibri" w:hAnsi="Times New Roman" w:cs="Times New Roman"/>
          <w:sz w:val="24"/>
          <w:szCs w:val="24"/>
        </w:rPr>
        <w:t>of each Party’s legislative and regulatory autonomy and</w:t>
      </w:r>
      <w:r w:rsidRPr="00EE1BC5">
        <w:rPr>
          <w:rFonts w:ascii="Times New Roman" w:hAnsi="Times New Roman" w:cs="Times New Roman"/>
          <w:sz w:val="24"/>
          <w:szCs w:val="24"/>
        </w:rPr>
        <w:t xml:space="preserve"> differences in </w:t>
      </w:r>
      <w:bookmarkStart w:id="7" w:name="_Hlk71795415"/>
      <w:r w:rsidRPr="00EE1BC5">
        <w:rPr>
          <w:rFonts w:ascii="Times New Roman" w:eastAsia="Calibri" w:hAnsi="Times New Roman" w:cs="Times New Roman"/>
          <w:sz w:val="24"/>
          <w:szCs w:val="24"/>
        </w:rPr>
        <w:t xml:space="preserve">legislative and regulatory </w:t>
      </w:r>
      <w:bookmarkEnd w:id="7"/>
      <w:r w:rsidRPr="00EE1BC5">
        <w:rPr>
          <w:rFonts w:ascii="Times New Roman" w:eastAsia="Calibri" w:hAnsi="Times New Roman" w:cs="Times New Roman"/>
          <w:sz w:val="24"/>
          <w:szCs w:val="24"/>
        </w:rPr>
        <w:t>frameworks, market</w:t>
      </w:r>
      <w:r w:rsidRPr="00EE1BC5">
        <w:rPr>
          <w:rFonts w:ascii="Times New Roman" w:hAnsi="Times New Roman" w:cs="Times New Roman"/>
          <w:sz w:val="24"/>
          <w:szCs w:val="24"/>
        </w:rPr>
        <w:t xml:space="preserve"> structures and in the range of business models that may exist between the Parties.</w:t>
      </w:r>
    </w:p>
    <w:p w14:paraId="6D6D48E8" w14:textId="77777777" w:rsidR="003E0F82" w:rsidRPr="00EE1BC5" w:rsidRDefault="003E0F82" w:rsidP="003E0F82">
      <w:pPr>
        <w:spacing w:after="0" w:line="240" w:lineRule="auto"/>
        <w:jc w:val="both"/>
        <w:rPr>
          <w:rFonts w:ascii="Times New Roman" w:hAnsi="Times New Roman" w:cs="Times New Roman"/>
          <w:sz w:val="24"/>
          <w:szCs w:val="24"/>
        </w:rPr>
      </w:pPr>
    </w:p>
    <w:p w14:paraId="1492CD3E" w14:textId="77777777" w:rsidR="003E0F82" w:rsidRPr="00EE1BC5" w:rsidRDefault="003E0F82" w:rsidP="003E0F82">
      <w:pPr>
        <w:spacing w:after="0" w:line="240" w:lineRule="auto"/>
        <w:jc w:val="both"/>
        <w:rPr>
          <w:rFonts w:ascii="Times New Roman" w:hAnsi="Times New Roman" w:cs="Times New Roman"/>
          <w:sz w:val="24"/>
          <w:szCs w:val="24"/>
        </w:rPr>
      </w:pPr>
    </w:p>
    <w:bookmarkEnd w:id="6"/>
    <w:p w14:paraId="5ED878CC" w14:textId="77777777" w:rsidR="003E0F82" w:rsidRPr="00EE1BC5" w:rsidRDefault="003E0F82" w:rsidP="003E0F82">
      <w:pPr>
        <w:pStyle w:val="Heading2"/>
        <w:spacing w:after="0"/>
        <w:jc w:val="center"/>
      </w:pPr>
      <w:r w:rsidRPr="00EA5935">
        <w:t>Article 9</w:t>
      </w:r>
      <w:r w:rsidRPr="00EA5935">
        <w:rPr>
          <w:color w:val="000000" w:themeColor="text1"/>
        </w:rPr>
        <w:t>C</w:t>
      </w:r>
      <w:r w:rsidRPr="00EA5935">
        <w:t>.3</w:t>
      </w:r>
    </w:p>
    <w:p w14:paraId="319F0992" w14:textId="77777777" w:rsidR="003E0F82" w:rsidRPr="00EE1BC5" w:rsidRDefault="003E0F82" w:rsidP="003E0F82">
      <w:pPr>
        <w:pStyle w:val="Heading2"/>
        <w:spacing w:after="0"/>
        <w:jc w:val="center"/>
      </w:pPr>
      <w:r w:rsidRPr="00EE1BC5">
        <w:t>Principles of Regulatory Cooperation</w:t>
      </w:r>
      <w:bookmarkStart w:id="8" w:name="_Hlk73451551"/>
    </w:p>
    <w:p w14:paraId="3D3EE940" w14:textId="77777777" w:rsidR="003E0F82" w:rsidRPr="00EE1BC5" w:rsidRDefault="003E0F82" w:rsidP="003E0F82">
      <w:pPr>
        <w:spacing w:after="0" w:line="240" w:lineRule="auto"/>
        <w:jc w:val="both"/>
        <w:rPr>
          <w:rFonts w:ascii="Times New Roman" w:hAnsi="Times New Roman" w:cs="Times New Roman"/>
          <w:sz w:val="24"/>
          <w:szCs w:val="24"/>
        </w:rPr>
      </w:pPr>
    </w:p>
    <w:p w14:paraId="31871378" w14:textId="77777777" w:rsidR="003E0F82" w:rsidRPr="00EE1BC5" w:rsidRDefault="003E0F82" w:rsidP="003E0F82">
      <w:pPr>
        <w:spacing w:after="0" w:line="240" w:lineRule="auto"/>
        <w:jc w:val="both"/>
        <w:rPr>
          <w:rFonts w:ascii="Times New Roman" w:hAnsi="Times New Roman" w:cs="Times New Roman"/>
          <w:sz w:val="24"/>
          <w:szCs w:val="24"/>
        </w:rPr>
      </w:pPr>
      <w:r w:rsidRPr="00EE1BC5">
        <w:rPr>
          <w:rFonts w:ascii="Times New Roman" w:hAnsi="Times New Roman" w:cs="Times New Roman"/>
          <w:sz w:val="24"/>
          <w:szCs w:val="24"/>
        </w:rPr>
        <w:t xml:space="preserve">1. </w:t>
      </w:r>
      <w:r>
        <w:rPr>
          <w:rFonts w:ascii="Times New Roman" w:hAnsi="Times New Roman" w:cs="Times New Roman"/>
          <w:sz w:val="24"/>
          <w:szCs w:val="24"/>
        </w:rPr>
        <w:tab/>
      </w:r>
      <w:r w:rsidRPr="00EE1BC5">
        <w:rPr>
          <w:rFonts w:ascii="Times New Roman" w:hAnsi="Times New Roman" w:cs="Times New Roman"/>
          <w:sz w:val="24"/>
          <w:szCs w:val="24"/>
        </w:rPr>
        <w:t xml:space="preserve">Mutual Compatibility of Regulatory and Supervisory Frameworks </w:t>
      </w:r>
    </w:p>
    <w:p w14:paraId="2602A68E" w14:textId="77777777" w:rsidR="003E0F82" w:rsidRPr="00EE1BC5" w:rsidRDefault="003E0F82" w:rsidP="003E0F82">
      <w:pPr>
        <w:spacing w:after="0" w:line="240" w:lineRule="auto"/>
        <w:jc w:val="both"/>
        <w:rPr>
          <w:rFonts w:ascii="Times New Roman" w:hAnsi="Times New Roman" w:cs="Times New Roman"/>
          <w:sz w:val="24"/>
          <w:szCs w:val="24"/>
        </w:rPr>
      </w:pPr>
    </w:p>
    <w:p w14:paraId="4EBC65C2"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(a) </w:t>
      </w:r>
      <w:r>
        <w:rPr>
          <w:lang w:val="en-AU"/>
        </w:rPr>
        <w:tab/>
      </w:r>
      <w:r w:rsidRPr="00EE1BC5">
        <w:rPr>
          <w:lang w:val="en-AU"/>
        </w:rPr>
        <w:t xml:space="preserve">The Parties shall, wherever practicable, work to achieve mutual compatibility of their respective regulatory and supervisory frameworks for financial services in areas of common interest in a way that supports the objectives set out in </w:t>
      </w:r>
      <w:r w:rsidRPr="00B03285">
        <w:rPr>
          <w:lang w:val="en-AU"/>
        </w:rPr>
        <w:t>Article 9</w:t>
      </w:r>
      <w:r w:rsidRPr="00B03285">
        <w:rPr>
          <w:color w:val="000000" w:themeColor="text1"/>
          <w:lang w:val="en-AU"/>
        </w:rPr>
        <w:t>C.</w:t>
      </w:r>
      <w:r w:rsidRPr="00B03285">
        <w:rPr>
          <w:lang w:val="en-AU"/>
        </w:rPr>
        <w:t>1 (Objectives of Regulatory Cooperation).</w:t>
      </w:r>
      <w:r w:rsidRPr="00EE1BC5">
        <w:rPr>
          <w:lang w:val="en-AU"/>
        </w:rPr>
        <w:t xml:space="preserve"> That work may include developing consistent regulatory approaches on an outcomes basis and reducing unnecessarily burdensome, duplicative or divergent regulatory requirements. </w:t>
      </w:r>
    </w:p>
    <w:p w14:paraId="2C98AAF4"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77E3268F"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(b) </w:t>
      </w:r>
      <w:r>
        <w:rPr>
          <w:lang w:val="en-AU"/>
        </w:rPr>
        <w:tab/>
      </w:r>
      <w:r w:rsidRPr="00EE1BC5">
        <w:rPr>
          <w:lang w:val="en-AU"/>
        </w:rPr>
        <w:t xml:space="preserve">As the basis for pursuing the mutual compatibility referred to in subparagraph (a), each Party shall use its best endeavours to ensure that internationally agreed standards for regulation and supervision in the area of financial services are implemented and applied in its territory. </w:t>
      </w:r>
    </w:p>
    <w:p w14:paraId="604B2692" w14:textId="77777777" w:rsidR="003E0F82" w:rsidRPr="00EE1BC5" w:rsidRDefault="003E0F82" w:rsidP="003E0F82">
      <w:pPr>
        <w:pStyle w:val="paragraph"/>
        <w:spacing w:before="0" w:beforeAutospacing="0" w:after="0" w:afterAutospacing="0"/>
        <w:ind w:left="720"/>
        <w:jc w:val="both"/>
        <w:textAlignment w:val="baseline"/>
        <w:rPr>
          <w:lang w:val="en-AU"/>
        </w:rPr>
      </w:pPr>
    </w:p>
    <w:p w14:paraId="3E139B29"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(c) </w:t>
      </w:r>
      <w:r>
        <w:rPr>
          <w:lang w:val="en-AU"/>
        </w:rPr>
        <w:tab/>
      </w:r>
      <w:r w:rsidRPr="00EE1BC5">
        <w:rPr>
          <w:lang w:val="en-AU"/>
        </w:rPr>
        <w:t>To support regulatory cooperation, the Parties shall, wherever practicable, work together in international standard-setting bodies to develop effective international standards and facilitate coherent implementation.</w:t>
      </w:r>
    </w:p>
    <w:bookmarkEnd w:id="8"/>
    <w:p w14:paraId="113451DC" w14:textId="77777777" w:rsidR="003E0F82" w:rsidRPr="00EE1BC5" w:rsidRDefault="003E0F82" w:rsidP="003E0F82">
      <w:pPr>
        <w:spacing w:after="0" w:line="240" w:lineRule="auto"/>
        <w:jc w:val="both"/>
        <w:rPr>
          <w:rFonts w:ascii="Times New Roman" w:hAnsi="Times New Roman" w:cs="Times New Roman"/>
          <w:sz w:val="24"/>
          <w:szCs w:val="24"/>
        </w:rPr>
      </w:pPr>
    </w:p>
    <w:p w14:paraId="1F350FDC" w14:textId="77777777" w:rsidR="003E0F82" w:rsidRPr="00EE1BC5" w:rsidRDefault="003E0F82" w:rsidP="003E0F82">
      <w:pPr>
        <w:spacing w:after="0" w:line="240" w:lineRule="auto"/>
        <w:jc w:val="both"/>
        <w:rPr>
          <w:rFonts w:ascii="Times New Roman" w:hAnsi="Times New Roman" w:cs="Times New Roman"/>
          <w:sz w:val="24"/>
          <w:szCs w:val="24"/>
        </w:rPr>
      </w:pPr>
      <w:bookmarkStart w:id="9" w:name="_Hlk73451565"/>
      <w:r w:rsidRPr="00EE1BC5">
        <w:rPr>
          <w:rFonts w:ascii="Times New Roman" w:hAnsi="Times New Roman" w:cs="Times New Roman"/>
          <w:sz w:val="24"/>
          <w:szCs w:val="24"/>
        </w:rPr>
        <w:t xml:space="preserve">2. </w:t>
      </w:r>
      <w:r>
        <w:rPr>
          <w:rFonts w:ascii="Times New Roman" w:hAnsi="Times New Roman" w:cs="Times New Roman"/>
          <w:sz w:val="24"/>
          <w:szCs w:val="24"/>
        </w:rPr>
        <w:tab/>
      </w:r>
      <w:r w:rsidRPr="00EE1BC5">
        <w:rPr>
          <w:rFonts w:ascii="Times New Roman" w:hAnsi="Times New Roman" w:cs="Times New Roman"/>
          <w:sz w:val="24"/>
          <w:szCs w:val="24"/>
        </w:rPr>
        <w:t xml:space="preserve">Regulatory Deference  </w:t>
      </w:r>
    </w:p>
    <w:p w14:paraId="51AE2178" w14:textId="77777777" w:rsidR="003E0F82" w:rsidRPr="00EE1BC5" w:rsidRDefault="003E0F82" w:rsidP="003E0F82">
      <w:pPr>
        <w:spacing w:after="0" w:line="240" w:lineRule="auto"/>
        <w:jc w:val="both"/>
        <w:rPr>
          <w:rFonts w:ascii="Times New Roman" w:hAnsi="Times New Roman" w:cs="Times New Roman"/>
          <w:sz w:val="24"/>
          <w:szCs w:val="24"/>
        </w:rPr>
      </w:pPr>
    </w:p>
    <w:p w14:paraId="2046DB6D" w14:textId="77777777" w:rsidR="003E0F82" w:rsidRPr="00EE1BC5" w:rsidRDefault="003E0F82" w:rsidP="003E0F82">
      <w:pPr>
        <w:spacing w:after="0" w:line="240" w:lineRule="auto"/>
        <w:ind w:left="709"/>
        <w:jc w:val="both"/>
        <w:rPr>
          <w:rFonts w:ascii="Times New Roman" w:hAnsi="Times New Roman" w:cs="Times New Roman"/>
          <w:sz w:val="24"/>
          <w:szCs w:val="24"/>
        </w:rPr>
      </w:pPr>
      <w:r w:rsidRPr="00EE1BC5">
        <w:rPr>
          <w:rFonts w:ascii="Times New Roman" w:hAnsi="Times New Roman" w:cs="Times New Roman"/>
          <w:sz w:val="24"/>
          <w:szCs w:val="24"/>
        </w:rPr>
        <w:t>The Parties shall, wherever</w:t>
      </w:r>
      <w:r w:rsidRPr="00EE1BC5">
        <w:rPr>
          <w:rFonts w:ascii="Times New Roman" w:hAnsi="Times New Roman" w:cs="Times New Roman"/>
          <w:color w:val="FF0000"/>
          <w:sz w:val="24"/>
          <w:szCs w:val="24"/>
        </w:rPr>
        <w:t xml:space="preserve"> </w:t>
      </w:r>
      <w:r w:rsidRPr="00EE1BC5">
        <w:rPr>
          <w:rFonts w:ascii="Times New Roman" w:hAnsi="Times New Roman" w:cs="Times New Roman"/>
          <w:sz w:val="24"/>
          <w:szCs w:val="24"/>
        </w:rPr>
        <w:t xml:space="preserve">agreeable and in accordance with their respective regulatory and supervisory frameworks, defer to the regulatory and supervisory frameworks of the other Party. The foregoing shall be without prejudice to each Party’s legislative and regulatory autonomy and right to assess, </w:t>
      </w:r>
      <w:proofErr w:type="gramStart"/>
      <w:r w:rsidRPr="00EE1BC5">
        <w:rPr>
          <w:rFonts w:ascii="Times New Roman" w:hAnsi="Times New Roman" w:cs="Times New Roman"/>
          <w:sz w:val="24"/>
          <w:szCs w:val="24"/>
        </w:rPr>
        <w:t>on the basis of</w:t>
      </w:r>
      <w:proofErr w:type="gramEnd"/>
      <w:r w:rsidRPr="00EE1BC5">
        <w:rPr>
          <w:rFonts w:ascii="Times New Roman" w:hAnsi="Times New Roman" w:cs="Times New Roman"/>
          <w:sz w:val="24"/>
          <w:szCs w:val="24"/>
        </w:rPr>
        <w:t xml:space="preserve"> its own frameworks, the frameworks of the other Party, including the effective enforcement of those frameworks, with a view to establishing deference. For the purposes of any such assessment, a Party shall not require that the other Party’s regulatory and supervisory frameworks are identical to its own frameworks but shall base its assessment on regulatory outcomes.</w:t>
      </w:r>
    </w:p>
    <w:bookmarkEnd w:id="9"/>
    <w:p w14:paraId="595CAE7A" w14:textId="77777777" w:rsidR="003E0F82" w:rsidRPr="00EE1BC5" w:rsidRDefault="003E0F82" w:rsidP="003E0F82">
      <w:pPr>
        <w:spacing w:after="0" w:line="240" w:lineRule="auto"/>
        <w:jc w:val="both"/>
        <w:rPr>
          <w:rFonts w:ascii="Times New Roman" w:hAnsi="Times New Roman" w:cs="Times New Roman"/>
          <w:sz w:val="24"/>
          <w:szCs w:val="24"/>
        </w:rPr>
      </w:pPr>
    </w:p>
    <w:p w14:paraId="539E5BE8" w14:textId="77777777" w:rsidR="003E0F82" w:rsidRPr="00EE1BC5" w:rsidRDefault="003E0F82" w:rsidP="003E0F82">
      <w:pPr>
        <w:spacing w:after="0" w:line="240" w:lineRule="auto"/>
        <w:jc w:val="both"/>
        <w:rPr>
          <w:rFonts w:ascii="Times New Roman" w:hAnsi="Times New Roman" w:cs="Times New Roman"/>
          <w:sz w:val="24"/>
          <w:szCs w:val="24"/>
        </w:rPr>
      </w:pPr>
      <w:bookmarkStart w:id="10" w:name="_Hlk73451577"/>
      <w:r w:rsidRPr="00EE1BC5">
        <w:rPr>
          <w:rFonts w:ascii="Times New Roman" w:hAnsi="Times New Roman" w:cs="Times New Roman"/>
          <w:sz w:val="24"/>
          <w:szCs w:val="24"/>
        </w:rPr>
        <w:t xml:space="preserve">3. </w:t>
      </w:r>
      <w:r>
        <w:rPr>
          <w:rFonts w:ascii="Times New Roman" w:hAnsi="Times New Roman" w:cs="Times New Roman"/>
          <w:sz w:val="24"/>
          <w:szCs w:val="24"/>
        </w:rPr>
        <w:tab/>
      </w:r>
      <w:r w:rsidRPr="00EE1BC5">
        <w:rPr>
          <w:rFonts w:ascii="Times New Roman" w:hAnsi="Times New Roman" w:cs="Times New Roman"/>
          <w:sz w:val="24"/>
          <w:szCs w:val="24"/>
        </w:rPr>
        <w:t xml:space="preserve">Sharing of Information  </w:t>
      </w:r>
    </w:p>
    <w:p w14:paraId="7D38A819" w14:textId="77777777" w:rsidR="003E0F82" w:rsidRPr="00EE1BC5" w:rsidRDefault="003E0F82" w:rsidP="003E0F82">
      <w:pPr>
        <w:spacing w:after="0" w:line="240" w:lineRule="auto"/>
        <w:jc w:val="both"/>
        <w:rPr>
          <w:rFonts w:ascii="Times New Roman" w:hAnsi="Times New Roman" w:cs="Times New Roman"/>
          <w:sz w:val="24"/>
          <w:szCs w:val="24"/>
        </w:rPr>
      </w:pPr>
    </w:p>
    <w:p w14:paraId="0195B89A"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(a) </w:t>
      </w:r>
      <w:r>
        <w:rPr>
          <w:lang w:val="en-AU"/>
        </w:rPr>
        <w:tab/>
      </w:r>
      <w:r w:rsidRPr="00EE1BC5">
        <w:rPr>
          <w:lang w:val="en-AU"/>
        </w:rPr>
        <w:t xml:space="preserve">Without prejudice to its own domestic processes, each Party shall use its best endeavours to inform the other Party and provide the other Party with adequate opportunity for comment when it consults on new regulatory initiatives, proposed measures or actual measures in the area of financial services that may be of relevance to that other Party. </w:t>
      </w:r>
    </w:p>
    <w:p w14:paraId="67D7A69D"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571FB77E"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(b)</w:t>
      </w:r>
      <w:r>
        <w:rPr>
          <w:lang w:val="en-AU"/>
        </w:rPr>
        <w:tab/>
      </w:r>
      <w:r w:rsidRPr="00EE1BC5">
        <w:rPr>
          <w:lang w:val="en-AU"/>
        </w:rPr>
        <w:t xml:space="preserve">In the areas where one of the Parties defers to the regulatory and supervisory framework of the other Party, the Parties shall keep each other informed of how they provide for effective implementation and enforcement of regulatory and supervisory frameworks, consult on changes to the regulatory or supervisory framework, and ensure appropriate mechanisms are in place for the ongoing exchange of information on supervision and enforcement. </w:t>
      </w:r>
    </w:p>
    <w:p w14:paraId="76CF35A3"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06499864"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(c) </w:t>
      </w:r>
      <w:r>
        <w:rPr>
          <w:lang w:val="en-AU"/>
        </w:rPr>
        <w:tab/>
      </w:r>
      <w:r w:rsidRPr="00EE1BC5">
        <w:rPr>
          <w:lang w:val="en-AU"/>
        </w:rPr>
        <w:t xml:space="preserve">If a Party concludes negotiations for an agreement or arrangement as described in Article 9.20 (Recognition of Prudential Measures) with a non-party, the Party shall directly notify the other Party to this Agreement and, upon conclusion of the </w:t>
      </w:r>
      <w:proofErr w:type="gramStart"/>
      <w:r w:rsidRPr="00EE1BC5">
        <w:rPr>
          <w:lang w:val="en-AU"/>
        </w:rPr>
        <w:t>aforementioned negotiations</w:t>
      </w:r>
      <w:proofErr w:type="gramEnd"/>
      <w:r w:rsidRPr="00EE1BC5">
        <w:rPr>
          <w:lang w:val="en-AU"/>
        </w:rPr>
        <w:t xml:space="preserve">, provide adequate opportunity to that Party to negotiate accession to the agreement or arrangement or to negotiate a comparable agreement or arrangement. </w:t>
      </w:r>
    </w:p>
    <w:bookmarkEnd w:id="10"/>
    <w:p w14:paraId="5067F6A4" w14:textId="77777777" w:rsidR="003E0F82" w:rsidRPr="00EE1BC5" w:rsidRDefault="003E0F82" w:rsidP="003E0F82">
      <w:pPr>
        <w:spacing w:after="0" w:line="240" w:lineRule="auto"/>
        <w:jc w:val="both"/>
        <w:rPr>
          <w:rFonts w:ascii="Times New Roman" w:hAnsi="Times New Roman" w:cs="Times New Roman"/>
          <w:sz w:val="24"/>
          <w:szCs w:val="24"/>
        </w:rPr>
      </w:pPr>
    </w:p>
    <w:p w14:paraId="3F6DC1E7" w14:textId="77777777" w:rsidR="003E0F82" w:rsidRPr="00EE1BC5" w:rsidRDefault="003E0F82" w:rsidP="003E0F82">
      <w:pPr>
        <w:spacing w:after="0" w:line="240" w:lineRule="auto"/>
        <w:jc w:val="both"/>
        <w:rPr>
          <w:rFonts w:ascii="Times New Roman" w:hAnsi="Times New Roman" w:cs="Times New Roman"/>
          <w:sz w:val="24"/>
          <w:szCs w:val="24"/>
        </w:rPr>
      </w:pPr>
      <w:bookmarkStart w:id="11" w:name="_Hlk73451589"/>
      <w:r w:rsidRPr="00EE1BC5">
        <w:rPr>
          <w:rFonts w:ascii="Times New Roman" w:hAnsi="Times New Roman" w:cs="Times New Roman"/>
          <w:sz w:val="24"/>
          <w:szCs w:val="24"/>
        </w:rPr>
        <w:t xml:space="preserve">4. </w:t>
      </w:r>
      <w:r>
        <w:rPr>
          <w:rFonts w:ascii="Times New Roman" w:hAnsi="Times New Roman" w:cs="Times New Roman"/>
          <w:sz w:val="24"/>
          <w:szCs w:val="24"/>
        </w:rPr>
        <w:tab/>
      </w:r>
      <w:r w:rsidRPr="00EE1BC5">
        <w:rPr>
          <w:rFonts w:ascii="Times New Roman" w:hAnsi="Times New Roman" w:cs="Times New Roman"/>
          <w:sz w:val="24"/>
          <w:szCs w:val="24"/>
        </w:rPr>
        <w:t xml:space="preserve">Review of Impact  </w:t>
      </w:r>
    </w:p>
    <w:p w14:paraId="70B489F7" w14:textId="77777777" w:rsidR="003E0F82" w:rsidRPr="00EE1BC5" w:rsidRDefault="003E0F82" w:rsidP="003E0F82">
      <w:pPr>
        <w:spacing w:after="0" w:line="240" w:lineRule="auto"/>
        <w:jc w:val="both"/>
        <w:rPr>
          <w:rFonts w:ascii="Times New Roman" w:hAnsi="Times New Roman" w:cs="Times New Roman"/>
          <w:sz w:val="24"/>
          <w:szCs w:val="24"/>
        </w:rPr>
      </w:pPr>
    </w:p>
    <w:p w14:paraId="591DBAC5"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(a) </w:t>
      </w:r>
      <w:r>
        <w:rPr>
          <w:lang w:val="en-AU"/>
        </w:rPr>
        <w:tab/>
      </w:r>
      <w:r w:rsidRPr="00EE1BC5">
        <w:rPr>
          <w:lang w:val="en-AU"/>
        </w:rPr>
        <w:t>A Party shall, in the process of formulating its planned regulatory or supervisory initiatives, in the areas of financial services where that Party defers to the regulatory and supervisory framework of the other Party, give due consideration to the impact of those initiatives on its decision to defer to the other Party's regulatory and supervisory frameworks.</w:t>
      </w:r>
    </w:p>
    <w:p w14:paraId="64930316"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76EA55EE"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lastRenderedPageBreak/>
        <w:t xml:space="preserve">(b) </w:t>
      </w:r>
      <w:r>
        <w:rPr>
          <w:lang w:val="en-AU"/>
        </w:rPr>
        <w:tab/>
      </w:r>
      <w:r w:rsidRPr="00EE1BC5">
        <w:rPr>
          <w:lang w:val="en-AU"/>
        </w:rPr>
        <w:t xml:space="preserve">Each Party shall review a measure which has been brought to its attention by a specific written request of the other Party which identifies the measure as having an impact on the ability of the other Party’s financial service suppliers to provide financial services within the first Party’s territory. Any requests for review shall only be made where the impact is material and shall include a clear explanation of the impact of the measure and its materiality. Any review shall consider whether and to what extent the measure may be rendered mutually compatible. </w:t>
      </w:r>
    </w:p>
    <w:p w14:paraId="16EF7DBB"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7CB7228E"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(c) </w:t>
      </w:r>
      <w:r>
        <w:rPr>
          <w:lang w:val="en-AU"/>
        </w:rPr>
        <w:tab/>
      </w:r>
      <w:r w:rsidRPr="00EE1BC5">
        <w:rPr>
          <w:lang w:val="en-AU"/>
        </w:rPr>
        <w:t xml:space="preserve">The Party shall respond to the request in writing, and within a reasonable </w:t>
      </w:r>
      <w:proofErr w:type="gramStart"/>
      <w:r w:rsidRPr="00EE1BC5">
        <w:rPr>
          <w:lang w:val="en-AU"/>
        </w:rPr>
        <w:t>period of time</w:t>
      </w:r>
      <w:proofErr w:type="gramEnd"/>
      <w:r w:rsidRPr="00EE1BC5">
        <w:rPr>
          <w:lang w:val="en-AU"/>
        </w:rPr>
        <w:t xml:space="preserve">.  </w:t>
      </w:r>
    </w:p>
    <w:p w14:paraId="18B5A78F" w14:textId="77777777" w:rsidR="003E0F82" w:rsidRPr="00EE1BC5" w:rsidRDefault="003E0F82" w:rsidP="003E0F82">
      <w:pPr>
        <w:spacing w:after="0" w:line="240" w:lineRule="auto"/>
        <w:jc w:val="both"/>
        <w:rPr>
          <w:rFonts w:ascii="Times New Roman" w:hAnsi="Times New Roman" w:cs="Times New Roman"/>
          <w:sz w:val="24"/>
          <w:szCs w:val="24"/>
        </w:rPr>
      </w:pPr>
    </w:p>
    <w:p w14:paraId="0BE9EA1A" w14:textId="77777777" w:rsidR="003E0F82" w:rsidRPr="00EE1BC5" w:rsidRDefault="003E0F82" w:rsidP="003E0F82">
      <w:pPr>
        <w:spacing w:after="0" w:line="240" w:lineRule="auto"/>
        <w:jc w:val="both"/>
        <w:rPr>
          <w:rFonts w:ascii="Times New Roman" w:hAnsi="Times New Roman" w:cs="Times New Roman"/>
          <w:sz w:val="24"/>
          <w:szCs w:val="24"/>
        </w:rPr>
      </w:pPr>
    </w:p>
    <w:bookmarkEnd w:id="11"/>
    <w:p w14:paraId="27C6900F" w14:textId="77777777" w:rsidR="003E0F82" w:rsidRPr="00EE1BC5" w:rsidRDefault="003E0F82" w:rsidP="003E0F82">
      <w:pPr>
        <w:pStyle w:val="Heading2"/>
        <w:spacing w:after="0"/>
        <w:jc w:val="center"/>
      </w:pPr>
      <w:r w:rsidRPr="00EA5935">
        <w:t>Article 9</w:t>
      </w:r>
      <w:r w:rsidRPr="00EA5935">
        <w:rPr>
          <w:color w:val="000000" w:themeColor="text1"/>
        </w:rPr>
        <w:t>C</w:t>
      </w:r>
      <w:r w:rsidRPr="00EA5935">
        <w:t>.4</w:t>
      </w:r>
    </w:p>
    <w:p w14:paraId="0791542A" w14:textId="77777777" w:rsidR="003E0F82" w:rsidRPr="00EE1BC5" w:rsidRDefault="003E0F82" w:rsidP="003E0F82">
      <w:pPr>
        <w:pStyle w:val="Heading2"/>
        <w:spacing w:after="0"/>
        <w:jc w:val="center"/>
      </w:pPr>
      <w:r w:rsidRPr="00EE1BC5">
        <w:t>Joint Financial Regulatory Forum</w:t>
      </w:r>
    </w:p>
    <w:p w14:paraId="6D567206" w14:textId="77777777" w:rsidR="003E0F82" w:rsidRPr="00EE1BC5" w:rsidRDefault="003E0F82" w:rsidP="003E0F82">
      <w:pPr>
        <w:spacing w:after="0" w:line="240" w:lineRule="auto"/>
        <w:jc w:val="both"/>
        <w:rPr>
          <w:rFonts w:ascii="Times New Roman" w:hAnsi="Times New Roman" w:cs="Times New Roman"/>
          <w:sz w:val="24"/>
          <w:szCs w:val="24"/>
        </w:rPr>
      </w:pPr>
      <w:bookmarkStart w:id="12" w:name="_Hlk73451597"/>
    </w:p>
    <w:p w14:paraId="286134CF"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1. </w:t>
      </w:r>
      <w:r>
        <w:rPr>
          <w:rFonts w:ascii="Times New Roman" w:hAnsi="Times New Roman" w:cs="Times New Roman"/>
          <w:sz w:val="24"/>
          <w:szCs w:val="24"/>
        </w:rPr>
        <w:tab/>
      </w:r>
      <w:r w:rsidRPr="00EE1BC5">
        <w:rPr>
          <w:rFonts w:ascii="Times New Roman" w:hAnsi="Times New Roman" w:cs="Times New Roman"/>
          <w:sz w:val="24"/>
          <w:szCs w:val="24"/>
        </w:rPr>
        <w:t xml:space="preserve">The Parties hereby establish a Joint Financial Regulatory Forum (hereinafter referred to </w:t>
      </w:r>
      <w:r w:rsidRPr="00EE1BC5">
        <w:rPr>
          <w:rStyle w:val="normaltextrun"/>
          <w:rFonts w:ascii="Times New Roman" w:hAnsi="Times New Roman" w:cs="Times New Roman"/>
          <w:sz w:val="24"/>
          <w:szCs w:val="24"/>
        </w:rPr>
        <w:t xml:space="preserve">in this Annex </w:t>
      </w:r>
      <w:r w:rsidRPr="00EE1BC5">
        <w:rPr>
          <w:rFonts w:ascii="Times New Roman" w:hAnsi="Times New Roman" w:cs="Times New Roman"/>
          <w:sz w:val="24"/>
          <w:szCs w:val="24"/>
        </w:rPr>
        <w:t xml:space="preserve">as the “Forum”).   </w:t>
      </w:r>
    </w:p>
    <w:bookmarkEnd w:id="12"/>
    <w:p w14:paraId="3433C0F1"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p>
    <w:p w14:paraId="407DABED"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bookmarkStart w:id="13" w:name="_Hlk73451606"/>
      <w:r w:rsidRPr="00EE1BC5">
        <w:rPr>
          <w:rFonts w:ascii="Times New Roman" w:hAnsi="Times New Roman" w:cs="Times New Roman"/>
          <w:sz w:val="24"/>
          <w:szCs w:val="24"/>
        </w:rPr>
        <w:t xml:space="preserve">2. </w:t>
      </w:r>
      <w:r>
        <w:rPr>
          <w:rFonts w:ascii="Times New Roman" w:hAnsi="Times New Roman" w:cs="Times New Roman"/>
          <w:sz w:val="24"/>
          <w:szCs w:val="24"/>
        </w:rPr>
        <w:tab/>
      </w:r>
      <w:r w:rsidRPr="00EE1BC5">
        <w:rPr>
          <w:rFonts w:ascii="Times New Roman" w:hAnsi="Times New Roman" w:cs="Times New Roman"/>
          <w:sz w:val="24"/>
          <w:szCs w:val="24"/>
        </w:rPr>
        <w:t xml:space="preserve">The Forum </w:t>
      </w:r>
      <w:r w:rsidRPr="00EE1BC5">
        <w:rPr>
          <w:rFonts w:ascii="Times New Roman" w:eastAsia="Times New Roman" w:hAnsi="Times New Roman" w:cs="Times New Roman"/>
          <w:sz w:val="24"/>
          <w:szCs w:val="24"/>
        </w:rPr>
        <w:t xml:space="preserve">shall serve as a platform to facilitate regulatory cooperation between the Parties </w:t>
      </w:r>
      <w:proofErr w:type="gramStart"/>
      <w:r w:rsidRPr="00EE1BC5">
        <w:rPr>
          <w:rFonts w:ascii="Times New Roman" w:eastAsia="Times New Roman" w:hAnsi="Times New Roman" w:cs="Times New Roman"/>
          <w:sz w:val="24"/>
          <w:szCs w:val="24"/>
        </w:rPr>
        <w:t>so as to</w:t>
      </w:r>
      <w:proofErr w:type="gramEnd"/>
      <w:r w:rsidRPr="00EE1BC5">
        <w:rPr>
          <w:rFonts w:ascii="Times New Roman" w:eastAsia="Times New Roman" w:hAnsi="Times New Roman" w:cs="Times New Roman"/>
          <w:sz w:val="24"/>
          <w:szCs w:val="24"/>
        </w:rPr>
        <w:t xml:space="preserve"> achieve the objectives set out in </w:t>
      </w:r>
      <w:r w:rsidRPr="00650205">
        <w:rPr>
          <w:rFonts w:ascii="Times New Roman" w:eastAsia="Times New Roman" w:hAnsi="Times New Roman" w:cs="Times New Roman"/>
          <w:sz w:val="24"/>
          <w:szCs w:val="24"/>
        </w:rPr>
        <w:t>Article 9</w:t>
      </w:r>
      <w:r w:rsidRPr="00650205">
        <w:rPr>
          <w:rFonts w:ascii="Times New Roman" w:hAnsi="Times New Roman" w:cs="Times New Roman"/>
          <w:color w:val="000000" w:themeColor="text1"/>
          <w:sz w:val="24"/>
          <w:szCs w:val="24"/>
        </w:rPr>
        <w:t>C</w:t>
      </w:r>
      <w:r w:rsidRPr="00650205">
        <w:rPr>
          <w:rFonts w:ascii="Times New Roman" w:eastAsia="Times New Roman" w:hAnsi="Times New Roman" w:cs="Times New Roman"/>
          <w:sz w:val="24"/>
          <w:szCs w:val="24"/>
        </w:rPr>
        <w:t>.1 (Objectives of Regulatory Cooperation)</w:t>
      </w:r>
      <w:r w:rsidRPr="00B03285">
        <w:rPr>
          <w:rFonts w:ascii="Times New Roman" w:hAnsi="Times New Roman" w:cs="Times New Roman"/>
          <w:sz w:val="24"/>
          <w:szCs w:val="24"/>
        </w:rPr>
        <w:t>.</w:t>
      </w:r>
      <w:r w:rsidRPr="00EE1BC5">
        <w:rPr>
          <w:rFonts w:ascii="Times New Roman" w:hAnsi="Times New Roman" w:cs="Times New Roman"/>
          <w:sz w:val="24"/>
          <w:szCs w:val="24"/>
        </w:rPr>
        <w:t xml:space="preserve"> The Forum </w:t>
      </w:r>
      <w:r w:rsidRPr="00B03285">
        <w:rPr>
          <w:rFonts w:ascii="Times New Roman" w:hAnsi="Times New Roman" w:cs="Times New Roman"/>
          <w:sz w:val="24"/>
          <w:szCs w:val="24"/>
        </w:rPr>
        <w:t xml:space="preserve">shall observe the principles of regulatory cooperation laid out in </w:t>
      </w:r>
      <w:r w:rsidRPr="00650205">
        <w:rPr>
          <w:rFonts w:ascii="Times New Roman" w:hAnsi="Times New Roman" w:cs="Times New Roman"/>
          <w:sz w:val="24"/>
          <w:szCs w:val="24"/>
        </w:rPr>
        <w:t>Article 9</w:t>
      </w:r>
      <w:r>
        <w:rPr>
          <w:rFonts w:ascii="Times New Roman" w:hAnsi="Times New Roman" w:cs="Times New Roman"/>
          <w:sz w:val="24"/>
          <w:szCs w:val="24"/>
        </w:rPr>
        <w:t>C</w:t>
      </w:r>
      <w:r w:rsidRPr="00650205">
        <w:rPr>
          <w:rFonts w:ascii="Times New Roman" w:hAnsi="Times New Roman" w:cs="Times New Roman"/>
          <w:sz w:val="24"/>
          <w:szCs w:val="24"/>
        </w:rPr>
        <w:t>.3 (Principles of Regulatory Cooperation)</w:t>
      </w:r>
      <w:r w:rsidRPr="00B03285">
        <w:rPr>
          <w:rFonts w:ascii="Times New Roman" w:hAnsi="Times New Roman" w:cs="Times New Roman"/>
          <w:sz w:val="24"/>
          <w:szCs w:val="24"/>
        </w:rPr>
        <w:t xml:space="preserve"> and implemented in the framework referred to in </w:t>
      </w:r>
      <w:r w:rsidRPr="00650205">
        <w:rPr>
          <w:rFonts w:ascii="Times New Roman" w:hAnsi="Times New Roman" w:cs="Times New Roman"/>
          <w:sz w:val="24"/>
          <w:szCs w:val="24"/>
        </w:rPr>
        <w:t>Article 9</w:t>
      </w:r>
      <w:r w:rsidRPr="00650205">
        <w:rPr>
          <w:rFonts w:ascii="Times New Roman" w:hAnsi="Times New Roman" w:cs="Times New Roman"/>
          <w:color w:val="000000" w:themeColor="text1"/>
          <w:sz w:val="24"/>
          <w:szCs w:val="24"/>
        </w:rPr>
        <w:t>C</w:t>
      </w:r>
      <w:r w:rsidRPr="00650205">
        <w:rPr>
          <w:rFonts w:ascii="Times New Roman" w:hAnsi="Times New Roman" w:cs="Times New Roman"/>
          <w:sz w:val="24"/>
          <w:szCs w:val="24"/>
        </w:rPr>
        <w:t>.5 (Framework for Regulatory Cooperation)</w:t>
      </w:r>
      <w:r w:rsidRPr="00B03285">
        <w:rPr>
          <w:rFonts w:ascii="Times New Roman" w:hAnsi="Times New Roman" w:cs="Times New Roman"/>
          <w:sz w:val="24"/>
          <w:szCs w:val="24"/>
        </w:rPr>
        <w:t>.</w:t>
      </w:r>
    </w:p>
    <w:p w14:paraId="30397CCA" w14:textId="77777777" w:rsidR="003E0F82" w:rsidRPr="00EE1BC5" w:rsidRDefault="003E0F82" w:rsidP="003E0F82">
      <w:pPr>
        <w:spacing w:after="0" w:line="240" w:lineRule="auto"/>
        <w:ind w:left="709" w:hanging="709"/>
        <w:jc w:val="both"/>
        <w:rPr>
          <w:rFonts w:ascii="Times New Roman" w:eastAsia="Calibri" w:hAnsi="Times New Roman" w:cs="Times New Roman"/>
          <w:sz w:val="24"/>
          <w:szCs w:val="24"/>
        </w:rPr>
      </w:pPr>
      <w:bookmarkStart w:id="14" w:name="_Hlk73451616"/>
      <w:bookmarkEnd w:id="13"/>
    </w:p>
    <w:p w14:paraId="2875151F"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r w:rsidRPr="00EE1BC5">
        <w:rPr>
          <w:rFonts w:ascii="Times New Roman" w:eastAsia="Calibri" w:hAnsi="Times New Roman" w:cs="Times New Roman"/>
          <w:sz w:val="24"/>
          <w:szCs w:val="24"/>
        </w:rPr>
        <w:t xml:space="preserve">3. </w:t>
      </w:r>
      <w:r>
        <w:rPr>
          <w:rFonts w:ascii="Times New Roman" w:eastAsia="Calibri" w:hAnsi="Times New Roman" w:cs="Times New Roman"/>
          <w:sz w:val="24"/>
          <w:szCs w:val="24"/>
        </w:rPr>
        <w:tab/>
      </w:r>
      <w:r w:rsidRPr="00EE1BC5">
        <w:rPr>
          <w:rFonts w:ascii="Times New Roman" w:eastAsia="Calibri" w:hAnsi="Times New Roman" w:cs="Times New Roman"/>
          <w:sz w:val="24"/>
          <w:szCs w:val="24"/>
        </w:rPr>
        <w:t>The meetings of the Forum shall be held annually, unless the Parties agree otherwise, and whenever the Parties consider it expedient or necessary giving consideration to existing regulatory relationships and communications.</w:t>
      </w:r>
    </w:p>
    <w:p w14:paraId="2EB80188"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bookmarkStart w:id="15" w:name="_Hlk73451633"/>
      <w:bookmarkEnd w:id="14"/>
    </w:p>
    <w:p w14:paraId="641F8BE1"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4. </w:t>
      </w:r>
      <w:r>
        <w:rPr>
          <w:rFonts w:ascii="Times New Roman" w:hAnsi="Times New Roman" w:cs="Times New Roman"/>
          <w:sz w:val="24"/>
          <w:szCs w:val="24"/>
        </w:rPr>
        <w:tab/>
      </w:r>
      <w:r w:rsidRPr="00EE1BC5">
        <w:rPr>
          <w:rFonts w:ascii="Times New Roman" w:hAnsi="Times New Roman" w:cs="Times New Roman"/>
          <w:sz w:val="24"/>
          <w:szCs w:val="24"/>
        </w:rPr>
        <w:t xml:space="preserve">The Forum shall be composed of representatives of Australia and the United Kingdom, including: </w:t>
      </w:r>
    </w:p>
    <w:p w14:paraId="29462FE6" w14:textId="77777777" w:rsidR="003E0F82" w:rsidRPr="00EE1BC5" w:rsidRDefault="003E0F82" w:rsidP="003E0F82">
      <w:pPr>
        <w:spacing w:after="0" w:line="240" w:lineRule="auto"/>
        <w:jc w:val="both"/>
        <w:rPr>
          <w:rFonts w:ascii="Times New Roman" w:hAnsi="Times New Roman" w:cs="Times New Roman"/>
          <w:sz w:val="24"/>
          <w:szCs w:val="24"/>
        </w:rPr>
      </w:pPr>
    </w:p>
    <w:p w14:paraId="04A85962"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(a) </w:t>
      </w:r>
      <w:r>
        <w:rPr>
          <w:lang w:val="en-AU"/>
        </w:rPr>
        <w:tab/>
        <w:t>f</w:t>
      </w:r>
      <w:r w:rsidRPr="00EE1BC5">
        <w:rPr>
          <w:lang w:val="en-AU"/>
        </w:rPr>
        <w:t xml:space="preserve">or Australia, the </w:t>
      </w:r>
      <w:r>
        <w:rPr>
          <w:lang w:val="en-AU"/>
        </w:rPr>
        <w:t xml:space="preserve">Department of the </w:t>
      </w:r>
      <w:r w:rsidRPr="00EE1BC5">
        <w:rPr>
          <w:lang w:val="en-AU"/>
        </w:rPr>
        <w:t>Treasury, Australian Prudential Regulation Authority, Australian Securities and Investments Commission and the Reserve Bank of Australia and other agencies as relevant to the matters under discussion, and any of their successors, which have, at technical level, responsibility for financial services regulatory issues</w:t>
      </w:r>
      <w:r>
        <w:rPr>
          <w:lang w:val="en-AU"/>
        </w:rPr>
        <w:t>; and</w:t>
      </w:r>
      <w:r w:rsidRPr="00EE1BC5">
        <w:rPr>
          <w:lang w:val="en-AU"/>
        </w:rPr>
        <w:t xml:space="preserve"> </w:t>
      </w:r>
    </w:p>
    <w:p w14:paraId="4979BB60"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5E16233F"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(b) </w:t>
      </w:r>
      <w:r>
        <w:rPr>
          <w:lang w:val="en-AU"/>
        </w:rPr>
        <w:tab/>
        <w:t>f</w:t>
      </w:r>
      <w:r w:rsidRPr="00EE1BC5">
        <w:rPr>
          <w:lang w:val="en-AU"/>
        </w:rPr>
        <w:t xml:space="preserve">or the United Kingdom, Her Majesty’s Treasury, the Bank of England and the Financial Conduct Authority, and any of their successors which have, at technical level, responsibility for financial services regulatory issues.  </w:t>
      </w:r>
    </w:p>
    <w:p w14:paraId="12530BC5" w14:textId="77777777" w:rsidR="003E0F82" w:rsidRPr="00EE1BC5" w:rsidRDefault="003E0F82" w:rsidP="003E0F82">
      <w:pPr>
        <w:spacing w:after="0" w:line="240" w:lineRule="auto"/>
        <w:jc w:val="both"/>
        <w:rPr>
          <w:rFonts w:ascii="Times New Roman" w:hAnsi="Times New Roman" w:cs="Times New Roman"/>
          <w:sz w:val="24"/>
          <w:szCs w:val="24"/>
        </w:rPr>
      </w:pPr>
    </w:p>
    <w:p w14:paraId="16F73CEA"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5. </w:t>
      </w:r>
      <w:r>
        <w:rPr>
          <w:rFonts w:ascii="Times New Roman" w:hAnsi="Times New Roman" w:cs="Times New Roman"/>
          <w:sz w:val="24"/>
          <w:szCs w:val="24"/>
        </w:rPr>
        <w:tab/>
      </w:r>
      <w:r w:rsidRPr="00EE1BC5">
        <w:rPr>
          <w:rFonts w:ascii="Times New Roman" w:hAnsi="Times New Roman" w:cs="Times New Roman"/>
          <w:sz w:val="24"/>
          <w:szCs w:val="24"/>
        </w:rPr>
        <w:t xml:space="preserve">Without prejudice to the right of each Party to decide on the composition of its representation in the Forum, each Party may request that the other Party </w:t>
      </w:r>
      <w:r w:rsidRPr="00EE1BC5">
        <w:rPr>
          <w:rFonts w:ascii="Times New Roman" w:hAnsi="Times New Roman" w:cs="Times New Roman"/>
          <w:sz w:val="24"/>
          <w:szCs w:val="24"/>
        </w:rPr>
        <w:lastRenderedPageBreak/>
        <w:t xml:space="preserve">invite representatives with relevant seniority or expertise from other financial regulatory or supervisory authorities. </w:t>
      </w:r>
      <w:r>
        <w:rPr>
          <w:rFonts w:ascii="Times New Roman" w:hAnsi="Times New Roman" w:cs="Times New Roman"/>
          <w:sz w:val="24"/>
          <w:szCs w:val="24"/>
        </w:rPr>
        <w:t xml:space="preserve"> </w:t>
      </w:r>
      <w:r w:rsidRPr="00EE1BC5">
        <w:rPr>
          <w:rFonts w:ascii="Times New Roman" w:hAnsi="Times New Roman" w:cs="Times New Roman"/>
          <w:sz w:val="24"/>
          <w:szCs w:val="24"/>
        </w:rPr>
        <w:t xml:space="preserve">This is with a view to contributing to the Forum's discussions and preparatory work in matters related to the activity of those financial regulatory or supervisory authorities, </w:t>
      </w:r>
      <w:r>
        <w:rPr>
          <w:rFonts w:ascii="Times New Roman" w:hAnsi="Times New Roman" w:cs="Times New Roman"/>
          <w:sz w:val="24"/>
          <w:szCs w:val="24"/>
        </w:rPr>
        <w:t>or</w:t>
      </w:r>
      <w:r w:rsidRPr="00EE1BC5">
        <w:rPr>
          <w:rFonts w:ascii="Times New Roman" w:hAnsi="Times New Roman" w:cs="Times New Roman"/>
          <w:sz w:val="24"/>
          <w:szCs w:val="24"/>
        </w:rPr>
        <w:t xml:space="preserve"> the objectives of regulatory cooperation, </w:t>
      </w:r>
      <w:r w:rsidRPr="00B03285">
        <w:rPr>
          <w:rFonts w:ascii="Times New Roman" w:hAnsi="Times New Roman" w:cs="Times New Roman"/>
          <w:sz w:val="24"/>
          <w:szCs w:val="24"/>
        </w:rPr>
        <w:t xml:space="preserve">as set out in </w:t>
      </w:r>
      <w:r w:rsidRPr="006E46D7">
        <w:rPr>
          <w:rFonts w:ascii="Times New Roman" w:hAnsi="Times New Roman" w:cs="Times New Roman"/>
          <w:sz w:val="24"/>
          <w:szCs w:val="24"/>
        </w:rPr>
        <w:t>Article 9</w:t>
      </w:r>
      <w:r w:rsidRPr="006E46D7">
        <w:rPr>
          <w:rFonts w:ascii="Times New Roman" w:hAnsi="Times New Roman" w:cs="Times New Roman"/>
          <w:color w:val="000000" w:themeColor="text1"/>
          <w:sz w:val="24"/>
          <w:szCs w:val="24"/>
        </w:rPr>
        <w:t>C</w:t>
      </w:r>
      <w:r w:rsidRPr="006E46D7">
        <w:rPr>
          <w:rFonts w:ascii="Times New Roman" w:hAnsi="Times New Roman" w:cs="Times New Roman"/>
          <w:sz w:val="24"/>
          <w:szCs w:val="24"/>
        </w:rPr>
        <w:t>.1 (Objectives of Regulatory Cooperation)</w:t>
      </w:r>
      <w:r w:rsidRPr="00B03285">
        <w:rPr>
          <w:rFonts w:ascii="Times New Roman" w:hAnsi="Times New Roman" w:cs="Times New Roman"/>
          <w:sz w:val="24"/>
          <w:szCs w:val="24"/>
        </w:rPr>
        <w:t>.</w:t>
      </w:r>
      <w:r w:rsidRPr="00EE1BC5">
        <w:rPr>
          <w:rFonts w:ascii="Times New Roman" w:hAnsi="Times New Roman" w:cs="Times New Roman"/>
          <w:sz w:val="24"/>
          <w:szCs w:val="24"/>
        </w:rPr>
        <w:t xml:space="preserve"> </w:t>
      </w:r>
    </w:p>
    <w:p w14:paraId="25E8A743"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p>
    <w:p w14:paraId="69658F67"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6. </w:t>
      </w:r>
      <w:r>
        <w:rPr>
          <w:rFonts w:ascii="Times New Roman" w:hAnsi="Times New Roman" w:cs="Times New Roman"/>
          <w:sz w:val="24"/>
          <w:szCs w:val="24"/>
        </w:rPr>
        <w:tab/>
      </w:r>
      <w:r w:rsidRPr="00EE1BC5">
        <w:rPr>
          <w:rFonts w:ascii="Times New Roman" w:hAnsi="Times New Roman" w:cs="Times New Roman"/>
          <w:sz w:val="24"/>
          <w:szCs w:val="24"/>
        </w:rPr>
        <w:t xml:space="preserve">The meetings of the Forum will be co-chaired by senior officials from the </w:t>
      </w:r>
      <w:r>
        <w:rPr>
          <w:rFonts w:ascii="Times New Roman" w:hAnsi="Times New Roman" w:cs="Times New Roman"/>
          <w:color w:val="000000" w:themeColor="text1"/>
          <w:sz w:val="24"/>
          <w:szCs w:val="24"/>
        </w:rPr>
        <w:t xml:space="preserve">Department of the </w:t>
      </w:r>
      <w:r w:rsidRPr="00EE1BC5">
        <w:rPr>
          <w:rFonts w:ascii="Times New Roman" w:hAnsi="Times New Roman" w:cs="Times New Roman"/>
          <w:color w:val="000000" w:themeColor="text1"/>
          <w:sz w:val="24"/>
          <w:szCs w:val="24"/>
        </w:rPr>
        <w:t>Treasury</w:t>
      </w:r>
      <w:r w:rsidRPr="00EE1BC5">
        <w:rPr>
          <w:rFonts w:ascii="Times New Roman" w:hAnsi="Times New Roman" w:cs="Times New Roman"/>
          <w:sz w:val="24"/>
          <w:szCs w:val="24"/>
        </w:rPr>
        <w:t xml:space="preserve"> </w:t>
      </w:r>
      <w:r>
        <w:rPr>
          <w:rFonts w:ascii="Times New Roman" w:hAnsi="Times New Roman" w:cs="Times New Roman"/>
          <w:sz w:val="24"/>
          <w:szCs w:val="24"/>
        </w:rPr>
        <w:t xml:space="preserve">of Australia </w:t>
      </w:r>
      <w:r w:rsidRPr="00EE1BC5">
        <w:rPr>
          <w:rFonts w:ascii="Times New Roman" w:hAnsi="Times New Roman" w:cs="Times New Roman"/>
          <w:sz w:val="24"/>
          <w:szCs w:val="24"/>
        </w:rPr>
        <w:t xml:space="preserve">and Her Majesty’s Treasury of the United Kingdom, or their respective successors.  </w:t>
      </w:r>
    </w:p>
    <w:p w14:paraId="783B48FE"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p>
    <w:p w14:paraId="156C2BAA"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7. </w:t>
      </w:r>
      <w:r>
        <w:rPr>
          <w:rFonts w:ascii="Times New Roman" w:hAnsi="Times New Roman" w:cs="Times New Roman"/>
          <w:sz w:val="24"/>
          <w:szCs w:val="24"/>
        </w:rPr>
        <w:tab/>
      </w:r>
      <w:r w:rsidRPr="00EE1BC5">
        <w:rPr>
          <w:rFonts w:ascii="Times New Roman" w:hAnsi="Times New Roman" w:cs="Times New Roman"/>
          <w:sz w:val="24"/>
          <w:szCs w:val="24"/>
        </w:rPr>
        <w:t xml:space="preserve">Each co-chair shall designate a specific contact point to facilitate the work of the Forum. </w:t>
      </w:r>
    </w:p>
    <w:p w14:paraId="71D3E81B"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p>
    <w:p w14:paraId="697C3B5B"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8. </w:t>
      </w:r>
      <w:r>
        <w:rPr>
          <w:rFonts w:ascii="Times New Roman" w:hAnsi="Times New Roman" w:cs="Times New Roman"/>
          <w:sz w:val="24"/>
          <w:szCs w:val="24"/>
        </w:rPr>
        <w:tab/>
      </w:r>
      <w:r w:rsidRPr="00EE1BC5">
        <w:rPr>
          <w:rFonts w:ascii="Times New Roman" w:hAnsi="Times New Roman" w:cs="Times New Roman"/>
          <w:sz w:val="24"/>
          <w:szCs w:val="24"/>
        </w:rPr>
        <w:t xml:space="preserve">The Forum may establish expert sub-working groups to examine specific issues or explore cooperation in specific areas of financial services. </w:t>
      </w:r>
    </w:p>
    <w:bookmarkEnd w:id="15"/>
    <w:p w14:paraId="5DFE1375" w14:textId="77777777" w:rsidR="003E0F82" w:rsidRPr="00EE1BC5" w:rsidRDefault="003E0F82" w:rsidP="003E0F82">
      <w:pPr>
        <w:spacing w:after="0" w:line="240" w:lineRule="auto"/>
        <w:jc w:val="both"/>
        <w:rPr>
          <w:rFonts w:ascii="Times New Roman" w:hAnsi="Times New Roman" w:cs="Times New Roman"/>
          <w:sz w:val="24"/>
          <w:szCs w:val="24"/>
        </w:rPr>
      </w:pPr>
    </w:p>
    <w:p w14:paraId="773D63F0" w14:textId="77777777" w:rsidR="003E0F82" w:rsidRPr="00EE1BC5" w:rsidRDefault="003E0F82" w:rsidP="003E0F82">
      <w:pPr>
        <w:spacing w:after="0" w:line="240" w:lineRule="auto"/>
        <w:jc w:val="both"/>
        <w:rPr>
          <w:rFonts w:ascii="Times New Roman" w:hAnsi="Times New Roman" w:cs="Times New Roman"/>
          <w:sz w:val="24"/>
          <w:szCs w:val="24"/>
        </w:rPr>
      </w:pPr>
    </w:p>
    <w:p w14:paraId="092FF8BC" w14:textId="77777777" w:rsidR="003E0F82" w:rsidRPr="00EE1BC5" w:rsidRDefault="003E0F82" w:rsidP="003E0F82">
      <w:pPr>
        <w:pStyle w:val="Heading2"/>
        <w:keepNext/>
        <w:spacing w:after="0"/>
        <w:jc w:val="center"/>
      </w:pPr>
      <w:bookmarkStart w:id="16" w:name="_Hlk71795458"/>
      <w:r w:rsidRPr="00EA5935">
        <w:t>Article 9</w:t>
      </w:r>
      <w:r w:rsidRPr="00EA5935">
        <w:rPr>
          <w:color w:val="000000" w:themeColor="text1"/>
        </w:rPr>
        <w:t>C</w:t>
      </w:r>
      <w:r w:rsidRPr="00EA5935">
        <w:t>.5</w:t>
      </w:r>
    </w:p>
    <w:bookmarkEnd w:id="16"/>
    <w:p w14:paraId="1065F23B" w14:textId="77777777" w:rsidR="003E0F82" w:rsidRPr="00EE1BC5" w:rsidRDefault="003E0F82" w:rsidP="003E0F82">
      <w:pPr>
        <w:pStyle w:val="Heading2"/>
        <w:keepNext/>
        <w:spacing w:after="0"/>
        <w:jc w:val="center"/>
      </w:pPr>
      <w:r w:rsidRPr="00EE1BC5">
        <w:t>Framework for Regulatory Cooperation</w:t>
      </w:r>
    </w:p>
    <w:p w14:paraId="320A822C" w14:textId="77777777" w:rsidR="003E0F82" w:rsidRPr="00EE1BC5" w:rsidRDefault="003E0F82" w:rsidP="003E0F82">
      <w:pPr>
        <w:keepNext/>
        <w:spacing w:after="0" w:line="240" w:lineRule="auto"/>
        <w:jc w:val="both"/>
        <w:rPr>
          <w:rFonts w:ascii="Times New Roman" w:hAnsi="Times New Roman" w:cs="Times New Roman"/>
          <w:sz w:val="24"/>
          <w:szCs w:val="24"/>
        </w:rPr>
      </w:pPr>
      <w:bookmarkStart w:id="17" w:name="_Hlk72591584"/>
    </w:p>
    <w:p w14:paraId="5830A96D" w14:textId="77777777" w:rsidR="003E0F82" w:rsidRPr="00EE1BC5" w:rsidRDefault="003E0F82" w:rsidP="003E0F82">
      <w:pPr>
        <w:keepNext/>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1. </w:t>
      </w:r>
      <w:r>
        <w:rPr>
          <w:rFonts w:ascii="Times New Roman" w:hAnsi="Times New Roman" w:cs="Times New Roman"/>
          <w:sz w:val="24"/>
          <w:szCs w:val="24"/>
        </w:rPr>
        <w:tab/>
      </w:r>
      <w:r w:rsidRPr="00EE1BC5">
        <w:rPr>
          <w:rFonts w:ascii="Times New Roman" w:hAnsi="Times New Roman" w:cs="Times New Roman"/>
          <w:sz w:val="24"/>
          <w:szCs w:val="24"/>
        </w:rPr>
        <w:t xml:space="preserve">The Forum shall develop a framework for </w:t>
      </w:r>
      <w:r w:rsidRPr="00EE1BC5">
        <w:rPr>
          <w:rFonts w:ascii="Times New Roman" w:hAnsi="Times New Roman" w:cs="Times New Roman"/>
          <w:color w:val="000000" w:themeColor="text1"/>
          <w:sz w:val="24"/>
          <w:szCs w:val="24"/>
        </w:rPr>
        <w:t>improving</w:t>
      </w:r>
      <w:r w:rsidRPr="00EE1BC5">
        <w:rPr>
          <w:rFonts w:ascii="Times New Roman" w:hAnsi="Times New Roman" w:cs="Times New Roman"/>
          <w:color w:val="FF0000"/>
          <w:sz w:val="24"/>
          <w:szCs w:val="24"/>
        </w:rPr>
        <w:t xml:space="preserve"> </w:t>
      </w:r>
      <w:r w:rsidRPr="00EE1BC5">
        <w:rPr>
          <w:rFonts w:ascii="Times New Roman" w:hAnsi="Times New Roman" w:cs="Times New Roman"/>
          <w:sz w:val="24"/>
          <w:szCs w:val="24"/>
        </w:rPr>
        <w:t xml:space="preserve">regulatory </w:t>
      </w:r>
      <w:r w:rsidRPr="00B03285">
        <w:rPr>
          <w:rFonts w:ascii="Times New Roman" w:hAnsi="Times New Roman" w:cs="Times New Roman"/>
          <w:sz w:val="24"/>
          <w:szCs w:val="24"/>
        </w:rPr>
        <w:t xml:space="preserve">cooperation. </w:t>
      </w:r>
      <w:r>
        <w:rPr>
          <w:rFonts w:ascii="Times New Roman" w:hAnsi="Times New Roman" w:cs="Times New Roman"/>
          <w:sz w:val="24"/>
          <w:szCs w:val="24"/>
        </w:rPr>
        <w:t xml:space="preserve"> </w:t>
      </w:r>
      <w:r w:rsidRPr="00B03285">
        <w:rPr>
          <w:rFonts w:ascii="Times New Roman" w:hAnsi="Times New Roman" w:cs="Times New Roman"/>
          <w:color w:val="000000" w:themeColor="text1"/>
          <w:sz w:val="24"/>
          <w:szCs w:val="24"/>
        </w:rPr>
        <w:t>The framework will be guided by</w:t>
      </w:r>
      <w:r w:rsidRPr="00B03285">
        <w:rPr>
          <w:rFonts w:ascii="Times New Roman" w:hAnsi="Times New Roman" w:cs="Times New Roman"/>
          <w:color w:val="FF0000"/>
          <w:sz w:val="24"/>
          <w:szCs w:val="24"/>
        </w:rPr>
        <w:t xml:space="preserve"> </w:t>
      </w:r>
      <w:r w:rsidRPr="00B03285">
        <w:rPr>
          <w:rFonts w:ascii="Times New Roman" w:hAnsi="Times New Roman" w:cs="Times New Roman"/>
          <w:sz w:val="24"/>
          <w:szCs w:val="24"/>
        </w:rPr>
        <w:t xml:space="preserve">the principles set out in </w:t>
      </w:r>
      <w:r w:rsidRPr="006E46D7">
        <w:rPr>
          <w:rFonts w:ascii="Times New Roman" w:hAnsi="Times New Roman" w:cs="Times New Roman"/>
          <w:sz w:val="24"/>
          <w:szCs w:val="24"/>
        </w:rPr>
        <w:t>Article 9</w:t>
      </w:r>
      <w:r w:rsidRPr="006E46D7">
        <w:rPr>
          <w:rFonts w:ascii="Times New Roman" w:hAnsi="Times New Roman" w:cs="Times New Roman"/>
          <w:color w:val="000000" w:themeColor="text1"/>
          <w:sz w:val="24"/>
          <w:szCs w:val="24"/>
        </w:rPr>
        <w:t>C</w:t>
      </w:r>
      <w:r w:rsidRPr="006E46D7">
        <w:rPr>
          <w:rFonts w:ascii="Times New Roman" w:hAnsi="Times New Roman" w:cs="Times New Roman"/>
          <w:sz w:val="24"/>
          <w:szCs w:val="24"/>
        </w:rPr>
        <w:t>.3 (Principles of Regulatory Cooperation)</w:t>
      </w:r>
      <w:r w:rsidRPr="00B03285">
        <w:rPr>
          <w:rFonts w:ascii="Times New Roman" w:hAnsi="Times New Roman" w:cs="Times New Roman"/>
          <w:sz w:val="24"/>
          <w:szCs w:val="24"/>
        </w:rPr>
        <w:t>.</w:t>
      </w:r>
      <w:r w:rsidRPr="00EE1BC5">
        <w:rPr>
          <w:rFonts w:ascii="Times New Roman" w:hAnsi="Times New Roman" w:cs="Times New Roman"/>
          <w:sz w:val="24"/>
          <w:szCs w:val="24"/>
        </w:rPr>
        <w:t xml:space="preserve"> </w:t>
      </w:r>
    </w:p>
    <w:bookmarkEnd w:id="17"/>
    <w:p w14:paraId="5DE09376"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p>
    <w:p w14:paraId="0B86000B"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bookmarkStart w:id="18" w:name="_Hlk72591603"/>
      <w:r w:rsidRPr="00EE1BC5">
        <w:rPr>
          <w:rFonts w:ascii="Times New Roman" w:hAnsi="Times New Roman" w:cs="Times New Roman"/>
          <w:sz w:val="24"/>
          <w:szCs w:val="24"/>
        </w:rPr>
        <w:t xml:space="preserve">2. </w:t>
      </w:r>
      <w:r>
        <w:rPr>
          <w:rFonts w:ascii="Times New Roman" w:hAnsi="Times New Roman" w:cs="Times New Roman"/>
          <w:sz w:val="24"/>
          <w:szCs w:val="24"/>
        </w:rPr>
        <w:tab/>
      </w:r>
      <w:r w:rsidRPr="00EE1BC5">
        <w:rPr>
          <w:rFonts w:ascii="Times New Roman" w:hAnsi="Times New Roman" w:cs="Times New Roman"/>
          <w:sz w:val="24"/>
          <w:szCs w:val="24"/>
        </w:rPr>
        <w:t>The framework for regulatory cooperation shall include:</w:t>
      </w:r>
    </w:p>
    <w:p w14:paraId="2EBC683C" w14:textId="77777777" w:rsidR="003E0F82" w:rsidRPr="00EE1BC5" w:rsidRDefault="003E0F82" w:rsidP="003E0F82">
      <w:pPr>
        <w:spacing w:after="0" w:line="240" w:lineRule="auto"/>
        <w:jc w:val="both"/>
        <w:rPr>
          <w:rFonts w:ascii="Times New Roman" w:hAnsi="Times New Roman" w:cs="Times New Roman"/>
          <w:sz w:val="24"/>
          <w:szCs w:val="24"/>
        </w:rPr>
      </w:pPr>
    </w:p>
    <w:p w14:paraId="0CF78F28"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(a) </w:t>
      </w:r>
      <w:r>
        <w:rPr>
          <w:lang w:val="en-AU"/>
        </w:rPr>
        <w:tab/>
      </w:r>
      <w:r w:rsidRPr="00EE1BC5">
        <w:rPr>
          <w:lang w:val="en-AU"/>
        </w:rPr>
        <w:t xml:space="preserve">without prejudice to each Party's own legislative and administrative processes, mechanisms for information exchange and consultation with the other Party, in appropriate forms giving consideration to existing communication </w:t>
      </w:r>
      <w:proofErr w:type="gramStart"/>
      <w:r w:rsidRPr="00EE1BC5">
        <w:rPr>
          <w:lang w:val="en-AU"/>
        </w:rPr>
        <w:t>processes;</w:t>
      </w:r>
      <w:proofErr w:type="gramEnd"/>
      <w:r w:rsidRPr="00EE1BC5">
        <w:rPr>
          <w:lang w:val="en-AU"/>
        </w:rPr>
        <w:t xml:space="preserve"> </w:t>
      </w:r>
    </w:p>
    <w:p w14:paraId="103B9E57"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5A363AE8" w14:textId="77777777" w:rsidR="003E0F82" w:rsidRPr="00D4444A" w:rsidRDefault="003E0F82" w:rsidP="003E0F82">
      <w:pPr>
        <w:pStyle w:val="paragraph"/>
        <w:spacing w:before="0" w:beforeAutospacing="0" w:after="0" w:afterAutospacing="0"/>
        <w:ind w:left="1418" w:hanging="698"/>
        <w:jc w:val="both"/>
        <w:textAlignment w:val="baseline"/>
        <w:rPr>
          <w:lang w:val="en-AU"/>
        </w:rPr>
      </w:pPr>
      <w:bookmarkStart w:id="19" w:name="_Hlk71795498"/>
      <w:r w:rsidRPr="00EE1BC5">
        <w:rPr>
          <w:lang w:val="en-AU"/>
        </w:rPr>
        <w:t xml:space="preserve">(b) </w:t>
      </w:r>
      <w:r>
        <w:rPr>
          <w:lang w:val="en-AU"/>
        </w:rPr>
        <w:tab/>
      </w:r>
      <w:r w:rsidRPr="00EE1BC5">
        <w:rPr>
          <w:lang w:val="en-AU"/>
        </w:rPr>
        <w:t xml:space="preserve">guidelines to enhance regulatory cooperation between the Parties </w:t>
      </w:r>
      <w:r w:rsidRPr="00B03285">
        <w:rPr>
          <w:lang w:val="en-AU"/>
        </w:rPr>
        <w:t xml:space="preserve">including guidelines for any expert sub-working groups established under paragraph 8 of </w:t>
      </w:r>
      <w:r w:rsidRPr="00064B11">
        <w:rPr>
          <w:lang w:val="en-AU"/>
        </w:rPr>
        <w:t>Article 9</w:t>
      </w:r>
      <w:r w:rsidRPr="00064B11">
        <w:rPr>
          <w:color w:val="000000" w:themeColor="text1"/>
          <w:lang w:val="en-AU"/>
        </w:rPr>
        <w:t>C.</w:t>
      </w:r>
      <w:r w:rsidRPr="00064B11">
        <w:rPr>
          <w:lang w:val="en-AU"/>
        </w:rPr>
        <w:t>4 (Joint Financial Regulatory Forum)</w:t>
      </w:r>
      <w:r w:rsidRPr="00B03285">
        <w:rPr>
          <w:lang w:val="en-AU"/>
        </w:rPr>
        <w:t>.  These guidelines may cover different forms of regulatory cooperation</w:t>
      </w:r>
      <w:r w:rsidRPr="00FE28F8">
        <w:rPr>
          <w:lang w:val="en-AU"/>
        </w:rPr>
        <w:t xml:space="preserve">, including deference to each other’s regulatory and supervisory frameworks </w:t>
      </w:r>
      <w:r w:rsidRPr="00773428">
        <w:rPr>
          <w:lang w:val="en-AU"/>
        </w:rPr>
        <w:t xml:space="preserve">or implementation of international standards in specific mutually agreed </w:t>
      </w:r>
      <w:proofErr w:type="gramStart"/>
      <w:r w:rsidRPr="00773428">
        <w:rPr>
          <w:lang w:val="en-AU"/>
        </w:rPr>
        <w:t>areas;</w:t>
      </w:r>
      <w:bookmarkEnd w:id="19"/>
      <w:proofErr w:type="gramEnd"/>
    </w:p>
    <w:p w14:paraId="6D7EC52C" w14:textId="77777777" w:rsidR="003E0F82" w:rsidRPr="000E4141" w:rsidRDefault="003E0F82" w:rsidP="003E0F82">
      <w:pPr>
        <w:pStyle w:val="paragraph"/>
        <w:spacing w:before="0" w:beforeAutospacing="0" w:after="0" w:afterAutospacing="0"/>
        <w:ind w:left="720"/>
        <w:jc w:val="both"/>
        <w:textAlignment w:val="baseline"/>
        <w:rPr>
          <w:lang w:val="en-AU"/>
        </w:rPr>
      </w:pPr>
    </w:p>
    <w:p w14:paraId="335F2298"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A36C84">
        <w:rPr>
          <w:lang w:val="en-AU"/>
        </w:rPr>
        <w:t xml:space="preserve">(c) </w:t>
      </w:r>
      <w:r w:rsidRPr="00B03285">
        <w:rPr>
          <w:lang w:val="en-AU"/>
        </w:rPr>
        <w:tab/>
        <w:t xml:space="preserve">a procedure for reviewing the measures referred to in subparagraph 4(b) of </w:t>
      </w:r>
      <w:r w:rsidRPr="00064B11">
        <w:rPr>
          <w:lang w:val="en-AU"/>
        </w:rPr>
        <w:t>Article 9</w:t>
      </w:r>
      <w:r w:rsidRPr="00064B11">
        <w:rPr>
          <w:color w:val="000000" w:themeColor="text1"/>
          <w:lang w:val="en-AU"/>
        </w:rPr>
        <w:t>C</w:t>
      </w:r>
      <w:r w:rsidRPr="00064B11">
        <w:rPr>
          <w:lang w:val="en-AU"/>
        </w:rPr>
        <w:t>.3 (Principles of Regulatory Cooperation</w:t>
      </w:r>
      <w:proofErr w:type="gramStart"/>
      <w:r w:rsidRPr="00064B11">
        <w:rPr>
          <w:lang w:val="en-AU"/>
        </w:rPr>
        <w:t>)</w:t>
      </w:r>
      <w:r w:rsidRPr="00B03285">
        <w:rPr>
          <w:lang w:val="en-AU"/>
        </w:rPr>
        <w:t>;</w:t>
      </w:r>
      <w:proofErr w:type="gramEnd"/>
      <w:r w:rsidRPr="00EE1BC5">
        <w:rPr>
          <w:lang w:val="en-AU"/>
        </w:rPr>
        <w:t xml:space="preserve"> </w:t>
      </w:r>
    </w:p>
    <w:p w14:paraId="63BEF390"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2F92CD0E"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(d) </w:t>
      </w:r>
      <w:r>
        <w:rPr>
          <w:lang w:val="en-AU"/>
        </w:rPr>
        <w:tab/>
      </w:r>
      <w:r w:rsidRPr="00EE1BC5">
        <w:rPr>
          <w:lang w:val="en-AU"/>
        </w:rPr>
        <w:t xml:space="preserve">terms of reference and guidelines on the governance of the Forum; and </w:t>
      </w:r>
    </w:p>
    <w:p w14:paraId="2DD16196"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5499869E"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(e) </w:t>
      </w:r>
      <w:r>
        <w:rPr>
          <w:lang w:val="en-AU"/>
        </w:rPr>
        <w:tab/>
      </w:r>
      <w:r w:rsidRPr="00EE1BC5">
        <w:rPr>
          <w:lang w:val="en-AU"/>
        </w:rPr>
        <w:t xml:space="preserve">if so agreed, any other arrangements to enhance regulatory cooperation.  </w:t>
      </w:r>
    </w:p>
    <w:bookmarkEnd w:id="18"/>
    <w:p w14:paraId="20CE2E0C" w14:textId="77777777" w:rsidR="003E0F82" w:rsidRPr="00EE1BC5" w:rsidRDefault="003E0F82" w:rsidP="003E0F82">
      <w:pPr>
        <w:pStyle w:val="ListParagraph"/>
        <w:spacing w:after="0" w:line="240" w:lineRule="auto"/>
        <w:ind w:left="1440"/>
        <w:jc w:val="both"/>
        <w:rPr>
          <w:rFonts w:ascii="Times New Roman" w:hAnsi="Times New Roman" w:cs="Times New Roman"/>
          <w:sz w:val="24"/>
          <w:szCs w:val="24"/>
        </w:rPr>
      </w:pPr>
    </w:p>
    <w:p w14:paraId="20C94340"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bookmarkStart w:id="20" w:name="_Hlk73451664"/>
      <w:r w:rsidRPr="00EE1BC5">
        <w:rPr>
          <w:rFonts w:ascii="Times New Roman" w:hAnsi="Times New Roman" w:cs="Times New Roman"/>
          <w:sz w:val="24"/>
          <w:szCs w:val="24"/>
        </w:rPr>
        <w:t xml:space="preserve">3. </w:t>
      </w:r>
      <w:r>
        <w:rPr>
          <w:rFonts w:ascii="Times New Roman" w:hAnsi="Times New Roman" w:cs="Times New Roman"/>
          <w:sz w:val="24"/>
          <w:szCs w:val="24"/>
        </w:rPr>
        <w:tab/>
      </w:r>
      <w:r w:rsidRPr="00EE1BC5">
        <w:rPr>
          <w:rFonts w:ascii="Times New Roman" w:hAnsi="Times New Roman" w:cs="Times New Roman"/>
          <w:sz w:val="24"/>
          <w:szCs w:val="24"/>
        </w:rPr>
        <w:t xml:space="preserve">The framework for regulatory cooperation may also envisage specific arrangements to facilitate cooperation in cross-border supervision and enforcement. </w:t>
      </w:r>
    </w:p>
    <w:bookmarkEnd w:id="20"/>
    <w:p w14:paraId="6425AD43" w14:textId="77777777" w:rsidR="003E0F82" w:rsidRPr="00EE1BC5" w:rsidRDefault="003E0F82" w:rsidP="003E0F82">
      <w:pPr>
        <w:spacing w:after="0" w:line="240" w:lineRule="auto"/>
        <w:jc w:val="both"/>
        <w:rPr>
          <w:rFonts w:ascii="Times New Roman" w:hAnsi="Times New Roman" w:cs="Times New Roman"/>
          <w:sz w:val="24"/>
          <w:szCs w:val="24"/>
        </w:rPr>
      </w:pPr>
    </w:p>
    <w:p w14:paraId="1474DA54" w14:textId="77777777" w:rsidR="003E0F82" w:rsidRPr="00EE1BC5" w:rsidRDefault="003E0F82" w:rsidP="003E0F82">
      <w:pPr>
        <w:spacing w:after="0" w:line="240" w:lineRule="auto"/>
        <w:jc w:val="both"/>
        <w:rPr>
          <w:rFonts w:ascii="Times New Roman" w:hAnsi="Times New Roman" w:cs="Times New Roman"/>
          <w:sz w:val="24"/>
          <w:szCs w:val="24"/>
        </w:rPr>
      </w:pPr>
    </w:p>
    <w:p w14:paraId="61E88D13" w14:textId="77777777" w:rsidR="003E0F82" w:rsidRPr="00EE1BC5" w:rsidRDefault="003E0F82" w:rsidP="003E0F82">
      <w:pPr>
        <w:pStyle w:val="Heading2"/>
        <w:spacing w:after="0"/>
        <w:jc w:val="center"/>
      </w:pPr>
      <w:r w:rsidRPr="00EA5935">
        <w:t>Article 9</w:t>
      </w:r>
      <w:r w:rsidRPr="00EA5935">
        <w:rPr>
          <w:color w:val="000000" w:themeColor="text1"/>
        </w:rPr>
        <w:t>C</w:t>
      </w:r>
      <w:r w:rsidRPr="00EA5935">
        <w:t>.6</w:t>
      </w:r>
    </w:p>
    <w:p w14:paraId="3178F376" w14:textId="77777777" w:rsidR="003E0F82" w:rsidRPr="00EE1BC5" w:rsidRDefault="003E0F82" w:rsidP="003E0F82">
      <w:pPr>
        <w:pStyle w:val="Heading2"/>
        <w:spacing w:after="0"/>
        <w:jc w:val="center"/>
      </w:pPr>
      <w:r w:rsidRPr="00EE1BC5">
        <w:t xml:space="preserve">Mediation </w:t>
      </w:r>
    </w:p>
    <w:p w14:paraId="0820BC61" w14:textId="77777777" w:rsidR="003E0F82" w:rsidRPr="00EE1BC5" w:rsidRDefault="003E0F82" w:rsidP="003E0F82">
      <w:pPr>
        <w:spacing w:after="0" w:line="240" w:lineRule="auto"/>
        <w:jc w:val="both"/>
        <w:rPr>
          <w:rFonts w:ascii="Times New Roman" w:hAnsi="Times New Roman" w:cs="Times New Roman"/>
          <w:sz w:val="24"/>
          <w:szCs w:val="24"/>
        </w:rPr>
      </w:pPr>
      <w:bookmarkStart w:id="21" w:name="_Hlk72591646"/>
    </w:p>
    <w:p w14:paraId="6AE785CA"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1. </w:t>
      </w:r>
      <w:r>
        <w:rPr>
          <w:rFonts w:ascii="Times New Roman" w:hAnsi="Times New Roman" w:cs="Times New Roman"/>
          <w:sz w:val="24"/>
          <w:szCs w:val="24"/>
        </w:rPr>
        <w:tab/>
      </w:r>
      <w:r w:rsidRPr="00EE1BC5">
        <w:rPr>
          <w:rFonts w:ascii="Times New Roman" w:hAnsi="Times New Roman" w:cs="Times New Roman"/>
          <w:sz w:val="24"/>
          <w:szCs w:val="24"/>
        </w:rPr>
        <w:t xml:space="preserve">The Parties shall act in good faith to try to resolve any disputes arising under this Annex. </w:t>
      </w:r>
    </w:p>
    <w:p w14:paraId="4F048B32"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p>
    <w:p w14:paraId="7C5CDDE5"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2. </w:t>
      </w:r>
      <w:r>
        <w:rPr>
          <w:rFonts w:ascii="Times New Roman" w:hAnsi="Times New Roman" w:cs="Times New Roman"/>
          <w:sz w:val="24"/>
          <w:szCs w:val="24"/>
        </w:rPr>
        <w:tab/>
      </w:r>
      <w:r w:rsidRPr="00EE1BC5">
        <w:rPr>
          <w:rFonts w:ascii="Times New Roman" w:hAnsi="Times New Roman" w:cs="Times New Roman"/>
          <w:sz w:val="24"/>
          <w:szCs w:val="24"/>
        </w:rPr>
        <w:t>The Parties shall make all reasonable efforts to resolve any disputes arising under this Annex at working-level.</w:t>
      </w:r>
    </w:p>
    <w:p w14:paraId="11B98724" w14:textId="77777777" w:rsidR="003E0F82" w:rsidRPr="00EE1BC5" w:rsidRDefault="003E0F82" w:rsidP="003E0F82">
      <w:pPr>
        <w:spacing w:after="0" w:line="240" w:lineRule="auto"/>
        <w:jc w:val="both"/>
        <w:rPr>
          <w:rFonts w:ascii="Times New Roman" w:hAnsi="Times New Roman" w:cs="Times New Roman"/>
          <w:sz w:val="24"/>
          <w:szCs w:val="24"/>
        </w:rPr>
      </w:pPr>
    </w:p>
    <w:p w14:paraId="158227C1" w14:textId="77777777" w:rsidR="003E0F82" w:rsidRPr="00EE1BC5" w:rsidRDefault="003E0F82" w:rsidP="003E0F82">
      <w:pPr>
        <w:spacing w:after="0" w:line="240" w:lineRule="auto"/>
        <w:jc w:val="both"/>
        <w:rPr>
          <w:rFonts w:ascii="Times New Roman" w:hAnsi="Times New Roman" w:cs="Times New Roman"/>
          <w:sz w:val="24"/>
          <w:szCs w:val="24"/>
        </w:rPr>
      </w:pPr>
    </w:p>
    <w:bookmarkEnd w:id="21"/>
    <w:p w14:paraId="3D3BC904" w14:textId="77777777" w:rsidR="003E0F82" w:rsidRPr="00EE1BC5" w:rsidRDefault="003E0F82" w:rsidP="003E0F82">
      <w:pPr>
        <w:pStyle w:val="Heading2"/>
        <w:keepNext/>
        <w:spacing w:after="0"/>
        <w:jc w:val="center"/>
      </w:pPr>
      <w:r w:rsidRPr="00EA5935">
        <w:t>Article 9</w:t>
      </w:r>
      <w:r w:rsidRPr="00EA5935">
        <w:rPr>
          <w:color w:val="000000" w:themeColor="text1"/>
        </w:rPr>
        <w:t>C</w:t>
      </w:r>
      <w:r w:rsidRPr="00EA5935">
        <w:t>.7</w:t>
      </w:r>
    </w:p>
    <w:p w14:paraId="399B773E" w14:textId="77777777" w:rsidR="003E0F82" w:rsidRPr="00EE1BC5" w:rsidRDefault="003E0F82" w:rsidP="003E0F82">
      <w:pPr>
        <w:pStyle w:val="Heading2"/>
        <w:keepNext/>
        <w:spacing w:after="0"/>
        <w:jc w:val="center"/>
      </w:pPr>
      <w:r w:rsidRPr="00EE1BC5">
        <w:t>Termination of Deference</w:t>
      </w:r>
    </w:p>
    <w:p w14:paraId="1C3A68BB" w14:textId="77777777" w:rsidR="003E0F82" w:rsidRPr="00EE1BC5" w:rsidRDefault="003E0F82" w:rsidP="003E0F82">
      <w:pPr>
        <w:keepNext/>
        <w:spacing w:after="0" w:line="240" w:lineRule="auto"/>
        <w:jc w:val="both"/>
        <w:rPr>
          <w:rFonts w:ascii="Times New Roman" w:hAnsi="Times New Roman" w:cs="Times New Roman"/>
          <w:sz w:val="24"/>
          <w:szCs w:val="24"/>
        </w:rPr>
      </w:pPr>
      <w:bookmarkStart w:id="22" w:name="_Hlk73451684"/>
    </w:p>
    <w:p w14:paraId="07D0944C" w14:textId="77777777" w:rsidR="003E0F82" w:rsidRPr="00EE1BC5" w:rsidRDefault="003E0F82" w:rsidP="003E0F82">
      <w:pPr>
        <w:keepNext/>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1. </w:t>
      </w:r>
      <w:r>
        <w:rPr>
          <w:rFonts w:ascii="Times New Roman" w:hAnsi="Times New Roman" w:cs="Times New Roman"/>
          <w:sz w:val="24"/>
          <w:szCs w:val="24"/>
        </w:rPr>
        <w:tab/>
      </w:r>
      <w:r w:rsidRPr="00EE1BC5">
        <w:rPr>
          <w:rFonts w:ascii="Times New Roman" w:hAnsi="Times New Roman" w:cs="Times New Roman"/>
          <w:sz w:val="24"/>
          <w:szCs w:val="24"/>
        </w:rPr>
        <w:t xml:space="preserve">A Party may rescind its decision to defer to the regulatory and supervisory frameworks of the other Party in a specific area of financial services and revert to the application and enforcement of its own regulatory and supervisory frameworks in circumstances such as, but not exclusively, where: </w:t>
      </w:r>
    </w:p>
    <w:p w14:paraId="67D5CA39" w14:textId="77777777" w:rsidR="003E0F82" w:rsidRPr="00EE1BC5" w:rsidRDefault="003E0F82" w:rsidP="003E0F82">
      <w:pPr>
        <w:spacing w:after="0" w:line="240" w:lineRule="auto"/>
        <w:jc w:val="both"/>
        <w:rPr>
          <w:rFonts w:ascii="Times New Roman" w:hAnsi="Times New Roman" w:cs="Times New Roman"/>
          <w:sz w:val="24"/>
          <w:szCs w:val="24"/>
        </w:rPr>
      </w:pPr>
    </w:p>
    <w:p w14:paraId="0FBBE9C4"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(a) </w:t>
      </w:r>
      <w:r>
        <w:rPr>
          <w:lang w:val="en-AU"/>
        </w:rPr>
        <w:tab/>
      </w:r>
      <w:r w:rsidRPr="00EE1BC5">
        <w:rPr>
          <w:lang w:val="en-AU"/>
        </w:rPr>
        <w:t xml:space="preserve">the regulatory and supervisory frameworks of the other Party are no longer equivalent in </w:t>
      </w:r>
      <w:proofErr w:type="gramStart"/>
      <w:r w:rsidRPr="00EE1BC5">
        <w:rPr>
          <w:lang w:val="en-AU"/>
        </w:rPr>
        <w:t>outcome;</w:t>
      </w:r>
      <w:proofErr w:type="gramEnd"/>
      <w:r w:rsidRPr="00EE1BC5">
        <w:rPr>
          <w:lang w:val="en-AU"/>
        </w:rPr>
        <w:t xml:space="preserve"> </w:t>
      </w:r>
    </w:p>
    <w:p w14:paraId="3703BDC0"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25933569"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(b) </w:t>
      </w:r>
      <w:r>
        <w:rPr>
          <w:lang w:val="en-AU"/>
        </w:rPr>
        <w:tab/>
      </w:r>
      <w:r w:rsidRPr="00EE1BC5">
        <w:rPr>
          <w:lang w:val="en-AU"/>
        </w:rPr>
        <w:t xml:space="preserve">the other Party fails to enforce its regulatory and supervisory frameworks effectively; or </w:t>
      </w:r>
    </w:p>
    <w:p w14:paraId="1B74BBA3"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684F226C" w14:textId="77777777" w:rsidR="003E0F82" w:rsidRPr="00B0328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(c) </w:t>
      </w:r>
      <w:r>
        <w:rPr>
          <w:lang w:val="en-AU"/>
        </w:rPr>
        <w:tab/>
      </w:r>
      <w:r w:rsidRPr="00EE1BC5">
        <w:rPr>
          <w:lang w:val="en-AU"/>
        </w:rPr>
        <w:t xml:space="preserve">there is insufficient cooperation, including sharing of information, of the other Party in the areas set out under paragraph </w:t>
      </w:r>
      <w:r w:rsidRPr="00B03285">
        <w:rPr>
          <w:lang w:val="en-AU"/>
        </w:rPr>
        <w:t xml:space="preserve">3 of </w:t>
      </w:r>
      <w:bookmarkStart w:id="23" w:name="_Hlk82439821"/>
      <w:r w:rsidRPr="007D00D0">
        <w:rPr>
          <w:lang w:val="en-AU"/>
        </w:rPr>
        <w:t>Article 9</w:t>
      </w:r>
      <w:r w:rsidRPr="007D00D0">
        <w:rPr>
          <w:color w:val="000000" w:themeColor="text1"/>
          <w:lang w:val="en-AU"/>
        </w:rPr>
        <w:t>C</w:t>
      </w:r>
      <w:r w:rsidRPr="007D00D0">
        <w:rPr>
          <w:lang w:val="en-AU"/>
        </w:rPr>
        <w:t xml:space="preserve">.3 </w:t>
      </w:r>
      <w:bookmarkEnd w:id="23"/>
      <w:r w:rsidRPr="007D00D0">
        <w:rPr>
          <w:lang w:val="en-AU"/>
        </w:rPr>
        <w:t>(Principles of Regulatory Cooperation)</w:t>
      </w:r>
      <w:r w:rsidRPr="00B03285">
        <w:rPr>
          <w:lang w:val="en-AU"/>
        </w:rPr>
        <w:t>.</w:t>
      </w:r>
    </w:p>
    <w:p w14:paraId="3EE86AA4" w14:textId="77777777" w:rsidR="003E0F82" w:rsidRPr="00FE28F8" w:rsidRDefault="003E0F82" w:rsidP="003E0F82">
      <w:pPr>
        <w:pStyle w:val="ListParagraph"/>
        <w:spacing w:after="0" w:line="240" w:lineRule="auto"/>
        <w:jc w:val="both"/>
        <w:rPr>
          <w:rFonts w:ascii="Times New Roman" w:hAnsi="Times New Roman" w:cs="Times New Roman"/>
          <w:sz w:val="24"/>
          <w:szCs w:val="24"/>
        </w:rPr>
      </w:pPr>
    </w:p>
    <w:p w14:paraId="754FF482"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r w:rsidRPr="00FE28F8">
        <w:rPr>
          <w:rFonts w:ascii="Times New Roman" w:hAnsi="Times New Roman" w:cs="Times New Roman"/>
          <w:sz w:val="24"/>
          <w:szCs w:val="24"/>
        </w:rPr>
        <w:t xml:space="preserve">2. </w:t>
      </w:r>
      <w:r w:rsidRPr="00B03285">
        <w:rPr>
          <w:rFonts w:ascii="Times New Roman" w:hAnsi="Times New Roman" w:cs="Times New Roman"/>
          <w:sz w:val="24"/>
          <w:szCs w:val="24"/>
        </w:rPr>
        <w:tab/>
        <w:t xml:space="preserve">Prior to taking a decision to rescind pursuant to paragraph 1, a Party shall give written notification of its intention to rescind to the other Party.  Following receipt of the notification, the Parties shall consult with each other within a reasonable timeframe which shall not exceed six months, and which may include mediation pursuant to </w:t>
      </w:r>
      <w:r w:rsidRPr="007D00D0">
        <w:rPr>
          <w:rFonts w:ascii="Times New Roman" w:hAnsi="Times New Roman" w:cs="Times New Roman"/>
          <w:sz w:val="24"/>
          <w:szCs w:val="24"/>
        </w:rPr>
        <w:t>Article 9</w:t>
      </w:r>
      <w:r w:rsidRPr="007D00D0">
        <w:rPr>
          <w:rFonts w:ascii="Times New Roman" w:hAnsi="Times New Roman" w:cs="Times New Roman"/>
          <w:color w:val="000000" w:themeColor="text1"/>
          <w:sz w:val="24"/>
          <w:szCs w:val="24"/>
        </w:rPr>
        <w:t>C</w:t>
      </w:r>
      <w:r w:rsidRPr="007D00D0">
        <w:rPr>
          <w:rFonts w:ascii="Times New Roman" w:hAnsi="Times New Roman" w:cs="Times New Roman"/>
          <w:sz w:val="24"/>
          <w:szCs w:val="24"/>
        </w:rPr>
        <w:t>.6 (Mediation)</w:t>
      </w:r>
      <w:r w:rsidRPr="00B03285">
        <w:rPr>
          <w:rFonts w:ascii="Times New Roman" w:hAnsi="Times New Roman" w:cs="Times New Roman"/>
          <w:sz w:val="24"/>
          <w:szCs w:val="24"/>
        </w:rPr>
        <w:t>.</w:t>
      </w:r>
    </w:p>
    <w:p w14:paraId="176424C0"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p>
    <w:p w14:paraId="77E2A799" w14:textId="77777777" w:rsidR="003E0F82" w:rsidRPr="00EE1BC5" w:rsidRDefault="003E0F82" w:rsidP="003E0F82">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3. </w:t>
      </w:r>
      <w:r>
        <w:rPr>
          <w:rFonts w:ascii="Times New Roman" w:hAnsi="Times New Roman" w:cs="Times New Roman"/>
          <w:sz w:val="24"/>
          <w:szCs w:val="24"/>
        </w:rPr>
        <w:tab/>
      </w:r>
      <w:r w:rsidRPr="00EE1BC5">
        <w:rPr>
          <w:rFonts w:ascii="Times New Roman" w:hAnsi="Times New Roman" w:cs="Times New Roman"/>
          <w:sz w:val="24"/>
          <w:szCs w:val="24"/>
        </w:rPr>
        <w:t xml:space="preserve">Following publication of the decision by a Party to rescind deference, that Party shall accord the other Party a reasonable </w:t>
      </w:r>
      <w:proofErr w:type="gramStart"/>
      <w:r w:rsidRPr="00EE1BC5">
        <w:rPr>
          <w:rFonts w:ascii="Times New Roman" w:hAnsi="Times New Roman" w:cs="Times New Roman"/>
          <w:sz w:val="24"/>
          <w:szCs w:val="24"/>
        </w:rPr>
        <w:t>period of time</w:t>
      </w:r>
      <w:proofErr w:type="gramEnd"/>
      <w:r w:rsidRPr="00EE1BC5">
        <w:rPr>
          <w:rFonts w:ascii="Times New Roman" w:hAnsi="Times New Roman" w:cs="Times New Roman"/>
          <w:sz w:val="24"/>
          <w:szCs w:val="24"/>
        </w:rPr>
        <w:t xml:space="preserve"> prior to reverting to the application and enforcement of their own regulatory and supervisory frameworks, including sufficient time to:</w:t>
      </w:r>
    </w:p>
    <w:p w14:paraId="4D448E38" w14:textId="77777777" w:rsidR="003E0F82" w:rsidRPr="00EE1BC5" w:rsidRDefault="003E0F82" w:rsidP="003E0F82">
      <w:pPr>
        <w:spacing w:after="0" w:line="240" w:lineRule="auto"/>
        <w:jc w:val="both"/>
        <w:rPr>
          <w:rFonts w:ascii="Times New Roman" w:hAnsi="Times New Roman" w:cs="Times New Roman"/>
          <w:sz w:val="24"/>
          <w:szCs w:val="24"/>
        </w:rPr>
      </w:pPr>
    </w:p>
    <w:p w14:paraId="5A10DB13"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(a) </w:t>
      </w:r>
      <w:r>
        <w:rPr>
          <w:lang w:val="en-AU"/>
        </w:rPr>
        <w:tab/>
      </w:r>
      <w:r w:rsidRPr="00EE1BC5">
        <w:rPr>
          <w:lang w:val="en-AU"/>
        </w:rPr>
        <w:t xml:space="preserve">enable financial service suppliers to apply for, and have their application determined in respect of the necessary authorisations in the jurisdiction of the Party terminating deference; and </w:t>
      </w:r>
    </w:p>
    <w:p w14:paraId="53B154D9"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5510E6B7"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(b)</w:t>
      </w:r>
      <w:r>
        <w:rPr>
          <w:lang w:val="en-AU"/>
        </w:rPr>
        <w:tab/>
      </w:r>
      <w:r w:rsidRPr="00EE1BC5">
        <w:rPr>
          <w:lang w:val="en-AU"/>
        </w:rPr>
        <w:t>pass provisions protecting the acquired rights of financial service suppliers that entered into force prior to the decision to rescind deference.</w:t>
      </w:r>
    </w:p>
    <w:bookmarkEnd w:id="1"/>
    <w:bookmarkEnd w:id="22"/>
    <w:p w14:paraId="046FEB2D" w14:textId="77777777" w:rsidR="003E0F82" w:rsidRPr="00EE1BC5" w:rsidRDefault="003E0F82" w:rsidP="003E0F82">
      <w:pPr>
        <w:spacing w:after="0" w:line="240" w:lineRule="auto"/>
        <w:rPr>
          <w:rFonts w:ascii="Times New Roman" w:hAnsi="Times New Roman" w:cs="Times New Roman"/>
          <w:sz w:val="24"/>
          <w:szCs w:val="24"/>
        </w:rPr>
      </w:pPr>
    </w:p>
    <w:p w14:paraId="549DD804" w14:textId="77777777" w:rsidR="003E0F82" w:rsidRPr="00EE1BC5" w:rsidRDefault="003E0F82" w:rsidP="003E0F82">
      <w:pPr>
        <w:spacing w:after="0" w:line="240" w:lineRule="auto"/>
        <w:rPr>
          <w:rFonts w:ascii="Times New Roman" w:hAnsi="Times New Roman" w:cs="Times New Roman"/>
          <w:sz w:val="24"/>
          <w:szCs w:val="24"/>
        </w:rPr>
      </w:pPr>
    </w:p>
    <w:p w14:paraId="4674F3E9" w14:textId="77777777" w:rsidR="003E0F82" w:rsidRPr="00EE1BC5" w:rsidRDefault="003E0F82" w:rsidP="003E0F82">
      <w:pPr>
        <w:pStyle w:val="Heading2"/>
        <w:keepNext/>
        <w:spacing w:after="0"/>
        <w:jc w:val="center"/>
      </w:pPr>
      <w:bookmarkStart w:id="24" w:name="_Hlk72591679"/>
      <w:r w:rsidRPr="00EA5935">
        <w:t>Article 9</w:t>
      </w:r>
      <w:r w:rsidRPr="00EA5935">
        <w:rPr>
          <w:color w:val="000000" w:themeColor="text1"/>
        </w:rPr>
        <w:t>C</w:t>
      </w:r>
      <w:r w:rsidRPr="00EA5935">
        <w:t>.8</w:t>
      </w:r>
    </w:p>
    <w:p w14:paraId="0FBDFF0C" w14:textId="77777777" w:rsidR="003E0F82" w:rsidRPr="00EE1BC5" w:rsidRDefault="003E0F82" w:rsidP="003E0F82">
      <w:pPr>
        <w:pStyle w:val="Heading2"/>
        <w:keepNext/>
        <w:spacing w:after="0"/>
        <w:jc w:val="center"/>
      </w:pPr>
      <w:bookmarkStart w:id="25" w:name="_Hlk76394037"/>
      <w:r w:rsidRPr="00EE1BC5">
        <w:t>Emerging Issues</w:t>
      </w:r>
    </w:p>
    <w:p w14:paraId="06EE3B31" w14:textId="77777777" w:rsidR="003E0F82" w:rsidRPr="00EE1BC5" w:rsidRDefault="003E0F82" w:rsidP="003E0F82">
      <w:pPr>
        <w:keepNext/>
        <w:suppressAutoHyphens/>
        <w:autoSpaceDN w:val="0"/>
        <w:spacing w:after="0" w:line="240" w:lineRule="auto"/>
        <w:textAlignment w:val="baseline"/>
        <w:rPr>
          <w:rFonts w:ascii="Times New Roman" w:eastAsia="Calibri" w:hAnsi="Times New Roman" w:cs="Times New Roman"/>
          <w:sz w:val="24"/>
          <w:szCs w:val="24"/>
        </w:rPr>
      </w:pPr>
      <w:bookmarkStart w:id="26" w:name="_Hlk74237153"/>
    </w:p>
    <w:p w14:paraId="7C617361" w14:textId="77777777" w:rsidR="003E0F82" w:rsidRPr="00EE1BC5" w:rsidRDefault="003E0F82" w:rsidP="003E0F82">
      <w:pPr>
        <w:keepNext/>
        <w:suppressAutoHyphens/>
        <w:autoSpaceDN w:val="0"/>
        <w:spacing w:after="0" w:line="240" w:lineRule="auto"/>
        <w:ind w:left="709" w:hanging="709"/>
        <w:jc w:val="both"/>
        <w:textAlignment w:val="baseline"/>
        <w:rPr>
          <w:rFonts w:ascii="Times New Roman" w:eastAsia="Calibri" w:hAnsi="Times New Roman" w:cs="Times New Roman"/>
          <w:color w:val="000000" w:themeColor="text1"/>
          <w:sz w:val="24"/>
          <w:szCs w:val="24"/>
        </w:rPr>
      </w:pPr>
      <w:r w:rsidRPr="00EE1BC5">
        <w:rPr>
          <w:rFonts w:ascii="Times New Roman" w:eastAsia="Calibri" w:hAnsi="Times New Roman" w:cs="Times New Roman"/>
          <w:sz w:val="24"/>
          <w:szCs w:val="24"/>
        </w:rPr>
        <w:t xml:space="preserve">1. </w:t>
      </w:r>
      <w:r>
        <w:rPr>
          <w:rFonts w:ascii="Times New Roman" w:eastAsia="Calibri" w:hAnsi="Times New Roman" w:cs="Times New Roman"/>
          <w:sz w:val="24"/>
          <w:szCs w:val="24"/>
        </w:rPr>
        <w:tab/>
      </w:r>
      <w:r w:rsidRPr="00EE1BC5">
        <w:rPr>
          <w:rFonts w:ascii="Times New Roman" w:eastAsia="Calibri" w:hAnsi="Times New Roman" w:cs="Times New Roman"/>
          <w:sz w:val="24"/>
          <w:szCs w:val="24"/>
        </w:rPr>
        <w:t>To support innovation in the areas</w:t>
      </w:r>
      <w:r w:rsidRPr="00EE1BC5">
        <w:rPr>
          <w:rFonts w:ascii="Times New Roman" w:eastAsia="Calibri" w:hAnsi="Times New Roman" w:cs="Times New Roman"/>
          <w:color w:val="FF0000"/>
          <w:sz w:val="24"/>
          <w:szCs w:val="24"/>
        </w:rPr>
        <w:t xml:space="preserve"> </w:t>
      </w:r>
      <w:r w:rsidRPr="00EE1BC5">
        <w:rPr>
          <w:rFonts w:ascii="Times New Roman" w:eastAsia="Calibri" w:hAnsi="Times New Roman" w:cs="Times New Roman"/>
          <w:color w:val="000000" w:themeColor="text1"/>
          <w:sz w:val="24"/>
          <w:szCs w:val="24"/>
        </w:rPr>
        <w:t xml:space="preserve">of </w:t>
      </w:r>
      <w:r w:rsidRPr="00EE1BC5">
        <w:rPr>
          <w:rFonts w:ascii="Times New Roman" w:eastAsia="Calibri" w:hAnsi="Times New Roman" w:cs="Times New Roman"/>
          <w:sz w:val="24"/>
          <w:szCs w:val="24"/>
        </w:rPr>
        <w:t>financial services, the Parties shall</w:t>
      </w:r>
      <w:r w:rsidRPr="00EE1BC5">
        <w:rPr>
          <w:rFonts w:ascii="Times New Roman" w:eastAsia="Calibri" w:hAnsi="Times New Roman" w:cs="Times New Roman"/>
          <w:color w:val="000000" w:themeColor="text1"/>
          <w:sz w:val="24"/>
          <w:szCs w:val="24"/>
        </w:rPr>
        <w:t>:</w:t>
      </w:r>
    </w:p>
    <w:p w14:paraId="4194535D" w14:textId="77777777" w:rsidR="003E0F82" w:rsidRPr="00EE1BC5" w:rsidRDefault="003E0F82" w:rsidP="003E0F82">
      <w:pPr>
        <w:suppressAutoHyphens/>
        <w:autoSpaceDN w:val="0"/>
        <w:spacing w:after="0" w:line="240" w:lineRule="auto"/>
        <w:jc w:val="both"/>
        <w:textAlignment w:val="baseline"/>
        <w:rPr>
          <w:rFonts w:ascii="Times New Roman" w:eastAsia="Calibri" w:hAnsi="Times New Roman" w:cs="Times New Roman"/>
          <w:color w:val="000000" w:themeColor="text1"/>
          <w:sz w:val="24"/>
          <w:szCs w:val="24"/>
        </w:rPr>
      </w:pPr>
    </w:p>
    <w:p w14:paraId="724EEBD3"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(a) </w:t>
      </w:r>
      <w:r>
        <w:rPr>
          <w:lang w:val="en-AU"/>
        </w:rPr>
        <w:tab/>
      </w:r>
      <w:r w:rsidRPr="00EE1BC5">
        <w:rPr>
          <w:lang w:val="en-AU"/>
        </w:rPr>
        <w:t xml:space="preserve">endeavour to collaborate, share knowledge, experiences and developments in financial services and facilitate the cross-border development of new financial </w:t>
      </w:r>
      <w:proofErr w:type="gramStart"/>
      <w:r w:rsidRPr="00EE1BC5">
        <w:rPr>
          <w:lang w:val="en-AU"/>
        </w:rPr>
        <w:t>services;</w:t>
      </w:r>
      <w:proofErr w:type="gramEnd"/>
    </w:p>
    <w:p w14:paraId="58BA0413"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733B21A5"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(b) </w:t>
      </w:r>
      <w:r>
        <w:rPr>
          <w:lang w:val="en-AU"/>
        </w:rPr>
        <w:tab/>
      </w:r>
      <w:r w:rsidRPr="00EE1BC5">
        <w:rPr>
          <w:lang w:val="en-AU"/>
        </w:rPr>
        <w:t>promote and encourage cooperation relating to innovative financial services,</w:t>
      </w:r>
      <w:r w:rsidRPr="00E6055C">
        <w:rPr>
          <w:vertAlign w:val="superscript"/>
          <w:lang w:val="en-AU"/>
        </w:rPr>
        <w:footnoteReference w:id="2"/>
      </w:r>
      <w:r w:rsidRPr="00EE1BC5">
        <w:rPr>
          <w:lang w:val="en-AU"/>
        </w:rPr>
        <w:t xml:space="preserve"> through their respective trade promotion agencies and regulators, and encourage enterprises undertaking innovative financial services to use facilities and assistance available in the other Party’s territory to explore new business </w:t>
      </w:r>
      <w:proofErr w:type="gramStart"/>
      <w:r w:rsidRPr="00EE1BC5">
        <w:rPr>
          <w:lang w:val="en-AU"/>
        </w:rPr>
        <w:t>opportunities;</w:t>
      </w:r>
      <w:proofErr w:type="gramEnd"/>
    </w:p>
    <w:p w14:paraId="3E86A17D"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4DEE1DA3"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(c) </w:t>
      </w:r>
      <w:r>
        <w:rPr>
          <w:lang w:val="en-AU"/>
        </w:rPr>
        <w:tab/>
      </w:r>
      <w:r w:rsidRPr="00EE1BC5">
        <w:rPr>
          <w:lang w:val="en-AU"/>
        </w:rPr>
        <w:t xml:space="preserve">encourage relevant competent authorities to cooperate in relevant international fora to improve opportunities for each Party’s enterprises undertaking innovative financial </w:t>
      </w:r>
      <w:proofErr w:type="gramStart"/>
      <w:r w:rsidRPr="00EE1BC5">
        <w:rPr>
          <w:lang w:val="en-AU"/>
        </w:rPr>
        <w:t>services</w:t>
      </w:r>
      <w:r>
        <w:rPr>
          <w:lang w:val="en-AU"/>
        </w:rPr>
        <w:t>;</w:t>
      </w:r>
      <w:proofErr w:type="gramEnd"/>
    </w:p>
    <w:p w14:paraId="42F3DF44" w14:textId="77777777" w:rsidR="003E0F82" w:rsidRPr="00EE1BC5" w:rsidRDefault="003E0F82" w:rsidP="003E0F82">
      <w:pPr>
        <w:pStyle w:val="paragraph"/>
        <w:spacing w:before="0" w:beforeAutospacing="0" w:after="0" w:afterAutospacing="0"/>
        <w:ind w:left="720"/>
        <w:jc w:val="both"/>
        <w:textAlignment w:val="baseline"/>
        <w:rPr>
          <w:lang w:val="en-AU"/>
        </w:rPr>
      </w:pPr>
    </w:p>
    <w:p w14:paraId="20C90082"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(d) </w:t>
      </w:r>
      <w:r>
        <w:rPr>
          <w:lang w:val="en-AU"/>
        </w:rPr>
        <w:tab/>
      </w:r>
      <w:r w:rsidRPr="00EE1BC5">
        <w:rPr>
          <w:lang w:val="en-AU"/>
        </w:rPr>
        <w:t>endeavour to cooperate on the development of regulation and standards for open banking; and</w:t>
      </w:r>
    </w:p>
    <w:p w14:paraId="5A2535AB" w14:textId="77777777" w:rsidR="003E0F82" w:rsidRPr="00EE1BC5" w:rsidRDefault="003E0F82" w:rsidP="003E0F82">
      <w:pPr>
        <w:pStyle w:val="paragraph"/>
        <w:spacing w:before="0" w:beforeAutospacing="0" w:after="0" w:afterAutospacing="0"/>
        <w:ind w:left="1418" w:hanging="698"/>
        <w:jc w:val="both"/>
        <w:textAlignment w:val="baseline"/>
        <w:rPr>
          <w:lang w:val="en-AU"/>
        </w:rPr>
      </w:pPr>
    </w:p>
    <w:p w14:paraId="6088D509" w14:textId="77777777" w:rsidR="003E0F82" w:rsidRPr="00EE1BC5" w:rsidRDefault="003E0F82" w:rsidP="003E0F82">
      <w:pPr>
        <w:pStyle w:val="paragraph"/>
        <w:spacing w:before="0" w:beforeAutospacing="0" w:after="0" w:afterAutospacing="0"/>
        <w:ind w:left="1418" w:hanging="698"/>
        <w:jc w:val="both"/>
        <w:textAlignment w:val="baseline"/>
        <w:rPr>
          <w:lang w:val="en-AU"/>
        </w:rPr>
      </w:pPr>
      <w:r w:rsidRPr="00EE1BC5">
        <w:rPr>
          <w:lang w:val="en-AU"/>
        </w:rPr>
        <w:t xml:space="preserve">(e) </w:t>
      </w:r>
      <w:r>
        <w:rPr>
          <w:lang w:val="en-AU"/>
        </w:rPr>
        <w:tab/>
      </w:r>
      <w:r w:rsidRPr="00EE1BC5">
        <w:rPr>
          <w:lang w:val="en-AU"/>
        </w:rPr>
        <w:t>endeavour to cooperate on the development of underpinning technologies for innovative financial services.</w:t>
      </w:r>
      <w:bookmarkEnd w:id="24"/>
      <w:bookmarkEnd w:id="25"/>
      <w:bookmarkEnd w:id="26"/>
    </w:p>
    <w:p w14:paraId="7C619408" w14:textId="77777777" w:rsidR="003E0F82" w:rsidRPr="00EE1BC5" w:rsidRDefault="003E0F82" w:rsidP="003E0F82">
      <w:pPr>
        <w:tabs>
          <w:tab w:val="left" w:pos="5190"/>
        </w:tabs>
        <w:suppressAutoHyphens/>
        <w:autoSpaceDN w:val="0"/>
        <w:spacing w:after="0" w:line="240" w:lineRule="auto"/>
        <w:jc w:val="both"/>
        <w:textAlignment w:val="baseline"/>
        <w:rPr>
          <w:rFonts w:ascii="Times New Roman" w:eastAsia="Calibri" w:hAnsi="Times New Roman" w:cs="Times New Roman"/>
          <w:sz w:val="24"/>
          <w:szCs w:val="24"/>
        </w:rPr>
      </w:pPr>
    </w:p>
    <w:p w14:paraId="4678E7F9" w14:textId="77777777" w:rsidR="003E0F82" w:rsidRDefault="003E0F82" w:rsidP="003E0F82">
      <w:pPr>
        <w:shd w:val="clear" w:color="auto" w:fill="FFFFFF"/>
        <w:spacing w:after="0" w:line="240" w:lineRule="auto"/>
        <w:ind w:left="709" w:hanging="709"/>
        <w:jc w:val="both"/>
        <w:textAlignment w:val="baseline"/>
        <w:rPr>
          <w:rFonts w:ascii="Times New Roman" w:hAnsi="Times New Roman" w:cs="Times New Roman"/>
          <w:color w:val="000000" w:themeColor="text1"/>
          <w:sz w:val="24"/>
          <w:szCs w:val="24"/>
          <w:lang w:eastAsia="en-GB"/>
        </w:rPr>
      </w:pPr>
      <w:r w:rsidRPr="00EE1BC5">
        <w:rPr>
          <w:rFonts w:ascii="Times New Roman" w:hAnsi="Times New Roman" w:cs="Times New Roman"/>
          <w:color w:val="000000" w:themeColor="text1"/>
          <w:sz w:val="24"/>
          <w:szCs w:val="24"/>
          <w:lang w:eastAsia="en-GB"/>
        </w:rPr>
        <w:t xml:space="preserve">2. </w:t>
      </w:r>
      <w:r>
        <w:rPr>
          <w:rFonts w:ascii="Times New Roman" w:hAnsi="Times New Roman" w:cs="Times New Roman"/>
          <w:color w:val="000000" w:themeColor="text1"/>
          <w:sz w:val="24"/>
          <w:szCs w:val="24"/>
          <w:lang w:eastAsia="en-GB"/>
        </w:rPr>
        <w:tab/>
      </w:r>
      <w:r w:rsidRPr="00EE1BC5">
        <w:rPr>
          <w:rFonts w:ascii="Times New Roman" w:hAnsi="Times New Roman" w:cs="Times New Roman"/>
          <w:color w:val="000000" w:themeColor="text1"/>
          <w:sz w:val="24"/>
          <w:szCs w:val="24"/>
          <w:lang w:eastAsia="en-GB"/>
        </w:rPr>
        <w:t>The Parties may share best practices to promote diversity</w:t>
      </w:r>
      <w:r w:rsidRPr="00EE1BC5">
        <w:rPr>
          <w:rStyle w:val="FootnoteReference"/>
          <w:rFonts w:ascii="Times New Roman" w:hAnsi="Times New Roman" w:cs="Times New Roman"/>
          <w:color w:val="000000" w:themeColor="text1"/>
          <w:sz w:val="24"/>
          <w:szCs w:val="24"/>
          <w:lang w:eastAsia="en-GB"/>
        </w:rPr>
        <w:footnoteReference w:id="3"/>
      </w:r>
      <w:r w:rsidRPr="00EE1BC5">
        <w:rPr>
          <w:rFonts w:ascii="Times New Roman" w:hAnsi="Times New Roman" w:cs="Times New Roman"/>
          <w:color w:val="000000" w:themeColor="text1"/>
          <w:sz w:val="24"/>
          <w:szCs w:val="24"/>
          <w:lang w:eastAsia="en-GB"/>
        </w:rPr>
        <w:t xml:space="preserve"> in financial services and recognise the importance of building a diverse, including gender-balanced, financial services industry, and the positive impact that diversity has on balanced decision-making, consumers, workplace culture, investment</w:t>
      </w:r>
      <w:r>
        <w:rPr>
          <w:rFonts w:ascii="Times New Roman" w:hAnsi="Times New Roman" w:cs="Times New Roman"/>
          <w:color w:val="000000" w:themeColor="text1"/>
          <w:sz w:val="24"/>
          <w:szCs w:val="24"/>
          <w:lang w:eastAsia="en-GB"/>
        </w:rPr>
        <w:t>,</w:t>
      </w:r>
      <w:r w:rsidRPr="00EE1BC5">
        <w:rPr>
          <w:rFonts w:ascii="Times New Roman" w:hAnsi="Times New Roman" w:cs="Times New Roman"/>
          <w:color w:val="000000" w:themeColor="text1"/>
          <w:sz w:val="24"/>
          <w:szCs w:val="24"/>
          <w:lang w:eastAsia="en-GB"/>
        </w:rPr>
        <w:t xml:space="preserve"> and competitive markets.</w:t>
      </w:r>
    </w:p>
    <w:p w14:paraId="2768190B" w14:textId="77777777" w:rsidR="003E0F82" w:rsidRDefault="003E0F82" w:rsidP="003E0F82">
      <w:pPr>
        <w:shd w:val="clear" w:color="auto" w:fill="FFFFFF"/>
        <w:spacing w:after="0" w:line="240" w:lineRule="auto"/>
        <w:jc w:val="both"/>
        <w:textAlignment w:val="baseline"/>
        <w:rPr>
          <w:rFonts w:ascii="Times New Roman" w:hAnsi="Times New Roman" w:cs="Times New Roman"/>
          <w:b/>
          <w:bCs/>
          <w:sz w:val="24"/>
          <w:szCs w:val="24"/>
        </w:rPr>
      </w:pPr>
    </w:p>
    <w:p w14:paraId="5F958FD0" w14:textId="77777777" w:rsidR="003E0F82" w:rsidRPr="00EE1BC5" w:rsidRDefault="003E0F82" w:rsidP="003E0F82">
      <w:pPr>
        <w:pStyle w:val="Heading2"/>
        <w:spacing w:after="0"/>
        <w:jc w:val="center"/>
      </w:pPr>
      <w:r w:rsidRPr="00EA5935">
        <w:t>Article 9</w:t>
      </w:r>
      <w:r w:rsidRPr="00EA5935">
        <w:rPr>
          <w:color w:val="000000" w:themeColor="text1"/>
        </w:rPr>
        <w:t>C</w:t>
      </w:r>
      <w:r w:rsidRPr="00EA5935">
        <w:t>.</w:t>
      </w:r>
      <w:r>
        <w:t>9</w:t>
      </w:r>
    </w:p>
    <w:p w14:paraId="07BB1015" w14:textId="77777777" w:rsidR="003E0F82" w:rsidRPr="00EE1BC5" w:rsidRDefault="003E0F82" w:rsidP="003E0F82">
      <w:pPr>
        <w:pStyle w:val="Heading2"/>
        <w:spacing w:after="0"/>
        <w:jc w:val="center"/>
      </w:pPr>
      <w:r>
        <w:t>Non-Application of Dispute Settlement</w:t>
      </w:r>
    </w:p>
    <w:p w14:paraId="2E64B039" w14:textId="77777777" w:rsidR="003E0F82" w:rsidRDefault="003E0F82" w:rsidP="003E0F82">
      <w:pPr>
        <w:shd w:val="clear" w:color="auto" w:fill="FFFFFF"/>
        <w:spacing w:after="0" w:line="240" w:lineRule="auto"/>
        <w:jc w:val="both"/>
        <w:textAlignment w:val="baseline"/>
        <w:rPr>
          <w:rFonts w:ascii="Times New Roman" w:hAnsi="Times New Roman" w:cs="Times New Roman"/>
          <w:b/>
          <w:bCs/>
          <w:sz w:val="24"/>
          <w:szCs w:val="24"/>
        </w:rPr>
      </w:pPr>
    </w:p>
    <w:p w14:paraId="67C95631" w14:textId="77777777" w:rsidR="003E0F82" w:rsidRPr="00EE1BC5" w:rsidRDefault="003E0F82" w:rsidP="003E0F82">
      <w:pPr>
        <w:spacing w:after="0" w:line="240" w:lineRule="auto"/>
        <w:ind w:left="720" w:firstLine="720"/>
        <w:jc w:val="both"/>
        <w:rPr>
          <w:rFonts w:ascii="Times New Roman" w:hAnsi="Times New Roman" w:cs="Times New Roman"/>
          <w:sz w:val="24"/>
          <w:szCs w:val="24"/>
        </w:rPr>
      </w:pPr>
      <w:r w:rsidRPr="00EE1BC5">
        <w:rPr>
          <w:rFonts w:ascii="Times New Roman" w:hAnsi="Times New Roman" w:cs="Times New Roman"/>
          <w:sz w:val="24"/>
          <w:szCs w:val="24"/>
        </w:rPr>
        <w:t xml:space="preserve">Neither Party shall have recourse to dispute settlement under </w:t>
      </w:r>
      <w:r w:rsidRPr="0038307D">
        <w:rPr>
          <w:rFonts w:ascii="Times New Roman" w:hAnsi="Times New Roman" w:cs="Times New Roman"/>
          <w:sz w:val="24"/>
          <w:szCs w:val="24"/>
        </w:rPr>
        <w:t>Chapter 30</w:t>
      </w:r>
      <w:r>
        <w:rPr>
          <w:rFonts w:ascii="Times New Roman" w:hAnsi="Times New Roman" w:cs="Times New Roman"/>
          <w:sz w:val="24"/>
          <w:szCs w:val="24"/>
        </w:rPr>
        <w:t xml:space="preserve"> </w:t>
      </w:r>
      <w:r w:rsidRPr="0038307D">
        <w:rPr>
          <w:rFonts w:ascii="Times New Roman" w:hAnsi="Times New Roman" w:cs="Times New Roman"/>
          <w:sz w:val="24"/>
          <w:szCs w:val="24"/>
        </w:rPr>
        <w:t>(Dispute Settlement)</w:t>
      </w:r>
      <w:r w:rsidRPr="00EE1BC5">
        <w:rPr>
          <w:rFonts w:ascii="Times New Roman" w:hAnsi="Times New Roman" w:cs="Times New Roman"/>
          <w:sz w:val="24"/>
          <w:szCs w:val="24"/>
        </w:rPr>
        <w:t xml:space="preserve"> for any matter arising under this Annex.</w:t>
      </w:r>
    </w:p>
    <w:p w14:paraId="31FC8DB0" w14:textId="77777777" w:rsidR="003E0F82" w:rsidRPr="00EE1BC5" w:rsidRDefault="003E0F82" w:rsidP="003E0F82">
      <w:pPr>
        <w:shd w:val="clear" w:color="auto" w:fill="FFFFFF"/>
        <w:spacing w:after="0" w:line="240" w:lineRule="auto"/>
        <w:jc w:val="both"/>
        <w:textAlignment w:val="baseline"/>
        <w:rPr>
          <w:rFonts w:ascii="Times New Roman" w:hAnsi="Times New Roman" w:cs="Times New Roman"/>
          <w:b/>
          <w:bCs/>
          <w:sz w:val="24"/>
          <w:szCs w:val="24"/>
        </w:rPr>
      </w:pPr>
    </w:p>
    <w:p w14:paraId="40D46464" w14:textId="77777777" w:rsidR="003E0F82" w:rsidRDefault="003E0F82"/>
    <w:sectPr w:rsidR="003E0F82" w:rsidSect="0001590A">
      <w:footerReference w:type="default" r:id="rId6"/>
      <w:pgSz w:w="11906" w:h="16838"/>
      <w:pgMar w:top="1701" w:right="1644" w:bottom="1701" w:left="221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EB599" w14:textId="77777777" w:rsidR="003E0F82" w:rsidRDefault="003E0F82" w:rsidP="003E0F82">
      <w:pPr>
        <w:spacing w:after="0" w:line="240" w:lineRule="auto"/>
      </w:pPr>
      <w:r>
        <w:separator/>
      </w:r>
    </w:p>
  </w:endnote>
  <w:endnote w:type="continuationSeparator" w:id="0">
    <w:p w14:paraId="6039B594" w14:textId="77777777" w:rsidR="003E0F82" w:rsidRDefault="003E0F82" w:rsidP="003E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E91D6" w14:textId="77777777" w:rsidR="00250B03" w:rsidRPr="008F69D1" w:rsidRDefault="003E0F82" w:rsidP="005159DD">
    <w:pPr>
      <w:pStyle w:val="Footer"/>
      <w:tabs>
        <w:tab w:val="center" w:pos="3600"/>
      </w:tabs>
      <w:rPr>
        <w:rFonts w:ascii="Times New Roman" w:hAnsi="Times New Roman" w:cs="Times New Roman"/>
        <w:sz w:val="20"/>
        <w:szCs w:val="20"/>
      </w:rPr>
    </w:pPr>
    <w:r>
      <w:rPr>
        <w:rFonts w:ascii="Times New Roman" w:hAnsi="Times New Roman" w:cs="Times New Roman"/>
        <w:sz w:val="20"/>
        <w:szCs w:val="20"/>
      </w:rPr>
      <w:tab/>
      <w:t xml:space="preserve">9C </w:t>
    </w:r>
    <w:r w:rsidRPr="008F69D1">
      <w:rPr>
        <w:rFonts w:ascii="Times New Roman" w:hAnsi="Times New Roman" w:cs="Times New Roman"/>
        <w:sz w:val="20"/>
        <w:szCs w:val="20"/>
      </w:rPr>
      <w:t>-</w:t>
    </w:r>
    <w:r>
      <w:rPr>
        <w:rFonts w:ascii="Times New Roman" w:hAnsi="Times New Roman" w:cs="Times New Roman"/>
        <w:sz w:val="20"/>
        <w:szCs w:val="20"/>
      </w:rPr>
      <w:t xml:space="preserve"> </w:t>
    </w:r>
    <w:sdt>
      <w:sdtPr>
        <w:rPr>
          <w:rFonts w:ascii="Times New Roman" w:hAnsi="Times New Roman" w:cs="Times New Roman"/>
          <w:sz w:val="20"/>
          <w:szCs w:val="20"/>
        </w:rPr>
        <w:id w:val="1320313080"/>
        <w:docPartObj>
          <w:docPartGallery w:val="Page Numbers (Bottom of Page)"/>
          <w:docPartUnique/>
        </w:docPartObj>
      </w:sdtPr>
      <w:sdtEndPr>
        <w:rPr>
          <w:noProof/>
        </w:rPr>
      </w:sdtEndPr>
      <w:sdtContent>
        <w:r w:rsidRPr="008F69D1">
          <w:rPr>
            <w:rFonts w:ascii="Times New Roman" w:hAnsi="Times New Roman" w:cs="Times New Roman"/>
            <w:sz w:val="20"/>
            <w:szCs w:val="20"/>
          </w:rPr>
          <w:fldChar w:fldCharType="begin"/>
        </w:r>
        <w:r w:rsidRPr="008F69D1">
          <w:rPr>
            <w:rFonts w:ascii="Times New Roman" w:hAnsi="Times New Roman" w:cs="Times New Roman"/>
            <w:sz w:val="20"/>
            <w:szCs w:val="20"/>
          </w:rPr>
          <w:instrText xml:space="preserve"> PAGE   \* MERGEFORMAT </w:instrText>
        </w:r>
        <w:r w:rsidRPr="008F69D1">
          <w:rPr>
            <w:rFonts w:ascii="Times New Roman" w:hAnsi="Times New Roman" w:cs="Times New Roman"/>
            <w:sz w:val="20"/>
            <w:szCs w:val="20"/>
          </w:rPr>
          <w:fldChar w:fldCharType="separate"/>
        </w:r>
        <w:r>
          <w:rPr>
            <w:rFonts w:ascii="Times New Roman" w:hAnsi="Times New Roman" w:cs="Times New Roman"/>
            <w:sz w:val="20"/>
            <w:szCs w:val="20"/>
          </w:rPr>
          <w:t>1</w:t>
        </w:r>
        <w:r w:rsidRPr="008F69D1">
          <w:rPr>
            <w:rFonts w:ascii="Times New Roman" w:hAnsi="Times New Roman" w:cs="Times New Roman"/>
            <w:noProof/>
            <w:sz w:val="20"/>
            <w:szCs w:val="20"/>
          </w:rPr>
          <w:fldChar w:fldCharType="end"/>
        </w:r>
      </w:sdtContent>
    </w:sdt>
  </w:p>
  <w:p w14:paraId="12BDB0B6" w14:textId="77777777" w:rsidR="00250B03" w:rsidRPr="00374FC8" w:rsidRDefault="003E0F82" w:rsidP="00D90C3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A8852" w14:textId="77777777" w:rsidR="003E0F82" w:rsidRDefault="003E0F82" w:rsidP="003E0F82">
      <w:pPr>
        <w:spacing w:after="0" w:line="240" w:lineRule="auto"/>
      </w:pPr>
      <w:r>
        <w:separator/>
      </w:r>
    </w:p>
  </w:footnote>
  <w:footnote w:type="continuationSeparator" w:id="0">
    <w:p w14:paraId="337C4AC5" w14:textId="77777777" w:rsidR="003E0F82" w:rsidRDefault="003E0F82" w:rsidP="003E0F82">
      <w:pPr>
        <w:spacing w:after="0" w:line="240" w:lineRule="auto"/>
      </w:pPr>
      <w:r>
        <w:continuationSeparator/>
      </w:r>
    </w:p>
  </w:footnote>
  <w:footnote w:id="1">
    <w:p w14:paraId="37E17FCD" w14:textId="77777777" w:rsidR="003E0F82" w:rsidRPr="00374FC8" w:rsidRDefault="003E0F82" w:rsidP="003E0F82">
      <w:pPr>
        <w:pStyle w:val="FootnoteText"/>
        <w:jc w:val="both"/>
        <w:rPr>
          <w:rFonts w:ascii="Times New Roman" w:hAnsi="Times New Roman" w:cs="Times New Roman"/>
        </w:rPr>
      </w:pPr>
      <w:r w:rsidRPr="00374FC8">
        <w:rPr>
          <w:rStyle w:val="FootnoteReference"/>
          <w:rFonts w:ascii="Times New Roman" w:hAnsi="Times New Roman" w:cs="Times New Roman"/>
        </w:rPr>
        <w:footnoteRef/>
      </w:r>
      <w:r w:rsidRPr="00374FC8">
        <w:rPr>
          <w:rFonts w:ascii="Times New Roman" w:hAnsi="Times New Roman" w:cs="Times New Roman"/>
        </w:rPr>
        <w:t xml:space="preserve"> For greater certainty, for the purposes of this Annex,</w:t>
      </w:r>
      <w:r w:rsidRPr="00374FC8">
        <w:rPr>
          <w:rFonts w:ascii="Times New Roman" w:hAnsi="Times New Roman" w:cs="Times New Roman"/>
          <w:color w:val="4472C4" w:themeColor="accent1"/>
        </w:rPr>
        <w:t xml:space="preserve"> </w:t>
      </w:r>
      <w:r w:rsidRPr="00374FC8">
        <w:rPr>
          <w:rFonts w:ascii="Times New Roman" w:hAnsi="Times New Roman" w:cs="Times New Roman"/>
        </w:rPr>
        <w:t xml:space="preserve">standards adopted by international standard-setting bodies to which both Parties' relevant competent authorities have agreed and in which both Parties participate may be considered as internationally agreed standards.   </w:t>
      </w:r>
    </w:p>
  </w:footnote>
  <w:footnote w:id="2">
    <w:p w14:paraId="60F0B84F" w14:textId="77777777" w:rsidR="003E0F82" w:rsidRPr="00401554" w:rsidRDefault="003E0F82" w:rsidP="003E0F82">
      <w:pPr>
        <w:pStyle w:val="FootnoteText"/>
        <w:jc w:val="both"/>
        <w:rPr>
          <w:rFonts w:ascii="Times New Roman" w:hAnsi="Times New Roman" w:cs="Times New Roman"/>
        </w:rPr>
      </w:pPr>
      <w:r w:rsidRPr="00401554">
        <w:rPr>
          <w:rStyle w:val="FootnoteReference"/>
          <w:rFonts w:ascii="Times New Roman" w:hAnsi="Times New Roman" w:cs="Times New Roman"/>
        </w:rPr>
        <w:footnoteRef/>
      </w:r>
      <w:r w:rsidRPr="00401554">
        <w:rPr>
          <w:rFonts w:ascii="Times New Roman" w:hAnsi="Times New Roman" w:cs="Times New Roman"/>
        </w:rPr>
        <w:t xml:space="preserve"> Innovative financial services </w:t>
      </w:r>
      <w:proofErr w:type="gramStart"/>
      <w:r w:rsidRPr="00401554">
        <w:rPr>
          <w:rFonts w:ascii="Times New Roman" w:hAnsi="Times New Roman" w:cs="Times New Roman"/>
        </w:rPr>
        <w:t>includes</w:t>
      </w:r>
      <w:proofErr w:type="gramEnd"/>
      <w:r w:rsidRPr="00401554">
        <w:rPr>
          <w:rFonts w:ascii="Times New Roman" w:hAnsi="Times New Roman" w:cs="Times New Roman"/>
        </w:rPr>
        <w:t xml:space="preserve"> FinTech and financial services-related </w:t>
      </w:r>
      <w:proofErr w:type="spellStart"/>
      <w:r w:rsidRPr="00401554">
        <w:rPr>
          <w:rFonts w:ascii="Times New Roman" w:hAnsi="Times New Roman" w:cs="Times New Roman"/>
        </w:rPr>
        <w:t>RegTech</w:t>
      </w:r>
      <w:proofErr w:type="spellEnd"/>
      <w:r w:rsidRPr="00401554">
        <w:rPr>
          <w:rFonts w:ascii="Times New Roman" w:hAnsi="Times New Roman" w:cs="Times New Roman"/>
        </w:rPr>
        <w:t xml:space="preserve"> activities which involve the improved use of technology across financial services.</w:t>
      </w:r>
    </w:p>
  </w:footnote>
  <w:footnote w:id="3">
    <w:p w14:paraId="0DDB8A91" w14:textId="77777777" w:rsidR="003E0F82" w:rsidRPr="00B907F3" w:rsidRDefault="003E0F82" w:rsidP="003E0F82">
      <w:pPr>
        <w:pStyle w:val="FootnoteText"/>
        <w:jc w:val="both"/>
        <w:rPr>
          <w:lang w:val="en-AU"/>
        </w:rPr>
      </w:pPr>
      <w:r w:rsidRPr="00374FC8">
        <w:rPr>
          <w:rStyle w:val="FootnoteReference"/>
          <w:rFonts w:ascii="Times New Roman" w:hAnsi="Times New Roman" w:cs="Times New Roman"/>
        </w:rPr>
        <w:footnoteRef/>
      </w:r>
      <w:r w:rsidRPr="00374FC8">
        <w:rPr>
          <w:rFonts w:ascii="Times New Roman" w:hAnsi="Times New Roman" w:cs="Times New Roman"/>
        </w:rPr>
        <w:t xml:space="preserve"> </w:t>
      </w:r>
      <w:r w:rsidRPr="00401554">
        <w:rPr>
          <w:rFonts w:ascii="Times New Roman" w:hAnsi="Times New Roman" w:cs="Times New Roman"/>
          <w:lang w:eastAsia="en-GB"/>
        </w:rPr>
        <w:t>Diversity includes gender, ethnicity, and professional and educational background.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F82"/>
    <w:rsid w:val="003E0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293A"/>
  <w15:chartTrackingRefBased/>
  <w15:docId w15:val="{24D1B898-848B-4657-93FA-35BD6BE7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F82"/>
    <w:rPr>
      <w:lang w:val="en-GB"/>
    </w:rPr>
  </w:style>
  <w:style w:type="paragraph" w:styleId="Heading2">
    <w:name w:val="heading 2"/>
    <w:basedOn w:val="Normal"/>
    <w:next w:val="Normal"/>
    <w:link w:val="Heading2Char"/>
    <w:uiPriority w:val="9"/>
    <w:unhideWhenUsed/>
    <w:qFormat/>
    <w:rsid w:val="003E0F82"/>
    <w:pPr>
      <w:spacing w:line="240" w:lineRule="auto"/>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0F82"/>
    <w:rPr>
      <w:rFonts w:ascii="Times New Roman" w:hAnsi="Times New Roman" w:cs="Times New Roman"/>
      <w:b/>
      <w:bCs/>
      <w:sz w:val="24"/>
      <w:szCs w:val="24"/>
      <w:lang w:val="en-GB"/>
    </w:rPr>
  </w:style>
  <w:style w:type="paragraph" w:styleId="Footer">
    <w:name w:val="footer"/>
    <w:basedOn w:val="Normal"/>
    <w:link w:val="FooterChar"/>
    <w:uiPriority w:val="99"/>
    <w:unhideWhenUsed/>
    <w:rsid w:val="003E0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F82"/>
    <w:rPr>
      <w:lang w:val="en-GB"/>
    </w:rPr>
  </w:style>
  <w:style w:type="paragraph" w:styleId="ListParagraph">
    <w:name w:val="List Paragraph"/>
    <w:aliases w:val="Bullet 1,Bullet Points,Colorful List - Accent 11,Dot pt,F5 List Paragraph,Indicator Text,L,List Paragraph Char Char Char,List Paragraph1,List Paragraph11,List Paragraph12,MAIN CONTENT,No Spacing1,Normal numbered,Numbered Para 1,OBC Bullet"/>
    <w:basedOn w:val="Normal"/>
    <w:link w:val="ListParagraphChar"/>
    <w:uiPriority w:val="34"/>
    <w:qFormat/>
    <w:rsid w:val="003E0F82"/>
    <w:pPr>
      <w:ind w:left="720"/>
      <w:contextualSpacing/>
    </w:p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1 Char,List Paragraph12 Char"/>
    <w:basedOn w:val="DefaultParagraphFont"/>
    <w:link w:val="ListParagraph"/>
    <w:uiPriority w:val="34"/>
    <w:qFormat/>
    <w:locked/>
    <w:rsid w:val="003E0F82"/>
    <w:rPr>
      <w:lang w:val="en-GB"/>
    </w:rPr>
  </w:style>
  <w:style w:type="paragraph" w:styleId="FootnoteText">
    <w:name w:val="footnote text"/>
    <w:aliases w:val="Footnote Text 2,fn,Footnotes,ft,fn cafc,Footnote ak,fn Char,footnote text Char,Footnotes Char,Footnote ak Char,footnote citation,Footnotes Char Char,Footnote Text Char Char,fn Char Char,footnote text Char Char Char Ch,Ca,C,footnote text"/>
    <w:basedOn w:val="Normal"/>
    <w:link w:val="FootnoteTextChar"/>
    <w:uiPriority w:val="99"/>
    <w:unhideWhenUsed/>
    <w:qFormat/>
    <w:rsid w:val="003E0F82"/>
    <w:pPr>
      <w:spacing w:after="0" w:line="240" w:lineRule="auto"/>
    </w:pPr>
    <w:rPr>
      <w:sz w:val="20"/>
      <w:szCs w:val="20"/>
    </w:rPr>
  </w:style>
  <w:style w:type="character" w:customStyle="1" w:styleId="FootnoteTextChar">
    <w:name w:val="Footnote Text Char"/>
    <w:aliases w:val="Footnote Text 2 Char,fn Char1,Footnotes Char1,ft Char,fn cafc Char,Footnote ak Char1,fn Char Char1,footnote text Char Char,Footnotes Char Char1,Footnote ak Char Char,footnote citation Char,Footnotes Char Char Char,fn Char Char Char"/>
    <w:basedOn w:val="DefaultParagraphFont"/>
    <w:link w:val="FootnoteText"/>
    <w:uiPriority w:val="99"/>
    <w:rsid w:val="003E0F82"/>
    <w:rPr>
      <w:sz w:val="20"/>
      <w:szCs w:val="20"/>
      <w:lang w:val="en-GB"/>
    </w:rPr>
  </w:style>
  <w:style w:type="character" w:styleId="FootnoteReference">
    <w:name w:val="footnote reference"/>
    <w:aliases w:val="BVI fnr,(Footnote Reference),Footnote Reference/,Ref,de nota al pie,PIC Footnote Reference,number,fr"/>
    <w:basedOn w:val="DefaultParagraphFont"/>
    <w:uiPriority w:val="99"/>
    <w:unhideWhenUsed/>
    <w:rsid w:val="003E0F82"/>
    <w:rPr>
      <w:vertAlign w:val="superscript"/>
    </w:rPr>
  </w:style>
  <w:style w:type="character" w:customStyle="1" w:styleId="normaltextrun">
    <w:name w:val="normaltextrun"/>
    <w:basedOn w:val="DefaultParagraphFont"/>
    <w:rsid w:val="003E0F82"/>
  </w:style>
  <w:style w:type="paragraph" w:customStyle="1" w:styleId="paragraph">
    <w:name w:val="paragraph"/>
    <w:basedOn w:val="Normal"/>
    <w:rsid w:val="003E0F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E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2062</Words>
  <Characters>12212</Characters>
  <Application>Microsoft Office Word</Application>
  <DocSecurity>0</DocSecurity>
  <Lines>327</Lines>
  <Paragraphs>84</Paragraphs>
  <ScaleCrop>false</ScaleCrop>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Hau</dc:creator>
  <cp:keywords>[SEC=OFFICIAL]</cp:keywords>
  <dc:description/>
  <cp:lastModifiedBy>Megan Hau</cp:lastModifiedBy>
  <cp:revision>1</cp:revision>
  <dcterms:created xsi:type="dcterms:W3CDTF">2021-12-13T05:16:00Z</dcterms:created>
  <dcterms:modified xsi:type="dcterms:W3CDTF">2021-12-13T05:17:00Z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CB165D710F9C4214B19B6ABB4ADDA035</vt:lpwstr>
  </property>
  <property fmtid="{D5CDD505-2E9C-101B-9397-08002B2CF9AE}" pid="9" name="PM_ProtectiveMarkingValue_Footer">
    <vt:lpwstr>OFFICIAL</vt:lpwstr>
  </property>
  <property fmtid="{D5CDD505-2E9C-101B-9397-08002B2CF9AE}" pid="10" name="PM_Originator_Hash_SHA1">
    <vt:lpwstr>73E7B9EB5E9AB1C7549230A112A725CEF60A6F34</vt:lpwstr>
  </property>
  <property fmtid="{D5CDD505-2E9C-101B-9397-08002B2CF9AE}" pid="11" name="PM_OriginationTimeStamp">
    <vt:lpwstr>2021-12-13T05:17:05Z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271DB07362BBC6DB372266055D754CC4</vt:lpwstr>
  </property>
  <property fmtid="{D5CDD505-2E9C-101B-9397-08002B2CF9AE}" pid="20" name="PM_Hash_Salt">
    <vt:lpwstr>A80E30DB4184F117C9FFAE425E0088B0</vt:lpwstr>
  </property>
  <property fmtid="{D5CDD505-2E9C-101B-9397-08002B2CF9AE}" pid="21" name="PM_Hash_SHA1">
    <vt:lpwstr>7E4EB73CE91FA65259CE61A6D3C6820ABE283264</vt:lpwstr>
  </property>
  <property fmtid="{D5CDD505-2E9C-101B-9397-08002B2CF9AE}" pid="22" name="PM_SecurityClassification_Prev">
    <vt:lpwstr>OFFICIAL</vt:lpwstr>
  </property>
  <property fmtid="{D5CDD505-2E9C-101B-9397-08002B2CF9AE}" pid="23" name="PM_Qualifier_Prev">
    <vt:lpwstr/>
  </property>
</Properties>
</file>