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E8425" w14:textId="77777777" w:rsidR="00412040" w:rsidRPr="00EA5935" w:rsidRDefault="00412040" w:rsidP="00412040">
      <w:pPr>
        <w:pStyle w:val="Heading2"/>
        <w:spacing w:after="0"/>
        <w:jc w:val="center"/>
        <w:rPr>
          <w:color w:val="000000" w:themeColor="text1"/>
        </w:rPr>
      </w:pPr>
      <w:r w:rsidRPr="00EA5935">
        <w:rPr>
          <w:color w:val="000000" w:themeColor="text1"/>
        </w:rPr>
        <w:t>ANNEX 9A</w:t>
      </w:r>
    </w:p>
    <w:p w14:paraId="7FA06437" w14:textId="77777777" w:rsidR="00412040" w:rsidRPr="001917FB" w:rsidRDefault="00412040" w:rsidP="00412040">
      <w:pPr>
        <w:pStyle w:val="Heading1"/>
        <w:jc w:val="center"/>
        <w:rPr>
          <w:rFonts w:ascii="Times New Roman" w:eastAsiaTheme="minorHAnsi" w:hAnsi="Times New Roman" w:cs="Times New Roman"/>
          <w:b/>
          <w:bCs/>
          <w:color w:val="000000" w:themeColor="text1"/>
          <w:sz w:val="24"/>
          <w:szCs w:val="24"/>
        </w:rPr>
      </w:pPr>
      <w:r w:rsidRPr="001917FB">
        <w:rPr>
          <w:rFonts w:ascii="Times New Roman" w:eastAsiaTheme="minorHAnsi" w:hAnsi="Times New Roman" w:cs="Times New Roman"/>
          <w:b/>
          <w:bCs/>
          <w:color w:val="000000" w:themeColor="text1"/>
          <w:sz w:val="24"/>
          <w:szCs w:val="24"/>
        </w:rPr>
        <w:t>Cross-Border Trade in Financial Services</w:t>
      </w:r>
    </w:p>
    <w:p w14:paraId="47319DF2" w14:textId="77777777" w:rsidR="00412040" w:rsidRPr="00B83340" w:rsidRDefault="00412040" w:rsidP="00412040">
      <w:pPr>
        <w:rPr>
          <w:rFonts w:ascii="Times New Roman" w:hAnsi="Times New Roman" w:cs="Times New Roman"/>
          <w:i/>
          <w:iCs/>
          <w:sz w:val="24"/>
          <w:szCs w:val="24"/>
        </w:rPr>
      </w:pPr>
    </w:p>
    <w:p w14:paraId="55853271" w14:textId="77777777" w:rsidR="00412040" w:rsidRDefault="00412040" w:rsidP="00412040">
      <w:pPr>
        <w:rPr>
          <w:rFonts w:ascii="Times New Roman" w:hAnsi="Times New Roman" w:cs="Times New Roman"/>
          <w:b/>
          <w:bCs/>
          <w:i/>
          <w:iCs/>
          <w:sz w:val="24"/>
          <w:szCs w:val="24"/>
        </w:rPr>
      </w:pPr>
      <w:r>
        <w:rPr>
          <w:rFonts w:ascii="Times New Roman" w:hAnsi="Times New Roman" w:cs="Times New Roman"/>
          <w:b/>
          <w:bCs/>
          <w:i/>
          <w:iCs/>
          <w:sz w:val="24"/>
          <w:szCs w:val="24"/>
        </w:rPr>
        <w:t>Australia</w:t>
      </w:r>
    </w:p>
    <w:p w14:paraId="71ECF79C" w14:textId="77777777" w:rsidR="00412040" w:rsidRPr="00B83340" w:rsidRDefault="00412040" w:rsidP="00412040">
      <w:pPr>
        <w:rPr>
          <w:rFonts w:ascii="Times New Roman" w:hAnsi="Times New Roman" w:cs="Times New Roman"/>
          <w:i/>
          <w:iCs/>
          <w:sz w:val="24"/>
          <w:szCs w:val="24"/>
        </w:rPr>
      </w:pPr>
      <w:r w:rsidRPr="00B83340">
        <w:rPr>
          <w:rFonts w:ascii="Times New Roman" w:hAnsi="Times New Roman" w:cs="Times New Roman"/>
          <w:i/>
          <w:iCs/>
          <w:sz w:val="24"/>
          <w:szCs w:val="24"/>
        </w:rPr>
        <w:t>Insurance and insurance-related services</w:t>
      </w:r>
    </w:p>
    <w:p w14:paraId="2AE3FE5B" w14:textId="77777777" w:rsidR="00412040" w:rsidRPr="00B4280C" w:rsidRDefault="00412040" w:rsidP="0041204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3C2EF3">
        <w:rPr>
          <w:rFonts w:ascii="Times New Roman" w:hAnsi="Times New Roman" w:cs="Times New Roman"/>
          <w:sz w:val="24"/>
          <w:szCs w:val="24"/>
        </w:rPr>
        <w:t>Subject to any limitations set out elsewhere in Australia’s commitments,</w:t>
      </w:r>
      <w:r w:rsidRPr="00B4280C">
        <w:rPr>
          <w:rFonts w:ascii="Times New Roman" w:hAnsi="Times New Roman" w:cs="Times New Roman"/>
          <w:sz w:val="24"/>
          <w:szCs w:val="24"/>
        </w:rPr>
        <w:t xml:space="preserve"> Articles </w:t>
      </w:r>
      <w:r>
        <w:rPr>
          <w:rFonts w:ascii="Times New Roman" w:hAnsi="Times New Roman" w:cs="Times New Roman"/>
          <w:sz w:val="24"/>
          <w:szCs w:val="24"/>
        </w:rPr>
        <w:t>9.5</w:t>
      </w:r>
      <w:r w:rsidRPr="00B4280C">
        <w:rPr>
          <w:rFonts w:ascii="Times New Roman" w:hAnsi="Times New Roman" w:cs="Times New Roman"/>
          <w:sz w:val="24"/>
          <w:szCs w:val="24"/>
        </w:rPr>
        <w:t xml:space="preserve"> (National Treatment),</w:t>
      </w:r>
      <w:r w:rsidRPr="00B4280C" w:rsidDel="00A33332">
        <w:rPr>
          <w:rFonts w:ascii="Times New Roman" w:hAnsi="Times New Roman" w:cs="Times New Roman"/>
          <w:sz w:val="24"/>
          <w:szCs w:val="24"/>
        </w:rPr>
        <w:t xml:space="preserve"> </w:t>
      </w:r>
      <w:r>
        <w:rPr>
          <w:rFonts w:ascii="Times New Roman" w:hAnsi="Times New Roman" w:cs="Times New Roman"/>
          <w:sz w:val="24"/>
          <w:szCs w:val="24"/>
        </w:rPr>
        <w:t>9.6</w:t>
      </w:r>
      <w:r w:rsidRPr="00B4280C">
        <w:rPr>
          <w:rFonts w:ascii="Times New Roman" w:hAnsi="Times New Roman" w:cs="Times New Roman"/>
          <w:sz w:val="24"/>
          <w:szCs w:val="24"/>
        </w:rPr>
        <w:t xml:space="preserve"> (Market Access) and </w:t>
      </w:r>
      <w:r w:rsidRPr="000D610F">
        <w:rPr>
          <w:rFonts w:ascii="Times New Roman" w:hAnsi="Times New Roman" w:cs="Times New Roman"/>
          <w:sz w:val="24"/>
          <w:szCs w:val="24"/>
        </w:rPr>
        <w:t>9.7</w:t>
      </w:r>
      <w:r w:rsidRPr="000D610F" w:rsidDel="00F47D8F">
        <w:rPr>
          <w:rFonts w:ascii="Times New Roman" w:hAnsi="Times New Roman" w:cs="Times New Roman"/>
          <w:sz w:val="24"/>
          <w:szCs w:val="24"/>
        </w:rPr>
        <w:t xml:space="preserve"> </w:t>
      </w:r>
      <w:r w:rsidRPr="000D610F">
        <w:rPr>
          <w:rFonts w:ascii="Times New Roman" w:hAnsi="Times New Roman" w:cs="Times New Roman"/>
          <w:sz w:val="24"/>
          <w:szCs w:val="24"/>
        </w:rPr>
        <w:t>(Local Presence)</w:t>
      </w:r>
      <w:r w:rsidRPr="00B4280C">
        <w:rPr>
          <w:rFonts w:ascii="Times New Roman" w:hAnsi="Times New Roman" w:cs="Times New Roman"/>
          <w:sz w:val="24"/>
          <w:szCs w:val="24"/>
        </w:rPr>
        <w:t xml:space="preserve"> apply to the cross-border supply or trade in financial services, as defined in subparagraph (a) of the definition of cross-border supply of financial services in Article </w:t>
      </w:r>
      <w:r>
        <w:rPr>
          <w:rFonts w:ascii="Times New Roman" w:hAnsi="Times New Roman" w:cs="Times New Roman"/>
          <w:sz w:val="24"/>
          <w:szCs w:val="24"/>
        </w:rPr>
        <w:t>9.1</w:t>
      </w:r>
      <w:r w:rsidRPr="00B4280C">
        <w:rPr>
          <w:rFonts w:ascii="Times New Roman" w:hAnsi="Times New Roman" w:cs="Times New Roman"/>
          <w:sz w:val="24"/>
          <w:szCs w:val="24"/>
        </w:rPr>
        <w:t xml:space="preserve"> (Definitions) with respect to: </w:t>
      </w:r>
    </w:p>
    <w:p w14:paraId="07A1A514" w14:textId="77777777" w:rsidR="00412040" w:rsidRPr="003C2EF3" w:rsidRDefault="00412040" w:rsidP="00412040">
      <w:pPr>
        <w:spacing w:line="252"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3C2EF3">
        <w:rPr>
          <w:rFonts w:ascii="Times New Roman" w:hAnsi="Times New Roman" w:cs="Times New Roman"/>
          <w:sz w:val="24"/>
          <w:szCs w:val="24"/>
        </w:rPr>
        <w:t>insurance of risks relating to:</w:t>
      </w:r>
    </w:p>
    <w:p w14:paraId="5F46B6B2" w14:textId="77777777" w:rsidR="00412040" w:rsidRPr="003C2EF3" w:rsidRDefault="00412040" w:rsidP="00412040">
      <w:pPr>
        <w:spacing w:line="252"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3C2EF3">
        <w:rPr>
          <w:rFonts w:ascii="Times New Roman" w:hAnsi="Times New Roman" w:cs="Times New Roman"/>
          <w:sz w:val="24"/>
          <w:szCs w:val="24"/>
        </w:rPr>
        <w:t xml:space="preserve">maritime shipping and commercial aviation and space launching and freight (including satellites), with such insurance to cover any or all of the following: the goods being transported, the vehicle transporting the goods and any liability arising </w:t>
      </w:r>
      <w:proofErr w:type="gramStart"/>
      <w:r w:rsidRPr="003C2EF3">
        <w:rPr>
          <w:rFonts w:ascii="Times New Roman" w:hAnsi="Times New Roman" w:cs="Times New Roman"/>
          <w:sz w:val="24"/>
          <w:szCs w:val="24"/>
        </w:rPr>
        <w:t>therefrom;</w:t>
      </w:r>
      <w:proofErr w:type="gramEnd"/>
    </w:p>
    <w:p w14:paraId="36DBC0FA"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Pr="003C2EF3">
        <w:rPr>
          <w:rFonts w:ascii="Times New Roman" w:hAnsi="Times New Roman" w:cs="Times New Roman"/>
          <w:sz w:val="24"/>
          <w:szCs w:val="24"/>
        </w:rPr>
        <w:t xml:space="preserve">goods in international </w:t>
      </w:r>
      <w:proofErr w:type="gramStart"/>
      <w:r w:rsidRPr="003C2EF3">
        <w:rPr>
          <w:rFonts w:ascii="Times New Roman" w:hAnsi="Times New Roman" w:cs="Times New Roman"/>
          <w:sz w:val="24"/>
          <w:szCs w:val="24"/>
        </w:rPr>
        <w:t>transit;</w:t>
      </w:r>
      <w:proofErr w:type="gramEnd"/>
    </w:p>
    <w:p w14:paraId="27870965"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r w:rsidRPr="003C2EF3">
        <w:rPr>
          <w:rFonts w:ascii="Times New Roman" w:hAnsi="Times New Roman" w:cs="Times New Roman"/>
          <w:sz w:val="24"/>
          <w:szCs w:val="24"/>
        </w:rPr>
        <w:t xml:space="preserve">credit and </w:t>
      </w:r>
      <w:proofErr w:type="gramStart"/>
      <w:r w:rsidRPr="003C2EF3">
        <w:rPr>
          <w:rFonts w:ascii="Times New Roman" w:hAnsi="Times New Roman" w:cs="Times New Roman"/>
          <w:sz w:val="24"/>
          <w:szCs w:val="24"/>
        </w:rPr>
        <w:t>suretyship;</w:t>
      </w:r>
      <w:proofErr w:type="gramEnd"/>
    </w:p>
    <w:p w14:paraId="0280219D"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(iv) </w:t>
      </w:r>
      <w:r>
        <w:rPr>
          <w:rFonts w:ascii="Times New Roman" w:hAnsi="Times New Roman" w:cs="Times New Roman"/>
          <w:sz w:val="24"/>
          <w:szCs w:val="24"/>
        </w:rPr>
        <w:tab/>
      </w:r>
      <w:r w:rsidRPr="003C2EF3">
        <w:rPr>
          <w:rFonts w:ascii="Times New Roman" w:hAnsi="Times New Roman" w:cs="Times New Roman"/>
          <w:sz w:val="24"/>
          <w:szCs w:val="24"/>
        </w:rPr>
        <w:t xml:space="preserve">land </w:t>
      </w:r>
      <w:proofErr w:type="gramStart"/>
      <w:r w:rsidRPr="003C2EF3">
        <w:rPr>
          <w:rFonts w:ascii="Times New Roman" w:hAnsi="Times New Roman" w:cs="Times New Roman"/>
          <w:sz w:val="24"/>
          <w:szCs w:val="24"/>
        </w:rPr>
        <w:t>vehicles;</w:t>
      </w:r>
      <w:proofErr w:type="gramEnd"/>
    </w:p>
    <w:p w14:paraId="0896472D"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sz w:val="24"/>
          <w:szCs w:val="24"/>
        </w:rPr>
        <w:tab/>
      </w:r>
      <w:r w:rsidRPr="003C2EF3">
        <w:rPr>
          <w:rFonts w:ascii="Times New Roman" w:hAnsi="Times New Roman" w:cs="Times New Roman"/>
          <w:sz w:val="24"/>
          <w:szCs w:val="24"/>
        </w:rPr>
        <w:t xml:space="preserve">fire and natural </w:t>
      </w:r>
      <w:proofErr w:type="gramStart"/>
      <w:r w:rsidRPr="003C2EF3">
        <w:rPr>
          <w:rFonts w:ascii="Times New Roman" w:hAnsi="Times New Roman" w:cs="Times New Roman"/>
          <w:sz w:val="24"/>
          <w:szCs w:val="24"/>
        </w:rPr>
        <w:t>forces;</w:t>
      </w:r>
      <w:proofErr w:type="gramEnd"/>
    </w:p>
    <w:p w14:paraId="0835333D"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(vi) </w:t>
      </w:r>
      <w:r>
        <w:rPr>
          <w:rFonts w:ascii="Times New Roman" w:hAnsi="Times New Roman" w:cs="Times New Roman"/>
          <w:sz w:val="24"/>
          <w:szCs w:val="24"/>
        </w:rPr>
        <w:tab/>
      </w:r>
      <w:r w:rsidRPr="003C2EF3">
        <w:rPr>
          <w:rFonts w:ascii="Times New Roman" w:hAnsi="Times New Roman" w:cs="Times New Roman"/>
          <w:sz w:val="24"/>
          <w:szCs w:val="24"/>
        </w:rPr>
        <w:t xml:space="preserve">other damage to </w:t>
      </w:r>
      <w:proofErr w:type="gramStart"/>
      <w:r w:rsidRPr="003C2EF3">
        <w:rPr>
          <w:rFonts w:ascii="Times New Roman" w:hAnsi="Times New Roman" w:cs="Times New Roman"/>
          <w:sz w:val="24"/>
          <w:szCs w:val="24"/>
        </w:rPr>
        <w:t>property;</w:t>
      </w:r>
      <w:proofErr w:type="gramEnd"/>
    </w:p>
    <w:p w14:paraId="7BFB63DE" w14:textId="77777777" w:rsidR="00412040" w:rsidRPr="003C2EF3" w:rsidRDefault="00412040" w:rsidP="00412040">
      <w:pPr>
        <w:spacing w:line="252" w:lineRule="auto"/>
        <w:ind w:left="2127" w:hanging="687"/>
        <w:jc w:val="both"/>
        <w:rPr>
          <w:rFonts w:ascii="Times New Roman" w:hAnsi="Times New Roman" w:cs="Times New Roman"/>
          <w:sz w:val="24"/>
          <w:szCs w:val="24"/>
        </w:rPr>
      </w:pPr>
      <w:r>
        <w:rPr>
          <w:rFonts w:ascii="Times New Roman" w:hAnsi="Times New Roman" w:cs="Times New Roman"/>
          <w:sz w:val="24"/>
          <w:szCs w:val="24"/>
        </w:rPr>
        <w:t xml:space="preserve">(vii) </w:t>
      </w:r>
      <w:r>
        <w:rPr>
          <w:rFonts w:ascii="Times New Roman" w:hAnsi="Times New Roman" w:cs="Times New Roman"/>
          <w:sz w:val="24"/>
          <w:szCs w:val="24"/>
        </w:rPr>
        <w:tab/>
      </w:r>
      <w:r w:rsidRPr="003C2EF3">
        <w:rPr>
          <w:rFonts w:ascii="Times New Roman" w:hAnsi="Times New Roman" w:cs="Times New Roman"/>
          <w:sz w:val="24"/>
          <w:szCs w:val="24"/>
        </w:rPr>
        <w:t xml:space="preserve">motor vehicle liability, except in relation to any liability which, in accordance with domestic law, must be insured by an insurer who is authorised under such </w:t>
      </w:r>
      <w:proofErr w:type="gramStart"/>
      <w:r w:rsidRPr="003C2EF3">
        <w:rPr>
          <w:rFonts w:ascii="Times New Roman" w:hAnsi="Times New Roman" w:cs="Times New Roman"/>
          <w:sz w:val="24"/>
          <w:szCs w:val="24"/>
        </w:rPr>
        <w:t>laws;</w:t>
      </w:r>
      <w:proofErr w:type="gramEnd"/>
    </w:p>
    <w:p w14:paraId="76333FD9"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(viii) </w:t>
      </w:r>
      <w:r>
        <w:rPr>
          <w:rFonts w:ascii="Times New Roman" w:hAnsi="Times New Roman" w:cs="Times New Roman"/>
          <w:sz w:val="24"/>
          <w:szCs w:val="24"/>
        </w:rPr>
        <w:tab/>
      </w:r>
      <w:r w:rsidRPr="003C2EF3">
        <w:rPr>
          <w:rFonts w:ascii="Times New Roman" w:hAnsi="Times New Roman" w:cs="Times New Roman"/>
          <w:sz w:val="24"/>
          <w:szCs w:val="24"/>
        </w:rPr>
        <w:t xml:space="preserve">general </w:t>
      </w:r>
      <w:proofErr w:type="gramStart"/>
      <w:r w:rsidRPr="003C2EF3">
        <w:rPr>
          <w:rFonts w:ascii="Times New Roman" w:hAnsi="Times New Roman" w:cs="Times New Roman"/>
          <w:sz w:val="24"/>
          <w:szCs w:val="24"/>
        </w:rPr>
        <w:t>liability;</w:t>
      </w:r>
      <w:proofErr w:type="gramEnd"/>
    </w:p>
    <w:p w14:paraId="2725590D" w14:textId="77777777" w:rsidR="00412040" w:rsidRPr="003C2EF3" w:rsidRDefault="00412040" w:rsidP="00412040">
      <w:pPr>
        <w:spacing w:line="25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(ix) </w:t>
      </w:r>
      <w:r>
        <w:rPr>
          <w:rFonts w:ascii="Times New Roman" w:hAnsi="Times New Roman" w:cs="Times New Roman"/>
          <w:sz w:val="24"/>
          <w:szCs w:val="24"/>
        </w:rPr>
        <w:tab/>
      </w:r>
      <w:r w:rsidRPr="003C2EF3">
        <w:rPr>
          <w:rFonts w:ascii="Times New Roman" w:hAnsi="Times New Roman" w:cs="Times New Roman"/>
          <w:sz w:val="24"/>
          <w:szCs w:val="24"/>
        </w:rPr>
        <w:t xml:space="preserve">miscellaneous financial </w:t>
      </w:r>
      <w:proofErr w:type="gramStart"/>
      <w:r w:rsidRPr="003C2EF3">
        <w:rPr>
          <w:rFonts w:ascii="Times New Roman" w:hAnsi="Times New Roman" w:cs="Times New Roman"/>
          <w:sz w:val="24"/>
          <w:szCs w:val="24"/>
        </w:rPr>
        <w:t>loss;</w:t>
      </w:r>
      <w:proofErr w:type="gramEnd"/>
    </w:p>
    <w:p w14:paraId="5ED60CE1" w14:textId="77777777" w:rsidR="00412040" w:rsidRPr="003C2EF3" w:rsidRDefault="00412040" w:rsidP="00412040">
      <w:pPr>
        <w:spacing w:line="252" w:lineRule="auto"/>
        <w:ind w:left="2127" w:hanging="687"/>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r>
      <w:r w:rsidRPr="003C2EF3">
        <w:rPr>
          <w:rFonts w:ascii="Times New Roman" w:hAnsi="Times New Roman" w:cs="Times New Roman"/>
          <w:sz w:val="24"/>
          <w:szCs w:val="24"/>
        </w:rPr>
        <w:t xml:space="preserve">difference in conditions and difference in limits, where the difference in conditions or difference in limits cover is provided under a master policy issued by an insurer to cover risks across multiple </w:t>
      </w:r>
      <w:proofErr w:type="gramStart"/>
      <w:r w:rsidRPr="003C2EF3">
        <w:rPr>
          <w:rFonts w:ascii="Times New Roman" w:hAnsi="Times New Roman" w:cs="Times New Roman"/>
          <w:sz w:val="24"/>
          <w:szCs w:val="24"/>
        </w:rPr>
        <w:t>jurisdictions;</w:t>
      </w:r>
      <w:proofErr w:type="gramEnd"/>
    </w:p>
    <w:p w14:paraId="54B906AD" w14:textId="77777777" w:rsidR="00412040" w:rsidRPr="0050302D" w:rsidRDefault="00412040" w:rsidP="00412040">
      <w:pPr>
        <w:spacing w:line="252"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3C2EF3">
        <w:rPr>
          <w:rFonts w:ascii="Times New Roman" w:hAnsi="Times New Roman" w:cs="Times New Roman"/>
          <w:sz w:val="24"/>
          <w:szCs w:val="24"/>
        </w:rPr>
        <w:t xml:space="preserve">reinsurance and </w:t>
      </w:r>
      <w:proofErr w:type="gramStart"/>
      <w:r w:rsidRPr="003C2EF3">
        <w:rPr>
          <w:rFonts w:ascii="Times New Roman" w:hAnsi="Times New Roman" w:cs="Times New Roman"/>
          <w:sz w:val="24"/>
          <w:szCs w:val="24"/>
        </w:rPr>
        <w:t>retrocession;</w:t>
      </w:r>
      <w:proofErr w:type="gramEnd"/>
    </w:p>
    <w:p w14:paraId="59420D1D" w14:textId="77777777" w:rsidR="00412040" w:rsidRPr="0050302D" w:rsidRDefault="00412040" w:rsidP="00412040">
      <w:pPr>
        <w:spacing w:line="252"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3C2EF3">
        <w:rPr>
          <w:rFonts w:ascii="Times New Roman" w:hAnsi="Times New Roman" w:cs="Times New Roman"/>
          <w:sz w:val="24"/>
          <w:szCs w:val="24"/>
        </w:rPr>
        <w:t xml:space="preserve">insurance intermediation, such as brokerage and agency, as referred to in subparagraph (c) of the definition of financial service in Article </w:t>
      </w:r>
      <w:r>
        <w:rPr>
          <w:rFonts w:ascii="Times New Roman" w:hAnsi="Times New Roman" w:cs="Times New Roman"/>
          <w:sz w:val="24"/>
          <w:szCs w:val="24"/>
        </w:rPr>
        <w:t>9.1</w:t>
      </w:r>
      <w:r w:rsidRPr="003C2EF3">
        <w:rPr>
          <w:rFonts w:ascii="Times New Roman" w:hAnsi="Times New Roman" w:cs="Times New Roman"/>
          <w:sz w:val="24"/>
          <w:szCs w:val="24"/>
        </w:rPr>
        <w:t xml:space="preserve"> (Definitions), of insurance risks related to the services listed in subparagraphs (a) and (b); and</w:t>
      </w:r>
    </w:p>
    <w:p w14:paraId="55FDEB73" w14:textId="77777777" w:rsidR="00412040" w:rsidRDefault="00412040" w:rsidP="00412040">
      <w:pPr>
        <w:spacing w:line="252"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3C2EF3">
        <w:rPr>
          <w:rFonts w:ascii="Times New Roman" w:hAnsi="Times New Roman" w:cs="Times New Roman"/>
          <w:sz w:val="24"/>
          <w:szCs w:val="24"/>
        </w:rPr>
        <w:t xml:space="preserve">services auxiliary to insurance as described in subparagraph (d) of the definition of financial service in Article </w:t>
      </w:r>
      <w:r>
        <w:rPr>
          <w:rFonts w:ascii="Times New Roman" w:hAnsi="Times New Roman" w:cs="Times New Roman"/>
          <w:sz w:val="24"/>
          <w:szCs w:val="24"/>
        </w:rPr>
        <w:t xml:space="preserve">9.1 </w:t>
      </w:r>
      <w:r w:rsidRPr="003C2EF3">
        <w:rPr>
          <w:rFonts w:ascii="Times New Roman" w:hAnsi="Times New Roman" w:cs="Times New Roman"/>
          <w:sz w:val="24"/>
          <w:szCs w:val="24"/>
        </w:rPr>
        <w:t xml:space="preserve">(Definitions). </w:t>
      </w:r>
    </w:p>
    <w:p w14:paraId="093E736C" w14:textId="77777777" w:rsidR="00412040" w:rsidRPr="00B4280C" w:rsidRDefault="00412040" w:rsidP="00412040">
      <w:pPr>
        <w:spacing w:line="252"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B4280C">
        <w:rPr>
          <w:rFonts w:ascii="Times New Roman" w:hAnsi="Times New Roman" w:cs="Times New Roman"/>
          <w:sz w:val="24"/>
          <w:szCs w:val="24"/>
        </w:rPr>
        <w:t xml:space="preserve">Paragraph 1 does not permit suppliers of the services listed in </w:t>
      </w:r>
      <w:r w:rsidRPr="00B4280C">
        <w:rPr>
          <w:rFonts w:ascii="Times New Roman" w:eastAsia="Times New Roman" w:hAnsi="Times New Roman" w:cs="Times New Roman"/>
          <w:sz w:val="24"/>
          <w:szCs w:val="24"/>
        </w:rPr>
        <w:t>subparagraphs 1(a)(iii)</w:t>
      </w:r>
      <w:r>
        <w:rPr>
          <w:rFonts w:ascii="Times New Roman" w:eastAsia="Times New Roman" w:hAnsi="Times New Roman" w:cs="Times New Roman"/>
          <w:sz w:val="24"/>
          <w:szCs w:val="24"/>
        </w:rPr>
        <w:t xml:space="preserve"> through </w:t>
      </w:r>
      <w:r w:rsidRPr="00B4280C">
        <w:rPr>
          <w:rFonts w:ascii="Times New Roman" w:eastAsia="Times New Roman" w:hAnsi="Times New Roman" w:cs="Times New Roman"/>
          <w:sz w:val="24"/>
          <w:szCs w:val="24"/>
        </w:rPr>
        <w:t xml:space="preserve">(x) </w:t>
      </w:r>
      <w:r w:rsidRPr="00B4280C">
        <w:rPr>
          <w:rFonts w:ascii="Times New Roman" w:hAnsi="Times New Roman" w:cs="Times New Roman"/>
          <w:sz w:val="24"/>
          <w:szCs w:val="24"/>
        </w:rPr>
        <w:t xml:space="preserve">to provide </w:t>
      </w:r>
      <w:r>
        <w:rPr>
          <w:rFonts w:ascii="Times New Roman" w:hAnsi="Times New Roman" w:cs="Times New Roman"/>
          <w:sz w:val="24"/>
          <w:szCs w:val="24"/>
        </w:rPr>
        <w:t>these</w:t>
      </w:r>
      <w:r w:rsidRPr="00B4280C">
        <w:rPr>
          <w:rFonts w:ascii="Times New Roman" w:hAnsi="Times New Roman" w:cs="Times New Roman"/>
          <w:sz w:val="24"/>
          <w:szCs w:val="24"/>
        </w:rPr>
        <w:t xml:space="preserve"> service</w:t>
      </w:r>
      <w:r>
        <w:rPr>
          <w:rFonts w:ascii="Times New Roman" w:hAnsi="Times New Roman" w:cs="Times New Roman"/>
          <w:sz w:val="24"/>
          <w:szCs w:val="24"/>
        </w:rPr>
        <w:t>s</w:t>
      </w:r>
      <w:r w:rsidRPr="00B4280C">
        <w:rPr>
          <w:rFonts w:ascii="Times New Roman" w:hAnsi="Times New Roman" w:cs="Times New Roman"/>
          <w:sz w:val="24"/>
          <w:szCs w:val="24"/>
        </w:rPr>
        <w:t xml:space="preserve"> to a retail client.</w:t>
      </w:r>
    </w:p>
    <w:p w14:paraId="3BDEA524" w14:textId="77777777" w:rsidR="00412040" w:rsidRPr="003C2EF3" w:rsidRDefault="00412040" w:rsidP="0041204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3C2EF3">
        <w:rPr>
          <w:rFonts w:ascii="Times New Roman" w:hAnsi="Times New Roman" w:cs="Times New Roman"/>
          <w:sz w:val="24"/>
          <w:szCs w:val="24"/>
        </w:rPr>
        <w:t xml:space="preserve">. </w:t>
      </w:r>
      <w:r>
        <w:rPr>
          <w:rFonts w:ascii="Times New Roman" w:hAnsi="Times New Roman" w:cs="Times New Roman"/>
          <w:sz w:val="24"/>
          <w:szCs w:val="24"/>
        </w:rPr>
        <w:tab/>
      </w:r>
      <w:r w:rsidRPr="003C2EF3">
        <w:rPr>
          <w:rFonts w:ascii="Times New Roman" w:hAnsi="Times New Roman" w:cs="Times New Roman"/>
          <w:sz w:val="24"/>
          <w:szCs w:val="24"/>
        </w:rPr>
        <w:t>For the purposes of the commitments made in subparagraphs 1(a)(iii)</w:t>
      </w:r>
      <w:r>
        <w:rPr>
          <w:rFonts w:ascii="Times New Roman" w:hAnsi="Times New Roman" w:cs="Times New Roman"/>
          <w:sz w:val="24"/>
          <w:szCs w:val="24"/>
        </w:rPr>
        <w:t xml:space="preserve"> through</w:t>
      </w:r>
      <w:r w:rsidRPr="003C2EF3">
        <w:rPr>
          <w:rFonts w:ascii="Times New Roman" w:hAnsi="Times New Roman" w:cs="Times New Roman"/>
          <w:sz w:val="24"/>
          <w:szCs w:val="24"/>
        </w:rPr>
        <w:t>(x), for Australia, “retail client” means</w:t>
      </w:r>
      <w:r>
        <w:rPr>
          <w:rFonts w:ascii="Times New Roman" w:hAnsi="Times New Roman" w:cs="Times New Roman"/>
          <w:sz w:val="24"/>
          <w:szCs w:val="24"/>
        </w:rPr>
        <w:t>:</w:t>
      </w:r>
    </w:p>
    <w:p w14:paraId="677224AD" w14:textId="77777777" w:rsidR="00412040" w:rsidRPr="00B4280C" w:rsidRDefault="00412040" w:rsidP="00412040">
      <w:pPr>
        <w:pStyle w:val="Level2"/>
        <w:numPr>
          <w:ilvl w:val="0"/>
          <w:numId w:val="0"/>
        </w:numPr>
        <w:tabs>
          <w:tab w:val="left" w:pos="720"/>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Pr>
          <w:rFonts w:ascii="Times New Roman" w:hAnsi="Times New Roman" w:cs="Times New Roman"/>
          <w:sz w:val="24"/>
          <w:szCs w:val="24"/>
        </w:rPr>
        <w:tab/>
      </w:r>
      <w:r w:rsidRPr="00B4280C">
        <w:rPr>
          <w:rFonts w:ascii="Times New Roman" w:hAnsi="Times New Roman" w:cs="Times New Roman"/>
          <w:sz w:val="24"/>
          <w:szCs w:val="24"/>
        </w:rPr>
        <w:t xml:space="preserve">a natural person; or </w:t>
      </w:r>
    </w:p>
    <w:p w14:paraId="20F5EF72" w14:textId="77777777" w:rsidR="00412040" w:rsidRDefault="00412040" w:rsidP="00412040">
      <w:pPr>
        <w:spacing w:line="252"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B4280C">
        <w:rPr>
          <w:rFonts w:ascii="Times New Roman" w:hAnsi="Times New Roman" w:cs="Times New Roman"/>
          <w:sz w:val="24"/>
          <w:szCs w:val="24"/>
        </w:rPr>
        <w:t>a small business as defined under section 761</w:t>
      </w:r>
      <w:proofErr w:type="gramStart"/>
      <w:r w:rsidRPr="00B4280C">
        <w:rPr>
          <w:rFonts w:ascii="Times New Roman" w:hAnsi="Times New Roman" w:cs="Times New Roman"/>
          <w:sz w:val="24"/>
          <w:szCs w:val="24"/>
        </w:rPr>
        <w:t>G(</w:t>
      </w:r>
      <w:proofErr w:type="gramEnd"/>
      <w:r w:rsidRPr="00B4280C">
        <w:rPr>
          <w:rFonts w:ascii="Times New Roman" w:hAnsi="Times New Roman" w:cs="Times New Roman"/>
          <w:sz w:val="24"/>
          <w:szCs w:val="24"/>
        </w:rPr>
        <w:t xml:space="preserve">12) of the </w:t>
      </w:r>
      <w:r w:rsidRPr="00D90C31">
        <w:rPr>
          <w:rFonts w:ascii="Times New Roman" w:hAnsi="Times New Roman" w:cs="Times New Roman"/>
          <w:i/>
          <w:iCs/>
          <w:sz w:val="24"/>
          <w:szCs w:val="24"/>
        </w:rPr>
        <w:t>Corporations Act 2001</w:t>
      </w:r>
      <w:r w:rsidRPr="001917FB">
        <w:rPr>
          <w:rFonts w:ascii="Times New Roman" w:hAnsi="Times New Roman" w:cs="Times New Roman"/>
          <w:sz w:val="24"/>
          <w:szCs w:val="24"/>
        </w:rPr>
        <w:t xml:space="preserve"> (</w:t>
      </w:r>
      <w:proofErr w:type="spellStart"/>
      <w:r w:rsidRPr="001917FB">
        <w:rPr>
          <w:rFonts w:ascii="Times New Roman" w:hAnsi="Times New Roman" w:cs="Times New Roman"/>
          <w:sz w:val="24"/>
          <w:szCs w:val="24"/>
        </w:rPr>
        <w:t>Cth</w:t>
      </w:r>
      <w:proofErr w:type="spellEnd"/>
      <w:r w:rsidRPr="001917FB">
        <w:rPr>
          <w:rFonts w:ascii="Times New Roman" w:hAnsi="Times New Roman" w:cs="Times New Roman"/>
          <w:sz w:val="24"/>
          <w:szCs w:val="24"/>
        </w:rPr>
        <w:t>)</w:t>
      </w:r>
      <w:r w:rsidRPr="00B4280C">
        <w:rPr>
          <w:rFonts w:ascii="Times New Roman" w:hAnsi="Times New Roman" w:cs="Times New Roman"/>
          <w:sz w:val="24"/>
          <w:szCs w:val="24"/>
        </w:rPr>
        <w:t xml:space="preserve">. </w:t>
      </w:r>
    </w:p>
    <w:p w14:paraId="15EF9FCA" w14:textId="77777777" w:rsidR="00412040" w:rsidRPr="00600695" w:rsidRDefault="00412040" w:rsidP="00412040">
      <w:pPr>
        <w:jc w:val="both"/>
        <w:rPr>
          <w:rFonts w:ascii="Times New Roman" w:hAnsi="Times New Roman" w:cs="Times New Roman"/>
          <w:sz w:val="24"/>
          <w:szCs w:val="24"/>
        </w:rPr>
      </w:pPr>
      <w:r w:rsidRPr="00E62553">
        <w:rPr>
          <w:rFonts w:ascii="Times New Roman" w:hAnsi="Times New Roman" w:cs="Times New Roman"/>
          <w:i/>
          <w:iCs/>
          <w:sz w:val="24"/>
          <w:szCs w:val="24"/>
        </w:rPr>
        <w:t>Banking and other financial services (excluding insurance)</w:t>
      </w:r>
    </w:p>
    <w:p w14:paraId="24D1C4C7" w14:textId="77777777" w:rsidR="00412040" w:rsidRPr="0050302D" w:rsidRDefault="00412040" w:rsidP="0041204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3C2EF3">
        <w:rPr>
          <w:rFonts w:ascii="Times New Roman" w:hAnsi="Times New Roman" w:cs="Times New Roman"/>
          <w:sz w:val="24"/>
          <w:szCs w:val="24"/>
        </w:rPr>
        <w:t>Subject to any limitations set out elsewhere in Australia’s commitments,</w:t>
      </w:r>
      <w:r>
        <w:t xml:space="preserve"> </w:t>
      </w:r>
      <w:r w:rsidRPr="00B4280C">
        <w:rPr>
          <w:rFonts w:ascii="Times New Roman" w:hAnsi="Times New Roman" w:cs="Times New Roman"/>
          <w:sz w:val="24"/>
          <w:szCs w:val="24"/>
        </w:rPr>
        <w:t xml:space="preserve">Articles </w:t>
      </w:r>
      <w:r>
        <w:rPr>
          <w:rFonts w:ascii="Times New Roman" w:hAnsi="Times New Roman" w:cs="Times New Roman"/>
          <w:sz w:val="24"/>
          <w:szCs w:val="24"/>
        </w:rPr>
        <w:t>9.5</w:t>
      </w:r>
      <w:r w:rsidRPr="00B4280C">
        <w:rPr>
          <w:rFonts w:ascii="Times New Roman" w:hAnsi="Times New Roman" w:cs="Times New Roman"/>
          <w:sz w:val="24"/>
          <w:szCs w:val="24"/>
        </w:rPr>
        <w:t xml:space="preserve"> (National Treatment), </w:t>
      </w:r>
      <w:r>
        <w:rPr>
          <w:rFonts w:ascii="Times New Roman" w:hAnsi="Times New Roman" w:cs="Times New Roman"/>
          <w:sz w:val="24"/>
          <w:szCs w:val="24"/>
        </w:rPr>
        <w:t>9.6</w:t>
      </w:r>
      <w:r w:rsidRPr="00B4280C">
        <w:rPr>
          <w:rFonts w:ascii="Times New Roman" w:hAnsi="Times New Roman" w:cs="Times New Roman"/>
          <w:sz w:val="24"/>
          <w:szCs w:val="24"/>
        </w:rPr>
        <w:t xml:space="preserve"> (Market Access) and </w:t>
      </w:r>
      <w:r>
        <w:rPr>
          <w:rFonts w:ascii="Times New Roman" w:hAnsi="Times New Roman" w:cs="Times New Roman"/>
          <w:sz w:val="24"/>
          <w:szCs w:val="24"/>
        </w:rPr>
        <w:t>9.7</w:t>
      </w:r>
      <w:r w:rsidRPr="00B4280C">
        <w:rPr>
          <w:rFonts w:ascii="Times New Roman" w:hAnsi="Times New Roman" w:cs="Times New Roman"/>
          <w:sz w:val="24"/>
          <w:szCs w:val="24"/>
        </w:rPr>
        <w:t xml:space="preserve"> (Local Presence) apply to the cross-border supply or trade in financial services, as defined in subparagraph (a) of the definition of cross-border supply of financial services in Article </w:t>
      </w:r>
      <w:r>
        <w:rPr>
          <w:rFonts w:ascii="Times New Roman" w:hAnsi="Times New Roman" w:cs="Times New Roman"/>
          <w:sz w:val="24"/>
          <w:szCs w:val="24"/>
        </w:rPr>
        <w:t>9</w:t>
      </w:r>
      <w:r w:rsidRPr="00B4280C">
        <w:rPr>
          <w:rFonts w:ascii="Times New Roman" w:hAnsi="Times New Roman" w:cs="Times New Roman"/>
          <w:sz w:val="24"/>
          <w:szCs w:val="24"/>
        </w:rPr>
        <w:t xml:space="preserve">.1 (Definitions) with respect to: </w:t>
      </w:r>
    </w:p>
    <w:p w14:paraId="1E76C935" w14:textId="77777777" w:rsidR="00412040" w:rsidRPr="0050302D" w:rsidRDefault="00412040" w:rsidP="00412040">
      <w:pPr>
        <w:ind w:left="1418" w:hanging="698"/>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3C2EF3">
        <w:rPr>
          <w:rFonts w:ascii="Times New Roman" w:hAnsi="Times New Roman" w:cs="Times New Roman"/>
          <w:sz w:val="24"/>
          <w:szCs w:val="24"/>
        </w:rPr>
        <w:t xml:space="preserve">the provision and transfer of financial information, and financial data processing and related software, as described in subparagraph (o) of the definition of banking and other financial services (excluding insurance) in Article </w:t>
      </w:r>
      <w:r>
        <w:rPr>
          <w:rFonts w:ascii="Times New Roman" w:hAnsi="Times New Roman" w:cs="Times New Roman"/>
          <w:sz w:val="24"/>
          <w:szCs w:val="24"/>
        </w:rPr>
        <w:t>9</w:t>
      </w:r>
      <w:r w:rsidRPr="003C2EF3">
        <w:rPr>
          <w:rFonts w:ascii="Times New Roman" w:hAnsi="Times New Roman" w:cs="Times New Roman"/>
          <w:sz w:val="24"/>
          <w:szCs w:val="24"/>
        </w:rPr>
        <w:t>.1 (Definitions</w:t>
      </w:r>
      <w:proofErr w:type="gramStart"/>
      <w:r w:rsidRPr="003C2EF3">
        <w:rPr>
          <w:rFonts w:ascii="Times New Roman" w:hAnsi="Times New Roman" w:cs="Times New Roman"/>
          <w:sz w:val="24"/>
          <w:szCs w:val="24"/>
        </w:rPr>
        <w:t>);</w:t>
      </w:r>
      <w:proofErr w:type="gramEnd"/>
      <w:r w:rsidRPr="003C2EF3">
        <w:rPr>
          <w:rFonts w:ascii="Times New Roman" w:hAnsi="Times New Roman" w:cs="Times New Roman"/>
          <w:sz w:val="24"/>
          <w:szCs w:val="24"/>
        </w:rPr>
        <w:t xml:space="preserve"> </w:t>
      </w:r>
    </w:p>
    <w:p w14:paraId="4E11B199" w14:textId="77777777" w:rsidR="00412040" w:rsidRPr="0050302D" w:rsidRDefault="00412040" w:rsidP="00412040">
      <w:pPr>
        <w:ind w:left="1418" w:hanging="698"/>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3C2EF3">
        <w:rPr>
          <w:rFonts w:ascii="Times New Roman" w:hAnsi="Times New Roman" w:cs="Times New Roman"/>
          <w:sz w:val="24"/>
          <w:szCs w:val="24"/>
        </w:rPr>
        <w:t xml:space="preserve">advisory and other auxiliary financial services relating to banking and other financial services, as described in subparagraph (p) of the definition of banking and other financial services (excluding insurance) in Article </w:t>
      </w:r>
      <w:r>
        <w:rPr>
          <w:rFonts w:ascii="Times New Roman" w:hAnsi="Times New Roman" w:cs="Times New Roman"/>
          <w:sz w:val="24"/>
          <w:szCs w:val="24"/>
        </w:rPr>
        <w:t>9</w:t>
      </w:r>
      <w:r w:rsidRPr="003C2EF3">
        <w:rPr>
          <w:rFonts w:ascii="Times New Roman" w:hAnsi="Times New Roman" w:cs="Times New Roman"/>
          <w:sz w:val="24"/>
          <w:szCs w:val="24"/>
        </w:rPr>
        <w:t xml:space="preserve">.1 (Definitions), but not intermediation as described in that </w:t>
      </w:r>
      <w:proofErr w:type="gramStart"/>
      <w:r w:rsidRPr="003C2EF3">
        <w:rPr>
          <w:rFonts w:ascii="Times New Roman" w:hAnsi="Times New Roman" w:cs="Times New Roman"/>
          <w:sz w:val="24"/>
          <w:szCs w:val="24"/>
        </w:rPr>
        <w:t>subparagraph;</w:t>
      </w:r>
      <w:proofErr w:type="gramEnd"/>
    </w:p>
    <w:p w14:paraId="17D70F07" w14:textId="77777777" w:rsidR="00412040" w:rsidRDefault="00412040" w:rsidP="00412040">
      <w:pPr>
        <w:ind w:left="1418" w:hanging="698"/>
        <w:jc w:val="both"/>
        <w:rPr>
          <w:rFonts w:ascii="Times New Roman" w:hAnsi="Times New Roman" w:cs="Times New Roman"/>
          <w:sz w:val="24"/>
          <w:szCs w:val="24"/>
        </w:rPr>
      </w:pPr>
      <w:r>
        <w:rPr>
          <w:rFonts w:ascii="Times New Roman" w:hAnsi="Times New Roman" w:cs="Times New Roman"/>
          <w:sz w:val="24"/>
          <w:szCs w:val="24"/>
        </w:rPr>
        <w:t>(</w:t>
      </w:r>
      <w:r w:rsidRPr="003C2EF3">
        <w:rPr>
          <w:rFonts w:ascii="Times New Roman" w:hAnsi="Times New Roman" w:cs="Times New Roman"/>
          <w:sz w:val="24"/>
          <w:szCs w:val="24"/>
        </w:rPr>
        <w:t xml:space="preserve">c) </w:t>
      </w:r>
      <w:r>
        <w:rPr>
          <w:rFonts w:ascii="Times New Roman" w:hAnsi="Times New Roman" w:cs="Times New Roman"/>
          <w:sz w:val="24"/>
          <w:szCs w:val="24"/>
        </w:rPr>
        <w:tab/>
      </w:r>
      <w:r w:rsidRPr="003C2EF3">
        <w:rPr>
          <w:rFonts w:ascii="Times New Roman" w:hAnsi="Times New Roman" w:cs="Times New Roman"/>
          <w:sz w:val="24"/>
          <w:szCs w:val="24"/>
        </w:rPr>
        <w:t>securities related transactions on a wholesale basis between and among financial institutions and other entities; and</w:t>
      </w:r>
    </w:p>
    <w:p w14:paraId="30684E38" w14:textId="77777777" w:rsidR="00412040" w:rsidRPr="003C2EF3" w:rsidRDefault="00412040" w:rsidP="00412040">
      <w:pPr>
        <w:ind w:left="1418" w:hanging="698"/>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3C2EF3">
        <w:rPr>
          <w:rFonts w:ascii="Times New Roman" w:hAnsi="Times New Roman" w:cs="Times New Roman"/>
          <w:sz w:val="24"/>
          <w:szCs w:val="24"/>
        </w:rPr>
        <w:t>portfolio management services by a financial service supplier</w:t>
      </w:r>
      <w:r>
        <w:rPr>
          <w:rFonts w:ascii="Times New Roman" w:hAnsi="Times New Roman" w:cs="Times New Roman"/>
          <w:sz w:val="24"/>
          <w:szCs w:val="24"/>
        </w:rPr>
        <w:t xml:space="preserve"> of the United Kingdom</w:t>
      </w:r>
      <w:r w:rsidRPr="003C2EF3">
        <w:rPr>
          <w:rFonts w:ascii="Times New Roman" w:hAnsi="Times New Roman" w:cs="Times New Roman"/>
          <w:sz w:val="24"/>
          <w:szCs w:val="24"/>
        </w:rPr>
        <w:t xml:space="preserve"> to: </w:t>
      </w:r>
    </w:p>
    <w:p w14:paraId="2C8D898B" w14:textId="77777777" w:rsidR="00412040" w:rsidRPr="003C2EF3" w:rsidRDefault="00412040" w:rsidP="00412040">
      <w:pPr>
        <w:ind w:left="2127" w:hanging="68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3C2EF3">
        <w:rPr>
          <w:rFonts w:ascii="Times New Roman" w:hAnsi="Times New Roman" w:cs="Times New Roman"/>
          <w:sz w:val="24"/>
          <w:szCs w:val="24"/>
        </w:rPr>
        <w:t xml:space="preserve">a collective investment vehicle or management company of such a </w:t>
      </w:r>
      <w:proofErr w:type="gramStart"/>
      <w:r w:rsidRPr="003C2EF3">
        <w:rPr>
          <w:rFonts w:ascii="Times New Roman" w:hAnsi="Times New Roman" w:cs="Times New Roman"/>
          <w:sz w:val="24"/>
          <w:szCs w:val="24"/>
        </w:rPr>
        <w:t>vehicle;</w:t>
      </w:r>
      <w:proofErr w:type="gramEnd"/>
      <w:r w:rsidRPr="003C2EF3">
        <w:rPr>
          <w:rFonts w:ascii="Times New Roman" w:hAnsi="Times New Roman" w:cs="Times New Roman"/>
          <w:sz w:val="24"/>
          <w:szCs w:val="24"/>
        </w:rPr>
        <w:t xml:space="preserve"> </w:t>
      </w:r>
    </w:p>
    <w:p w14:paraId="4CE2731C" w14:textId="77777777" w:rsidR="00412040" w:rsidRPr="003C2EF3" w:rsidRDefault="00412040" w:rsidP="00412040">
      <w:pPr>
        <w:ind w:left="144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Pr="003C2EF3">
        <w:rPr>
          <w:rFonts w:ascii="Times New Roman" w:hAnsi="Times New Roman" w:cs="Times New Roman"/>
          <w:sz w:val="24"/>
          <w:szCs w:val="24"/>
        </w:rPr>
        <w:t xml:space="preserve">insurance companies; and </w:t>
      </w:r>
    </w:p>
    <w:p w14:paraId="2666DC4E" w14:textId="77777777" w:rsidR="00412040" w:rsidRPr="00487EF5" w:rsidRDefault="00412040" w:rsidP="00412040">
      <w:pPr>
        <w:ind w:left="2127" w:hanging="687"/>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r w:rsidRPr="003C2EF3">
        <w:rPr>
          <w:rFonts w:ascii="Times New Roman" w:hAnsi="Times New Roman" w:cs="Times New Roman"/>
          <w:sz w:val="24"/>
          <w:szCs w:val="24"/>
        </w:rPr>
        <w:t xml:space="preserve">pension funds and management companies of such funds. </w:t>
      </w:r>
    </w:p>
    <w:p w14:paraId="531E5BB9" w14:textId="77777777" w:rsidR="00412040" w:rsidRPr="0050302D" w:rsidRDefault="00412040" w:rsidP="00412040">
      <w:pPr>
        <w:spacing w:line="252"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For the purposes of the commitment made in paragraph 4(d), for Australia:</w:t>
      </w:r>
    </w:p>
    <w:p w14:paraId="4EB1BBAC" w14:textId="77777777" w:rsidR="00412040" w:rsidRDefault="00412040" w:rsidP="00412040">
      <w:pPr>
        <w:spacing w:line="252" w:lineRule="auto"/>
        <w:ind w:left="1418" w:hanging="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26EB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Pr="00326EB1">
        <w:rPr>
          <w:rFonts w:ascii="Times New Roman" w:eastAsia="Times New Roman" w:hAnsi="Times New Roman" w:cs="Times New Roman"/>
          <w:sz w:val="24"/>
          <w:szCs w:val="24"/>
        </w:rPr>
        <w:t>collective investment scheme</w:t>
      </w:r>
      <w:r w:rsidRPr="00F75D67">
        <w:rPr>
          <w:rFonts w:eastAsia="Times New Roman"/>
          <w:vertAlign w:val="superscript"/>
        </w:rPr>
        <w:footnoteReference w:id="1"/>
      </w:r>
      <w:r w:rsidRPr="00326EB1">
        <w:rPr>
          <w:rFonts w:ascii="Times New Roman" w:eastAsia="Times New Roman" w:hAnsi="Times New Roman" w:cs="Times New Roman"/>
          <w:sz w:val="24"/>
          <w:szCs w:val="24"/>
        </w:rPr>
        <w:t xml:space="preserve"> means a “managed investment scheme” as defined under Section 9 of the </w:t>
      </w:r>
      <w:r w:rsidRPr="00865B0A">
        <w:rPr>
          <w:rFonts w:ascii="Times New Roman" w:eastAsia="Times New Roman" w:hAnsi="Times New Roman" w:cs="Times New Roman"/>
          <w:i/>
          <w:iCs/>
          <w:sz w:val="24"/>
          <w:szCs w:val="24"/>
        </w:rPr>
        <w:t>Corporations Act 2001 (</w:t>
      </w:r>
      <w:proofErr w:type="spellStart"/>
      <w:r w:rsidRPr="00865B0A">
        <w:rPr>
          <w:rFonts w:ascii="Times New Roman" w:eastAsia="Times New Roman" w:hAnsi="Times New Roman" w:cs="Times New Roman"/>
          <w:i/>
          <w:iCs/>
          <w:sz w:val="24"/>
          <w:szCs w:val="24"/>
        </w:rPr>
        <w:t>Cth</w:t>
      </w:r>
      <w:proofErr w:type="spellEnd"/>
      <w:r w:rsidRPr="00865B0A">
        <w:rPr>
          <w:rFonts w:ascii="Times New Roman" w:eastAsia="Times New Roman" w:hAnsi="Times New Roman" w:cs="Times New Roman"/>
          <w:i/>
          <w:iCs/>
          <w:sz w:val="24"/>
          <w:szCs w:val="24"/>
        </w:rPr>
        <w:t>)</w:t>
      </w:r>
      <w:r w:rsidRPr="00326EB1">
        <w:rPr>
          <w:rFonts w:ascii="Times New Roman" w:eastAsia="Times New Roman" w:hAnsi="Times New Roman" w:cs="Times New Roman"/>
          <w:sz w:val="24"/>
          <w:szCs w:val="24"/>
        </w:rPr>
        <w:t xml:space="preserve">, other than a managed investment scheme operated in contravention of Subsection 601ED (5) of the </w:t>
      </w:r>
      <w:r w:rsidRPr="00865B0A">
        <w:rPr>
          <w:rFonts w:ascii="Times New Roman" w:eastAsia="Times New Roman" w:hAnsi="Times New Roman" w:cs="Times New Roman"/>
          <w:i/>
          <w:iCs/>
          <w:sz w:val="24"/>
          <w:szCs w:val="24"/>
        </w:rPr>
        <w:t>Corporations Act 2001 (</w:t>
      </w:r>
      <w:proofErr w:type="spellStart"/>
      <w:r w:rsidRPr="00865B0A">
        <w:rPr>
          <w:rFonts w:ascii="Times New Roman" w:eastAsia="Times New Roman" w:hAnsi="Times New Roman" w:cs="Times New Roman"/>
          <w:i/>
          <w:iCs/>
          <w:sz w:val="24"/>
          <w:szCs w:val="24"/>
        </w:rPr>
        <w:t>Cth</w:t>
      </w:r>
      <w:proofErr w:type="spellEnd"/>
      <w:r w:rsidRPr="00865B0A">
        <w:rPr>
          <w:rFonts w:ascii="Times New Roman" w:eastAsia="Times New Roman" w:hAnsi="Times New Roman" w:cs="Times New Roman"/>
          <w:i/>
          <w:iCs/>
          <w:sz w:val="24"/>
          <w:szCs w:val="24"/>
        </w:rPr>
        <w:t>)</w:t>
      </w:r>
      <w:r w:rsidRPr="00326EB1">
        <w:rPr>
          <w:rFonts w:ascii="Times New Roman" w:eastAsia="Times New Roman" w:hAnsi="Times New Roman" w:cs="Times New Roman"/>
          <w:sz w:val="24"/>
          <w:szCs w:val="24"/>
        </w:rPr>
        <w:t>, or an entity that:</w:t>
      </w:r>
    </w:p>
    <w:p w14:paraId="13798BCE" w14:textId="77777777" w:rsidR="00412040" w:rsidRDefault="00412040" w:rsidP="00412040">
      <w:pPr>
        <w:spacing w:line="252"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326EB1">
        <w:rPr>
          <w:rFonts w:ascii="Times New Roman" w:hAnsi="Times New Roman" w:cs="Times New Roman"/>
          <w:sz w:val="24"/>
          <w:szCs w:val="24"/>
        </w:rPr>
        <w:t>carries on a business of investment in securities, interests in land, or other investments; and</w:t>
      </w:r>
    </w:p>
    <w:p w14:paraId="38F51AE7" w14:textId="77777777" w:rsidR="00412040" w:rsidRPr="00372589" w:rsidRDefault="00412040" w:rsidP="00412040">
      <w:pPr>
        <w:pStyle w:val="ListParagraph"/>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tab/>
      </w:r>
      <w:r w:rsidRPr="00326EB1">
        <w:rPr>
          <w:rFonts w:ascii="Times New Roman" w:hAnsi="Times New Roman" w:cs="Times New Roman"/>
          <w:sz w:val="24"/>
          <w:szCs w:val="24"/>
        </w:rPr>
        <w:t xml:space="preserve">in the course of carrying on that business, invests funds subscribed, whether directly or indirectly, after an offer or invitation to the public (within the meaning of Section 82 of </w:t>
      </w:r>
      <w:r w:rsidRPr="00326EB1">
        <w:rPr>
          <w:rFonts w:ascii="Times New Roman" w:hAnsi="Times New Roman" w:cs="Times New Roman"/>
          <w:i/>
          <w:iCs/>
          <w:sz w:val="24"/>
          <w:szCs w:val="24"/>
        </w:rPr>
        <w:t>the Corporations Act 2001 (</w:t>
      </w:r>
      <w:proofErr w:type="spellStart"/>
      <w:r w:rsidRPr="00326EB1">
        <w:rPr>
          <w:rFonts w:ascii="Times New Roman" w:hAnsi="Times New Roman" w:cs="Times New Roman"/>
          <w:i/>
          <w:iCs/>
          <w:sz w:val="24"/>
          <w:szCs w:val="24"/>
        </w:rPr>
        <w:t>Cth</w:t>
      </w:r>
      <w:proofErr w:type="spellEnd"/>
      <w:r w:rsidRPr="00326EB1">
        <w:rPr>
          <w:rFonts w:ascii="Times New Roman" w:hAnsi="Times New Roman" w:cs="Times New Roman"/>
          <w:i/>
          <w:iCs/>
          <w:sz w:val="24"/>
          <w:szCs w:val="24"/>
        </w:rPr>
        <w:t>)</w:t>
      </w:r>
      <w:r w:rsidRPr="00326EB1">
        <w:rPr>
          <w:rFonts w:ascii="Times New Roman" w:hAnsi="Times New Roman" w:cs="Times New Roman"/>
          <w:sz w:val="24"/>
          <w:szCs w:val="24"/>
        </w:rPr>
        <w:t xml:space="preserve">) made on terms that the funds subscribed would be </w:t>
      </w:r>
      <w:proofErr w:type="gramStart"/>
      <w:r w:rsidRPr="00326EB1">
        <w:rPr>
          <w:rFonts w:ascii="Times New Roman" w:hAnsi="Times New Roman" w:cs="Times New Roman"/>
          <w:sz w:val="24"/>
          <w:szCs w:val="24"/>
        </w:rPr>
        <w:t>invested</w:t>
      </w:r>
      <w:r>
        <w:rPr>
          <w:rFonts w:ascii="Times New Roman" w:hAnsi="Times New Roman" w:cs="Times New Roman"/>
          <w:sz w:val="24"/>
          <w:szCs w:val="24"/>
        </w:rPr>
        <w:t>;</w:t>
      </w:r>
      <w:proofErr w:type="gramEnd"/>
    </w:p>
    <w:p w14:paraId="2E15EB2F" w14:textId="77777777" w:rsidR="00412040" w:rsidRPr="00A8117D" w:rsidRDefault="00412040" w:rsidP="00412040">
      <w:pPr>
        <w:pStyle w:val="ListParagraph"/>
        <w:spacing w:after="0" w:line="240" w:lineRule="auto"/>
        <w:ind w:left="1429"/>
        <w:jc w:val="both"/>
      </w:pPr>
    </w:p>
    <w:p w14:paraId="19EC26B2" w14:textId="77777777" w:rsidR="00412040" w:rsidRPr="00326EB1" w:rsidRDefault="00412040" w:rsidP="00412040">
      <w:pPr>
        <w:ind w:left="1418" w:hanging="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26EB1">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Pr="00326EB1">
        <w:rPr>
          <w:rFonts w:ascii="Times New Roman" w:eastAsia="Times New Roman" w:hAnsi="Times New Roman" w:cs="Times New Roman"/>
          <w:sz w:val="24"/>
          <w:szCs w:val="24"/>
        </w:rPr>
        <w:t>portfolio management services to a collective investment scheme located in the Area of Australia, exclude:</w:t>
      </w:r>
    </w:p>
    <w:p w14:paraId="13952C1F" w14:textId="77777777" w:rsidR="00412040" w:rsidRPr="00326EB1" w:rsidRDefault="00412040" w:rsidP="00412040">
      <w:pPr>
        <w:ind w:left="2127" w:hanging="68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326EB1">
        <w:rPr>
          <w:rFonts w:ascii="Times New Roman" w:hAnsi="Times New Roman" w:cs="Times New Roman"/>
          <w:sz w:val="24"/>
          <w:szCs w:val="24"/>
        </w:rPr>
        <w:t>custodial services</w:t>
      </w:r>
      <w:r w:rsidRPr="00326EB1">
        <w:rPr>
          <w:vertAlign w:val="superscript"/>
        </w:rPr>
        <w:footnoteReference w:id="2"/>
      </w:r>
      <w:r w:rsidRPr="00326EB1">
        <w:rPr>
          <w:rFonts w:ascii="Times New Roman" w:hAnsi="Times New Roman" w:cs="Times New Roman"/>
          <w:sz w:val="24"/>
          <w:szCs w:val="24"/>
          <w:vertAlign w:val="superscript"/>
        </w:rPr>
        <w:t xml:space="preserve"> </w:t>
      </w:r>
      <w:r w:rsidRPr="00326EB1">
        <w:rPr>
          <w:rFonts w:ascii="Times New Roman" w:hAnsi="Times New Roman" w:cs="Times New Roman"/>
          <w:sz w:val="24"/>
          <w:szCs w:val="24"/>
        </w:rPr>
        <w:t>and execution services that are not related to managing a collective investment scheme; and</w:t>
      </w:r>
    </w:p>
    <w:p w14:paraId="5CCA503E" w14:textId="77777777" w:rsidR="00412040" w:rsidRDefault="00412040" w:rsidP="00412040">
      <w:pPr>
        <w:ind w:left="144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Pr="00326EB1">
        <w:rPr>
          <w:rFonts w:ascii="Times New Roman" w:hAnsi="Times New Roman" w:cs="Times New Roman"/>
          <w:sz w:val="24"/>
          <w:szCs w:val="24"/>
        </w:rPr>
        <w:t>trustee services</w:t>
      </w:r>
      <w:r>
        <w:rPr>
          <w:rFonts w:ascii="Times New Roman" w:hAnsi="Times New Roman" w:cs="Times New Roman"/>
          <w:sz w:val="24"/>
          <w:szCs w:val="24"/>
        </w:rPr>
        <w:t>.</w:t>
      </w:r>
    </w:p>
    <w:p w14:paraId="58753017" w14:textId="77777777" w:rsidR="00412040" w:rsidRDefault="00412040" w:rsidP="00412040">
      <w:pPr>
        <w:spacing w:line="252"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For greater certainty, p</w:t>
      </w:r>
      <w:r w:rsidRPr="00B4280C">
        <w:rPr>
          <w:rFonts w:ascii="Times New Roman" w:hAnsi="Times New Roman" w:cs="Times New Roman"/>
          <w:sz w:val="24"/>
          <w:szCs w:val="24"/>
        </w:rPr>
        <w:t xml:space="preserve">aragraph </w:t>
      </w:r>
      <w:r>
        <w:rPr>
          <w:rFonts w:ascii="Times New Roman" w:hAnsi="Times New Roman" w:cs="Times New Roman"/>
          <w:sz w:val="24"/>
          <w:szCs w:val="24"/>
        </w:rPr>
        <w:t>4</w:t>
      </w:r>
      <w:r w:rsidRPr="00B4280C">
        <w:rPr>
          <w:rFonts w:ascii="Times New Roman" w:hAnsi="Times New Roman" w:cs="Times New Roman"/>
          <w:sz w:val="24"/>
          <w:szCs w:val="24"/>
        </w:rPr>
        <w:t xml:space="preserve"> does not permit suppliers of the services listed in </w:t>
      </w:r>
      <w:r w:rsidRPr="00B4280C">
        <w:rPr>
          <w:rFonts w:ascii="Times New Roman" w:eastAsia="Times New Roman" w:hAnsi="Times New Roman" w:cs="Times New Roman"/>
          <w:sz w:val="24"/>
          <w:szCs w:val="24"/>
        </w:rPr>
        <w:t xml:space="preserve">subparagraphs </w:t>
      </w:r>
      <w:r>
        <w:rPr>
          <w:rFonts w:ascii="Times New Roman" w:eastAsia="Times New Roman" w:hAnsi="Times New Roman" w:cs="Times New Roman"/>
          <w:sz w:val="24"/>
          <w:szCs w:val="24"/>
        </w:rPr>
        <w:t>4</w:t>
      </w:r>
      <w:r w:rsidRPr="00B4280C">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B4280C">
        <w:rPr>
          <w:rFonts w:ascii="Times New Roman" w:eastAsia="Times New Roman" w:hAnsi="Times New Roman" w:cs="Times New Roman"/>
          <w:sz w:val="24"/>
          <w:szCs w:val="24"/>
        </w:rPr>
        <w:t>)(</w:t>
      </w:r>
      <w:proofErr w:type="spellStart"/>
      <w:r w:rsidRPr="00B4280C">
        <w:rPr>
          <w:rFonts w:ascii="Times New Roman" w:eastAsia="Times New Roman" w:hAnsi="Times New Roman" w:cs="Times New Roman"/>
          <w:sz w:val="24"/>
          <w:szCs w:val="24"/>
        </w:rPr>
        <w:t>i</w:t>
      </w:r>
      <w:proofErr w:type="spellEnd"/>
      <w:r w:rsidRPr="00B428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through </w:t>
      </w:r>
      <w:r w:rsidRPr="00B4280C">
        <w:rPr>
          <w:rFonts w:ascii="Times New Roman" w:eastAsia="Times New Roman" w:hAnsi="Times New Roman" w:cs="Times New Roman"/>
          <w:sz w:val="24"/>
          <w:szCs w:val="24"/>
        </w:rPr>
        <w:t>(</w:t>
      </w:r>
      <w:r>
        <w:rPr>
          <w:rFonts w:ascii="Times New Roman" w:eastAsia="Times New Roman" w:hAnsi="Times New Roman" w:cs="Times New Roman"/>
          <w:sz w:val="24"/>
          <w:szCs w:val="24"/>
        </w:rPr>
        <w:t>iii)</w:t>
      </w:r>
      <w:r w:rsidRPr="00B4280C">
        <w:rPr>
          <w:rFonts w:ascii="Times New Roman" w:eastAsia="Times New Roman" w:hAnsi="Times New Roman" w:cs="Times New Roman"/>
          <w:sz w:val="24"/>
          <w:szCs w:val="24"/>
        </w:rPr>
        <w:t xml:space="preserve"> </w:t>
      </w:r>
      <w:r w:rsidRPr="00B4280C">
        <w:rPr>
          <w:rFonts w:ascii="Times New Roman" w:hAnsi="Times New Roman" w:cs="Times New Roman"/>
          <w:sz w:val="24"/>
          <w:szCs w:val="24"/>
        </w:rPr>
        <w:t xml:space="preserve">to provide </w:t>
      </w:r>
      <w:r>
        <w:rPr>
          <w:rFonts w:ascii="Times New Roman" w:hAnsi="Times New Roman" w:cs="Times New Roman"/>
          <w:sz w:val="24"/>
          <w:szCs w:val="24"/>
        </w:rPr>
        <w:t>these services</w:t>
      </w:r>
      <w:r w:rsidRPr="00B4280C">
        <w:rPr>
          <w:rFonts w:ascii="Times New Roman" w:hAnsi="Times New Roman" w:cs="Times New Roman"/>
          <w:sz w:val="24"/>
          <w:szCs w:val="24"/>
        </w:rPr>
        <w:t xml:space="preserve"> to a retail client.</w:t>
      </w:r>
    </w:p>
    <w:p w14:paraId="22C2CCD5" w14:textId="77777777" w:rsidR="00412040" w:rsidRPr="00540080" w:rsidRDefault="00412040" w:rsidP="00412040">
      <w:pPr>
        <w:ind w:left="709" w:hanging="709"/>
        <w:jc w:val="both"/>
        <w:rPr>
          <w:rFonts w:ascii="Times New Roman" w:hAnsi="Times New Roman" w:cs="Times New Roman"/>
          <w:sz w:val="24"/>
          <w:szCs w:val="24"/>
        </w:rPr>
      </w:pPr>
      <w:r>
        <w:rPr>
          <w:rFonts w:ascii="Times New Roman" w:hAnsi="Times New Roman" w:cs="Times New Roman"/>
          <w:sz w:val="24"/>
          <w:szCs w:val="24"/>
        </w:rPr>
        <w:t>7</w:t>
      </w:r>
      <w:r w:rsidRPr="00540080">
        <w:rPr>
          <w:rFonts w:ascii="Times New Roman" w:hAnsi="Times New Roman" w:cs="Times New Roman"/>
          <w:sz w:val="24"/>
          <w:szCs w:val="24"/>
        </w:rPr>
        <w:t xml:space="preserve">. </w:t>
      </w:r>
      <w:r>
        <w:rPr>
          <w:rFonts w:ascii="Times New Roman" w:hAnsi="Times New Roman" w:cs="Times New Roman"/>
          <w:sz w:val="24"/>
          <w:szCs w:val="24"/>
        </w:rPr>
        <w:tab/>
      </w:r>
      <w:r w:rsidRPr="00540080">
        <w:rPr>
          <w:rFonts w:ascii="Times New Roman" w:hAnsi="Times New Roman" w:cs="Times New Roman"/>
          <w:sz w:val="24"/>
          <w:szCs w:val="24"/>
        </w:rPr>
        <w:t>For the purposes of the</w:t>
      </w:r>
      <w:r>
        <w:rPr>
          <w:rFonts w:ascii="Times New Roman" w:hAnsi="Times New Roman" w:cs="Times New Roman"/>
          <w:sz w:val="24"/>
          <w:szCs w:val="24"/>
        </w:rPr>
        <w:t xml:space="preserve"> commitments made</w:t>
      </w:r>
      <w:r w:rsidRPr="00540080">
        <w:rPr>
          <w:rFonts w:ascii="Times New Roman" w:hAnsi="Times New Roman" w:cs="Times New Roman"/>
          <w:sz w:val="24"/>
          <w:szCs w:val="24"/>
        </w:rPr>
        <w:t xml:space="preserve"> in paragraph </w:t>
      </w:r>
      <w:r>
        <w:rPr>
          <w:rFonts w:ascii="Times New Roman" w:hAnsi="Times New Roman" w:cs="Times New Roman"/>
          <w:sz w:val="24"/>
          <w:szCs w:val="24"/>
        </w:rPr>
        <w:t>4</w:t>
      </w:r>
      <w:r w:rsidRPr="00540080">
        <w:rPr>
          <w:rFonts w:ascii="Times New Roman" w:hAnsi="Times New Roman" w:cs="Times New Roman"/>
          <w:sz w:val="24"/>
          <w:szCs w:val="24"/>
        </w:rPr>
        <w:t>(</w:t>
      </w:r>
      <w:r>
        <w:rPr>
          <w:rFonts w:ascii="Times New Roman" w:hAnsi="Times New Roman" w:cs="Times New Roman"/>
          <w:sz w:val="24"/>
          <w:szCs w:val="24"/>
        </w:rPr>
        <w:t>d</w:t>
      </w:r>
      <w:r w:rsidRPr="00540080">
        <w:rPr>
          <w:rFonts w:ascii="Times New Roman" w:hAnsi="Times New Roman" w:cs="Times New Roman"/>
          <w:sz w:val="24"/>
          <w:szCs w:val="24"/>
        </w:rPr>
        <w:t>)(</w:t>
      </w:r>
      <w:proofErr w:type="spellStart"/>
      <w:r w:rsidRPr="00540080">
        <w:rPr>
          <w:rFonts w:ascii="Times New Roman" w:hAnsi="Times New Roman" w:cs="Times New Roman"/>
          <w:sz w:val="24"/>
          <w:szCs w:val="24"/>
        </w:rPr>
        <w:t>i</w:t>
      </w:r>
      <w:proofErr w:type="spellEnd"/>
      <w:r w:rsidRPr="00540080">
        <w:rPr>
          <w:rFonts w:ascii="Times New Roman" w:hAnsi="Times New Roman" w:cs="Times New Roman"/>
          <w:sz w:val="24"/>
          <w:szCs w:val="24"/>
        </w:rPr>
        <w:t>)</w:t>
      </w:r>
      <w:r>
        <w:rPr>
          <w:rFonts w:ascii="Times New Roman" w:hAnsi="Times New Roman" w:cs="Times New Roman"/>
          <w:sz w:val="24"/>
          <w:szCs w:val="24"/>
        </w:rPr>
        <w:t xml:space="preserve"> through </w:t>
      </w:r>
      <w:r w:rsidRPr="00540080">
        <w:rPr>
          <w:rFonts w:ascii="Times New Roman" w:hAnsi="Times New Roman" w:cs="Times New Roman"/>
          <w:sz w:val="24"/>
          <w:szCs w:val="24"/>
        </w:rPr>
        <w:t xml:space="preserve">(iii), for Australia, “retail client” means a person who is defined as a retail client under section 761G </w:t>
      </w:r>
      <w:r>
        <w:rPr>
          <w:rFonts w:ascii="Times New Roman" w:hAnsi="Times New Roman" w:cs="Times New Roman"/>
          <w:sz w:val="24"/>
          <w:szCs w:val="24"/>
        </w:rPr>
        <w:t xml:space="preserve">of the </w:t>
      </w:r>
      <w:r w:rsidRPr="00865B0A">
        <w:rPr>
          <w:rFonts w:ascii="Times New Roman" w:eastAsia="Times New Roman" w:hAnsi="Times New Roman" w:cs="Times New Roman"/>
          <w:i/>
          <w:iCs/>
          <w:sz w:val="24"/>
          <w:szCs w:val="24"/>
        </w:rPr>
        <w:t>Corporations Act 2001 (</w:t>
      </w:r>
      <w:proofErr w:type="spellStart"/>
      <w:r w:rsidRPr="00865B0A">
        <w:rPr>
          <w:rFonts w:ascii="Times New Roman" w:eastAsia="Times New Roman" w:hAnsi="Times New Roman" w:cs="Times New Roman"/>
          <w:i/>
          <w:iCs/>
          <w:sz w:val="24"/>
          <w:szCs w:val="24"/>
        </w:rPr>
        <w:t>Cth</w:t>
      </w:r>
      <w:proofErr w:type="spellEnd"/>
      <w:r w:rsidRPr="00865B0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540080">
        <w:rPr>
          <w:rFonts w:ascii="Times New Roman" w:hAnsi="Times New Roman" w:cs="Times New Roman"/>
          <w:sz w:val="24"/>
          <w:szCs w:val="24"/>
        </w:rPr>
        <w:t xml:space="preserve">and is not excluded from being a retail client under section 761GA of the </w:t>
      </w:r>
      <w:r w:rsidRPr="00865B0A">
        <w:rPr>
          <w:rFonts w:ascii="Times New Roman" w:eastAsia="Times New Roman" w:hAnsi="Times New Roman" w:cs="Times New Roman"/>
          <w:i/>
          <w:iCs/>
          <w:sz w:val="24"/>
          <w:szCs w:val="24"/>
        </w:rPr>
        <w:t>Corporations Act 2001 (</w:t>
      </w:r>
      <w:proofErr w:type="spellStart"/>
      <w:r w:rsidRPr="00865B0A">
        <w:rPr>
          <w:rFonts w:ascii="Times New Roman" w:eastAsia="Times New Roman" w:hAnsi="Times New Roman" w:cs="Times New Roman"/>
          <w:i/>
          <w:iCs/>
          <w:sz w:val="24"/>
          <w:szCs w:val="24"/>
        </w:rPr>
        <w:t>Cth</w:t>
      </w:r>
      <w:proofErr w:type="spellEnd"/>
      <w:r w:rsidRPr="00865B0A">
        <w:rPr>
          <w:rFonts w:ascii="Times New Roman" w:eastAsia="Times New Roman" w:hAnsi="Times New Roman" w:cs="Times New Roman"/>
          <w:i/>
          <w:iCs/>
          <w:sz w:val="24"/>
          <w:szCs w:val="24"/>
        </w:rPr>
        <w:t>)</w:t>
      </w:r>
      <w:r w:rsidRPr="00540080">
        <w:rPr>
          <w:rFonts w:ascii="Times New Roman" w:hAnsi="Times New Roman" w:cs="Times New Roman"/>
          <w:sz w:val="24"/>
          <w:szCs w:val="24"/>
        </w:rPr>
        <w:t>.</w:t>
      </w:r>
    </w:p>
    <w:p w14:paraId="2638BF21" w14:textId="77777777" w:rsidR="00412040" w:rsidRPr="00C80EDF" w:rsidRDefault="00412040" w:rsidP="00412040">
      <w:pPr>
        <w:rPr>
          <w:rFonts w:ascii="Times New Roman" w:hAnsi="Times New Roman" w:cs="Times New Roman"/>
          <w:sz w:val="24"/>
          <w:szCs w:val="24"/>
        </w:rPr>
      </w:pPr>
    </w:p>
    <w:p w14:paraId="6A090DDB" w14:textId="77777777" w:rsidR="00412040" w:rsidRDefault="00412040" w:rsidP="00412040">
      <w:pPr>
        <w:rPr>
          <w:rFonts w:ascii="Times New Roman" w:hAnsi="Times New Roman" w:cs="Times New Roman"/>
          <w:i/>
          <w:iCs/>
          <w:sz w:val="24"/>
          <w:szCs w:val="24"/>
        </w:rPr>
      </w:pPr>
      <w:r>
        <w:rPr>
          <w:rFonts w:ascii="Times New Roman" w:hAnsi="Times New Roman" w:cs="Times New Roman"/>
          <w:b/>
          <w:bCs/>
          <w:i/>
          <w:iCs/>
          <w:sz w:val="24"/>
          <w:szCs w:val="24"/>
        </w:rPr>
        <w:br w:type="page"/>
      </w:r>
      <w:r>
        <w:rPr>
          <w:rFonts w:ascii="Times New Roman" w:hAnsi="Times New Roman" w:cs="Times New Roman"/>
          <w:b/>
          <w:bCs/>
          <w:i/>
          <w:iCs/>
          <w:sz w:val="24"/>
          <w:szCs w:val="24"/>
        </w:rPr>
        <w:lastRenderedPageBreak/>
        <w:t>United Kingdom</w:t>
      </w:r>
    </w:p>
    <w:p w14:paraId="78658596" w14:textId="77777777" w:rsidR="00412040" w:rsidRPr="000A68B3" w:rsidRDefault="00412040" w:rsidP="00412040">
      <w:pPr>
        <w:rPr>
          <w:rFonts w:ascii="Times New Roman" w:hAnsi="Times New Roman" w:cs="Times New Roman"/>
          <w:i/>
          <w:iCs/>
          <w:sz w:val="24"/>
          <w:szCs w:val="24"/>
        </w:rPr>
      </w:pPr>
      <w:r w:rsidRPr="00B83340">
        <w:rPr>
          <w:rFonts w:ascii="Times New Roman" w:hAnsi="Times New Roman" w:cs="Times New Roman"/>
          <w:i/>
          <w:iCs/>
          <w:sz w:val="24"/>
          <w:szCs w:val="24"/>
        </w:rPr>
        <w:t>Insurance and insurance-related services</w:t>
      </w:r>
    </w:p>
    <w:p w14:paraId="69C2D56F" w14:textId="77777777" w:rsidR="00412040" w:rsidRPr="00487EF5" w:rsidRDefault="00412040" w:rsidP="00412040">
      <w:pPr>
        <w:pStyle w:val="ListParagraph"/>
        <w:spacing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3C2EF3">
        <w:rPr>
          <w:rFonts w:ascii="Times New Roman" w:hAnsi="Times New Roman" w:cs="Times New Roman"/>
          <w:sz w:val="24"/>
          <w:szCs w:val="24"/>
        </w:rPr>
        <w:t xml:space="preserve">Subject to any limitations set out elsewhere in </w:t>
      </w:r>
      <w:r>
        <w:rPr>
          <w:rFonts w:ascii="Times New Roman" w:hAnsi="Times New Roman" w:cs="Times New Roman"/>
          <w:sz w:val="24"/>
          <w:szCs w:val="24"/>
        </w:rPr>
        <w:t>the United Kingdom’s</w:t>
      </w:r>
      <w:r w:rsidRPr="003C2EF3">
        <w:rPr>
          <w:rFonts w:ascii="Times New Roman" w:hAnsi="Times New Roman" w:cs="Times New Roman"/>
          <w:sz w:val="24"/>
          <w:szCs w:val="24"/>
        </w:rPr>
        <w:t xml:space="preserve"> commitments,</w:t>
      </w:r>
      <w:r>
        <w:rPr>
          <w:rFonts w:ascii="Times New Roman" w:hAnsi="Times New Roman" w:cs="Times New Roman"/>
          <w:sz w:val="24"/>
          <w:szCs w:val="24"/>
        </w:rPr>
        <w:t xml:space="preserve"> </w:t>
      </w:r>
      <w:r w:rsidRPr="00B83340">
        <w:rPr>
          <w:rFonts w:ascii="Times New Roman" w:hAnsi="Times New Roman" w:cs="Times New Roman"/>
          <w:sz w:val="24"/>
          <w:szCs w:val="24"/>
        </w:rPr>
        <w:t xml:space="preserve">Articles </w:t>
      </w:r>
      <w:r>
        <w:rPr>
          <w:rFonts w:ascii="Times New Roman" w:hAnsi="Times New Roman" w:cs="Times New Roman"/>
          <w:sz w:val="24"/>
          <w:szCs w:val="24"/>
        </w:rPr>
        <w:t>9.5</w:t>
      </w:r>
      <w:r w:rsidRPr="00B83340">
        <w:rPr>
          <w:rFonts w:ascii="Times New Roman" w:hAnsi="Times New Roman" w:cs="Times New Roman"/>
          <w:sz w:val="24"/>
          <w:szCs w:val="24"/>
        </w:rPr>
        <w:t xml:space="preserve"> (National Treatment), </w:t>
      </w:r>
      <w:r>
        <w:rPr>
          <w:rFonts w:ascii="Times New Roman" w:hAnsi="Times New Roman" w:cs="Times New Roman"/>
          <w:sz w:val="24"/>
          <w:szCs w:val="24"/>
        </w:rPr>
        <w:t>9.6</w:t>
      </w:r>
      <w:r w:rsidRPr="00B83340">
        <w:rPr>
          <w:rFonts w:ascii="Times New Roman" w:hAnsi="Times New Roman" w:cs="Times New Roman"/>
          <w:sz w:val="24"/>
          <w:szCs w:val="24"/>
        </w:rPr>
        <w:t xml:space="preserve"> (Market Access) and </w:t>
      </w:r>
      <w:r w:rsidRPr="00BE3073">
        <w:rPr>
          <w:rFonts w:ascii="Times New Roman" w:hAnsi="Times New Roman" w:cs="Times New Roman"/>
          <w:sz w:val="24"/>
          <w:szCs w:val="24"/>
        </w:rPr>
        <w:t>9.7 (Local Presence)</w:t>
      </w:r>
      <w:r w:rsidRPr="00B83340">
        <w:rPr>
          <w:rFonts w:ascii="Times New Roman" w:hAnsi="Times New Roman" w:cs="Times New Roman"/>
          <w:sz w:val="24"/>
          <w:szCs w:val="24"/>
        </w:rPr>
        <w:t xml:space="preserve"> apply to the </w:t>
      </w:r>
      <w:r w:rsidRPr="00487EF5">
        <w:rPr>
          <w:rFonts w:ascii="Times New Roman" w:hAnsi="Times New Roman" w:cs="Times New Roman"/>
          <w:sz w:val="24"/>
          <w:szCs w:val="24"/>
        </w:rPr>
        <w:t xml:space="preserve">cross-border supply or trade in financial services, as defined in subparagraph (a) of the definition of cross-border supply of financial services in Article </w:t>
      </w:r>
      <w:r>
        <w:rPr>
          <w:rFonts w:ascii="Times New Roman" w:hAnsi="Times New Roman" w:cs="Times New Roman"/>
          <w:sz w:val="24"/>
          <w:szCs w:val="24"/>
        </w:rPr>
        <w:t>9.1</w:t>
      </w:r>
      <w:r w:rsidRPr="00487EF5">
        <w:rPr>
          <w:rFonts w:ascii="Times New Roman" w:hAnsi="Times New Roman" w:cs="Times New Roman"/>
          <w:sz w:val="24"/>
          <w:szCs w:val="24"/>
        </w:rPr>
        <w:t xml:space="preserve"> (Definitions) with respect to: </w:t>
      </w:r>
    </w:p>
    <w:p w14:paraId="7282EC99" w14:textId="77777777" w:rsidR="00412040" w:rsidRPr="00487EF5" w:rsidRDefault="00412040" w:rsidP="00412040">
      <w:pPr>
        <w:pStyle w:val="ListParagraph"/>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487EF5">
        <w:rPr>
          <w:rFonts w:ascii="Times New Roman" w:hAnsi="Times New Roman" w:cs="Times New Roman"/>
          <w:sz w:val="24"/>
          <w:szCs w:val="24"/>
        </w:rPr>
        <w:t>insurance of risks relating to:</w:t>
      </w:r>
      <w:r>
        <w:rPr>
          <w:rStyle w:val="FootnoteReference"/>
          <w:rFonts w:ascii="Times New Roman" w:hAnsi="Times New Roman" w:cs="Times New Roman"/>
          <w:sz w:val="24"/>
          <w:szCs w:val="24"/>
        </w:rPr>
        <w:footnoteReference w:id="3"/>
      </w:r>
    </w:p>
    <w:p w14:paraId="23BB8B4A" w14:textId="77777777" w:rsidR="00412040" w:rsidRPr="00487EF5" w:rsidRDefault="00412040" w:rsidP="00412040">
      <w:pPr>
        <w:pStyle w:val="ListParagraph"/>
        <w:spacing w:line="252" w:lineRule="auto"/>
        <w:jc w:val="both"/>
        <w:rPr>
          <w:rFonts w:ascii="Times New Roman" w:hAnsi="Times New Roman" w:cs="Times New Roman"/>
          <w:sz w:val="24"/>
          <w:szCs w:val="24"/>
        </w:rPr>
      </w:pPr>
    </w:p>
    <w:p w14:paraId="6CDB6A53" w14:textId="77777777" w:rsidR="00412040" w:rsidRDefault="00412040" w:rsidP="00412040">
      <w:pPr>
        <w:pStyle w:val="ListParagraph"/>
        <w:ind w:left="2127" w:hanging="68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056775">
        <w:rPr>
          <w:rFonts w:ascii="Times New Roman" w:hAnsi="Times New Roman" w:cs="Times New Roman"/>
          <w:sz w:val="24"/>
          <w:szCs w:val="24"/>
        </w:rPr>
        <w:t xml:space="preserve">maritime shipping and commercial aviation and space launching and freight (including satellites), with such insurance to cover any or all of the following: the goods being transported, the vehicle transporting the goods and any liability arising </w:t>
      </w:r>
      <w:proofErr w:type="gramStart"/>
      <w:r w:rsidRPr="00056775">
        <w:rPr>
          <w:rFonts w:ascii="Times New Roman" w:hAnsi="Times New Roman" w:cs="Times New Roman"/>
          <w:sz w:val="24"/>
          <w:szCs w:val="24"/>
        </w:rPr>
        <w:t>therefrom;</w:t>
      </w:r>
      <w:proofErr w:type="gramEnd"/>
    </w:p>
    <w:p w14:paraId="388AE731" w14:textId="77777777" w:rsidR="00412040" w:rsidRPr="00056775" w:rsidRDefault="00412040" w:rsidP="00412040">
      <w:pPr>
        <w:pStyle w:val="ListParagraph"/>
        <w:ind w:left="1440"/>
        <w:rPr>
          <w:rFonts w:ascii="Times New Roman" w:hAnsi="Times New Roman" w:cs="Times New Roman"/>
          <w:sz w:val="24"/>
          <w:szCs w:val="24"/>
        </w:rPr>
      </w:pPr>
    </w:p>
    <w:p w14:paraId="43D41226"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Pr="00056775">
        <w:rPr>
          <w:rFonts w:ascii="Times New Roman" w:hAnsi="Times New Roman" w:cs="Times New Roman"/>
          <w:sz w:val="24"/>
          <w:szCs w:val="24"/>
        </w:rPr>
        <w:t xml:space="preserve">goods in international </w:t>
      </w:r>
      <w:proofErr w:type="gramStart"/>
      <w:r w:rsidRPr="00056775">
        <w:rPr>
          <w:rFonts w:ascii="Times New Roman" w:hAnsi="Times New Roman" w:cs="Times New Roman"/>
          <w:sz w:val="24"/>
          <w:szCs w:val="24"/>
        </w:rPr>
        <w:t>transit;</w:t>
      </w:r>
      <w:proofErr w:type="gramEnd"/>
    </w:p>
    <w:p w14:paraId="39C9235B" w14:textId="77777777" w:rsidR="00412040" w:rsidRPr="00056775" w:rsidRDefault="00412040" w:rsidP="00412040">
      <w:pPr>
        <w:pStyle w:val="ListParagraph"/>
        <w:ind w:left="1440"/>
        <w:rPr>
          <w:rFonts w:ascii="Times New Roman" w:hAnsi="Times New Roman" w:cs="Times New Roman"/>
          <w:sz w:val="24"/>
          <w:szCs w:val="24"/>
        </w:rPr>
      </w:pPr>
    </w:p>
    <w:p w14:paraId="745E34F2"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r w:rsidRPr="00056775">
        <w:rPr>
          <w:rFonts w:ascii="Times New Roman" w:hAnsi="Times New Roman" w:cs="Times New Roman"/>
          <w:sz w:val="24"/>
          <w:szCs w:val="24"/>
        </w:rPr>
        <w:t xml:space="preserve">credit and </w:t>
      </w:r>
      <w:proofErr w:type="gramStart"/>
      <w:r w:rsidRPr="00056775">
        <w:rPr>
          <w:rFonts w:ascii="Times New Roman" w:hAnsi="Times New Roman" w:cs="Times New Roman"/>
          <w:sz w:val="24"/>
          <w:szCs w:val="24"/>
        </w:rPr>
        <w:t>suretyship;</w:t>
      </w:r>
      <w:proofErr w:type="gramEnd"/>
    </w:p>
    <w:p w14:paraId="5D220E6A" w14:textId="77777777" w:rsidR="00412040" w:rsidRPr="00056775" w:rsidRDefault="00412040" w:rsidP="00412040">
      <w:pPr>
        <w:pStyle w:val="ListParagraph"/>
        <w:ind w:left="1440"/>
        <w:rPr>
          <w:rFonts w:ascii="Times New Roman" w:hAnsi="Times New Roman" w:cs="Times New Roman"/>
          <w:sz w:val="24"/>
          <w:szCs w:val="24"/>
        </w:rPr>
      </w:pPr>
    </w:p>
    <w:p w14:paraId="7E8FE4ED"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(iv) </w:t>
      </w:r>
      <w:r>
        <w:rPr>
          <w:rFonts w:ascii="Times New Roman" w:hAnsi="Times New Roman" w:cs="Times New Roman"/>
          <w:sz w:val="24"/>
          <w:szCs w:val="24"/>
        </w:rPr>
        <w:tab/>
      </w:r>
      <w:r w:rsidRPr="00056775">
        <w:rPr>
          <w:rFonts w:ascii="Times New Roman" w:hAnsi="Times New Roman" w:cs="Times New Roman"/>
          <w:sz w:val="24"/>
          <w:szCs w:val="24"/>
        </w:rPr>
        <w:t xml:space="preserve">land </w:t>
      </w:r>
      <w:proofErr w:type="gramStart"/>
      <w:r w:rsidRPr="00056775">
        <w:rPr>
          <w:rFonts w:ascii="Times New Roman" w:hAnsi="Times New Roman" w:cs="Times New Roman"/>
          <w:sz w:val="24"/>
          <w:szCs w:val="24"/>
        </w:rPr>
        <w:t>vehicles;</w:t>
      </w:r>
      <w:proofErr w:type="gramEnd"/>
    </w:p>
    <w:p w14:paraId="714E51EE" w14:textId="77777777" w:rsidR="00412040" w:rsidRPr="00056775" w:rsidRDefault="00412040" w:rsidP="00412040">
      <w:pPr>
        <w:pStyle w:val="ListParagraph"/>
        <w:ind w:left="1440"/>
        <w:rPr>
          <w:rFonts w:ascii="Times New Roman" w:hAnsi="Times New Roman" w:cs="Times New Roman"/>
          <w:sz w:val="24"/>
          <w:szCs w:val="24"/>
        </w:rPr>
      </w:pPr>
    </w:p>
    <w:p w14:paraId="64A9FEC9"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sz w:val="24"/>
          <w:szCs w:val="24"/>
        </w:rPr>
        <w:tab/>
      </w:r>
      <w:r w:rsidRPr="00056775">
        <w:rPr>
          <w:rFonts w:ascii="Times New Roman" w:hAnsi="Times New Roman" w:cs="Times New Roman"/>
          <w:sz w:val="24"/>
          <w:szCs w:val="24"/>
        </w:rPr>
        <w:t xml:space="preserve">fire and natural </w:t>
      </w:r>
      <w:proofErr w:type="gramStart"/>
      <w:r w:rsidRPr="00056775">
        <w:rPr>
          <w:rFonts w:ascii="Times New Roman" w:hAnsi="Times New Roman" w:cs="Times New Roman"/>
          <w:sz w:val="24"/>
          <w:szCs w:val="24"/>
        </w:rPr>
        <w:t>forces;</w:t>
      </w:r>
      <w:proofErr w:type="gramEnd"/>
    </w:p>
    <w:p w14:paraId="68A05170" w14:textId="77777777" w:rsidR="00412040" w:rsidRPr="00056775" w:rsidRDefault="00412040" w:rsidP="00412040">
      <w:pPr>
        <w:pStyle w:val="ListParagraph"/>
        <w:ind w:left="1440"/>
        <w:rPr>
          <w:rFonts w:ascii="Times New Roman" w:hAnsi="Times New Roman" w:cs="Times New Roman"/>
          <w:sz w:val="24"/>
          <w:szCs w:val="24"/>
        </w:rPr>
      </w:pPr>
    </w:p>
    <w:p w14:paraId="69612F85"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(vi) </w:t>
      </w:r>
      <w:r>
        <w:rPr>
          <w:rFonts w:ascii="Times New Roman" w:hAnsi="Times New Roman" w:cs="Times New Roman"/>
          <w:sz w:val="24"/>
          <w:szCs w:val="24"/>
        </w:rPr>
        <w:tab/>
      </w:r>
      <w:r w:rsidRPr="00056775">
        <w:rPr>
          <w:rFonts w:ascii="Times New Roman" w:hAnsi="Times New Roman" w:cs="Times New Roman"/>
          <w:sz w:val="24"/>
          <w:szCs w:val="24"/>
        </w:rPr>
        <w:t xml:space="preserve">other damage to </w:t>
      </w:r>
      <w:proofErr w:type="gramStart"/>
      <w:r w:rsidRPr="00056775">
        <w:rPr>
          <w:rFonts w:ascii="Times New Roman" w:hAnsi="Times New Roman" w:cs="Times New Roman"/>
          <w:sz w:val="24"/>
          <w:szCs w:val="24"/>
        </w:rPr>
        <w:t>property;</w:t>
      </w:r>
      <w:proofErr w:type="gramEnd"/>
    </w:p>
    <w:p w14:paraId="5068E87E" w14:textId="77777777" w:rsidR="00412040" w:rsidRPr="00056775" w:rsidRDefault="00412040" w:rsidP="00412040">
      <w:pPr>
        <w:pStyle w:val="ListParagraph"/>
        <w:ind w:left="1440"/>
        <w:rPr>
          <w:rFonts w:ascii="Times New Roman" w:hAnsi="Times New Roman" w:cs="Times New Roman"/>
          <w:sz w:val="24"/>
          <w:szCs w:val="24"/>
        </w:rPr>
      </w:pPr>
    </w:p>
    <w:p w14:paraId="63AC082E" w14:textId="77777777" w:rsidR="00412040" w:rsidRPr="00056775" w:rsidRDefault="00412040" w:rsidP="00412040">
      <w:pPr>
        <w:pStyle w:val="ListParagraph"/>
        <w:ind w:left="2127" w:hanging="687"/>
        <w:rPr>
          <w:rFonts w:ascii="Times New Roman" w:hAnsi="Times New Roman" w:cs="Times New Roman"/>
          <w:sz w:val="24"/>
          <w:szCs w:val="24"/>
        </w:rPr>
      </w:pPr>
      <w:r>
        <w:rPr>
          <w:rFonts w:ascii="Times New Roman" w:hAnsi="Times New Roman" w:cs="Times New Roman"/>
          <w:sz w:val="24"/>
          <w:szCs w:val="24"/>
        </w:rPr>
        <w:t xml:space="preserve">(vii) </w:t>
      </w:r>
      <w:r>
        <w:rPr>
          <w:rFonts w:ascii="Times New Roman" w:hAnsi="Times New Roman" w:cs="Times New Roman"/>
          <w:sz w:val="24"/>
          <w:szCs w:val="24"/>
        </w:rPr>
        <w:tab/>
      </w:r>
      <w:r w:rsidRPr="00056775">
        <w:rPr>
          <w:rFonts w:ascii="Times New Roman" w:hAnsi="Times New Roman" w:cs="Times New Roman"/>
          <w:sz w:val="24"/>
          <w:szCs w:val="24"/>
        </w:rPr>
        <w:t xml:space="preserve">motor vehicle liability, except in relation to any liability which, in accordance with domestic law, must be insured by an insurer who is authorised under such </w:t>
      </w:r>
      <w:proofErr w:type="gramStart"/>
      <w:r w:rsidRPr="00056775">
        <w:rPr>
          <w:rFonts w:ascii="Times New Roman" w:hAnsi="Times New Roman" w:cs="Times New Roman"/>
          <w:sz w:val="24"/>
          <w:szCs w:val="24"/>
        </w:rPr>
        <w:t>laws;</w:t>
      </w:r>
      <w:proofErr w:type="gramEnd"/>
    </w:p>
    <w:p w14:paraId="59C2C7D1" w14:textId="77777777" w:rsidR="00412040" w:rsidRPr="00056775" w:rsidRDefault="00412040" w:rsidP="00412040">
      <w:pPr>
        <w:pStyle w:val="ListParagraph"/>
        <w:ind w:left="1440"/>
        <w:rPr>
          <w:rFonts w:ascii="Times New Roman" w:hAnsi="Times New Roman" w:cs="Times New Roman"/>
          <w:sz w:val="24"/>
          <w:szCs w:val="24"/>
        </w:rPr>
      </w:pPr>
    </w:p>
    <w:p w14:paraId="2078877A"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(viii) </w:t>
      </w:r>
      <w:r>
        <w:rPr>
          <w:rFonts w:ascii="Times New Roman" w:hAnsi="Times New Roman" w:cs="Times New Roman"/>
          <w:sz w:val="24"/>
          <w:szCs w:val="24"/>
        </w:rPr>
        <w:tab/>
      </w:r>
      <w:r w:rsidRPr="00056775">
        <w:rPr>
          <w:rFonts w:ascii="Times New Roman" w:hAnsi="Times New Roman" w:cs="Times New Roman"/>
          <w:sz w:val="24"/>
          <w:szCs w:val="24"/>
        </w:rPr>
        <w:t xml:space="preserve">general </w:t>
      </w:r>
      <w:proofErr w:type="gramStart"/>
      <w:r w:rsidRPr="00056775">
        <w:rPr>
          <w:rFonts w:ascii="Times New Roman" w:hAnsi="Times New Roman" w:cs="Times New Roman"/>
          <w:sz w:val="24"/>
          <w:szCs w:val="24"/>
        </w:rPr>
        <w:t>liability;</w:t>
      </w:r>
      <w:proofErr w:type="gramEnd"/>
    </w:p>
    <w:p w14:paraId="4AF21209" w14:textId="77777777" w:rsidR="00412040" w:rsidRPr="00056775" w:rsidRDefault="00412040" w:rsidP="00412040">
      <w:pPr>
        <w:pStyle w:val="ListParagraph"/>
        <w:ind w:left="1440"/>
        <w:rPr>
          <w:rFonts w:ascii="Times New Roman" w:hAnsi="Times New Roman" w:cs="Times New Roman"/>
          <w:sz w:val="24"/>
          <w:szCs w:val="24"/>
        </w:rPr>
      </w:pPr>
    </w:p>
    <w:p w14:paraId="43AABE62" w14:textId="77777777" w:rsidR="00412040" w:rsidRPr="00056775" w:rsidRDefault="00412040" w:rsidP="0041204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(ix) </w:t>
      </w:r>
      <w:r>
        <w:rPr>
          <w:rFonts w:ascii="Times New Roman" w:hAnsi="Times New Roman" w:cs="Times New Roman"/>
          <w:sz w:val="24"/>
          <w:szCs w:val="24"/>
        </w:rPr>
        <w:tab/>
      </w:r>
      <w:r w:rsidRPr="00056775">
        <w:rPr>
          <w:rFonts w:ascii="Times New Roman" w:hAnsi="Times New Roman" w:cs="Times New Roman"/>
          <w:sz w:val="24"/>
          <w:szCs w:val="24"/>
        </w:rPr>
        <w:t xml:space="preserve">miscellaneous financial </w:t>
      </w:r>
      <w:proofErr w:type="gramStart"/>
      <w:r w:rsidRPr="00056775">
        <w:rPr>
          <w:rFonts w:ascii="Times New Roman" w:hAnsi="Times New Roman" w:cs="Times New Roman"/>
          <w:sz w:val="24"/>
          <w:szCs w:val="24"/>
        </w:rPr>
        <w:t>loss;</w:t>
      </w:r>
      <w:proofErr w:type="gramEnd"/>
    </w:p>
    <w:p w14:paraId="08568AA6" w14:textId="77777777" w:rsidR="00412040" w:rsidRPr="00056775" w:rsidRDefault="00412040" w:rsidP="00412040">
      <w:pPr>
        <w:pStyle w:val="ListParagraph"/>
        <w:ind w:left="1440"/>
        <w:rPr>
          <w:rFonts w:ascii="Times New Roman" w:hAnsi="Times New Roman" w:cs="Times New Roman"/>
          <w:sz w:val="24"/>
          <w:szCs w:val="24"/>
        </w:rPr>
      </w:pPr>
    </w:p>
    <w:p w14:paraId="7B11BBFF" w14:textId="77777777" w:rsidR="00412040" w:rsidRPr="00056775" w:rsidRDefault="00412040" w:rsidP="00412040">
      <w:pPr>
        <w:pStyle w:val="ListParagraph"/>
        <w:ind w:left="2127" w:hanging="687"/>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r>
      <w:r w:rsidRPr="00056775">
        <w:rPr>
          <w:rFonts w:ascii="Times New Roman" w:hAnsi="Times New Roman" w:cs="Times New Roman"/>
          <w:sz w:val="24"/>
          <w:szCs w:val="24"/>
        </w:rPr>
        <w:t xml:space="preserve">difference in conditions and difference in limits, where the difference in conditions or difference in limits cover is provided under a master policy issued by an insurer to cover risks across multiple </w:t>
      </w:r>
      <w:proofErr w:type="gramStart"/>
      <w:r w:rsidRPr="00056775">
        <w:rPr>
          <w:rFonts w:ascii="Times New Roman" w:hAnsi="Times New Roman" w:cs="Times New Roman"/>
          <w:sz w:val="24"/>
          <w:szCs w:val="24"/>
        </w:rPr>
        <w:t>jurisdictions;</w:t>
      </w:r>
      <w:proofErr w:type="gramEnd"/>
    </w:p>
    <w:p w14:paraId="72662097" w14:textId="77777777" w:rsidR="00412040" w:rsidRPr="00487EF5" w:rsidRDefault="00412040" w:rsidP="00412040">
      <w:pPr>
        <w:pStyle w:val="ListParagraph"/>
        <w:spacing w:line="252" w:lineRule="auto"/>
        <w:jc w:val="both"/>
        <w:rPr>
          <w:rFonts w:ascii="Times New Roman" w:hAnsi="Times New Roman" w:cs="Times New Roman"/>
          <w:sz w:val="24"/>
          <w:szCs w:val="24"/>
        </w:rPr>
      </w:pPr>
    </w:p>
    <w:p w14:paraId="52FD43E7" w14:textId="77777777" w:rsidR="00412040" w:rsidRPr="00487EF5" w:rsidRDefault="00412040" w:rsidP="00412040">
      <w:pPr>
        <w:pStyle w:val="ListParagraph"/>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487EF5">
        <w:rPr>
          <w:rFonts w:ascii="Times New Roman" w:hAnsi="Times New Roman" w:cs="Times New Roman"/>
          <w:sz w:val="24"/>
          <w:szCs w:val="24"/>
        </w:rPr>
        <w:t xml:space="preserve">reinsurance and </w:t>
      </w:r>
      <w:proofErr w:type="gramStart"/>
      <w:r w:rsidRPr="00487EF5">
        <w:rPr>
          <w:rFonts w:ascii="Times New Roman" w:hAnsi="Times New Roman" w:cs="Times New Roman"/>
          <w:sz w:val="24"/>
          <w:szCs w:val="24"/>
        </w:rPr>
        <w:t>retrocession;</w:t>
      </w:r>
      <w:proofErr w:type="gramEnd"/>
    </w:p>
    <w:p w14:paraId="5922E948" w14:textId="77777777" w:rsidR="00412040" w:rsidRPr="00487EF5" w:rsidRDefault="00412040" w:rsidP="00412040">
      <w:pPr>
        <w:pStyle w:val="ListParagraph"/>
        <w:spacing w:line="252" w:lineRule="auto"/>
        <w:jc w:val="both"/>
        <w:rPr>
          <w:rFonts w:ascii="Times New Roman" w:hAnsi="Times New Roman" w:cs="Times New Roman"/>
          <w:sz w:val="24"/>
          <w:szCs w:val="24"/>
        </w:rPr>
      </w:pPr>
    </w:p>
    <w:p w14:paraId="2B5C4C5E" w14:textId="77777777" w:rsidR="00412040" w:rsidRPr="00920EC1" w:rsidRDefault="00412040" w:rsidP="00412040">
      <w:pPr>
        <w:pStyle w:val="ListParagraph"/>
        <w:spacing w:line="252"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920EC1">
        <w:rPr>
          <w:rFonts w:ascii="Times New Roman" w:hAnsi="Times New Roman" w:cs="Times New Roman"/>
          <w:sz w:val="24"/>
          <w:szCs w:val="24"/>
        </w:rPr>
        <w:t>insurance intermediation</w:t>
      </w:r>
      <w:r>
        <w:rPr>
          <w:rFonts w:ascii="Times New Roman" w:hAnsi="Times New Roman" w:cs="Times New Roman"/>
          <w:sz w:val="24"/>
          <w:szCs w:val="24"/>
        </w:rPr>
        <w:t>, such as brokerage and agency,</w:t>
      </w:r>
      <w:r w:rsidRPr="00920EC1">
        <w:rPr>
          <w:rFonts w:ascii="Times New Roman" w:hAnsi="Times New Roman" w:cs="Times New Roman"/>
          <w:sz w:val="24"/>
          <w:szCs w:val="24"/>
        </w:rPr>
        <w:t xml:space="preserve"> as </w:t>
      </w:r>
      <w:r>
        <w:rPr>
          <w:rFonts w:ascii="Times New Roman" w:hAnsi="Times New Roman" w:cs="Times New Roman"/>
          <w:sz w:val="24"/>
          <w:szCs w:val="24"/>
        </w:rPr>
        <w:t>referred to</w:t>
      </w:r>
      <w:r w:rsidRPr="00920EC1">
        <w:rPr>
          <w:rFonts w:ascii="Times New Roman" w:hAnsi="Times New Roman" w:cs="Times New Roman"/>
          <w:sz w:val="24"/>
          <w:szCs w:val="24"/>
        </w:rPr>
        <w:t xml:space="preserve"> in subparagraph (</w:t>
      </w:r>
      <w:r>
        <w:rPr>
          <w:rFonts w:ascii="Times New Roman" w:hAnsi="Times New Roman" w:cs="Times New Roman"/>
          <w:sz w:val="24"/>
          <w:szCs w:val="24"/>
        </w:rPr>
        <w:t>c</w:t>
      </w:r>
      <w:r w:rsidRPr="00920EC1">
        <w:rPr>
          <w:rFonts w:ascii="Times New Roman" w:hAnsi="Times New Roman" w:cs="Times New Roman"/>
          <w:sz w:val="24"/>
          <w:szCs w:val="24"/>
        </w:rPr>
        <w:t xml:space="preserve">) of the definition of </w:t>
      </w:r>
      <w:r>
        <w:rPr>
          <w:rFonts w:ascii="Times New Roman" w:hAnsi="Times New Roman" w:cs="Times New Roman"/>
          <w:sz w:val="24"/>
          <w:szCs w:val="24"/>
        </w:rPr>
        <w:t xml:space="preserve">financial service </w:t>
      </w:r>
      <w:r w:rsidRPr="00920EC1">
        <w:rPr>
          <w:rFonts w:ascii="Times New Roman" w:hAnsi="Times New Roman" w:cs="Times New Roman"/>
          <w:sz w:val="24"/>
          <w:szCs w:val="24"/>
        </w:rPr>
        <w:t xml:space="preserve">in Article </w:t>
      </w:r>
      <w:r>
        <w:rPr>
          <w:rFonts w:ascii="Times New Roman" w:hAnsi="Times New Roman" w:cs="Times New Roman"/>
          <w:sz w:val="24"/>
          <w:szCs w:val="24"/>
        </w:rPr>
        <w:t xml:space="preserve">9.1 </w:t>
      </w:r>
      <w:r w:rsidRPr="00920EC1">
        <w:rPr>
          <w:rFonts w:ascii="Times New Roman" w:hAnsi="Times New Roman" w:cs="Times New Roman"/>
          <w:sz w:val="24"/>
          <w:szCs w:val="24"/>
        </w:rPr>
        <w:lastRenderedPageBreak/>
        <w:t>(Defini</w:t>
      </w:r>
      <w:r w:rsidRPr="00D13CD8">
        <w:rPr>
          <w:rFonts w:ascii="Times New Roman" w:hAnsi="Times New Roman" w:cs="Times New Roman"/>
          <w:sz w:val="24"/>
          <w:szCs w:val="24"/>
        </w:rPr>
        <w:t>tions), of insurance risks related to the services listed in subparagraphs (a) and (b);</w:t>
      </w:r>
      <w:r>
        <w:rPr>
          <w:rFonts w:ascii="Times New Roman" w:hAnsi="Times New Roman" w:cs="Times New Roman"/>
          <w:sz w:val="24"/>
          <w:szCs w:val="24"/>
        </w:rPr>
        <w:t xml:space="preserve"> and</w:t>
      </w:r>
    </w:p>
    <w:p w14:paraId="0EEA8A7E" w14:textId="77777777" w:rsidR="00412040" w:rsidRPr="00920EC1" w:rsidRDefault="00412040" w:rsidP="00412040">
      <w:pPr>
        <w:pStyle w:val="ListParagraph"/>
        <w:jc w:val="both"/>
        <w:rPr>
          <w:rFonts w:ascii="Times New Roman" w:hAnsi="Times New Roman" w:cs="Times New Roman"/>
          <w:sz w:val="24"/>
          <w:szCs w:val="24"/>
        </w:rPr>
      </w:pPr>
    </w:p>
    <w:p w14:paraId="56CFBD2B" w14:textId="77777777" w:rsidR="00412040" w:rsidRDefault="00412040" w:rsidP="00412040">
      <w:pPr>
        <w:pStyle w:val="ListParagraph"/>
        <w:spacing w:line="252"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CC3CEB">
        <w:rPr>
          <w:rFonts w:ascii="Times New Roman" w:hAnsi="Times New Roman" w:cs="Times New Roman"/>
          <w:sz w:val="24"/>
          <w:szCs w:val="24"/>
        </w:rPr>
        <w:t>services auxiliary to insurance as described in subparagraph (</w:t>
      </w:r>
      <w:r>
        <w:rPr>
          <w:rFonts w:ascii="Times New Roman" w:hAnsi="Times New Roman" w:cs="Times New Roman"/>
          <w:sz w:val="24"/>
          <w:szCs w:val="24"/>
        </w:rPr>
        <w:t>d</w:t>
      </w:r>
      <w:r w:rsidRPr="00CC3CEB">
        <w:rPr>
          <w:rFonts w:ascii="Times New Roman" w:hAnsi="Times New Roman" w:cs="Times New Roman"/>
          <w:sz w:val="24"/>
          <w:szCs w:val="24"/>
        </w:rPr>
        <w:t xml:space="preserve">) of the definition of </w:t>
      </w:r>
      <w:r>
        <w:rPr>
          <w:rFonts w:ascii="Times New Roman" w:hAnsi="Times New Roman" w:cs="Times New Roman"/>
          <w:sz w:val="24"/>
          <w:szCs w:val="24"/>
        </w:rPr>
        <w:t xml:space="preserve">financial service </w:t>
      </w:r>
      <w:r w:rsidRPr="00CC3CEB">
        <w:rPr>
          <w:rFonts w:ascii="Times New Roman" w:hAnsi="Times New Roman" w:cs="Times New Roman"/>
          <w:sz w:val="24"/>
          <w:szCs w:val="24"/>
        </w:rPr>
        <w:t xml:space="preserve">in Article </w:t>
      </w:r>
      <w:r>
        <w:rPr>
          <w:rFonts w:ascii="Times New Roman" w:hAnsi="Times New Roman" w:cs="Times New Roman"/>
          <w:sz w:val="24"/>
          <w:szCs w:val="24"/>
        </w:rPr>
        <w:t>9.1</w:t>
      </w:r>
      <w:r w:rsidRPr="00CC3CEB">
        <w:rPr>
          <w:rFonts w:ascii="Times New Roman" w:hAnsi="Times New Roman" w:cs="Times New Roman"/>
          <w:sz w:val="24"/>
          <w:szCs w:val="24"/>
        </w:rPr>
        <w:t xml:space="preserve"> (Definitions).</w:t>
      </w:r>
    </w:p>
    <w:p w14:paraId="7A98F9B4" w14:textId="77777777" w:rsidR="00412040" w:rsidRDefault="00412040" w:rsidP="00412040">
      <w:pPr>
        <w:pStyle w:val="ListParagraph"/>
        <w:spacing w:line="252" w:lineRule="auto"/>
        <w:ind w:left="360"/>
        <w:jc w:val="both"/>
        <w:rPr>
          <w:rFonts w:ascii="Times New Roman" w:hAnsi="Times New Roman" w:cs="Times New Roman"/>
          <w:sz w:val="24"/>
          <w:szCs w:val="24"/>
        </w:rPr>
      </w:pPr>
    </w:p>
    <w:p w14:paraId="59B05B7C" w14:textId="77777777" w:rsidR="00412040" w:rsidRPr="007D7F43" w:rsidRDefault="00412040" w:rsidP="00412040">
      <w:pPr>
        <w:pStyle w:val="ListParagraph"/>
        <w:spacing w:line="252"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7D7F43">
        <w:rPr>
          <w:rFonts w:ascii="Times New Roman" w:hAnsi="Times New Roman" w:cs="Times New Roman"/>
          <w:sz w:val="24"/>
          <w:szCs w:val="24"/>
        </w:rPr>
        <w:t xml:space="preserve">Paragraph 1 does not permit suppliers of the services listed in </w:t>
      </w:r>
      <w:r w:rsidRPr="007D7F43">
        <w:rPr>
          <w:rFonts w:ascii="Times New Roman" w:eastAsia="Times New Roman" w:hAnsi="Times New Roman" w:cs="Times New Roman"/>
          <w:sz w:val="24"/>
          <w:szCs w:val="24"/>
        </w:rPr>
        <w:t>subparagraphs 1(a)(iii)</w:t>
      </w:r>
      <w:r>
        <w:rPr>
          <w:rFonts w:ascii="Times New Roman" w:eastAsia="Times New Roman" w:hAnsi="Times New Roman" w:cs="Times New Roman"/>
          <w:sz w:val="24"/>
          <w:szCs w:val="24"/>
        </w:rPr>
        <w:t xml:space="preserve"> through</w:t>
      </w:r>
      <w:r w:rsidRPr="007D7F43" w:rsidDel="00395AD2">
        <w:rPr>
          <w:rFonts w:ascii="Times New Roman" w:eastAsia="Times New Roman" w:hAnsi="Times New Roman" w:cs="Times New Roman"/>
          <w:sz w:val="24"/>
          <w:szCs w:val="24"/>
        </w:rPr>
        <w:t xml:space="preserve"> </w:t>
      </w:r>
      <w:r w:rsidRPr="007D7F43">
        <w:rPr>
          <w:rFonts w:ascii="Times New Roman" w:eastAsia="Times New Roman" w:hAnsi="Times New Roman" w:cs="Times New Roman"/>
          <w:sz w:val="24"/>
          <w:szCs w:val="24"/>
        </w:rPr>
        <w:t xml:space="preserve">(x) </w:t>
      </w:r>
      <w:r w:rsidRPr="007D7F43">
        <w:rPr>
          <w:rFonts w:ascii="Times New Roman" w:hAnsi="Times New Roman" w:cs="Times New Roman"/>
          <w:sz w:val="24"/>
          <w:szCs w:val="24"/>
        </w:rPr>
        <w:t xml:space="preserve">to provide </w:t>
      </w:r>
      <w:r>
        <w:rPr>
          <w:rFonts w:ascii="Times New Roman" w:hAnsi="Times New Roman" w:cs="Times New Roman"/>
          <w:sz w:val="24"/>
          <w:szCs w:val="24"/>
        </w:rPr>
        <w:t>these</w:t>
      </w:r>
      <w:r w:rsidRPr="007D7F43">
        <w:rPr>
          <w:rFonts w:ascii="Times New Roman" w:hAnsi="Times New Roman" w:cs="Times New Roman"/>
          <w:sz w:val="24"/>
          <w:szCs w:val="24"/>
        </w:rPr>
        <w:t xml:space="preserve"> service</w:t>
      </w:r>
      <w:r>
        <w:rPr>
          <w:rFonts w:ascii="Times New Roman" w:hAnsi="Times New Roman" w:cs="Times New Roman"/>
          <w:sz w:val="24"/>
          <w:szCs w:val="24"/>
        </w:rPr>
        <w:t>s</w:t>
      </w:r>
      <w:r w:rsidRPr="007D7F43">
        <w:rPr>
          <w:rFonts w:ascii="Times New Roman" w:hAnsi="Times New Roman" w:cs="Times New Roman"/>
          <w:sz w:val="24"/>
          <w:szCs w:val="24"/>
        </w:rPr>
        <w:t xml:space="preserve"> to a retail client.</w:t>
      </w:r>
    </w:p>
    <w:p w14:paraId="5DB28FDE" w14:textId="77777777" w:rsidR="00412040" w:rsidRPr="00487EF5" w:rsidRDefault="00412040" w:rsidP="00412040">
      <w:pPr>
        <w:pStyle w:val="Level2"/>
        <w:numPr>
          <w:ilvl w:val="0"/>
          <w:numId w:val="0"/>
        </w:numPr>
        <w:tabs>
          <w:tab w:val="left" w:pos="720"/>
        </w:tabs>
        <w:spacing w:line="25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487EF5">
        <w:rPr>
          <w:rFonts w:ascii="Times New Roman" w:hAnsi="Times New Roman" w:cs="Times New Roman"/>
          <w:sz w:val="24"/>
          <w:szCs w:val="24"/>
        </w:rPr>
        <w:t xml:space="preserve">In this </w:t>
      </w:r>
      <w:r>
        <w:rPr>
          <w:rFonts w:ascii="Times New Roman" w:hAnsi="Times New Roman" w:cs="Times New Roman"/>
          <w:sz w:val="24"/>
          <w:szCs w:val="24"/>
        </w:rPr>
        <w:t>Annex</w:t>
      </w:r>
      <w:r w:rsidRPr="00487EF5">
        <w:rPr>
          <w:rFonts w:ascii="Times New Roman" w:hAnsi="Times New Roman" w:cs="Times New Roman"/>
          <w:sz w:val="24"/>
          <w:szCs w:val="24"/>
        </w:rPr>
        <w:t>, for the United Kingdom, “retail client” means</w:t>
      </w:r>
      <w:r>
        <w:rPr>
          <w:rFonts w:ascii="Times New Roman" w:hAnsi="Times New Roman" w:cs="Times New Roman"/>
          <w:sz w:val="24"/>
          <w:szCs w:val="24"/>
        </w:rPr>
        <w:t>:</w:t>
      </w:r>
    </w:p>
    <w:p w14:paraId="2646201A" w14:textId="77777777" w:rsidR="00412040" w:rsidRDefault="00412040" w:rsidP="00412040">
      <w:pPr>
        <w:pStyle w:val="Level2"/>
        <w:numPr>
          <w:ilvl w:val="0"/>
          <w:numId w:val="0"/>
        </w:numPr>
        <w:tabs>
          <w:tab w:val="left" w:pos="720"/>
        </w:tabs>
        <w:ind w:left="709"/>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487EF5">
        <w:rPr>
          <w:rFonts w:ascii="Times New Roman" w:hAnsi="Times New Roman" w:cs="Times New Roman"/>
          <w:sz w:val="24"/>
          <w:szCs w:val="24"/>
        </w:rPr>
        <w:t>a natural person</w:t>
      </w:r>
      <w:r>
        <w:rPr>
          <w:rFonts w:ascii="Times New Roman" w:hAnsi="Times New Roman" w:cs="Times New Roman"/>
          <w:sz w:val="24"/>
          <w:szCs w:val="24"/>
        </w:rPr>
        <w:t>;</w:t>
      </w:r>
      <w:r w:rsidRPr="00487EF5">
        <w:rPr>
          <w:rFonts w:ascii="Times New Roman" w:hAnsi="Times New Roman" w:cs="Times New Roman"/>
          <w:sz w:val="24"/>
          <w:szCs w:val="24"/>
        </w:rPr>
        <w:t xml:space="preserve"> or </w:t>
      </w:r>
    </w:p>
    <w:p w14:paraId="6B4A40DC" w14:textId="77777777" w:rsidR="00412040" w:rsidRPr="00770994" w:rsidRDefault="00412040" w:rsidP="00412040">
      <w:pPr>
        <w:pStyle w:val="Level2"/>
        <w:numPr>
          <w:ilvl w:val="0"/>
          <w:numId w:val="0"/>
        </w:numPr>
        <w:tabs>
          <w:tab w:val="left" w:pos="1418"/>
        </w:tabs>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AB344A">
        <w:rPr>
          <w:rFonts w:ascii="Times New Roman" w:hAnsi="Times New Roman" w:cs="Times New Roman"/>
          <w:sz w:val="24"/>
          <w:szCs w:val="24"/>
        </w:rPr>
        <w:t xml:space="preserve">an enterprise which satisfies two or more of the requirements specified in section 465(3) of the </w:t>
      </w:r>
      <w:r w:rsidRPr="00AE14F0">
        <w:rPr>
          <w:rFonts w:ascii="Times New Roman" w:hAnsi="Times New Roman" w:cs="Times New Roman"/>
          <w:i/>
          <w:iCs/>
          <w:sz w:val="24"/>
          <w:szCs w:val="24"/>
        </w:rPr>
        <w:t>Companies Act 2006</w:t>
      </w:r>
      <w:r w:rsidRPr="004D4E08">
        <w:rPr>
          <w:rFonts w:ascii="Times New Roman" w:hAnsi="Times New Roman" w:cs="Times New Roman"/>
          <w:sz w:val="24"/>
          <w:szCs w:val="24"/>
        </w:rPr>
        <w:t>.</w:t>
      </w:r>
      <w:r w:rsidRPr="00AB344A">
        <w:rPr>
          <w:rFonts w:ascii="Times New Roman" w:hAnsi="Times New Roman" w:cs="Times New Roman"/>
          <w:sz w:val="24"/>
          <w:szCs w:val="24"/>
        </w:rPr>
        <w:t xml:space="preserve"> </w:t>
      </w:r>
    </w:p>
    <w:p w14:paraId="1AA739B3" w14:textId="77777777" w:rsidR="00412040" w:rsidRPr="00363D38" w:rsidRDefault="00412040" w:rsidP="00412040">
      <w:pPr>
        <w:rPr>
          <w:rFonts w:ascii="Times New Roman" w:hAnsi="Times New Roman" w:cs="Times New Roman"/>
          <w:i/>
          <w:iCs/>
          <w:sz w:val="24"/>
          <w:szCs w:val="24"/>
        </w:rPr>
      </w:pPr>
      <w:r w:rsidRPr="00E62553">
        <w:rPr>
          <w:rFonts w:ascii="Times New Roman" w:hAnsi="Times New Roman" w:cs="Times New Roman"/>
          <w:i/>
          <w:iCs/>
          <w:sz w:val="24"/>
          <w:szCs w:val="24"/>
        </w:rPr>
        <w:t>Banking and other financial services (excluding insurance)</w:t>
      </w:r>
    </w:p>
    <w:p w14:paraId="1C5D5295" w14:textId="77777777" w:rsidR="00412040" w:rsidRPr="00770994" w:rsidRDefault="00412040" w:rsidP="00412040">
      <w:pPr>
        <w:pStyle w:val="ListParagraph"/>
        <w:spacing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3C2EF3">
        <w:rPr>
          <w:rFonts w:ascii="Times New Roman" w:hAnsi="Times New Roman" w:cs="Times New Roman"/>
          <w:sz w:val="24"/>
          <w:szCs w:val="24"/>
        </w:rPr>
        <w:t xml:space="preserve">Subject to any limitations set out elsewhere in </w:t>
      </w:r>
      <w:r>
        <w:rPr>
          <w:rFonts w:ascii="Times New Roman" w:hAnsi="Times New Roman" w:cs="Times New Roman"/>
          <w:sz w:val="24"/>
          <w:szCs w:val="24"/>
        </w:rPr>
        <w:t>the United Kingdom’s</w:t>
      </w:r>
      <w:r w:rsidRPr="003C2EF3">
        <w:rPr>
          <w:rFonts w:ascii="Times New Roman" w:hAnsi="Times New Roman" w:cs="Times New Roman"/>
          <w:sz w:val="24"/>
          <w:szCs w:val="24"/>
        </w:rPr>
        <w:t xml:space="preserve"> commitments,</w:t>
      </w:r>
      <w:r>
        <w:rPr>
          <w:rFonts w:ascii="Times New Roman" w:hAnsi="Times New Roman" w:cs="Times New Roman"/>
          <w:sz w:val="24"/>
          <w:szCs w:val="24"/>
        </w:rPr>
        <w:t xml:space="preserve"> </w:t>
      </w:r>
      <w:r w:rsidRPr="00487EF5">
        <w:rPr>
          <w:rFonts w:ascii="Times New Roman" w:hAnsi="Times New Roman" w:cs="Times New Roman"/>
          <w:sz w:val="24"/>
          <w:szCs w:val="24"/>
        </w:rPr>
        <w:t xml:space="preserve">Articles </w:t>
      </w:r>
      <w:r>
        <w:rPr>
          <w:rFonts w:ascii="Times New Roman" w:hAnsi="Times New Roman" w:cs="Times New Roman"/>
          <w:sz w:val="24"/>
          <w:szCs w:val="24"/>
        </w:rPr>
        <w:t>9.5</w:t>
      </w:r>
      <w:r w:rsidRPr="00487EF5">
        <w:rPr>
          <w:rFonts w:ascii="Times New Roman" w:hAnsi="Times New Roman" w:cs="Times New Roman"/>
          <w:sz w:val="24"/>
          <w:szCs w:val="24"/>
        </w:rPr>
        <w:t xml:space="preserve"> (National Treatment), </w:t>
      </w:r>
      <w:r>
        <w:rPr>
          <w:rFonts w:ascii="Times New Roman" w:hAnsi="Times New Roman" w:cs="Times New Roman"/>
          <w:sz w:val="24"/>
          <w:szCs w:val="24"/>
        </w:rPr>
        <w:t>9.6</w:t>
      </w:r>
      <w:r w:rsidRPr="00487EF5">
        <w:rPr>
          <w:rFonts w:ascii="Times New Roman" w:hAnsi="Times New Roman" w:cs="Times New Roman"/>
          <w:sz w:val="24"/>
          <w:szCs w:val="24"/>
        </w:rPr>
        <w:t xml:space="preserve"> (Market Access) and </w:t>
      </w:r>
      <w:r w:rsidRPr="00BE3073">
        <w:rPr>
          <w:rFonts w:ascii="Times New Roman" w:hAnsi="Times New Roman" w:cs="Times New Roman"/>
          <w:sz w:val="24"/>
          <w:szCs w:val="24"/>
        </w:rPr>
        <w:t>9.7 (Local Presence)</w:t>
      </w:r>
      <w:r w:rsidRPr="00487EF5">
        <w:rPr>
          <w:rFonts w:ascii="Times New Roman" w:hAnsi="Times New Roman" w:cs="Times New Roman"/>
          <w:sz w:val="24"/>
          <w:szCs w:val="24"/>
        </w:rPr>
        <w:t xml:space="preserve"> apply to the cross-border supply or trade in financial services, as defined in subparagraph (a) of the definition of cross-border supply of financial services in Article </w:t>
      </w:r>
      <w:r>
        <w:rPr>
          <w:rFonts w:ascii="Times New Roman" w:hAnsi="Times New Roman" w:cs="Times New Roman"/>
          <w:sz w:val="24"/>
          <w:szCs w:val="24"/>
        </w:rPr>
        <w:t>9</w:t>
      </w:r>
      <w:r w:rsidRPr="00487EF5">
        <w:rPr>
          <w:rFonts w:ascii="Times New Roman" w:hAnsi="Times New Roman" w:cs="Times New Roman"/>
          <w:sz w:val="24"/>
          <w:szCs w:val="24"/>
        </w:rPr>
        <w:t xml:space="preserve">.1 (Definitions) with respect to: </w:t>
      </w:r>
    </w:p>
    <w:p w14:paraId="4335EDB4" w14:textId="77777777" w:rsidR="00412040" w:rsidRPr="00487EF5" w:rsidRDefault="00412040" w:rsidP="00412040">
      <w:pPr>
        <w:pStyle w:val="ListParagraph"/>
        <w:ind w:left="1418" w:hanging="69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487EF5">
        <w:rPr>
          <w:rFonts w:ascii="Times New Roman" w:hAnsi="Times New Roman" w:cs="Times New Roman"/>
          <w:sz w:val="24"/>
          <w:szCs w:val="24"/>
        </w:rPr>
        <w:t>the provision and transfer of financial information, and financial data processing and related software, as described in subparagraph (</w:t>
      </w:r>
      <w:r>
        <w:rPr>
          <w:rFonts w:ascii="Times New Roman" w:hAnsi="Times New Roman" w:cs="Times New Roman"/>
          <w:sz w:val="24"/>
          <w:szCs w:val="24"/>
        </w:rPr>
        <w:t>o</w:t>
      </w:r>
      <w:r w:rsidRPr="00487EF5">
        <w:rPr>
          <w:rFonts w:ascii="Times New Roman" w:hAnsi="Times New Roman" w:cs="Times New Roman"/>
          <w:sz w:val="24"/>
          <w:szCs w:val="24"/>
        </w:rPr>
        <w:t xml:space="preserve">) of the definition of banking and other financial services (excluding insurance) in Article </w:t>
      </w:r>
      <w:r>
        <w:rPr>
          <w:rFonts w:ascii="Times New Roman" w:hAnsi="Times New Roman" w:cs="Times New Roman"/>
          <w:sz w:val="24"/>
          <w:szCs w:val="24"/>
        </w:rPr>
        <w:t>9</w:t>
      </w:r>
      <w:r w:rsidRPr="00487EF5">
        <w:rPr>
          <w:rFonts w:ascii="Times New Roman" w:hAnsi="Times New Roman" w:cs="Times New Roman"/>
          <w:sz w:val="24"/>
          <w:szCs w:val="24"/>
        </w:rPr>
        <w:t>.1 (Definitions</w:t>
      </w:r>
      <w:proofErr w:type="gramStart"/>
      <w:r w:rsidRPr="00487EF5">
        <w:rPr>
          <w:rFonts w:ascii="Times New Roman" w:hAnsi="Times New Roman" w:cs="Times New Roman"/>
          <w:sz w:val="24"/>
          <w:szCs w:val="24"/>
        </w:rPr>
        <w:t>);</w:t>
      </w:r>
      <w:proofErr w:type="gramEnd"/>
      <w:r w:rsidRPr="00487EF5">
        <w:rPr>
          <w:rFonts w:ascii="Times New Roman" w:hAnsi="Times New Roman" w:cs="Times New Roman"/>
          <w:sz w:val="24"/>
          <w:szCs w:val="24"/>
        </w:rPr>
        <w:t xml:space="preserve"> </w:t>
      </w:r>
    </w:p>
    <w:p w14:paraId="06ECE87D" w14:textId="77777777" w:rsidR="00412040" w:rsidRPr="00770994" w:rsidRDefault="00412040" w:rsidP="00412040">
      <w:pPr>
        <w:pStyle w:val="ListParagraph"/>
        <w:jc w:val="both"/>
        <w:rPr>
          <w:rFonts w:ascii="Times New Roman" w:hAnsi="Times New Roman" w:cs="Times New Roman"/>
          <w:sz w:val="24"/>
          <w:szCs w:val="24"/>
        </w:rPr>
      </w:pPr>
    </w:p>
    <w:p w14:paraId="499FAB92" w14:textId="77777777" w:rsidR="00412040" w:rsidRPr="00487EF5" w:rsidRDefault="00412040" w:rsidP="00412040">
      <w:pPr>
        <w:pStyle w:val="ListParagraph"/>
        <w:spacing w:line="240" w:lineRule="auto"/>
        <w:ind w:left="1418" w:hanging="698"/>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487EF5">
        <w:rPr>
          <w:rFonts w:ascii="Times New Roman" w:hAnsi="Times New Roman" w:cs="Times New Roman"/>
          <w:sz w:val="24"/>
          <w:szCs w:val="24"/>
        </w:rPr>
        <w:t>advisory and other auxiliary financial services relating to banking and other financial services, as described in subparagraph (</w:t>
      </w:r>
      <w:r>
        <w:rPr>
          <w:rFonts w:ascii="Times New Roman" w:hAnsi="Times New Roman" w:cs="Times New Roman"/>
          <w:sz w:val="24"/>
          <w:szCs w:val="24"/>
        </w:rPr>
        <w:t>p</w:t>
      </w:r>
      <w:r w:rsidRPr="00487EF5">
        <w:rPr>
          <w:rFonts w:ascii="Times New Roman" w:hAnsi="Times New Roman" w:cs="Times New Roman"/>
          <w:sz w:val="24"/>
          <w:szCs w:val="24"/>
        </w:rPr>
        <w:t xml:space="preserve">) of the definition of banking and other financial services (excluding insurance) in Article </w:t>
      </w:r>
      <w:r>
        <w:rPr>
          <w:rFonts w:ascii="Times New Roman" w:hAnsi="Times New Roman" w:cs="Times New Roman"/>
          <w:sz w:val="24"/>
          <w:szCs w:val="24"/>
        </w:rPr>
        <w:t>9</w:t>
      </w:r>
      <w:r w:rsidRPr="00487EF5">
        <w:rPr>
          <w:rFonts w:ascii="Times New Roman" w:hAnsi="Times New Roman" w:cs="Times New Roman"/>
          <w:sz w:val="24"/>
          <w:szCs w:val="24"/>
        </w:rPr>
        <w:t>.1 (Definitions), but not intermediation as described in that subparagraph</w:t>
      </w:r>
      <w:r>
        <w:rPr>
          <w:rFonts w:ascii="Times New Roman" w:hAnsi="Times New Roman" w:cs="Times New Roman"/>
          <w:sz w:val="24"/>
          <w:szCs w:val="24"/>
        </w:rPr>
        <w:t>; and</w:t>
      </w:r>
    </w:p>
    <w:p w14:paraId="0D85E7AB" w14:textId="77777777" w:rsidR="00412040" w:rsidRPr="00770994" w:rsidRDefault="00412040" w:rsidP="00412040">
      <w:pPr>
        <w:pStyle w:val="ListParagraph"/>
        <w:spacing w:line="240" w:lineRule="auto"/>
        <w:ind w:left="1418" w:hanging="698"/>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487EF5">
        <w:rPr>
          <w:rFonts w:ascii="Times New Roman" w:hAnsi="Times New Roman" w:cs="Times New Roman"/>
          <w:sz w:val="24"/>
          <w:szCs w:val="24"/>
        </w:rPr>
        <w:t xml:space="preserve">portfolio management services by a financial service supplier of Australia to: </w:t>
      </w:r>
    </w:p>
    <w:p w14:paraId="6515469D" w14:textId="77777777" w:rsidR="00412040" w:rsidRPr="00487EF5" w:rsidRDefault="00412040" w:rsidP="00412040">
      <w:pPr>
        <w:pStyle w:val="ListParagraph"/>
        <w:spacing w:line="240" w:lineRule="auto"/>
        <w:ind w:left="2127" w:hanging="687"/>
        <w:contextualSpacing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Pr="00487EF5">
        <w:rPr>
          <w:rFonts w:ascii="Times New Roman" w:hAnsi="Times New Roman" w:cs="Times New Roman"/>
          <w:sz w:val="24"/>
          <w:szCs w:val="24"/>
        </w:rPr>
        <w:t xml:space="preserve">a collective investment vehicle or management company of such a </w:t>
      </w:r>
      <w:proofErr w:type="gramStart"/>
      <w:r w:rsidRPr="00487EF5">
        <w:rPr>
          <w:rFonts w:ascii="Times New Roman" w:hAnsi="Times New Roman" w:cs="Times New Roman"/>
          <w:sz w:val="24"/>
          <w:szCs w:val="24"/>
        </w:rPr>
        <w:t>vehicle;</w:t>
      </w:r>
      <w:proofErr w:type="gramEnd"/>
      <w:r w:rsidRPr="00487EF5">
        <w:rPr>
          <w:rFonts w:ascii="Times New Roman" w:hAnsi="Times New Roman" w:cs="Times New Roman"/>
          <w:sz w:val="24"/>
          <w:szCs w:val="24"/>
        </w:rPr>
        <w:t xml:space="preserve"> </w:t>
      </w:r>
    </w:p>
    <w:p w14:paraId="7C42D76A" w14:textId="77777777" w:rsidR="00412040" w:rsidRPr="00487EF5" w:rsidRDefault="00412040" w:rsidP="00412040">
      <w:pPr>
        <w:pStyle w:val="ListParagraph"/>
        <w:spacing w:line="24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487EF5">
        <w:rPr>
          <w:rFonts w:ascii="Times New Roman" w:hAnsi="Times New Roman" w:cs="Times New Roman"/>
          <w:sz w:val="24"/>
          <w:szCs w:val="24"/>
        </w:rPr>
        <w:t xml:space="preserve">insurance companies; and </w:t>
      </w:r>
    </w:p>
    <w:p w14:paraId="2B4EEA4E" w14:textId="77777777" w:rsidR="00412040" w:rsidRPr="00770994" w:rsidRDefault="00412040" w:rsidP="00412040">
      <w:pPr>
        <w:pStyle w:val="ListParagraph"/>
        <w:spacing w:line="240" w:lineRule="auto"/>
        <w:ind w:left="2127" w:hanging="687"/>
        <w:contextualSpacing w:val="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487EF5">
        <w:rPr>
          <w:rFonts w:ascii="Times New Roman" w:hAnsi="Times New Roman" w:cs="Times New Roman"/>
          <w:sz w:val="24"/>
          <w:szCs w:val="24"/>
        </w:rPr>
        <w:t>pension funds and management companies of such funds</w:t>
      </w:r>
      <w:r>
        <w:rPr>
          <w:rFonts w:ascii="Times New Roman" w:hAnsi="Times New Roman" w:cs="Times New Roman"/>
          <w:sz w:val="24"/>
          <w:szCs w:val="24"/>
        </w:rPr>
        <w:t xml:space="preserve">. </w:t>
      </w:r>
    </w:p>
    <w:p w14:paraId="0D7F824A" w14:textId="77777777" w:rsidR="00412040" w:rsidRPr="00363D38" w:rsidRDefault="00412040" w:rsidP="00412040">
      <w:pPr>
        <w:pStyle w:val="ListParagraph"/>
        <w:spacing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7A7CFD">
        <w:rPr>
          <w:rFonts w:ascii="Times New Roman" w:hAnsi="Times New Roman" w:cs="Times New Roman"/>
          <w:sz w:val="24"/>
          <w:szCs w:val="24"/>
        </w:rPr>
        <w:t xml:space="preserve">For the purposes of the commitment made in paragraph </w:t>
      </w:r>
      <w:r>
        <w:rPr>
          <w:rFonts w:ascii="Times New Roman" w:hAnsi="Times New Roman" w:cs="Times New Roman"/>
          <w:sz w:val="24"/>
          <w:szCs w:val="24"/>
        </w:rPr>
        <w:t>4</w:t>
      </w:r>
      <w:r w:rsidRPr="007A7CFD">
        <w:rPr>
          <w:rFonts w:ascii="Times New Roman" w:hAnsi="Times New Roman" w:cs="Times New Roman"/>
          <w:sz w:val="24"/>
          <w:szCs w:val="24"/>
        </w:rPr>
        <w:t>(c)</w:t>
      </w:r>
      <w:r>
        <w:rPr>
          <w:rFonts w:ascii="Times New Roman" w:hAnsi="Times New Roman" w:cs="Times New Roman"/>
          <w:sz w:val="24"/>
          <w:szCs w:val="24"/>
        </w:rPr>
        <w:t>, for the United Kingdom</w:t>
      </w:r>
      <w:r w:rsidRPr="007A7CFD">
        <w:rPr>
          <w:rFonts w:ascii="Times New Roman" w:hAnsi="Times New Roman" w:cs="Times New Roman"/>
          <w:sz w:val="24"/>
          <w:szCs w:val="24"/>
        </w:rPr>
        <w:t xml:space="preserve">: </w:t>
      </w:r>
    </w:p>
    <w:p w14:paraId="6FB5FD17" w14:textId="77777777" w:rsidR="00412040" w:rsidRPr="00770994" w:rsidRDefault="00412040" w:rsidP="00412040">
      <w:pPr>
        <w:pStyle w:val="ListParagraph"/>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70994">
        <w:rPr>
          <w:rFonts w:ascii="Times New Roman" w:hAnsi="Times New Roman" w:cs="Times New Roman"/>
          <w:sz w:val="24"/>
          <w:szCs w:val="24"/>
        </w:rPr>
        <w:t>a collective investment vehicle means:</w:t>
      </w:r>
    </w:p>
    <w:p w14:paraId="33BB3BA4" w14:textId="77777777" w:rsidR="00412040" w:rsidRPr="00363D38" w:rsidRDefault="00412040" w:rsidP="00412040">
      <w:pPr>
        <w:ind w:left="2127" w:hanging="709"/>
        <w:rPr>
          <w:rFonts w:ascii="Times New Roman" w:eastAsia="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E72453">
        <w:rPr>
          <w:rFonts w:ascii="Times New Roman" w:hAnsi="Times New Roman" w:cs="Times New Roman"/>
          <w:sz w:val="24"/>
          <w:szCs w:val="24"/>
        </w:rPr>
        <w:t xml:space="preserve">a collective investment scheme as defined in section 235 of the </w:t>
      </w:r>
      <w:r w:rsidRPr="00D90C31">
        <w:rPr>
          <w:rFonts w:ascii="Times New Roman" w:hAnsi="Times New Roman" w:cs="Times New Roman"/>
          <w:i/>
          <w:iCs/>
          <w:sz w:val="24"/>
          <w:szCs w:val="24"/>
        </w:rPr>
        <w:t>Financial Services and Markets Act 2000</w:t>
      </w:r>
      <w:r w:rsidRPr="00E72453">
        <w:rPr>
          <w:rFonts w:ascii="Times New Roman" w:hAnsi="Times New Roman" w:cs="Times New Roman"/>
          <w:sz w:val="24"/>
          <w:szCs w:val="24"/>
        </w:rPr>
        <w:t xml:space="preserve">; or </w:t>
      </w:r>
    </w:p>
    <w:p w14:paraId="30EBC5CA" w14:textId="77777777" w:rsidR="00412040" w:rsidRPr="00770994" w:rsidRDefault="00412040" w:rsidP="00412040">
      <w:pPr>
        <w:pStyle w:val="ListParagraph"/>
        <w:spacing w:line="240" w:lineRule="auto"/>
        <w:ind w:left="2127" w:hanging="709"/>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Pr="00E72453">
        <w:rPr>
          <w:rFonts w:ascii="Times New Roman" w:eastAsia="Times New Roman" w:hAnsi="Times New Roman" w:cs="Times New Roman"/>
          <w:sz w:val="24"/>
          <w:szCs w:val="24"/>
        </w:rPr>
        <w:t xml:space="preserve">an alternative investment fund as defined in regulation 3 of the </w:t>
      </w:r>
      <w:r w:rsidRPr="00D90C31">
        <w:rPr>
          <w:rFonts w:ascii="Times New Roman" w:eastAsia="Times New Roman" w:hAnsi="Times New Roman" w:cs="Times New Roman"/>
          <w:i/>
          <w:iCs/>
          <w:sz w:val="24"/>
          <w:szCs w:val="24"/>
        </w:rPr>
        <w:t xml:space="preserve">Alternative Investment Fund Managers Regulations </w:t>
      </w:r>
      <w:proofErr w:type="gramStart"/>
      <w:r w:rsidRPr="00D90C31">
        <w:rPr>
          <w:rFonts w:ascii="Times New Roman" w:eastAsia="Times New Roman" w:hAnsi="Times New Roman" w:cs="Times New Roman"/>
          <w:i/>
          <w:iCs/>
          <w:sz w:val="24"/>
          <w:szCs w:val="24"/>
        </w:rPr>
        <w:t>2013</w:t>
      </w:r>
      <w:r w:rsidRPr="00E72453">
        <w:rPr>
          <w:rFonts w:ascii="Times New Roman" w:hAnsi="Times New Roman" w:cs="Times New Roman"/>
          <w:sz w:val="24"/>
          <w:szCs w:val="24"/>
        </w:rPr>
        <w:t>;</w:t>
      </w:r>
      <w:proofErr w:type="gramEnd"/>
      <w:r w:rsidRPr="00E72453">
        <w:rPr>
          <w:rFonts w:ascii="Times New Roman" w:hAnsi="Times New Roman" w:cs="Times New Roman"/>
          <w:sz w:val="24"/>
          <w:szCs w:val="24"/>
        </w:rPr>
        <w:t xml:space="preserve">  </w:t>
      </w:r>
    </w:p>
    <w:p w14:paraId="600FAD99" w14:textId="77777777" w:rsidR="00412040" w:rsidRPr="007B7439" w:rsidRDefault="00412040" w:rsidP="00412040">
      <w:pPr>
        <w:pStyle w:val="ListParagraph"/>
        <w:spacing w:line="252"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rPr>
        <w:tab/>
      </w:r>
      <w:r w:rsidRPr="00770994">
        <w:rPr>
          <w:rFonts w:ascii="Times New Roman" w:eastAsia="Times New Roman" w:hAnsi="Times New Roman" w:cs="Times New Roman"/>
          <w:sz w:val="24"/>
          <w:szCs w:val="24"/>
        </w:rPr>
        <w:t>portfolio management means managing portfolios in accordance with mandates given by clients on a discretionary client-by-client basis where such portfolios include one or more financial instruments; and</w:t>
      </w:r>
    </w:p>
    <w:p w14:paraId="5483B0E8" w14:textId="77777777" w:rsidR="00412040" w:rsidRPr="00363D38" w:rsidRDefault="00412040" w:rsidP="00412040">
      <w:pPr>
        <w:pStyle w:val="ListParagraph"/>
        <w:spacing w:line="252" w:lineRule="auto"/>
        <w:ind w:left="709"/>
        <w:jc w:val="both"/>
      </w:pPr>
    </w:p>
    <w:p w14:paraId="5B268474" w14:textId="77777777" w:rsidR="00412040" w:rsidRPr="00363D38" w:rsidRDefault="00412040" w:rsidP="00412040">
      <w:pPr>
        <w:pStyle w:val="ListParagraph"/>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CC4B13">
        <w:rPr>
          <w:rFonts w:ascii="Times New Roman" w:hAnsi="Times New Roman" w:cs="Times New Roman"/>
          <w:sz w:val="24"/>
          <w:szCs w:val="24"/>
        </w:rPr>
        <w:t xml:space="preserve">portfolio management services do not include: </w:t>
      </w:r>
    </w:p>
    <w:p w14:paraId="6FB43D9D" w14:textId="77777777" w:rsidR="00412040" w:rsidRPr="007B7439" w:rsidRDefault="00412040" w:rsidP="00412040">
      <w:pPr>
        <w:pStyle w:val="ListParagraph"/>
        <w:spacing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CC4B13">
        <w:rPr>
          <w:rFonts w:ascii="Times New Roman" w:hAnsi="Times New Roman" w:cs="Times New Roman"/>
          <w:sz w:val="24"/>
          <w:szCs w:val="24"/>
        </w:rPr>
        <w:t xml:space="preserve">custodial </w:t>
      </w:r>
      <w:proofErr w:type="gramStart"/>
      <w:r w:rsidRPr="00CC4B13">
        <w:rPr>
          <w:rFonts w:ascii="Times New Roman" w:hAnsi="Times New Roman" w:cs="Times New Roman"/>
          <w:sz w:val="24"/>
          <w:szCs w:val="24"/>
        </w:rPr>
        <w:t>services;</w:t>
      </w:r>
      <w:proofErr w:type="gramEnd"/>
      <w:r w:rsidRPr="00CC4B13">
        <w:rPr>
          <w:rFonts w:ascii="Times New Roman" w:hAnsi="Times New Roman" w:cs="Times New Roman"/>
          <w:sz w:val="24"/>
          <w:szCs w:val="24"/>
        </w:rPr>
        <w:t xml:space="preserve"> </w:t>
      </w:r>
    </w:p>
    <w:p w14:paraId="70ACAA51" w14:textId="77777777" w:rsidR="00412040" w:rsidRPr="00CC4B13" w:rsidRDefault="00412040" w:rsidP="00412040">
      <w:pPr>
        <w:pStyle w:val="ListParagraph"/>
        <w:spacing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Pr="00CC4B13">
        <w:rPr>
          <w:rFonts w:ascii="Times New Roman" w:hAnsi="Times New Roman" w:cs="Times New Roman"/>
          <w:sz w:val="24"/>
          <w:szCs w:val="24"/>
        </w:rPr>
        <w:t xml:space="preserve">trustee services; or </w:t>
      </w:r>
    </w:p>
    <w:p w14:paraId="2B0ED00D" w14:textId="77777777" w:rsidR="00412040" w:rsidRPr="00CC4B13" w:rsidRDefault="00412040" w:rsidP="00412040">
      <w:pPr>
        <w:pStyle w:val="ListParagraph"/>
        <w:spacing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r w:rsidRPr="00CC4B13">
        <w:rPr>
          <w:rFonts w:ascii="Times New Roman" w:hAnsi="Times New Roman" w:cs="Times New Roman"/>
          <w:sz w:val="24"/>
          <w:szCs w:val="24"/>
        </w:rPr>
        <w:t xml:space="preserve">execution services.  </w:t>
      </w:r>
    </w:p>
    <w:p w14:paraId="23A32C27" w14:textId="0A4F9F02" w:rsidR="00412040" w:rsidRDefault="00412040"/>
    <w:sectPr w:rsidR="004120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73FC" w14:textId="77777777" w:rsidR="00412040" w:rsidRDefault="00412040" w:rsidP="00412040">
      <w:pPr>
        <w:spacing w:after="0" w:line="240" w:lineRule="auto"/>
      </w:pPr>
      <w:r>
        <w:separator/>
      </w:r>
    </w:p>
  </w:endnote>
  <w:endnote w:type="continuationSeparator" w:id="0">
    <w:p w14:paraId="4D32ABCD" w14:textId="77777777" w:rsidR="00412040" w:rsidRDefault="00412040" w:rsidP="0041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DE37" w14:textId="77777777" w:rsidR="00375BA4" w:rsidRDefault="0037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78A7" w14:textId="1AC42AF6" w:rsidR="00375BA4" w:rsidRDefault="00375BA4" w:rsidP="00375BA4">
    <w:pPr>
      <w:pStyle w:val="Footer"/>
      <w:jc w:val="center"/>
    </w:pPr>
    <w:r>
      <w:rPr>
        <w:rFonts w:ascii="Times New Roman" w:hAnsi="Times New Roman" w:cs="Times New Roman"/>
        <w:sz w:val="20"/>
        <w:szCs w:val="20"/>
      </w:rPr>
      <w:t xml:space="preserve">9A </w:t>
    </w:r>
    <w:r w:rsidRPr="008F69D1">
      <w:rPr>
        <w:rFonts w:ascii="Times New Roman" w:hAnsi="Times New Roman" w:cs="Times New Roman"/>
        <w:sz w:val="20"/>
        <w:szCs w:val="20"/>
      </w:rPr>
      <w:t>-</w:t>
    </w:r>
    <w:r>
      <w:rPr>
        <w:rFonts w:ascii="Times New Roman" w:hAnsi="Times New Roman" w:cs="Times New Roman"/>
        <w:sz w:val="20"/>
        <w:szCs w:val="20"/>
      </w:rPr>
      <w:t xml:space="preserve"> </w:t>
    </w:r>
    <w:sdt>
      <w:sdtPr>
        <w:rPr>
          <w:rFonts w:ascii="Times New Roman" w:hAnsi="Times New Roman" w:cs="Times New Roman"/>
          <w:sz w:val="20"/>
          <w:szCs w:val="20"/>
        </w:rPr>
        <w:id w:val="800652816"/>
        <w:docPartObj>
          <w:docPartGallery w:val="Page Numbers (Bottom of Page)"/>
          <w:docPartUnique/>
        </w:docPartObj>
      </w:sdtPr>
      <w:sdtEndPr>
        <w:rPr>
          <w:noProof/>
        </w:rPr>
      </w:sdtEndPr>
      <w:sdtContent>
        <w:r w:rsidRPr="008F69D1">
          <w:rPr>
            <w:rFonts w:ascii="Times New Roman" w:hAnsi="Times New Roman" w:cs="Times New Roman"/>
            <w:sz w:val="20"/>
            <w:szCs w:val="20"/>
          </w:rPr>
          <w:fldChar w:fldCharType="begin"/>
        </w:r>
        <w:r w:rsidRPr="008F69D1">
          <w:rPr>
            <w:rFonts w:ascii="Times New Roman" w:hAnsi="Times New Roman" w:cs="Times New Roman"/>
            <w:sz w:val="20"/>
            <w:szCs w:val="20"/>
          </w:rPr>
          <w:instrText xml:space="preserve"> PAGE   \* MERGEFORMAT </w:instrText>
        </w:r>
        <w:r w:rsidRPr="008F69D1">
          <w:rPr>
            <w:rFonts w:ascii="Times New Roman" w:hAnsi="Times New Roman" w:cs="Times New Roman"/>
            <w:sz w:val="20"/>
            <w:szCs w:val="20"/>
          </w:rPr>
          <w:fldChar w:fldCharType="separate"/>
        </w:r>
        <w:r>
          <w:rPr>
            <w:rFonts w:ascii="Times New Roman" w:hAnsi="Times New Roman" w:cs="Times New Roman"/>
            <w:sz w:val="20"/>
            <w:szCs w:val="20"/>
          </w:rPr>
          <w:t>1</w:t>
        </w:r>
        <w:r w:rsidRPr="008F69D1">
          <w:rPr>
            <w:rFonts w:ascii="Times New Roman" w:hAnsi="Times New Roman" w:cs="Times New Roman"/>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6888" w14:textId="77777777" w:rsidR="00375BA4" w:rsidRDefault="0037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9F7D" w14:textId="77777777" w:rsidR="00412040" w:rsidRDefault="00412040" w:rsidP="00412040">
      <w:pPr>
        <w:spacing w:after="0" w:line="240" w:lineRule="auto"/>
      </w:pPr>
      <w:r>
        <w:separator/>
      </w:r>
    </w:p>
  </w:footnote>
  <w:footnote w:type="continuationSeparator" w:id="0">
    <w:p w14:paraId="531CA017" w14:textId="77777777" w:rsidR="00412040" w:rsidRDefault="00412040" w:rsidP="00412040">
      <w:pPr>
        <w:spacing w:after="0" w:line="240" w:lineRule="auto"/>
      </w:pPr>
      <w:r>
        <w:continuationSeparator/>
      </w:r>
    </w:p>
  </w:footnote>
  <w:footnote w:id="1">
    <w:p w14:paraId="7250487A" w14:textId="77777777" w:rsidR="00412040" w:rsidRPr="00326EB1" w:rsidRDefault="00412040" w:rsidP="00412040">
      <w:pPr>
        <w:pStyle w:val="FootnoteText"/>
        <w:rPr>
          <w:rFonts w:ascii="Times New Roman" w:hAnsi="Times New Roman" w:cs="Times New Roman"/>
        </w:rPr>
      </w:pPr>
      <w:r w:rsidRPr="00326EB1">
        <w:rPr>
          <w:rStyle w:val="FootnoteReference"/>
          <w:rFonts w:ascii="Times New Roman" w:hAnsi="Times New Roman" w:cs="Times New Roman"/>
        </w:rPr>
        <w:footnoteRef/>
      </w:r>
      <w:r w:rsidRPr="00326EB1">
        <w:rPr>
          <w:rFonts w:ascii="Times New Roman" w:hAnsi="Times New Roman" w:cs="Times New Roman"/>
        </w:rPr>
        <w:t xml:space="preserve"> For greater certainty, a Party may require a collective investment </w:t>
      </w:r>
      <w:proofErr w:type="gramStart"/>
      <w:r w:rsidRPr="00326EB1">
        <w:rPr>
          <w:rFonts w:ascii="Times New Roman" w:hAnsi="Times New Roman" w:cs="Times New Roman"/>
        </w:rPr>
        <w:t>scheme</w:t>
      </w:r>
      <w:proofErr w:type="gramEnd"/>
      <w:r w:rsidRPr="00326EB1">
        <w:rPr>
          <w:rFonts w:ascii="Times New Roman" w:hAnsi="Times New Roman" w:cs="Times New Roman"/>
        </w:rPr>
        <w:t xml:space="preserve"> or a person of a Party involved in the operation of the scheme located in the Party’s territory to retain ultimate responsibility for the management of the collective investment scheme.</w:t>
      </w:r>
    </w:p>
  </w:footnote>
  <w:footnote w:id="2">
    <w:p w14:paraId="0CF974A6" w14:textId="77777777" w:rsidR="00412040" w:rsidRDefault="00412040" w:rsidP="00412040">
      <w:pPr>
        <w:pStyle w:val="FootnoteText"/>
      </w:pPr>
      <w:r w:rsidRPr="00326EB1">
        <w:rPr>
          <w:rStyle w:val="FootnoteReference"/>
          <w:rFonts w:ascii="Times New Roman" w:hAnsi="Times New Roman" w:cs="Times New Roman"/>
        </w:rPr>
        <w:footnoteRef/>
      </w:r>
      <w:r w:rsidRPr="00326EB1">
        <w:rPr>
          <w:rFonts w:ascii="Times New Roman" w:hAnsi="Times New Roman" w:cs="Times New Roman"/>
        </w:rPr>
        <w:t xml:space="preserve"> Custodial services are included in paragraph (d) only with respect to investments for which the primary market is outside of the territory of Australia.</w:t>
      </w:r>
      <w:r w:rsidRPr="00326EB1">
        <w:rPr>
          <w:sz w:val="16"/>
          <w:szCs w:val="16"/>
        </w:rPr>
        <w:t xml:space="preserve"> </w:t>
      </w:r>
    </w:p>
  </w:footnote>
  <w:footnote w:id="3">
    <w:p w14:paraId="58FCAF63" w14:textId="77777777" w:rsidR="00412040" w:rsidRPr="00897CE7" w:rsidRDefault="00412040" w:rsidP="00412040">
      <w:pPr>
        <w:spacing w:line="252" w:lineRule="auto"/>
        <w:rPr>
          <w:rFonts w:ascii="Times New Roman" w:hAnsi="Times New Roman" w:cs="Times New Roman"/>
          <w:i/>
          <w:iCs/>
          <w:sz w:val="20"/>
          <w:szCs w:val="20"/>
        </w:rPr>
      </w:pPr>
      <w:r>
        <w:rPr>
          <w:rStyle w:val="FootnoteReference"/>
        </w:rPr>
        <w:footnoteRef/>
      </w:r>
      <w:r w:rsidRPr="00CE7883">
        <w:rPr>
          <w:rFonts w:ascii="Times New Roman" w:hAnsi="Times New Roman" w:cs="Times New Roman"/>
          <w:sz w:val="20"/>
          <w:szCs w:val="20"/>
        </w:rPr>
        <w:t>For greater certainty, insurance activities in the categories mentioned in subparagraphs 1(a)(iii)</w:t>
      </w:r>
      <w:r>
        <w:rPr>
          <w:rFonts w:ascii="Times New Roman" w:hAnsi="Times New Roman" w:cs="Times New Roman"/>
          <w:sz w:val="20"/>
          <w:szCs w:val="20"/>
        </w:rPr>
        <w:t xml:space="preserve"> through </w:t>
      </w:r>
      <w:r w:rsidRPr="00CE7883">
        <w:rPr>
          <w:rFonts w:ascii="Times New Roman" w:hAnsi="Times New Roman" w:cs="Times New Roman"/>
          <w:sz w:val="20"/>
          <w:szCs w:val="20"/>
        </w:rPr>
        <w:t>(x) are included in the scope of the commitments only where a supplier is carrying on that insurance business entirely outside that Party’s territory.</w:t>
      </w:r>
    </w:p>
    <w:p w14:paraId="70E153CF" w14:textId="77777777" w:rsidR="00412040" w:rsidRDefault="00412040" w:rsidP="004120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5A620" w14:textId="77777777" w:rsidR="00375BA4" w:rsidRDefault="00375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FC63" w14:textId="77777777" w:rsidR="00375BA4" w:rsidRDefault="00375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37C8" w14:textId="77777777" w:rsidR="00375BA4" w:rsidRDefault="0037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CE"/>
    <w:multiLevelType w:val="multilevel"/>
    <w:tmpl w:val="5792D598"/>
    <w:lvl w:ilvl="0">
      <w:start w:val="1"/>
      <w:numFmt w:val="decimal"/>
      <w:pStyle w:val="Level1"/>
      <w:lvlText w:val="%1."/>
      <w:lvlJc w:val="left"/>
      <w:pPr>
        <w:tabs>
          <w:tab w:val="num" w:pos="709"/>
        </w:tabs>
        <w:ind w:left="709" w:hanging="709"/>
      </w:pPr>
      <w:rPr>
        <w:rFonts w:asciiTheme="minorHAnsi" w:hAnsiTheme="minorHAnsi" w:cstheme="minorHAnsi" w:hint="default"/>
        <w:b w:val="0"/>
      </w:rPr>
    </w:lvl>
    <w:lvl w:ilvl="1">
      <w:start w:val="1"/>
      <w:numFmt w:val="decimal"/>
      <w:pStyle w:val="Level2"/>
      <w:isLgl/>
      <w:lvlText w:val="%1.%2"/>
      <w:lvlJc w:val="left"/>
      <w:pPr>
        <w:tabs>
          <w:tab w:val="num" w:pos="709"/>
        </w:tabs>
        <w:ind w:left="709" w:hanging="709"/>
      </w:pPr>
      <w:rPr>
        <w:rFonts w:asciiTheme="minorHAnsi" w:hAnsiTheme="minorHAnsi" w:cstheme="minorHAnsi" w:hint="default"/>
        <w:b w:val="0"/>
      </w:rPr>
    </w:lvl>
    <w:lvl w:ilvl="2">
      <w:start w:val="1"/>
      <w:numFmt w:val="lowerLetter"/>
      <w:pStyle w:val="Level3"/>
      <w:lvlText w:val="(%3)"/>
      <w:lvlJc w:val="left"/>
      <w:pPr>
        <w:tabs>
          <w:tab w:val="num" w:pos="1417"/>
        </w:tabs>
        <w:ind w:left="1417" w:hanging="708"/>
      </w:pPr>
      <w:rPr>
        <w:rFonts w:asciiTheme="minorHAnsi" w:hAnsiTheme="minorHAnsi" w:cstheme="minorHAnsi" w:hint="default"/>
        <w:b w:val="0"/>
      </w:rPr>
    </w:lvl>
    <w:lvl w:ilvl="3">
      <w:start w:val="1"/>
      <w:numFmt w:val="lowerRoman"/>
      <w:pStyle w:val="Level4"/>
      <w:lvlText w:val="(%4)"/>
      <w:lvlJc w:val="left"/>
      <w:pPr>
        <w:tabs>
          <w:tab w:val="num" w:pos="2126"/>
        </w:tabs>
        <w:ind w:left="2126" w:hanging="709"/>
      </w:pPr>
      <w:rPr>
        <w:rFonts w:asciiTheme="minorHAnsi" w:hAnsiTheme="minorHAnsi" w:cstheme="minorHAnsi"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40"/>
    <w:rsid w:val="00375BA4"/>
    <w:rsid w:val="00412040"/>
    <w:rsid w:val="00BF2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2F5E"/>
  <w15:chartTrackingRefBased/>
  <w15:docId w15:val="{75100CC8-817E-4FF0-A3FC-51C1056B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040"/>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412040"/>
    <w:pPr>
      <w:spacing w:line="240" w:lineRule="auto"/>
      <w:outlineLvl w:val="1"/>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04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12040"/>
    <w:rPr>
      <w:rFonts w:ascii="Times New Roman" w:hAnsi="Times New Roman" w:cs="Times New Roman"/>
      <w:b/>
      <w:bCs/>
      <w:sz w:val="24"/>
      <w:szCs w:val="24"/>
      <w:lang w:val="en-GB"/>
    </w:rPr>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412040"/>
    <w:pPr>
      <w:ind w:left="720"/>
      <w:contextualSpacing/>
    </w:pPr>
    <w:rPr>
      <w:lang w:val="en-GB"/>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locked/>
    <w:rsid w:val="00412040"/>
    <w:rPr>
      <w:lang w:val="en-GB"/>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unhideWhenUsed/>
    <w:qFormat/>
    <w:rsid w:val="00412040"/>
    <w:pPr>
      <w:spacing w:after="0" w:line="240" w:lineRule="auto"/>
    </w:pPr>
    <w:rPr>
      <w:sz w:val="20"/>
      <w:szCs w:val="20"/>
      <w:lang w:val="en-GB"/>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412040"/>
    <w:rPr>
      <w:sz w:val="20"/>
      <w:szCs w:val="20"/>
      <w:lang w:val="en-GB"/>
    </w:rPr>
  </w:style>
  <w:style w:type="character" w:styleId="FootnoteReference">
    <w:name w:val="footnote reference"/>
    <w:aliases w:val="BVI fnr,(Footnote Reference),Footnote Reference/,Ref,de nota al pie,PIC Footnote Reference,number,fr"/>
    <w:basedOn w:val="DefaultParagraphFont"/>
    <w:uiPriority w:val="99"/>
    <w:unhideWhenUsed/>
    <w:rsid w:val="00412040"/>
    <w:rPr>
      <w:vertAlign w:val="superscript"/>
    </w:rPr>
  </w:style>
  <w:style w:type="paragraph" w:customStyle="1" w:styleId="Level1">
    <w:name w:val="Level 1"/>
    <w:basedOn w:val="Normal"/>
    <w:uiPriority w:val="6"/>
    <w:qFormat/>
    <w:rsid w:val="00412040"/>
    <w:pPr>
      <w:numPr>
        <w:numId w:val="1"/>
      </w:numPr>
    </w:pPr>
    <w:rPr>
      <w:lang w:val="en-GB"/>
    </w:rPr>
  </w:style>
  <w:style w:type="paragraph" w:customStyle="1" w:styleId="Level2">
    <w:name w:val="Level 2"/>
    <w:basedOn w:val="Normal"/>
    <w:uiPriority w:val="6"/>
    <w:qFormat/>
    <w:rsid w:val="00412040"/>
    <w:pPr>
      <w:numPr>
        <w:ilvl w:val="1"/>
        <w:numId w:val="1"/>
      </w:numPr>
    </w:pPr>
    <w:rPr>
      <w:lang w:val="en-GB"/>
    </w:rPr>
  </w:style>
  <w:style w:type="paragraph" w:customStyle="1" w:styleId="Level3">
    <w:name w:val="Level 3"/>
    <w:basedOn w:val="Normal"/>
    <w:uiPriority w:val="6"/>
    <w:qFormat/>
    <w:rsid w:val="00412040"/>
    <w:pPr>
      <w:numPr>
        <w:ilvl w:val="2"/>
        <w:numId w:val="1"/>
      </w:numPr>
    </w:pPr>
    <w:rPr>
      <w:lang w:val="en-GB"/>
    </w:rPr>
  </w:style>
  <w:style w:type="paragraph" w:customStyle="1" w:styleId="Level4">
    <w:name w:val="Level 4"/>
    <w:basedOn w:val="Normal"/>
    <w:uiPriority w:val="6"/>
    <w:qFormat/>
    <w:rsid w:val="00412040"/>
    <w:pPr>
      <w:numPr>
        <w:ilvl w:val="3"/>
        <w:numId w:val="1"/>
      </w:numPr>
    </w:pPr>
    <w:rPr>
      <w:lang w:val="en-GB"/>
    </w:rPr>
  </w:style>
  <w:style w:type="paragraph" w:customStyle="1" w:styleId="Level5">
    <w:name w:val="Level 5"/>
    <w:basedOn w:val="Normal"/>
    <w:uiPriority w:val="6"/>
    <w:qFormat/>
    <w:rsid w:val="00412040"/>
    <w:pPr>
      <w:numPr>
        <w:ilvl w:val="4"/>
        <w:numId w:val="1"/>
      </w:numPr>
    </w:pPr>
    <w:rPr>
      <w:lang w:val="en-GB"/>
    </w:rPr>
  </w:style>
  <w:style w:type="paragraph" w:styleId="Header">
    <w:name w:val="header"/>
    <w:basedOn w:val="Normal"/>
    <w:link w:val="HeaderChar"/>
    <w:uiPriority w:val="99"/>
    <w:unhideWhenUsed/>
    <w:rsid w:val="0037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BA4"/>
  </w:style>
  <w:style w:type="paragraph" w:styleId="Footer">
    <w:name w:val="footer"/>
    <w:basedOn w:val="Normal"/>
    <w:link w:val="FooterChar"/>
    <w:uiPriority w:val="99"/>
    <w:unhideWhenUsed/>
    <w:rsid w:val="0037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1349</Words>
  <Characters>7685</Characters>
  <Application>Microsoft Office Word</Application>
  <DocSecurity>0</DocSecurity>
  <Lines>175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Hau</dc:creator>
  <cp:keywords> [SEC=OFFICIAL]</cp:keywords>
  <dc:description/>
  <cp:lastModifiedBy>Megan Hau</cp:lastModifiedBy>
  <cp:revision>2</cp:revision>
  <dcterms:created xsi:type="dcterms:W3CDTF">2021-12-13T05:14:00Z</dcterms:created>
  <dcterms:modified xsi:type="dcterms:W3CDTF">2021-12-13T05:37:00Z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A28BC4435F9446A9A3067E3B50BECA81</vt:lpwstr>
  </property>
  <property fmtid="{D5CDD505-2E9C-101B-9397-08002B2CF9AE}" pid="9" name="PM_ProtectiveMarkingValue_Footer">
    <vt:lpwstr>OFFICIAL</vt:lpwstr>
  </property>
  <property fmtid="{D5CDD505-2E9C-101B-9397-08002B2CF9AE}" pid="10" name="PM_Originator_Hash_SHA1">
    <vt:lpwstr>73E7B9EB5E9AB1C7549230A112A725CEF60A6F34</vt:lpwstr>
  </property>
  <property fmtid="{D5CDD505-2E9C-101B-9397-08002B2CF9AE}" pid="11" name="PM_OriginationTimeStamp">
    <vt:lpwstr>2021-12-13T05:21:42Z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6AF85CF17EB5CA46562A86A08C4F4336</vt:lpwstr>
  </property>
  <property fmtid="{D5CDD505-2E9C-101B-9397-08002B2CF9AE}" pid="20" name="PM_Hash_Salt">
    <vt:lpwstr>3CE253728F054C75A3306BEB4ABBE4D8</vt:lpwstr>
  </property>
  <property fmtid="{D5CDD505-2E9C-101B-9397-08002B2CF9AE}" pid="21" name="PM_Hash_SHA1">
    <vt:lpwstr>1243726ACF39F17E8693373E1F474B39CD3A2EAC</vt:lpwstr>
  </property>
  <property fmtid="{D5CDD505-2E9C-101B-9397-08002B2CF9AE}" pid="22" name="PM_SecurityClassification_Prev">
    <vt:lpwstr>OFFICIAL</vt:lpwstr>
  </property>
  <property fmtid="{D5CDD505-2E9C-101B-9397-08002B2CF9AE}" pid="23" name="PM_Qualifier_Prev">
    <vt:lpwstr/>
  </property>
</Properties>
</file>