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4B" w:rsidRPr="00006BE9" w:rsidRDefault="008E2F4B">
      <w:pPr>
        <w:pStyle w:val="Title"/>
        <w:rPr>
          <w:noProof/>
          <w:color w:val="000000"/>
        </w:rPr>
      </w:pPr>
      <w:r w:rsidRPr="00006BE9">
        <w:rPr>
          <w:color w:val="000000"/>
          <w:spacing w:val="-4"/>
        </w:rPr>
        <w:t>Infrastructure annual thematic performance report 2007–08</w:t>
      </w:r>
    </w:p>
    <w:p w:rsidR="008E2F4B" w:rsidRPr="00006BE9" w:rsidRDefault="008E2F4B" w:rsidP="007A45B0">
      <w:pPr>
        <w:pStyle w:val="Date"/>
        <w:spacing w:before="600" w:after="1560"/>
        <w:rPr>
          <w:rFonts w:ascii="Franklin Gothic Medium" w:hAnsi="Franklin Gothic Medium"/>
          <w:color w:val="000000"/>
        </w:rPr>
      </w:pPr>
      <w:r w:rsidRPr="00006BE9">
        <w:rPr>
          <w:rFonts w:ascii="Franklin Gothic Medium" w:hAnsi="Franklin Gothic Medium"/>
          <w:color w:val="000000"/>
        </w:rPr>
        <w:t>December 2008</w:t>
      </w:r>
    </w:p>
    <w:p w:rsidR="007B4675" w:rsidRPr="00006BE9" w:rsidRDefault="007B4675" w:rsidP="007B4675">
      <w:pPr>
        <w:pStyle w:val="Author"/>
        <w:rPr>
          <w:color w:val="000000"/>
        </w:rPr>
      </w:pPr>
      <w:r w:rsidRPr="00006BE9">
        <w:rPr>
          <w:color w:val="000000"/>
        </w:rPr>
        <w:t xml:space="preserve">Australian Government – AusAID </w:t>
      </w:r>
    </w:p>
    <w:p w:rsidR="008E2F4B" w:rsidRPr="00006BE9" w:rsidRDefault="008E2F4B">
      <w:pPr>
        <w:pStyle w:val="BoxText"/>
        <w:pageBreakBefore/>
        <w:spacing w:before="300"/>
        <w:ind w:right="1134"/>
        <w:rPr>
          <w:color w:val="000000"/>
        </w:rPr>
      </w:pPr>
      <w:r w:rsidRPr="00006BE9">
        <w:rPr>
          <w:color w:val="000000"/>
        </w:rPr>
        <w:lastRenderedPageBreak/>
        <w:t>© Commonwealth of Australia 2008</w:t>
      </w:r>
    </w:p>
    <w:p w:rsidR="008E2F4B" w:rsidRPr="00006BE9" w:rsidRDefault="008E2F4B">
      <w:pPr>
        <w:pStyle w:val="BoxText"/>
        <w:ind w:right="1134"/>
        <w:rPr>
          <w:color w:val="000000"/>
        </w:rPr>
      </w:pPr>
      <w:r w:rsidRPr="00006BE9">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006BE9">
        <w:rPr>
          <w:i/>
          <w:color w:val="000000"/>
        </w:rPr>
        <w:t>Copyright Act 1968</w:t>
      </w:r>
      <w:r w:rsidRPr="00006BE9">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8" w:history="1">
        <w:r w:rsidRPr="00006BE9">
          <w:rPr>
            <w:color w:val="000000"/>
          </w:rPr>
          <w:t>http://www.ag.gov.au/cca</w:t>
        </w:r>
      </w:hyperlink>
    </w:p>
    <w:p w:rsidR="008E2F4B" w:rsidRPr="00006BE9" w:rsidRDefault="008E2F4B">
      <w:pPr>
        <w:pStyle w:val="BoxText"/>
        <w:spacing w:before="400" w:after="0"/>
        <w:ind w:right="1134"/>
        <w:rPr>
          <w:color w:val="000000"/>
        </w:rPr>
      </w:pPr>
      <w:r w:rsidRPr="00006BE9">
        <w:rPr>
          <w:color w:val="000000"/>
        </w:rPr>
        <w:t xml:space="preserve">ISBN </w:t>
      </w:r>
      <w:r w:rsidR="00FC4A3C" w:rsidRPr="00006BE9">
        <w:rPr>
          <w:color w:val="000000"/>
        </w:rPr>
        <w:t>978 1 921285 68 4</w:t>
      </w:r>
    </w:p>
    <w:p w:rsidR="008E2F4B" w:rsidRPr="00006BE9" w:rsidRDefault="008E2F4B">
      <w:pPr>
        <w:pStyle w:val="BoxText"/>
        <w:spacing w:before="400"/>
        <w:ind w:right="1134"/>
        <w:rPr>
          <w:color w:val="000000"/>
        </w:rPr>
      </w:pPr>
      <w:r w:rsidRPr="00006BE9">
        <w:rPr>
          <w:color w:val="000000"/>
        </w:rPr>
        <w:t xml:space="preserve">Published by the Australian Agency for International Development (AusAID), </w:t>
      </w:r>
      <w:smartTag w:uri="urn:schemas-microsoft-com:office:smarttags" w:element="City">
        <w:smartTag w:uri="urn:schemas-microsoft-com:office:smarttags" w:element="place">
          <w:r w:rsidRPr="00006BE9">
            <w:rPr>
              <w:color w:val="000000"/>
            </w:rPr>
            <w:t>Canberra</w:t>
          </w:r>
        </w:smartTag>
      </w:smartTag>
      <w:r w:rsidRPr="00006BE9">
        <w:rPr>
          <w:color w:val="000000"/>
        </w:rPr>
        <w:t xml:space="preserve">, </w:t>
      </w:r>
      <w:r w:rsidR="0005352A" w:rsidRPr="00006BE9">
        <w:rPr>
          <w:color w:val="000000"/>
        </w:rPr>
        <w:t>December 2008</w:t>
      </w:r>
      <w:r w:rsidRPr="00006BE9">
        <w:rPr>
          <w:color w:val="000000"/>
        </w:rPr>
        <w:t>.</w:t>
      </w:r>
    </w:p>
    <w:p w:rsidR="008E2F4B" w:rsidRPr="00006BE9" w:rsidRDefault="008E2F4B">
      <w:pPr>
        <w:pStyle w:val="BoxText"/>
        <w:ind w:right="1134"/>
        <w:rPr>
          <w:color w:val="000000"/>
        </w:rPr>
      </w:pPr>
      <w:r w:rsidRPr="00006BE9">
        <w:rPr>
          <w:color w:val="000000"/>
        </w:rPr>
        <w:t xml:space="preserve">This document is online at </w:t>
      </w:r>
      <w:hyperlink r:id="rId9" w:history="1">
        <w:r w:rsidRPr="00006BE9">
          <w:rPr>
            <w:color w:val="000000"/>
          </w:rPr>
          <w:t>www.ausaid.gov.au/publications</w:t>
        </w:r>
      </w:hyperlink>
    </w:p>
    <w:p w:rsidR="0005352A" w:rsidRPr="00006BE9" w:rsidRDefault="0005352A" w:rsidP="0005352A">
      <w:pPr>
        <w:pStyle w:val="BoxText"/>
        <w:spacing w:before="400" w:after="400"/>
        <w:ind w:right="1134"/>
        <w:rPr>
          <w:color w:val="000000"/>
        </w:rPr>
      </w:pPr>
      <w:r w:rsidRPr="00006BE9">
        <w:rPr>
          <w:color w:val="000000"/>
        </w:rPr>
        <w:t>Annual Thematic Performance Reports are prepared in accordance with AusAID’s Performance Assessment and Evaluation Policy. The reports are self-assessments and represent the views of thematic areas.</w:t>
      </w:r>
    </w:p>
    <w:p w:rsidR="008E2F4B" w:rsidRPr="00006BE9" w:rsidRDefault="008E2F4B">
      <w:pPr>
        <w:pStyle w:val="BoxText"/>
        <w:ind w:right="2418"/>
        <w:rPr>
          <w:color w:val="000000"/>
        </w:rPr>
      </w:pPr>
      <w:r w:rsidRPr="00006BE9">
        <w:rPr>
          <w:color w:val="000000"/>
        </w:rPr>
        <w:t>For further information about the Australian Government’s international development program, contact:</w:t>
      </w:r>
    </w:p>
    <w:p w:rsidR="008E2F4B" w:rsidRPr="00006BE9" w:rsidRDefault="008E2F4B">
      <w:pPr>
        <w:pStyle w:val="BoxText"/>
        <w:spacing w:after="0"/>
        <w:ind w:right="1134"/>
        <w:rPr>
          <w:color w:val="000000"/>
        </w:rPr>
      </w:pPr>
      <w:r w:rsidRPr="00006BE9">
        <w:rPr>
          <w:color w:val="000000"/>
        </w:rPr>
        <w:t>Communications Section</w:t>
      </w:r>
    </w:p>
    <w:p w:rsidR="008E2F4B" w:rsidRPr="00006BE9" w:rsidRDefault="008E2F4B">
      <w:pPr>
        <w:pStyle w:val="BoxText"/>
        <w:spacing w:before="0" w:after="0"/>
        <w:ind w:right="1134"/>
        <w:rPr>
          <w:color w:val="000000"/>
        </w:rPr>
      </w:pPr>
      <w:r w:rsidRPr="00006BE9">
        <w:rPr>
          <w:color w:val="000000"/>
        </w:rPr>
        <w:t>AusAID</w:t>
      </w:r>
    </w:p>
    <w:p w:rsidR="008E2F4B" w:rsidRPr="00006BE9" w:rsidRDefault="008E2F4B">
      <w:pPr>
        <w:pStyle w:val="BoxText"/>
        <w:spacing w:before="0" w:after="0"/>
        <w:ind w:right="1134"/>
        <w:rPr>
          <w:color w:val="000000"/>
        </w:rPr>
      </w:pPr>
      <w:r w:rsidRPr="00006BE9">
        <w:rPr>
          <w:color w:val="000000"/>
        </w:rPr>
        <w:t xml:space="preserve">GPO </w:t>
      </w:r>
      <w:smartTag w:uri="urn:schemas-microsoft-com:office:smarttags" w:element="Street">
        <w:smartTag w:uri="urn:schemas-microsoft-com:office:smarttags" w:element="address">
          <w:r w:rsidRPr="00006BE9">
            <w:rPr>
              <w:color w:val="000000"/>
            </w:rPr>
            <w:t>Box</w:t>
          </w:r>
        </w:smartTag>
        <w:r w:rsidRPr="00006BE9">
          <w:rPr>
            <w:color w:val="000000"/>
          </w:rPr>
          <w:t xml:space="preserve"> 887</w:t>
        </w:r>
      </w:smartTag>
    </w:p>
    <w:p w:rsidR="008E2F4B" w:rsidRPr="00006BE9" w:rsidRDefault="008E2F4B">
      <w:pPr>
        <w:pStyle w:val="BoxText"/>
        <w:spacing w:before="0"/>
        <w:ind w:right="1134"/>
        <w:rPr>
          <w:color w:val="000000"/>
        </w:rPr>
      </w:pPr>
      <w:smartTag w:uri="urn:schemas-microsoft-com:office:smarttags" w:element="City">
        <w:smartTag w:uri="urn:schemas-microsoft-com:office:smarttags" w:element="place">
          <w:r w:rsidRPr="00006BE9">
            <w:rPr>
              <w:color w:val="000000"/>
            </w:rPr>
            <w:t>Canberra</w:t>
          </w:r>
        </w:smartTag>
      </w:smartTag>
      <w:r w:rsidRPr="00006BE9">
        <w:rPr>
          <w:color w:val="000000"/>
        </w:rPr>
        <w:t xml:space="preserve"> ACT 2601</w:t>
      </w:r>
    </w:p>
    <w:p w:rsidR="008E2F4B" w:rsidRPr="00006BE9" w:rsidRDefault="008E2F4B">
      <w:pPr>
        <w:pStyle w:val="BoxText"/>
        <w:spacing w:after="0"/>
        <w:ind w:right="1134"/>
        <w:rPr>
          <w:color w:val="000000"/>
        </w:rPr>
      </w:pPr>
      <w:r w:rsidRPr="00006BE9">
        <w:rPr>
          <w:color w:val="000000"/>
        </w:rPr>
        <w:t>Phone</w:t>
      </w:r>
      <w:r w:rsidRPr="00006BE9">
        <w:rPr>
          <w:rFonts w:ascii="Arial Unicode MS" w:eastAsia="Arial Unicode MS" w:hAnsi="Arial Unicode MS" w:cs="Arial Unicode MS" w:hint="eastAsia"/>
          <w:color w:val="000000"/>
        </w:rPr>
        <w:t> </w:t>
      </w:r>
      <w:r w:rsidRPr="00006BE9">
        <w:rPr>
          <w:color w:val="000000"/>
        </w:rPr>
        <w:t>(02) 6206 4000</w:t>
      </w:r>
    </w:p>
    <w:p w:rsidR="008E2F4B" w:rsidRPr="00006BE9" w:rsidRDefault="008E2F4B">
      <w:pPr>
        <w:pStyle w:val="BoxText"/>
        <w:spacing w:before="0" w:after="0"/>
        <w:ind w:right="1134"/>
        <w:rPr>
          <w:color w:val="000000"/>
        </w:rPr>
      </w:pPr>
      <w:r w:rsidRPr="00006BE9">
        <w:rPr>
          <w:color w:val="000000"/>
        </w:rPr>
        <w:t>Facsimile</w:t>
      </w:r>
      <w:r w:rsidRPr="00006BE9">
        <w:rPr>
          <w:rFonts w:ascii="Arial Unicode MS" w:eastAsia="Arial Unicode MS" w:hAnsi="Arial Unicode MS" w:cs="Arial Unicode MS" w:hint="eastAsia"/>
          <w:color w:val="000000"/>
        </w:rPr>
        <w:t> </w:t>
      </w:r>
      <w:r w:rsidRPr="00006BE9">
        <w:rPr>
          <w:color w:val="000000"/>
        </w:rPr>
        <w:t>(02) 6206 4880</w:t>
      </w:r>
    </w:p>
    <w:p w:rsidR="008E2F4B" w:rsidRPr="00006BE9" w:rsidRDefault="007A45B0">
      <w:pPr>
        <w:pStyle w:val="BoxText"/>
        <w:spacing w:before="0"/>
        <w:ind w:right="1134"/>
        <w:rPr>
          <w:color w:val="000000"/>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4"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25pt;margin-top:163.7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CTI&#10;lJyDAgAABQUAAA4AAAAAAAAAAAAAAAAALgIAAGRycy9lMm9Eb2MueG1sUEsBAi0AFAAGAAgAAAAh&#10;ACqa+tvfAAAACgEAAA8AAAAAAAAAAAAAAAAA3QQAAGRycy9kb3ducmV2LnhtbFBLBQYAAAAABAAE&#10;APMAAADpBQAAAAA=&#10;" stroked="f">
                <w10:wrap anchorx="page"/>
              </v:rect>
            </w:pict>
          </mc:Fallback>
        </mc:AlternateContent>
      </w:r>
      <w:r w:rsidR="008E2F4B" w:rsidRPr="00006BE9">
        <w:rPr>
          <w:color w:val="000000"/>
        </w:rPr>
        <w:t>Internet</w:t>
      </w:r>
      <w:r w:rsidR="008E2F4B" w:rsidRPr="00006BE9">
        <w:rPr>
          <w:rFonts w:ascii="Arial Unicode MS" w:eastAsia="Arial Unicode MS" w:hAnsi="Arial Unicode MS" w:cs="Arial Unicode MS" w:hint="eastAsia"/>
          <w:color w:val="000000"/>
        </w:rPr>
        <w:t> </w:t>
      </w:r>
      <w:hyperlink r:id="rId10" w:history="1">
        <w:r w:rsidR="008E2F4B" w:rsidRPr="00006BE9">
          <w:rPr>
            <w:color w:val="000000"/>
          </w:rPr>
          <w:t>www.</w:t>
        </w:r>
        <w:bookmarkStart w:id="0" w:name="_Hlt536343294"/>
        <w:r w:rsidR="008E2F4B" w:rsidRPr="00006BE9">
          <w:rPr>
            <w:color w:val="000000"/>
          </w:rPr>
          <w:t>a</w:t>
        </w:r>
        <w:bookmarkEnd w:id="0"/>
        <w:r w:rsidR="008E2F4B" w:rsidRPr="00006BE9">
          <w:rPr>
            <w:color w:val="000000"/>
          </w:rPr>
          <w:t>u</w:t>
        </w:r>
        <w:bookmarkStart w:id="1" w:name="_Hlt536343388"/>
        <w:r w:rsidR="008E2F4B" w:rsidRPr="00006BE9">
          <w:rPr>
            <w:color w:val="000000"/>
          </w:rPr>
          <w:t>s</w:t>
        </w:r>
        <w:bookmarkStart w:id="2" w:name="_Hlt536343250"/>
        <w:bookmarkEnd w:id="1"/>
        <w:r w:rsidR="008E2F4B" w:rsidRPr="00006BE9">
          <w:rPr>
            <w:color w:val="000000"/>
          </w:rPr>
          <w:t>a</w:t>
        </w:r>
        <w:bookmarkStart w:id="3" w:name="_Hlt536343212"/>
        <w:bookmarkEnd w:id="2"/>
        <w:r w:rsidR="008E2F4B" w:rsidRPr="00006BE9">
          <w:rPr>
            <w:color w:val="000000"/>
          </w:rPr>
          <w:t>i</w:t>
        </w:r>
        <w:bookmarkStart w:id="4" w:name="_Hlt536343325"/>
        <w:bookmarkEnd w:id="3"/>
        <w:r w:rsidR="008E2F4B" w:rsidRPr="00006BE9">
          <w:rPr>
            <w:color w:val="000000"/>
          </w:rPr>
          <w:t>d</w:t>
        </w:r>
        <w:bookmarkEnd w:id="4"/>
        <w:r w:rsidR="008E2F4B" w:rsidRPr="00006BE9">
          <w:rPr>
            <w:color w:val="000000"/>
          </w:rPr>
          <w:t>.go</w:t>
        </w:r>
        <w:bookmarkStart w:id="5" w:name="_Hlt86200017"/>
        <w:r w:rsidR="008E2F4B" w:rsidRPr="00006BE9">
          <w:rPr>
            <w:color w:val="000000"/>
          </w:rPr>
          <w:t>v</w:t>
        </w:r>
        <w:bookmarkEnd w:id="5"/>
        <w:r w:rsidR="008E2F4B" w:rsidRPr="00006BE9">
          <w:rPr>
            <w:color w:val="000000"/>
          </w:rPr>
          <w:t>.au</w:t>
        </w:r>
      </w:hyperlink>
    </w:p>
    <w:p w:rsidR="008E2F4B" w:rsidRPr="00006BE9" w:rsidRDefault="008E2F4B">
      <w:pPr>
        <w:pStyle w:val="Contents"/>
        <w:rPr>
          <w:noProof/>
          <w:color w:val="000000"/>
        </w:rPr>
      </w:pPr>
      <w:r w:rsidRPr="00006BE9">
        <w:rPr>
          <w:noProof/>
          <w:color w:val="000000"/>
        </w:rPr>
        <w:lastRenderedPageBreak/>
        <w:t>Contents</w:t>
      </w:r>
    </w:p>
    <w:p w:rsidR="00EE171C" w:rsidRPr="00006BE9" w:rsidRDefault="008E2F4B">
      <w:pPr>
        <w:pStyle w:val="TOC1"/>
        <w:rPr>
          <w:rFonts w:ascii="Times New Roman" w:hAnsi="Times New Roman"/>
          <w:noProof/>
          <w:color w:val="000000"/>
          <w:lang w:val="en-US" w:eastAsia="en-US"/>
        </w:rPr>
      </w:pPr>
      <w:r w:rsidRPr="00006BE9">
        <w:rPr>
          <w:color w:val="000000"/>
        </w:rPr>
        <w:fldChar w:fldCharType="begin"/>
      </w:r>
      <w:r w:rsidRPr="00006BE9">
        <w:rPr>
          <w:color w:val="000000"/>
        </w:rPr>
        <w:instrText xml:space="preserve"> TOC \o "1-3" \t </w:instrText>
      </w:r>
      <w:r w:rsidRPr="00006BE9">
        <w:rPr>
          <w:color w:val="000000"/>
        </w:rPr>
        <w:fldChar w:fldCharType="separate"/>
      </w:r>
      <w:r w:rsidR="00EE171C" w:rsidRPr="00006BE9">
        <w:rPr>
          <w:noProof/>
          <w:color w:val="000000"/>
        </w:rPr>
        <w:t xml:space="preserve">Abbreviations </w:t>
      </w:r>
      <w:r w:rsidR="00EE171C" w:rsidRPr="00006BE9">
        <w:rPr>
          <w:noProof/>
          <w:color w:val="000000"/>
        </w:rPr>
        <w:tab/>
      </w:r>
      <w:r w:rsidR="00EE171C" w:rsidRPr="00006BE9">
        <w:rPr>
          <w:noProof/>
          <w:color w:val="000000"/>
        </w:rPr>
        <w:fldChar w:fldCharType="begin"/>
      </w:r>
      <w:r w:rsidR="00EE171C" w:rsidRPr="00006BE9">
        <w:rPr>
          <w:noProof/>
          <w:color w:val="000000"/>
        </w:rPr>
        <w:instrText xml:space="preserve"> PAGEREF _Toc217894544 \h </w:instrText>
      </w:r>
      <w:r w:rsidR="00DB3946" w:rsidRPr="00006BE9">
        <w:rPr>
          <w:noProof/>
          <w:color w:val="000000"/>
        </w:rPr>
      </w:r>
      <w:r w:rsidR="00EE171C" w:rsidRPr="00006BE9">
        <w:rPr>
          <w:noProof/>
          <w:color w:val="000000"/>
        </w:rPr>
        <w:fldChar w:fldCharType="separate"/>
      </w:r>
      <w:r w:rsidR="00FB5D3A" w:rsidRPr="00006BE9">
        <w:rPr>
          <w:noProof/>
          <w:color w:val="000000"/>
        </w:rPr>
        <w:t>4</w:t>
      </w:r>
      <w:r w:rsidR="00EE171C"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 xml:space="preserve">Summary </w:t>
      </w:r>
      <w:r w:rsidRPr="00006BE9">
        <w:rPr>
          <w:noProof/>
          <w:color w:val="000000"/>
        </w:rPr>
        <w:tab/>
      </w:r>
      <w:r w:rsidRPr="00006BE9">
        <w:rPr>
          <w:noProof/>
          <w:color w:val="000000"/>
        </w:rPr>
        <w:fldChar w:fldCharType="begin"/>
      </w:r>
      <w:r w:rsidRPr="00006BE9">
        <w:rPr>
          <w:noProof/>
          <w:color w:val="000000"/>
        </w:rPr>
        <w:instrText xml:space="preserve"> PAGEREF _Toc217894545 \h </w:instrText>
      </w:r>
      <w:r w:rsidR="00DB3946" w:rsidRPr="00006BE9">
        <w:rPr>
          <w:noProof/>
          <w:color w:val="000000"/>
        </w:rPr>
      </w:r>
      <w:r w:rsidRPr="00006BE9">
        <w:rPr>
          <w:noProof/>
          <w:color w:val="000000"/>
        </w:rPr>
        <w:fldChar w:fldCharType="separate"/>
      </w:r>
      <w:r w:rsidR="00FB5D3A" w:rsidRPr="00006BE9">
        <w:rPr>
          <w:noProof/>
          <w:color w:val="000000"/>
        </w:rPr>
        <w:t>5</w:t>
      </w:r>
      <w:r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 xml:space="preserve">Introduction </w:t>
      </w:r>
      <w:r w:rsidRPr="00006BE9">
        <w:rPr>
          <w:noProof/>
          <w:color w:val="000000"/>
        </w:rPr>
        <w:tab/>
      </w:r>
      <w:r w:rsidRPr="00006BE9">
        <w:rPr>
          <w:noProof/>
          <w:color w:val="000000"/>
        </w:rPr>
        <w:fldChar w:fldCharType="begin"/>
      </w:r>
      <w:r w:rsidRPr="00006BE9">
        <w:rPr>
          <w:noProof/>
          <w:color w:val="000000"/>
        </w:rPr>
        <w:instrText xml:space="preserve"> PAGEREF _Toc217894546 \h </w:instrText>
      </w:r>
      <w:r w:rsidR="00DB3946" w:rsidRPr="00006BE9">
        <w:rPr>
          <w:noProof/>
          <w:color w:val="000000"/>
        </w:rPr>
      </w:r>
      <w:r w:rsidRPr="00006BE9">
        <w:rPr>
          <w:noProof/>
          <w:color w:val="000000"/>
        </w:rPr>
        <w:fldChar w:fldCharType="separate"/>
      </w:r>
      <w:r w:rsidR="00FB5D3A" w:rsidRPr="00006BE9">
        <w:rPr>
          <w:noProof/>
          <w:color w:val="000000"/>
        </w:rPr>
        <w:t>7</w:t>
      </w:r>
      <w:r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 xml:space="preserve">Overview of </w:t>
      </w:r>
      <w:r w:rsidRPr="00006BE9">
        <w:rPr>
          <w:caps/>
          <w:noProof/>
          <w:color w:val="000000"/>
        </w:rPr>
        <w:t>a</w:t>
      </w:r>
      <w:r w:rsidRPr="00006BE9">
        <w:rPr>
          <w:noProof/>
          <w:color w:val="000000"/>
        </w:rPr>
        <w:t>us</w:t>
      </w:r>
      <w:r w:rsidRPr="00006BE9">
        <w:rPr>
          <w:caps/>
          <w:noProof/>
          <w:color w:val="000000"/>
        </w:rPr>
        <w:t>aid</w:t>
      </w:r>
      <w:r w:rsidRPr="00006BE9">
        <w:rPr>
          <w:noProof/>
          <w:color w:val="000000"/>
        </w:rPr>
        <w:t>’s infrastructure program</w:t>
      </w:r>
      <w:r w:rsidRPr="00006BE9">
        <w:rPr>
          <w:noProof/>
          <w:color w:val="000000"/>
        </w:rPr>
        <w:tab/>
      </w:r>
      <w:r w:rsidRPr="00006BE9">
        <w:rPr>
          <w:noProof/>
          <w:color w:val="000000"/>
        </w:rPr>
        <w:fldChar w:fldCharType="begin"/>
      </w:r>
      <w:r w:rsidRPr="00006BE9">
        <w:rPr>
          <w:noProof/>
          <w:color w:val="000000"/>
        </w:rPr>
        <w:instrText xml:space="preserve"> PAGEREF _Toc217894547 \h </w:instrText>
      </w:r>
      <w:r w:rsidR="00DB3946" w:rsidRPr="00006BE9">
        <w:rPr>
          <w:noProof/>
          <w:color w:val="000000"/>
        </w:rPr>
      </w:r>
      <w:r w:rsidRPr="00006BE9">
        <w:rPr>
          <w:noProof/>
          <w:color w:val="000000"/>
        </w:rPr>
        <w:fldChar w:fldCharType="separate"/>
      </w:r>
      <w:r w:rsidR="00FB5D3A" w:rsidRPr="00006BE9">
        <w:rPr>
          <w:noProof/>
          <w:color w:val="000000"/>
        </w:rPr>
        <w:t>9</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Background</w:t>
      </w:r>
      <w:r w:rsidRPr="00006BE9">
        <w:rPr>
          <w:noProof/>
          <w:color w:val="000000"/>
        </w:rPr>
        <w:tab/>
      </w:r>
      <w:r w:rsidRPr="00006BE9">
        <w:rPr>
          <w:noProof/>
          <w:color w:val="000000"/>
        </w:rPr>
        <w:fldChar w:fldCharType="begin"/>
      </w:r>
      <w:r w:rsidRPr="00006BE9">
        <w:rPr>
          <w:noProof/>
          <w:color w:val="000000"/>
        </w:rPr>
        <w:instrText xml:space="preserve"> PAGEREF _Toc217894548 \h </w:instrText>
      </w:r>
      <w:r w:rsidR="00DB3946" w:rsidRPr="00006BE9">
        <w:rPr>
          <w:noProof/>
          <w:color w:val="000000"/>
        </w:rPr>
      </w:r>
      <w:r w:rsidRPr="00006BE9">
        <w:rPr>
          <w:noProof/>
          <w:color w:val="000000"/>
        </w:rPr>
        <w:fldChar w:fldCharType="separate"/>
      </w:r>
      <w:r w:rsidR="00FB5D3A" w:rsidRPr="00006BE9">
        <w:rPr>
          <w:noProof/>
          <w:color w:val="000000"/>
        </w:rPr>
        <w:t>9</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Policy</w:t>
      </w:r>
      <w:r w:rsidRPr="00006BE9">
        <w:rPr>
          <w:noProof/>
          <w:color w:val="000000"/>
        </w:rPr>
        <w:tab/>
      </w:r>
      <w:r w:rsidRPr="00006BE9">
        <w:rPr>
          <w:noProof/>
          <w:color w:val="000000"/>
        </w:rPr>
        <w:fldChar w:fldCharType="begin"/>
      </w:r>
      <w:r w:rsidRPr="00006BE9">
        <w:rPr>
          <w:noProof/>
          <w:color w:val="000000"/>
        </w:rPr>
        <w:instrText xml:space="preserve"> PAGEREF _Toc217894549 \h </w:instrText>
      </w:r>
      <w:r w:rsidR="00DB3946" w:rsidRPr="00006BE9">
        <w:rPr>
          <w:noProof/>
          <w:color w:val="000000"/>
        </w:rPr>
      </w:r>
      <w:r w:rsidRPr="00006BE9">
        <w:rPr>
          <w:noProof/>
          <w:color w:val="000000"/>
        </w:rPr>
        <w:fldChar w:fldCharType="separate"/>
      </w:r>
      <w:r w:rsidR="00FB5D3A" w:rsidRPr="00006BE9">
        <w:rPr>
          <w:noProof/>
          <w:color w:val="000000"/>
        </w:rPr>
        <w:t>9</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Portfolio</w:t>
      </w:r>
      <w:r w:rsidRPr="00006BE9">
        <w:rPr>
          <w:noProof/>
          <w:color w:val="000000"/>
        </w:rPr>
        <w:tab/>
      </w:r>
      <w:r w:rsidRPr="00006BE9">
        <w:rPr>
          <w:noProof/>
          <w:color w:val="000000"/>
        </w:rPr>
        <w:fldChar w:fldCharType="begin"/>
      </w:r>
      <w:r w:rsidRPr="00006BE9">
        <w:rPr>
          <w:noProof/>
          <w:color w:val="000000"/>
        </w:rPr>
        <w:instrText xml:space="preserve"> PAGEREF _Toc217894550 \h </w:instrText>
      </w:r>
      <w:r w:rsidR="00DB3946" w:rsidRPr="00006BE9">
        <w:rPr>
          <w:noProof/>
          <w:color w:val="000000"/>
        </w:rPr>
      </w:r>
      <w:r w:rsidRPr="00006BE9">
        <w:rPr>
          <w:noProof/>
          <w:color w:val="000000"/>
        </w:rPr>
        <w:fldChar w:fldCharType="separate"/>
      </w:r>
      <w:r w:rsidR="00FB5D3A" w:rsidRPr="00006BE9">
        <w:rPr>
          <w:noProof/>
          <w:color w:val="000000"/>
        </w:rPr>
        <w:t>11</w:t>
      </w:r>
      <w:r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Results of support for transport infrastructure in Papua New Guinea</w:t>
      </w:r>
      <w:r w:rsidRPr="00006BE9">
        <w:rPr>
          <w:noProof/>
          <w:color w:val="000000"/>
        </w:rPr>
        <w:tab/>
      </w:r>
      <w:r w:rsidRPr="00006BE9">
        <w:rPr>
          <w:noProof/>
          <w:color w:val="000000"/>
        </w:rPr>
        <w:fldChar w:fldCharType="begin"/>
      </w:r>
      <w:r w:rsidRPr="00006BE9">
        <w:rPr>
          <w:noProof/>
          <w:color w:val="000000"/>
        </w:rPr>
        <w:instrText xml:space="preserve"> PAGEREF _Toc217894551 \h </w:instrText>
      </w:r>
      <w:r w:rsidR="00DB3946" w:rsidRPr="00006BE9">
        <w:rPr>
          <w:noProof/>
          <w:color w:val="000000"/>
        </w:rPr>
      </w:r>
      <w:r w:rsidRPr="00006BE9">
        <w:rPr>
          <w:noProof/>
          <w:color w:val="000000"/>
        </w:rPr>
        <w:fldChar w:fldCharType="separate"/>
      </w:r>
      <w:r w:rsidR="00FB5D3A" w:rsidRPr="00006BE9">
        <w:rPr>
          <w:noProof/>
          <w:color w:val="000000"/>
        </w:rPr>
        <w:t>12</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Background</w:t>
      </w:r>
      <w:r w:rsidRPr="00006BE9">
        <w:rPr>
          <w:noProof/>
          <w:color w:val="000000"/>
        </w:rPr>
        <w:tab/>
      </w:r>
      <w:r w:rsidRPr="00006BE9">
        <w:rPr>
          <w:noProof/>
          <w:color w:val="000000"/>
        </w:rPr>
        <w:fldChar w:fldCharType="begin"/>
      </w:r>
      <w:r w:rsidRPr="00006BE9">
        <w:rPr>
          <w:noProof/>
          <w:color w:val="000000"/>
        </w:rPr>
        <w:instrText xml:space="preserve"> PAGEREF _Toc217894552 \h </w:instrText>
      </w:r>
      <w:r w:rsidR="00DB3946" w:rsidRPr="00006BE9">
        <w:rPr>
          <w:noProof/>
          <w:color w:val="000000"/>
        </w:rPr>
      </w:r>
      <w:r w:rsidRPr="00006BE9">
        <w:rPr>
          <w:noProof/>
          <w:color w:val="000000"/>
        </w:rPr>
        <w:fldChar w:fldCharType="separate"/>
      </w:r>
      <w:r w:rsidR="00FB5D3A" w:rsidRPr="00006BE9">
        <w:rPr>
          <w:noProof/>
          <w:color w:val="000000"/>
        </w:rPr>
        <w:t>12</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Objectives</w:t>
      </w:r>
      <w:r w:rsidRPr="00006BE9">
        <w:rPr>
          <w:noProof/>
          <w:color w:val="000000"/>
        </w:rPr>
        <w:tab/>
      </w:r>
      <w:r w:rsidRPr="00006BE9">
        <w:rPr>
          <w:noProof/>
          <w:color w:val="000000"/>
        </w:rPr>
        <w:fldChar w:fldCharType="begin"/>
      </w:r>
      <w:r w:rsidRPr="00006BE9">
        <w:rPr>
          <w:noProof/>
          <w:color w:val="000000"/>
        </w:rPr>
        <w:instrText xml:space="preserve"> PAGEREF _Toc217894553 \h </w:instrText>
      </w:r>
      <w:r w:rsidR="00DB3946" w:rsidRPr="00006BE9">
        <w:rPr>
          <w:noProof/>
          <w:color w:val="000000"/>
        </w:rPr>
      </w:r>
      <w:r w:rsidRPr="00006BE9">
        <w:rPr>
          <w:noProof/>
          <w:color w:val="000000"/>
        </w:rPr>
        <w:fldChar w:fldCharType="separate"/>
      </w:r>
      <w:r w:rsidR="00FB5D3A" w:rsidRPr="00006BE9">
        <w:rPr>
          <w:noProof/>
          <w:color w:val="000000"/>
        </w:rPr>
        <w:t>13</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Monitoring and evaluation and results</w:t>
      </w:r>
      <w:r w:rsidRPr="00006BE9">
        <w:rPr>
          <w:noProof/>
          <w:color w:val="000000"/>
        </w:rPr>
        <w:tab/>
      </w:r>
      <w:r w:rsidRPr="00006BE9">
        <w:rPr>
          <w:noProof/>
          <w:color w:val="000000"/>
        </w:rPr>
        <w:fldChar w:fldCharType="begin"/>
      </w:r>
      <w:r w:rsidRPr="00006BE9">
        <w:rPr>
          <w:noProof/>
          <w:color w:val="000000"/>
        </w:rPr>
        <w:instrText xml:space="preserve"> PAGEREF _Toc217894554 \h </w:instrText>
      </w:r>
      <w:r w:rsidR="00DB3946" w:rsidRPr="00006BE9">
        <w:rPr>
          <w:noProof/>
          <w:color w:val="000000"/>
        </w:rPr>
      </w:r>
      <w:r w:rsidRPr="00006BE9">
        <w:rPr>
          <w:noProof/>
          <w:color w:val="000000"/>
        </w:rPr>
        <w:fldChar w:fldCharType="separate"/>
      </w:r>
      <w:r w:rsidR="00FB5D3A" w:rsidRPr="00006BE9">
        <w:rPr>
          <w:noProof/>
          <w:color w:val="000000"/>
        </w:rPr>
        <w:t>13</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Challenges</w:t>
      </w:r>
      <w:r w:rsidRPr="00006BE9">
        <w:rPr>
          <w:noProof/>
          <w:color w:val="000000"/>
        </w:rPr>
        <w:tab/>
      </w:r>
      <w:r w:rsidRPr="00006BE9">
        <w:rPr>
          <w:noProof/>
          <w:color w:val="000000"/>
        </w:rPr>
        <w:fldChar w:fldCharType="begin"/>
      </w:r>
      <w:r w:rsidRPr="00006BE9">
        <w:rPr>
          <w:noProof/>
          <w:color w:val="000000"/>
        </w:rPr>
        <w:instrText xml:space="preserve"> PAGEREF _Toc217894555 \h </w:instrText>
      </w:r>
      <w:r w:rsidR="00DB3946" w:rsidRPr="00006BE9">
        <w:rPr>
          <w:noProof/>
          <w:color w:val="000000"/>
        </w:rPr>
      </w:r>
      <w:r w:rsidRPr="00006BE9">
        <w:rPr>
          <w:noProof/>
          <w:color w:val="000000"/>
        </w:rPr>
        <w:fldChar w:fldCharType="separate"/>
      </w:r>
      <w:r w:rsidR="00FB5D3A" w:rsidRPr="00006BE9">
        <w:rPr>
          <w:noProof/>
          <w:color w:val="000000"/>
        </w:rPr>
        <w:t>17</w:t>
      </w:r>
      <w:r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Results of support for water and sanitation infrastructure in Vietnam</w:t>
      </w:r>
      <w:r w:rsidRPr="00006BE9">
        <w:rPr>
          <w:noProof/>
          <w:color w:val="000000"/>
        </w:rPr>
        <w:tab/>
      </w:r>
      <w:r w:rsidRPr="00006BE9">
        <w:rPr>
          <w:noProof/>
          <w:color w:val="000000"/>
        </w:rPr>
        <w:fldChar w:fldCharType="begin"/>
      </w:r>
      <w:r w:rsidRPr="00006BE9">
        <w:rPr>
          <w:noProof/>
          <w:color w:val="000000"/>
        </w:rPr>
        <w:instrText xml:space="preserve"> PAGEREF _Toc217894556 \h </w:instrText>
      </w:r>
      <w:r w:rsidR="00DB3946" w:rsidRPr="00006BE9">
        <w:rPr>
          <w:noProof/>
          <w:color w:val="000000"/>
        </w:rPr>
      </w:r>
      <w:r w:rsidRPr="00006BE9">
        <w:rPr>
          <w:noProof/>
          <w:color w:val="000000"/>
        </w:rPr>
        <w:fldChar w:fldCharType="separate"/>
      </w:r>
      <w:r w:rsidR="00FB5D3A" w:rsidRPr="00006BE9">
        <w:rPr>
          <w:noProof/>
          <w:color w:val="000000"/>
        </w:rPr>
        <w:t>18</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Background</w:t>
      </w:r>
      <w:r w:rsidRPr="00006BE9">
        <w:rPr>
          <w:noProof/>
          <w:color w:val="000000"/>
        </w:rPr>
        <w:tab/>
      </w:r>
      <w:r w:rsidRPr="00006BE9">
        <w:rPr>
          <w:noProof/>
          <w:color w:val="000000"/>
        </w:rPr>
        <w:fldChar w:fldCharType="begin"/>
      </w:r>
      <w:r w:rsidRPr="00006BE9">
        <w:rPr>
          <w:noProof/>
          <w:color w:val="000000"/>
        </w:rPr>
        <w:instrText xml:space="preserve"> PAGEREF _Toc217894557 \h </w:instrText>
      </w:r>
      <w:r w:rsidR="00DB3946" w:rsidRPr="00006BE9">
        <w:rPr>
          <w:noProof/>
          <w:color w:val="000000"/>
        </w:rPr>
      </w:r>
      <w:r w:rsidRPr="00006BE9">
        <w:rPr>
          <w:noProof/>
          <w:color w:val="000000"/>
        </w:rPr>
        <w:fldChar w:fldCharType="separate"/>
      </w:r>
      <w:r w:rsidR="00FB5D3A" w:rsidRPr="00006BE9">
        <w:rPr>
          <w:noProof/>
          <w:color w:val="000000"/>
        </w:rPr>
        <w:t>18</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Objectives</w:t>
      </w:r>
      <w:r w:rsidRPr="00006BE9">
        <w:rPr>
          <w:noProof/>
          <w:color w:val="000000"/>
        </w:rPr>
        <w:tab/>
      </w:r>
      <w:r w:rsidRPr="00006BE9">
        <w:rPr>
          <w:noProof/>
          <w:color w:val="000000"/>
        </w:rPr>
        <w:fldChar w:fldCharType="begin"/>
      </w:r>
      <w:r w:rsidRPr="00006BE9">
        <w:rPr>
          <w:noProof/>
          <w:color w:val="000000"/>
        </w:rPr>
        <w:instrText xml:space="preserve"> PAGEREF _Toc217894558 \h </w:instrText>
      </w:r>
      <w:r w:rsidR="00DB3946" w:rsidRPr="00006BE9">
        <w:rPr>
          <w:noProof/>
          <w:color w:val="000000"/>
        </w:rPr>
      </w:r>
      <w:r w:rsidRPr="00006BE9">
        <w:rPr>
          <w:noProof/>
          <w:color w:val="000000"/>
        </w:rPr>
        <w:fldChar w:fldCharType="separate"/>
      </w:r>
      <w:r w:rsidR="00FB5D3A" w:rsidRPr="00006BE9">
        <w:rPr>
          <w:noProof/>
          <w:color w:val="000000"/>
        </w:rPr>
        <w:t>19</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Monitoring and evaluation and results</w:t>
      </w:r>
      <w:r w:rsidRPr="00006BE9">
        <w:rPr>
          <w:noProof/>
          <w:color w:val="000000"/>
        </w:rPr>
        <w:tab/>
      </w:r>
      <w:r w:rsidRPr="00006BE9">
        <w:rPr>
          <w:noProof/>
          <w:color w:val="000000"/>
        </w:rPr>
        <w:fldChar w:fldCharType="begin"/>
      </w:r>
      <w:r w:rsidRPr="00006BE9">
        <w:rPr>
          <w:noProof/>
          <w:color w:val="000000"/>
        </w:rPr>
        <w:instrText xml:space="preserve"> PAGEREF _Toc217894559 \h </w:instrText>
      </w:r>
      <w:r w:rsidR="00DB3946" w:rsidRPr="00006BE9">
        <w:rPr>
          <w:noProof/>
          <w:color w:val="000000"/>
        </w:rPr>
      </w:r>
      <w:r w:rsidRPr="00006BE9">
        <w:rPr>
          <w:noProof/>
          <w:color w:val="000000"/>
        </w:rPr>
        <w:fldChar w:fldCharType="separate"/>
      </w:r>
      <w:r w:rsidR="00FB5D3A" w:rsidRPr="00006BE9">
        <w:rPr>
          <w:noProof/>
          <w:color w:val="000000"/>
        </w:rPr>
        <w:t>20</w:t>
      </w:r>
      <w:r w:rsidRPr="00006BE9">
        <w:rPr>
          <w:noProof/>
          <w:color w:val="000000"/>
        </w:rPr>
        <w:fldChar w:fldCharType="end"/>
      </w:r>
    </w:p>
    <w:p w:rsidR="00EE171C" w:rsidRPr="00006BE9" w:rsidRDefault="00EE171C">
      <w:pPr>
        <w:pStyle w:val="TOC2"/>
        <w:rPr>
          <w:rFonts w:ascii="Times New Roman" w:hAnsi="Times New Roman"/>
          <w:noProof/>
          <w:color w:val="000000"/>
          <w:sz w:val="24"/>
          <w:szCs w:val="24"/>
          <w:lang w:val="en-US" w:eastAsia="en-US"/>
        </w:rPr>
      </w:pPr>
      <w:r w:rsidRPr="00006BE9">
        <w:rPr>
          <w:noProof/>
          <w:color w:val="000000"/>
        </w:rPr>
        <w:t>Challenges</w:t>
      </w:r>
      <w:r w:rsidRPr="00006BE9">
        <w:rPr>
          <w:noProof/>
          <w:color w:val="000000"/>
        </w:rPr>
        <w:tab/>
      </w:r>
      <w:r w:rsidRPr="00006BE9">
        <w:rPr>
          <w:noProof/>
          <w:color w:val="000000"/>
        </w:rPr>
        <w:fldChar w:fldCharType="begin"/>
      </w:r>
      <w:r w:rsidRPr="00006BE9">
        <w:rPr>
          <w:noProof/>
          <w:color w:val="000000"/>
        </w:rPr>
        <w:instrText xml:space="preserve"> PAGEREF _Toc217894560 \h </w:instrText>
      </w:r>
      <w:r w:rsidR="00DB3946" w:rsidRPr="00006BE9">
        <w:rPr>
          <w:noProof/>
          <w:color w:val="000000"/>
        </w:rPr>
      </w:r>
      <w:r w:rsidRPr="00006BE9">
        <w:rPr>
          <w:noProof/>
          <w:color w:val="000000"/>
        </w:rPr>
        <w:fldChar w:fldCharType="separate"/>
      </w:r>
      <w:r w:rsidR="00FB5D3A" w:rsidRPr="00006BE9">
        <w:rPr>
          <w:noProof/>
          <w:color w:val="000000"/>
        </w:rPr>
        <w:t>22</w:t>
      </w:r>
      <w:r w:rsidRPr="00006BE9">
        <w:rPr>
          <w:noProof/>
          <w:color w:val="000000"/>
        </w:rPr>
        <w:fldChar w:fldCharType="end"/>
      </w:r>
    </w:p>
    <w:p w:rsidR="00EE171C" w:rsidRPr="00006BE9" w:rsidRDefault="00EE171C">
      <w:pPr>
        <w:pStyle w:val="TOC1"/>
        <w:rPr>
          <w:rFonts w:ascii="Times New Roman" w:hAnsi="Times New Roman"/>
          <w:noProof/>
          <w:color w:val="000000"/>
          <w:lang w:val="en-US" w:eastAsia="en-US"/>
        </w:rPr>
      </w:pPr>
      <w:r w:rsidRPr="00006BE9">
        <w:rPr>
          <w:noProof/>
          <w:color w:val="000000"/>
        </w:rPr>
        <w:t xml:space="preserve">Quality of infrastructure activities </w:t>
      </w:r>
      <w:r w:rsidRPr="00006BE9">
        <w:rPr>
          <w:noProof/>
          <w:color w:val="000000"/>
        </w:rPr>
        <w:tab/>
      </w:r>
      <w:r w:rsidRPr="00006BE9">
        <w:rPr>
          <w:noProof/>
          <w:color w:val="000000"/>
        </w:rPr>
        <w:fldChar w:fldCharType="begin"/>
      </w:r>
      <w:r w:rsidRPr="00006BE9">
        <w:rPr>
          <w:noProof/>
          <w:color w:val="000000"/>
        </w:rPr>
        <w:instrText xml:space="preserve"> PAGEREF _Toc217894561 \h </w:instrText>
      </w:r>
      <w:r w:rsidR="00DB3946" w:rsidRPr="00006BE9">
        <w:rPr>
          <w:noProof/>
          <w:color w:val="000000"/>
        </w:rPr>
      </w:r>
      <w:r w:rsidRPr="00006BE9">
        <w:rPr>
          <w:noProof/>
          <w:color w:val="000000"/>
        </w:rPr>
        <w:fldChar w:fldCharType="separate"/>
      </w:r>
      <w:r w:rsidR="00FB5D3A" w:rsidRPr="00006BE9">
        <w:rPr>
          <w:noProof/>
          <w:color w:val="000000"/>
        </w:rPr>
        <w:t>23</w:t>
      </w:r>
      <w:r w:rsidRPr="00006BE9">
        <w:rPr>
          <w:noProof/>
          <w:color w:val="000000"/>
        </w:rPr>
        <w:fldChar w:fldCharType="end"/>
      </w:r>
    </w:p>
    <w:p w:rsidR="008E2F4B" w:rsidRPr="00006BE9" w:rsidRDefault="008E2F4B">
      <w:pPr>
        <w:pStyle w:val="TOC2"/>
        <w:rPr>
          <w:color w:val="000000"/>
        </w:rPr>
      </w:pPr>
      <w:r w:rsidRPr="00006BE9">
        <w:rPr>
          <w:color w:val="000000"/>
        </w:rPr>
        <w:fldChar w:fldCharType="end"/>
      </w:r>
    </w:p>
    <w:p w:rsidR="00F21DB8" w:rsidRPr="00006BE9" w:rsidRDefault="00F21DB8" w:rsidP="007A45B0">
      <w:pPr>
        <w:pStyle w:val="Heading1unnumbered"/>
        <w:spacing w:after="1680"/>
        <w:rPr>
          <w:noProof/>
          <w:color w:val="000000"/>
        </w:rPr>
      </w:pPr>
      <w:bookmarkStart w:id="6" w:name="_Toc211920497"/>
      <w:bookmarkStart w:id="7" w:name="_Toc217894544"/>
      <w:r w:rsidRPr="00006BE9">
        <w:rPr>
          <w:color w:val="000000"/>
        </w:rPr>
        <w:lastRenderedPageBreak/>
        <w:t>Abbreviations</w:t>
      </w:r>
      <w:bookmarkEnd w:id="6"/>
      <w:bookmarkEnd w:id="7"/>
    </w:p>
    <w:p w:rsidR="00F21DB8" w:rsidRPr="00006BE9" w:rsidRDefault="00F21DB8" w:rsidP="00F21DB8">
      <w:pPr>
        <w:pStyle w:val="BodyText"/>
        <w:tabs>
          <w:tab w:val="left" w:pos="1440"/>
        </w:tabs>
        <w:rPr>
          <w:color w:val="000000"/>
        </w:rPr>
      </w:pPr>
      <w:r w:rsidRPr="00006BE9">
        <w:rPr>
          <w:color w:val="000000"/>
        </w:rPr>
        <w:t>AIDS</w:t>
      </w:r>
      <w:r w:rsidRPr="00006BE9">
        <w:rPr>
          <w:color w:val="000000"/>
        </w:rPr>
        <w:tab/>
        <w:t>Acquired Immune Deficiency Syndrome</w:t>
      </w:r>
    </w:p>
    <w:p w:rsidR="00F21DB8" w:rsidRPr="00006BE9" w:rsidRDefault="00F21DB8" w:rsidP="00F21DB8">
      <w:pPr>
        <w:pStyle w:val="BodyText"/>
        <w:tabs>
          <w:tab w:val="left" w:pos="1440"/>
        </w:tabs>
        <w:rPr>
          <w:color w:val="000000"/>
        </w:rPr>
      </w:pPr>
      <w:r w:rsidRPr="00006BE9">
        <w:rPr>
          <w:color w:val="000000"/>
        </w:rPr>
        <w:t>AusAID</w:t>
      </w:r>
      <w:r w:rsidRPr="00006BE9">
        <w:rPr>
          <w:color w:val="000000"/>
        </w:rPr>
        <w:tab/>
        <w:t>Australian Agency for International Development</w:t>
      </w:r>
    </w:p>
    <w:p w:rsidR="00F21DB8" w:rsidRPr="00006BE9" w:rsidRDefault="00F21DB8" w:rsidP="00F21DB8">
      <w:pPr>
        <w:pStyle w:val="BodyText"/>
        <w:tabs>
          <w:tab w:val="left" w:pos="1440"/>
        </w:tabs>
        <w:rPr>
          <w:color w:val="000000"/>
        </w:rPr>
      </w:pPr>
      <w:r w:rsidRPr="00006BE9">
        <w:rPr>
          <w:color w:val="000000"/>
        </w:rPr>
        <w:t>PNG</w:t>
      </w:r>
      <w:r w:rsidRPr="00006BE9">
        <w:rPr>
          <w:color w:val="000000"/>
        </w:rPr>
        <w:tab/>
      </w:r>
      <w:smartTag w:uri="urn:schemas-microsoft-com:office:smarttags" w:element="country-region">
        <w:smartTag w:uri="urn:schemas-microsoft-com:office:smarttags" w:element="place">
          <w:r w:rsidRPr="00006BE9">
            <w:rPr>
              <w:color w:val="000000"/>
            </w:rPr>
            <w:t>Papua New Guinea</w:t>
          </w:r>
        </w:smartTag>
      </w:smartTag>
    </w:p>
    <w:p w:rsidR="00F21DB8" w:rsidRPr="00006BE9" w:rsidRDefault="00F21DB8" w:rsidP="00F21DB8">
      <w:pPr>
        <w:pStyle w:val="BodyText"/>
        <w:tabs>
          <w:tab w:val="left" w:pos="1440"/>
        </w:tabs>
        <w:rPr>
          <w:color w:val="000000"/>
        </w:rPr>
      </w:pPr>
      <w:r w:rsidRPr="00006BE9">
        <w:rPr>
          <w:color w:val="000000"/>
        </w:rPr>
        <w:t>HIV</w:t>
      </w:r>
      <w:r w:rsidRPr="00006BE9">
        <w:rPr>
          <w:color w:val="000000"/>
        </w:rPr>
        <w:tab/>
        <w:t>Human Immunodeficiency Virus</w:t>
      </w:r>
    </w:p>
    <w:p w:rsidR="00813F5C" w:rsidRPr="00006BE9" w:rsidRDefault="00813F5C" w:rsidP="00F21DB8">
      <w:pPr>
        <w:pStyle w:val="BodyText"/>
        <w:tabs>
          <w:tab w:val="left" w:pos="1440"/>
        </w:tabs>
        <w:rPr>
          <w:color w:val="000000"/>
        </w:rPr>
      </w:pPr>
      <w:r w:rsidRPr="00006BE9">
        <w:rPr>
          <w:color w:val="000000"/>
        </w:rPr>
        <w:t>K</w:t>
      </w:r>
      <w:r w:rsidRPr="00006BE9">
        <w:rPr>
          <w:color w:val="000000"/>
        </w:rPr>
        <w:tab/>
        <w:t>kina</w:t>
      </w:r>
    </w:p>
    <w:p w:rsidR="00F21DB8" w:rsidRPr="00006BE9" w:rsidRDefault="00F21DB8" w:rsidP="00F21DB8">
      <w:pPr>
        <w:pStyle w:val="BodyText"/>
        <w:tabs>
          <w:tab w:val="left" w:pos="1440"/>
        </w:tabs>
        <w:rPr>
          <w:color w:val="000000"/>
          <w:spacing w:val="-2"/>
        </w:rPr>
      </w:pPr>
      <w:r w:rsidRPr="00006BE9">
        <w:rPr>
          <w:color w:val="000000"/>
        </w:rPr>
        <w:t>RWSS NTP2</w:t>
      </w:r>
      <w:r w:rsidRPr="00006BE9">
        <w:rPr>
          <w:color w:val="000000"/>
        </w:rPr>
        <w:tab/>
      </w:r>
      <w:smartTag w:uri="urn:schemas-microsoft-com:office:smarttags" w:element="country-region">
        <w:smartTag w:uri="urn:schemas-microsoft-com:office:smarttags" w:element="place">
          <w:r w:rsidRPr="00006BE9">
            <w:rPr>
              <w:color w:val="000000"/>
              <w:spacing w:val="-2"/>
            </w:rPr>
            <w:t>Vietnam</w:t>
          </w:r>
        </w:smartTag>
      </w:smartTag>
      <w:r w:rsidRPr="00006BE9">
        <w:rPr>
          <w:color w:val="000000"/>
          <w:spacing w:val="-2"/>
        </w:rPr>
        <w:t xml:space="preserve"> Rural Water Supply and Sanitation National Target Program Phase 2</w:t>
      </w:r>
    </w:p>
    <w:p w:rsidR="0062290A" w:rsidRPr="00006BE9" w:rsidRDefault="0062290A" w:rsidP="003A664B">
      <w:pPr>
        <w:pStyle w:val="BodyText"/>
        <w:tabs>
          <w:tab w:val="left" w:pos="1440"/>
        </w:tabs>
        <w:rPr>
          <w:color w:val="000000"/>
        </w:rPr>
      </w:pPr>
      <w:r w:rsidRPr="00006BE9">
        <w:rPr>
          <w:color w:val="000000"/>
          <w:spacing w:val="-1"/>
        </w:rPr>
        <w:t>TSSP</w:t>
      </w:r>
      <w:r w:rsidRPr="00006BE9">
        <w:rPr>
          <w:color w:val="000000"/>
        </w:rPr>
        <w:tab/>
      </w:r>
      <w:r w:rsidRPr="00006BE9">
        <w:rPr>
          <w:color w:val="000000"/>
          <w:spacing w:val="-1"/>
        </w:rPr>
        <w:t>Transport Sector Support Program</w:t>
      </w:r>
    </w:p>
    <w:p w:rsidR="009F68D1" w:rsidRPr="00006BE9" w:rsidRDefault="009F68D1" w:rsidP="007A45B0">
      <w:pPr>
        <w:pStyle w:val="Heading1unnumbered"/>
        <w:spacing w:after="1680"/>
        <w:rPr>
          <w:noProof/>
          <w:color w:val="000000"/>
        </w:rPr>
      </w:pPr>
      <w:bookmarkStart w:id="8" w:name="_Toc217894545"/>
      <w:r w:rsidRPr="00006BE9">
        <w:rPr>
          <w:color w:val="000000"/>
        </w:rPr>
        <w:lastRenderedPageBreak/>
        <w:t>Summary</w:t>
      </w:r>
      <w:bookmarkEnd w:id="8"/>
    </w:p>
    <w:p w:rsidR="0005352A" w:rsidRPr="00006BE9" w:rsidRDefault="0005352A" w:rsidP="0005352A">
      <w:pPr>
        <w:pStyle w:val="BodyText"/>
        <w:rPr>
          <w:color w:val="000000"/>
        </w:rPr>
      </w:pPr>
      <w:r w:rsidRPr="00006BE9">
        <w:rPr>
          <w:color w:val="000000"/>
        </w:rPr>
        <w:t>This report presents a</w:t>
      </w:r>
      <w:r w:rsidR="009E6640" w:rsidRPr="00006BE9">
        <w:rPr>
          <w:color w:val="000000"/>
        </w:rPr>
        <w:t>n</w:t>
      </w:r>
      <w:r w:rsidRPr="00006BE9">
        <w:rPr>
          <w:color w:val="000000"/>
        </w:rPr>
        <w:t xml:space="preserve"> overview of AusAID’s support to </w:t>
      </w:r>
      <w:r w:rsidR="009E6640" w:rsidRPr="00006BE9">
        <w:rPr>
          <w:color w:val="000000"/>
        </w:rPr>
        <w:t xml:space="preserve">the </w:t>
      </w:r>
      <w:r w:rsidRPr="00006BE9">
        <w:rPr>
          <w:color w:val="000000"/>
        </w:rPr>
        <w:t xml:space="preserve">infrastructure </w:t>
      </w:r>
      <w:r w:rsidR="009E6640" w:rsidRPr="00006BE9">
        <w:rPr>
          <w:color w:val="000000"/>
        </w:rPr>
        <w:t xml:space="preserve">sector, </w:t>
      </w:r>
      <w:r w:rsidRPr="00006BE9">
        <w:rPr>
          <w:color w:val="000000"/>
        </w:rPr>
        <w:t>focus</w:t>
      </w:r>
      <w:r w:rsidR="009E6640" w:rsidRPr="00006BE9">
        <w:rPr>
          <w:color w:val="000000"/>
        </w:rPr>
        <w:t>ing</w:t>
      </w:r>
      <w:r w:rsidRPr="00006BE9">
        <w:rPr>
          <w:color w:val="000000"/>
        </w:rPr>
        <w:t xml:space="preserve"> on the performance of two of </w:t>
      </w:r>
      <w:r w:rsidR="009C7EC4" w:rsidRPr="00006BE9">
        <w:rPr>
          <w:color w:val="000000"/>
        </w:rPr>
        <w:t xml:space="preserve">its </w:t>
      </w:r>
      <w:r w:rsidRPr="00006BE9">
        <w:rPr>
          <w:color w:val="000000"/>
        </w:rPr>
        <w:t xml:space="preserve">largest </w:t>
      </w:r>
      <w:r w:rsidR="005F3C45" w:rsidRPr="00006BE9">
        <w:rPr>
          <w:color w:val="000000"/>
        </w:rPr>
        <w:t>program</w:t>
      </w:r>
      <w:r w:rsidRPr="00006BE9">
        <w:rPr>
          <w:color w:val="000000"/>
        </w:rPr>
        <w:t>s</w:t>
      </w:r>
      <w:r w:rsidR="009C7EC4" w:rsidRPr="00006BE9">
        <w:rPr>
          <w:color w:val="000000"/>
        </w:rPr>
        <w:t>—</w:t>
      </w:r>
      <w:r w:rsidRPr="00006BE9">
        <w:rPr>
          <w:color w:val="000000"/>
        </w:rPr>
        <w:t xml:space="preserve">transport in </w:t>
      </w:r>
      <w:smartTag w:uri="urn:schemas-microsoft-com:office:smarttags" w:element="country-region">
        <w:r w:rsidRPr="00006BE9">
          <w:rPr>
            <w:color w:val="000000"/>
          </w:rPr>
          <w:t>Papua New Guinea</w:t>
        </w:r>
      </w:smartTag>
      <w:r w:rsidRPr="00006BE9">
        <w:rPr>
          <w:color w:val="000000"/>
        </w:rPr>
        <w:t xml:space="preserve"> and water and sanitation in </w:t>
      </w:r>
      <w:smartTag w:uri="urn:schemas-microsoft-com:office:smarttags" w:element="country-region">
        <w:smartTag w:uri="urn:schemas-microsoft-com:office:smarttags" w:element="place">
          <w:r w:rsidRPr="00006BE9">
            <w:rPr>
              <w:color w:val="000000"/>
            </w:rPr>
            <w:t>Vietnam</w:t>
          </w:r>
        </w:smartTag>
      </w:smartTag>
      <w:r w:rsidRPr="00006BE9">
        <w:rPr>
          <w:color w:val="000000"/>
        </w:rPr>
        <w:t>.</w:t>
      </w:r>
      <w:r w:rsidR="00F21DB8" w:rsidRPr="00006BE9">
        <w:rPr>
          <w:color w:val="000000"/>
        </w:rPr>
        <w:t xml:space="preserve"> </w:t>
      </w:r>
      <w:r w:rsidR="009C7EC4" w:rsidRPr="00006BE9">
        <w:rPr>
          <w:color w:val="000000"/>
        </w:rPr>
        <w:t>These programs</w:t>
      </w:r>
      <w:r w:rsidRPr="00006BE9">
        <w:rPr>
          <w:color w:val="000000"/>
        </w:rPr>
        <w:t xml:space="preserve"> were chosen because </w:t>
      </w:r>
      <w:smartTag w:uri="urn:schemas-microsoft-com:office:smarttags" w:element="country-region">
        <w:smartTag w:uri="urn:schemas-microsoft-com:office:smarttags" w:element="place">
          <w:r w:rsidR="00B664D4" w:rsidRPr="00006BE9">
            <w:rPr>
              <w:color w:val="000000"/>
            </w:rPr>
            <w:t>Australia</w:t>
          </w:r>
        </w:smartTag>
      </w:smartTag>
      <w:r w:rsidR="00B664D4" w:rsidRPr="00006BE9">
        <w:rPr>
          <w:color w:val="000000"/>
        </w:rPr>
        <w:t xml:space="preserve"> </w:t>
      </w:r>
      <w:r w:rsidRPr="00006BE9">
        <w:rPr>
          <w:color w:val="000000"/>
        </w:rPr>
        <w:t>allocate</w:t>
      </w:r>
      <w:r w:rsidR="009C7EC4" w:rsidRPr="00006BE9">
        <w:rPr>
          <w:color w:val="000000"/>
        </w:rPr>
        <w:t>s</w:t>
      </w:r>
      <w:r w:rsidRPr="00006BE9">
        <w:rPr>
          <w:color w:val="000000"/>
        </w:rPr>
        <w:t xml:space="preserve"> most of </w:t>
      </w:r>
      <w:r w:rsidR="00B664D4" w:rsidRPr="00006BE9">
        <w:rPr>
          <w:color w:val="000000"/>
        </w:rPr>
        <w:t xml:space="preserve">its </w:t>
      </w:r>
      <w:r w:rsidR="009C7EC4" w:rsidRPr="00006BE9">
        <w:rPr>
          <w:color w:val="000000"/>
        </w:rPr>
        <w:t xml:space="preserve">support to the </w:t>
      </w:r>
      <w:r w:rsidRPr="00006BE9">
        <w:rPr>
          <w:color w:val="000000"/>
        </w:rPr>
        <w:t>infrastructure sector to them</w:t>
      </w:r>
      <w:r w:rsidR="005F3C45" w:rsidRPr="00006BE9">
        <w:rPr>
          <w:color w:val="000000"/>
        </w:rPr>
        <w:t>—</w:t>
      </w:r>
      <w:r w:rsidRPr="00006BE9">
        <w:rPr>
          <w:color w:val="000000"/>
        </w:rPr>
        <w:t>54</w:t>
      </w:r>
      <w:r w:rsidR="00F21DB8" w:rsidRPr="00006BE9">
        <w:rPr>
          <w:color w:val="000000"/>
        </w:rPr>
        <w:t> per cent</w:t>
      </w:r>
      <w:r w:rsidRPr="00006BE9">
        <w:rPr>
          <w:color w:val="000000"/>
        </w:rPr>
        <w:t xml:space="preserve"> for transport and 13</w:t>
      </w:r>
      <w:r w:rsidR="00F21DB8" w:rsidRPr="00006BE9">
        <w:rPr>
          <w:color w:val="000000"/>
        </w:rPr>
        <w:t> per cent</w:t>
      </w:r>
      <w:r w:rsidRPr="00006BE9">
        <w:rPr>
          <w:color w:val="000000"/>
        </w:rPr>
        <w:t xml:space="preserve"> for water and sanitation.</w:t>
      </w:r>
      <w:r w:rsidR="00F21DB8" w:rsidRPr="00006BE9">
        <w:rPr>
          <w:color w:val="000000"/>
        </w:rPr>
        <w:t xml:space="preserve"> </w:t>
      </w:r>
      <w:r w:rsidRPr="00006BE9">
        <w:rPr>
          <w:color w:val="000000"/>
        </w:rPr>
        <w:t>This is followed by reviews of the quality of activities that entered the portfolio in 2007</w:t>
      </w:r>
      <w:r w:rsidR="00064A26" w:rsidRPr="00006BE9">
        <w:rPr>
          <w:color w:val="000000"/>
        </w:rPr>
        <w:t>-08</w:t>
      </w:r>
      <w:r w:rsidRPr="00006BE9">
        <w:rPr>
          <w:color w:val="000000"/>
        </w:rPr>
        <w:t xml:space="preserve"> and the quality of activities that were being implemented during</w:t>
      </w:r>
      <w:r w:rsidR="00E157CA" w:rsidRPr="00006BE9">
        <w:rPr>
          <w:color w:val="000000"/>
        </w:rPr>
        <w:t> </w:t>
      </w:r>
      <w:r w:rsidRPr="00006BE9">
        <w:rPr>
          <w:color w:val="000000"/>
        </w:rPr>
        <w:t>2007</w:t>
      </w:r>
      <w:r w:rsidR="009E6640" w:rsidRPr="00006BE9">
        <w:rPr>
          <w:color w:val="000000"/>
        </w:rPr>
        <w:t>–08</w:t>
      </w:r>
      <w:r w:rsidRPr="00006BE9">
        <w:rPr>
          <w:color w:val="000000"/>
        </w:rPr>
        <w:t>.</w:t>
      </w:r>
    </w:p>
    <w:p w:rsidR="0005352A" w:rsidRPr="00006BE9" w:rsidRDefault="0005352A" w:rsidP="0005352A">
      <w:pPr>
        <w:pStyle w:val="BodyText"/>
        <w:rPr>
          <w:color w:val="000000"/>
        </w:rPr>
      </w:pPr>
      <w:r w:rsidRPr="00006BE9">
        <w:rPr>
          <w:color w:val="000000"/>
        </w:rPr>
        <w:t>In 2007</w:t>
      </w:r>
      <w:r w:rsidR="009C7EC4" w:rsidRPr="00006BE9">
        <w:rPr>
          <w:color w:val="000000"/>
        </w:rPr>
        <w:t>–08</w:t>
      </w:r>
      <w:r w:rsidRPr="00006BE9">
        <w:rPr>
          <w:color w:val="000000"/>
        </w:rPr>
        <w:t xml:space="preserve"> infrastructure accounted for 11</w:t>
      </w:r>
      <w:r w:rsidR="00F21DB8" w:rsidRPr="00006BE9">
        <w:rPr>
          <w:color w:val="000000"/>
        </w:rPr>
        <w:t> per cent</w:t>
      </w:r>
      <w:r w:rsidRPr="00006BE9">
        <w:rPr>
          <w:color w:val="000000"/>
        </w:rPr>
        <w:t xml:space="preserve"> of AusAID’s total development assistance, an increase on the 8.3</w:t>
      </w:r>
      <w:r w:rsidR="00F21DB8" w:rsidRPr="00006BE9">
        <w:rPr>
          <w:color w:val="000000"/>
        </w:rPr>
        <w:t> per cent</w:t>
      </w:r>
      <w:r w:rsidRPr="00006BE9">
        <w:rPr>
          <w:color w:val="000000"/>
        </w:rPr>
        <w:t xml:space="preserve"> average </w:t>
      </w:r>
      <w:r w:rsidR="00E157CA" w:rsidRPr="00006BE9">
        <w:rPr>
          <w:color w:val="000000"/>
        </w:rPr>
        <w:t xml:space="preserve">for </w:t>
      </w:r>
      <w:r w:rsidRPr="00006BE9">
        <w:rPr>
          <w:color w:val="000000"/>
        </w:rPr>
        <w:t xml:space="preserve">the </w:t>
      </w:r>
      <w:r w:rsidR="005F3C45" w:rsidRPr="00006BE9">
        <w:rPr>
          <w:color w:val="000000"/>
        </w:rPr>
        <w:t>three</w:t>
      </w:r>
      <w:r w:rsidRPr="00006BE9">
        <w:rPr>
          <w:color w:val="000000"/>
        </w:rPr>
        <w:t xml:space="preserve"> preceding years.</w:t>
      </w:r>
      <w:r w:rsidR="00F21DB8" w:rsidRPr="00006BE9">
        <w:rPr>
          <w:color w:val="000000"/>
        </w:rPr>
        <w:t xml:space="preserve"> </w:t>
      </w:r>
      <w:r w:rsidRPr="00006BE9">
        <w:rPr>
          <w:color w:val="000000"/>
        </w:rPr>
        <w:t xml:space="preserve">With approval of </w:t>
      </w:r>
      <w:r w:rsidR="009C7EC4" w:rsidRPr="00006BE9">
        <w:rPr>
          <w:color w:val="000000"/>
        </w:rPr>
        <w:t xml:space="preserve">the </w:t>
      </w:r>
      <w:r w:rsidRPr="00006BE9">
        <w:rPr>
          <w:color w:val="000000"/>
        </w:rPr>
        <w:t xml:space="preserve">Infrastructure for Growth Initiative in 2007 and the Water and Sanitation Initiative and </w:t>
      </w:r>
      <w:r w:rsidR="009C7EC4" w:rsidRPr="00006BE9">
        <w:rPr>
          <w:color w:val="000000"/>
        </w:rPr>
        <w:t xml:space="preserve">the </w:t>
      </w:r>
      <w:r w:rsidRPr="00006BE9">
        <w:rPr>
          <w:color w:val="000000"/>
        </w:rPr>
        <w:t xml:space="preserve">Pacific Region Infrastructure Facility in 2008 and </w:t>
      </w:r>
      <w:r w:rsidR="009C7EC4" w:rsidRPr="00006BE9">
        <w:rPr>
          <w:color w:val="000000"/>
        </w:rPr>
        <w:t xml:space="preserve">with </w:t>
      </w:r>
      <w:r w:rsidRPr="00006BE9">
        <w:rPr>
          <w:color w:val="000000"/>
        </w:rPr>
        <w:t>other initiatives involving infrastructure being considered, the annual funding allocated to infrastructure is set to increase.</w:t>
      </w:r>
    </w:p>
    <w:p w:rsidR="0005352A" w:rsidRPr="00006BE9" w:rsidRDefault="0005352A" w:rsidP="0005352A">
      <w:pPr>
        <w:pStyle w:val="BodyText"/>
        <w:rPr>
          <w:color w:val="000000"/>
        </w:rPr>
      </w:pPr>
      <w:r w:rsidRPr="00006BE9">
        <w:rPr>
          <w:color w:val="000000"/>
        </w:rPr>
        <w:t xml:space="preserve">AusAID’s infrastructure policy is being updated to reflect an increased focus on supporting poverty alleviation by helping partner countries </w:t>
      </w:r>
      <w:r w:rsidR="00E157CA" w:rsidRPr="00006BE9">
        <w:rPr>
          <w:color w:val="000000"/>
        </w:rPr>
        <w:t xml:space="preserve">to </w:t>
      </w:r>
      <w:r w:rsidRPr="00006BE9">
        <w:rPr>
          <w:color w:val="000000"/>
        </w:rPr>
        <w:t>achieve the Millennium Development Goals.</w:t>
      </w:r>
      <w:r w:rsidR="00F21DB8" w:rsidRPr="00006BE9">
        <w:rPr>
          <w:color w:val="000000"/>
        </w:rPr>
        <w:t xml:space="preserve"> </w:t>
      </w:r>
      <w:r w:rsidRPr="00006BE9">
        <w:rPr>
          <w:color w:val="000000"/>
        </w:rPr>
        <w:t xml:space="preserve">In terms of delivering support </w:t>
      </w:r>
      <w:r w:rsidR="009C7EC4" w:rsidRPr="00006BE9">
        <w:rPr>
          <w:color w:val="000000"/>
        </w:rPr>
        <w:t xml:space="preserve">AusAID </w:t>
      </w:r>
      <w:r w:rsidRPr="00006BE9">
        <w:rPr>
          <w:color w:val="000000"/>
        </w:rPr>
        <w:t>will partner multilateral organisations to a much greater extent than in the past to take advantage of their broader experience and larger skill bases.</w:t>
      </w:r>
      <w:r w:rsidR="00F21DB8" w:rsidRPr="00006BE9">
        <w:rPr>
          <w:color w:val="000000"/>
        </w:rPr>
        <w:t xml:space="preserve"> </w:t>
      </w:r>
      <w:r w:rsidRPr="00006BE9">
        <w:rPr>
          <w:color w:val="000000"/>
        </w:rPr>
        <w:t>AusAID’s grant funds provide a very effective complement to the development banks’ credit</w:t>
      </w:r>
      <w:r w:rsidR="00B664D4" w:rsidRPr="00006BE9">
        <w:rPr>
          <w:color w:val="000000"/>
        </w:rPr>
        <w:t>s</w:t>
      </w:r>
      <w:r w:rsidRPr="00006BE9">
        <w:rPr>
          <w:color w:val="000000"/>
        </w:rPr>
        <w:t xml:space="preserve"> and loans by ensuring activities for which counterpart governments are typically reluctant to borrow, such as capacity building, monitoring and evaluation</w:t>
      </w:r>
      <w:r w:rsidR="009C7EC4" w:rsidRPr="00006BE9">
        <w:rPr>
          <w:color w:val="000000"/>
        </w:rPr>
        <w:t>,</w:t>
      </w:r>
      <w:r w:rsidRPr="00006BE9">
        <w:rPr>
          <w:color w:val="000000"/>
        </w:rPr>
        <w:t xml:space="preserve"> and addressing </w:t>
      </w:r>
      <w:r w:rsidR="00F21DB8" w:rsidRPr="00006BE9">
        <w:rPr>
          <w:color w:val="000000"/>
        </w:rPr>
        <w:t xml:space="preserve">HIV </w:t>
      </w:r>
      <w:r w:rsidRPr="00006BE9">
        <w:rPr>
          <w:color w:val="000000"/>
        </w:rPr>
        <w:t>and gender issues, are effectively addressed.</w:t>
      </w:r>
      <w:r w:rsidR="00F21DB8" w:rsidRPr="00006BE9">
        <w:rPr>
          <w:color w:val="000000"/>
        </w:rPr>
        <w:t xml:space="preserve"> </w:t>
      </w:r>
      <w:r w:rsidR="009C7EC4" w:rsidRPr="00006BE9">
        <w:rPr>
          <w:color w:val="000000"/>
        </w:rPr>
        <w:t>G</w:t>
      </w:r>
      <w:r w:rsidRPr="00006BE9">
        <w:rPr>
          <w:color w:val="000000"/>
        </w:rPr>
        <w:t>rant funds can also facilitate the extension of infrastructure services to the poorest and most vulnerable</w:t>
      </w:r>
      <w:r w:rsidR="00E157CA" w:rsidRPr="00006BE9">
        <w:rPr>
          <w:color w:val="000000"/>
        </w:rPr>
        <w:t xml:space="preserve"> people and communities</w:t>
      </w:r>
      <w:r w:rsidRPr="00006BE9">
        <w:rPr>
          <w:color w:val="000000"/>
        </w:rPr>
        <w:t>.</w:t>
      </w:r>
    </w:p>
    <w:p w:rsidR="00E157CA" w:rsidRPr="00006BE9" w:rsidRDefault="0005352A" w:rsidP="0005352A">
      <w:pPr>
        <w:pStyle w:val="BodyText"/>
        <w:rPr>
          <w:color w:val="000000"/>
        </w:rPr>
      </w:pPr>
      <w:r w:rsidRPr="00006BE9">
        <w:rPr>
          <w:color w:val="000000"/>
        </w:rPr>
        <w:t xml:space="preserve">In </w:t>
      </w:r>
      <w:smartTag w:uri="urn:schemas-microsoft-com:office:smarttags" w:element="country-region">
        <w:r w:rsidR="006449DC" w:rsidRPr="00006BE9">
          <w:rPr>
            <w:color w:val="000000"/>
          </w:rPr>
          <w:t>Papua New Guinea</w:t>
        </w:r>
      </w:smartTag>
      <w:r w:rsidRPr="00006BE9">
        <w:rPr>
          <w:color w:val="000000"/>
        </w:rPr>
        <w:t xml:space="preserve"> and </w:t>
      </w:r>
      <w:smartTag w:uri="urn:schemas-microsoft-com:office:smarttags" w:element="country-region">
        <w:r w:rsidRPr="00006BE9">
          <w:rPr>
            <w:color w:val="000000"/>
          </w:rPr>
          <w:t>Vietnam</w:t>
        </w:r>
      </w:smartTag>
      <w:r w:rsidRPr="00006BE9">
        <w:rPr>
          <w:color w:val="000000"/>
        </w:rPr>
        <w:t xml:space="preserve"> the nature of </w:t>
      </w:r>
      <w:smartTag w:uri="urn:schemas-microsoft-com:office:smarttags" w:element="country-region">
        <w:smartTag w:uri="urn:schemas-microsoft-com:office:smarttags" w:element="place">
          <w:r w:rsidR="009C7EC4" w:rsidRPr="00006BE9">
            <w:rPr>
              <w:color w:val="000000"/>
            </w:rPr>
            <w:t>Australia</w:t>
          </w:r>
        </w:smartTag>
      </w:smartTag>
      <w:r w:rsidR="009C7EC4" w:rsidRPr="00006BE9">
        <w:rPr>
          <w:color w:val="000000"/>
        </w:rPr>
        <w:t xml:space="preserve">’s </w:t>
      </w:r>
      <w:r w:rsidRPr="00006BE9">
        <w:rPr>
          <w:color w:val="000000"/>
        </w:rPr>
        <w:t xml:space="preserve">infrastructure </w:t>
      </w:r>
      <w:r w:rsidR="009C7EC4" w:rsidRPr="00006BE9">
        <w:rPr>
          <w:color w:val="000000"/>
        </w:rPr>
        <w:t xml:space="preserve">support </w:t>
      </w:r>
      <w:r w:rsidRPr="00006BE9">
        <w:rPr>
          <w:color w:val="000000"/>
        </w:rPr>
        <w:t xml:space="preserve">has changed over the past </w:t>
      </w:r>
      <w:r w:rsidR="005F3C45" w:rsidRPr="00006BE9">
        <w:rPr>
          <w:color w:val="000000"/>
        </w:rPr>
        <w:t>two</w:t>
      </w:r>
      <w:r w:rsidRPr="00006BE9">
        <w:rPr>
          <w:color w:val="000000"/>
        </w:rPr>
        <w:t xml:space="preserve"> years from discrete and essentially </w:t>
      </w:r>
      <w:r w:rsidR="00F21DB8" w:rsidRPr="00006BE9">
        <w:rPr>
          <w:color w:val="000000"/>
        </w:rPr>
        <w:t>‘</w:t>
      </w:r>
      <w:r w:rsidRPr="00006BE9">
        <w:rPr>
          <w:color w:val="000000"/>
        </w:rPr>
        <w:t>ring-fenced</w:t>
      </w:r>
      <w:r w:rsidR="00F21DB8" w:rsidRPr="00006BE9">
        <w:rPr>
          <w:color w:val="000000"/>
        </w:rPr>
        <w:t>’</w:t>
      </w:r>
      <w:r w:rsidRPr="00006BE9">
        <w:rPr>
          <w:color w:val="000000"/>
        </w:rPr>
        <w:t xml:space="preserve"> projects managed by Australian contractors to programmatic support that is being increasingly implemented through partner government systems.</w:t>
      </w:r>
      <w:r w:rsidR="00F21DB8" w:rsidRPr="00006BE9">
        <w:rPr>
          <w:color w:val="000000"/>
        </w:rPr>
        <w:t xml:space="preserve"> </w:t>
      </w:r>
      <w:bookmarkStart w:id="9" w:name="OLE_LINK3"/>
      <w:bookmarkStart w:id="10" w:name="OLE_LINK4"/>
      <w:r w:rsidRPr="00006BE9">
        <w:rPr>
          <w:color w:val="000000"/>
        </w:rPr>
        <w:t>In both countries the programmatic support builds on successful project activities.</w:t>
      </w:r>
      <w:r w:rsidR="00F21DB8" w:rsidRPr="00006BE9">
        <w:rPr>
          <w:color w:val="000000"/>
        </w:rPr>
        <w:t xml:space="preserve"> </w:t>
      </w:r>
      <w:r w:rsidRPr="00006BE9">
        <w:rPr>
          <w:color w:val="000000"/>
        </w:rPr>
        <w:t>Results have been good.</w:t>
      </w:r>
      <w:r w:rsidR="00F21DB8" w:rsidRPr="00006BE9">
        <w:rPr>
          <w:color w:val="000000"/>
        </w:rPr>
        <w:t xml:space="preserve"> </w:t>
      </w:r>
      <w:r w:rsidRPr="00006BE9">
        <w:rPr>
          <w:color w:val="000000"/>
        </w:rPr>
        <w:t xml:space="preserve">The </w:t>
      </w:r>
      <w:r w:rsidR="005F3C45" w:rsidRPr="00006BE9">
        <w:rPr>
          <w:color w:val="000000"/>
        </w:rPr>
        <w:t xml:space="preserve">annual performance reviews </w:t>
      </w:r>
      <w:r w:rsidR="00E157CA" w:rsidRPr="00006BE9">
        <w:rPr>
          <w:color w:val="000000"/>
        </w:rPr>
        <w:t xml:space="preserve">of the </w:t>
      </w:r>
      <w:r w:rsidR="006449DC" w:rsidRPr="00006BE9">
        <w:rPr>
          <w:color w:val="000000"/>
        </w:rPr>
        <w:t>Papua New Guinea</w:t>
      </w:r>
      <w:r w:rsidRPr="00006BE9">
        <w:rPr>
          <w:color w:val="000000"/>
        </w:rPr>
        <w:t xml:space="preserve"> and Vietnam</w:t>
      </w:r>
      <w:r w:rsidR="00F21DB8" w:rsidRPr="00006BE9">
        <w:rPr>
          <w:color w:val="000000"/>
        </w:rPr>
        <w:t xml:space="preserve"> </w:t>
      </w:r>
      <w:r w:rsidR="00E157CA" w:rsidRPr="00006BE9">
        <w:rPr>
          <w:color w:val="000000"/>
        </w:rPr>
        <w:t xml:space="preserve">country programs of assistance </w:t>
      </w:r>
      <w:r w:rsidR="00F21DB8" w:rsidRPr="00006BE9">
        <w:rPr>
          <w:color w:val="000000"/>
        </w:rPr>
        <w:t>gave ‘</w:t>
      </w:r>
      <w:r w:rsidRPr="00006BE9">
        <w:rPr>
          <w:color w:val="000000"/>
        </w:rPr>
        <w:t>green</w:t>
      </w:r>
      <w:r w:rsidR="00F21DB8" w:rsidRPr="00006BE9">
        <w:rPr>
          <w:color w:val="000000"/>
        </w:rPr>
        <w:t>’</w:t>
      </w:r>
      <w:r w:rsidRPr="00006BE9">
        <w:rPr>
          <w:color w:val="000000"/>
        </w:rPr>
        <w:t xml:space="preserve"> ratings to the high</w:t>
      </w:r>
      <w:r w:rsidR="00E157CA" w:rsidRPr="00006BE9">
        <w:rPr>
          <w:color w:val="000000"/>
        </w:rPr>
        <w:t>-</w:t>
      </w:r>
      <w:r w:rsidRPr="00006BE9">
        <w:rPr>
          <w:color w:val="000000"/>
        </w:rPr>
        <w:t>level (</w:t>
      </w:r>
      <w:r w:rsidR="005F3C45" w:rsidRPr="00006BE9">
        <w:rPr>
          <w:color w:val="000000"/>
        </w:rPr>
        <w:t>development cooperation strategy</w:t>
      </w:r>
      <w:r w:rsidRPr="00006BE9">
        <w:rPr>
          <w:color w:val="000000"/>
        </w:rPr>
        <w:t>) objectives towards which the transport and water and sanitation projects and programs contribute.</w:t>
      </w:r>
      <w:r w:rsidR="00F21DB8" w:rsidRPr="00006BE9">
        <w:rPr>
          <w:color w:val="000000"/>
        </w:rPr>
        <w:t xml:space="preserve"> </w:t>
      </w:r>
      <w:r w:rsidR="009E6640" w:rsidRPr="00006BE9">
        <w:rPr>
          <w:color w:val="000000"/>
        </w:rPr>
        <w:t>That is, the reviews found that the objectives are on track to being achieved within their timeframes.</w:t>
      </w:r>
    </w:p>
    <w:p w:rsidR="0005352A" w:rsidRPr="00006BE9" w:rsidRDefault="0005352A" w:rsidP="0005352A">
      <w:pPr>
        <w:pStyle w:val="BodyText"/>
        <w:rPr>
          <w:color w:val="000000"/>
        </w:rPr>
      </w:pPr>
      <w:r w:rsidRPr="00006BE9">
        <w:rPr>
          <w:color w:val="000000"/>
        </w:rPr>
        <w:t xml:space="preserve">In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 xml:space="preserve"> independent socioeconomic surveys found that improved roads had a dramatic impact on lifting poor rural households out of poverty.</w:t>
      </w:r>
      <w:r w:rsidR="00F21DB8" w:rsidRPr="00006BE9">
        <w:rPr>
          <w:color w:val="000000"/>
        </w:rPr>
        <w:t xml:space="preserve"> </w:t>
      </w:r>
      <w:r w:rsidRPr="00006BE9">
        <w:rPr>
          <w:color w:val="000000"/>
        </w:rPr>
        <w:t>This occurred largely by increasing access to markets and basic services and by creating increased employment opportunities.</w:t>
      </w:r>
      <w:r w:rsidR="00F21DB8" w:rsidRPr="00006BE9">
        <w:rPr>
          <w:color w:val="000000"/>
        </w:rPr>
        <w:t xml:space="preserve"> </w:t>
      </w:r>
      <w:r w:rsidRPr="00006BE9">
        <w:rPr>
          <w:color w:val="000000"/>
        </w:rPr>
        <w:t>Coffee processors based in the highland provinces report</w:t>
      </w:r>
      <w:r w:rsidR="009E6640" w:rsidRPr="00006BE9">
        <w:rPr>
          <w:color w:val="000000"/>
        </w:rPr>
        <w:t>ed</w:t>
      </w:r>
      <w:r w:rsidRPr="00006BE9">
        <w:rPr>
          <w:color w:val="000000"/>
        </w:rPr>
        <w:t xml:space="preserve"> that new business opportunities ha</w:t>
      </w:r>
      <w:r w:rsidR="009E6640" w:rsidRPr="00006BE9">
        <w:rPr>
          <w:color w:val="000000"/>
        </w:rPr>
        <w:t>d</w:t>
      </w:r>
      <w:r w:rsidRPr="00006BE9">
        <w:rPr>
          <w:color w:val="000000"/>
        </w:rPr>
        <w:t xml:space="preserve"> opened up because transportation </w:t>
      </w:r>
      <w:r w:rsidR="009E6640" w:rsidRPr="00006BE9">
        <w:rPr>
          <w:color w:val="000000"/>
        </w:rPr>
        <w:t xml:space="preserve">was </w:t>
      </w:r>
      <w:r w:rsidRPr="00006BE9">
        <w:rPr>
          <w:color w:val="000000"/>
        </w:rPr>
        <w:t>more reliable and transport operators report</w:t>
      </w:r>
      <w:r w:rsidR="009E6640" w:rsidRPr="00006BE9">
        <w:rPr>
          <w:color w:val="000000"/>
        </w:rPr>
        <w:t>ed</w:t>
      </w:r>
      <w:r w:rsidRPr="00006BE9">
        <w:rPr>
          <w:color w:val="000000"/>
        </w:rPr>
        <w:t xml:space="preserve"> a halving in maintenance costs.</w:t>
      </w:r>
    </w:p>
    <w:p w:rsidR="0005352A" w:rsidRPr="00006BE9" w:rsidRDefault="0005352A" w:rsidP="0005352A">
      <w:pPr>
        <w:pStyle w:val="BodyText"/>
        <w:rPr>
          <w:color w:val="000000"/>
        </w:rPr>
      </w:pPr>
      <w:r w:rsidRPr="00006BE9">
        <w:rPr>
          <w:color w:val="000000"/>
        </w:rPr>
        <w:lastRenderedPageBreak/>
        <w:t>In Vietnam AusAID’s support to the water and sanitation sector over the past five year</w:t>
      </w:r>
      <w:r w:rsidR="00F21DB8" w:rsidRPr="00006BE9">
        <w:rPr>
          <w:color w:val="000000"/>
        </w:rPr>
        <w:t>s has enabled an additional 760 </w:t>
      </w:r>
      <w:r w:rsidRPr="00006BE9">
        <w:rPr>
          <w:color w:val="000000"/>
        </w:rPr>
        <w:t>000 people to access clean wate</w:t>
      </w:r>
      <w:r w:rsidR="00F21DB8" w:rsidRPr="00006BE9">
        <w:rPr>
          <w:color w:val="000000"/>
        </w:rPr>
        <w:t>r and 530 </w:t>
      </w:r>
      <w:r w:rsidRPr="00006BE9">
        <w:rPr>
          <w:color w:val="000000"/>
        </w:rPr>
        <w:t xml:space="preserve">000 people to </w:t>
      </w:r>
      <w:r w:rsidR="00E157CA" w:rsidRPr="00006BE9">
        <w:rPr>
          <w:color w:val="000000"/>
        </w:rPr>
        <w:t xml:space="preserve">access </w:t>
      </w:r>
      <w:r w:rsidRPr="00006BE9">
        <w:rPr>
          <w:color w:val="000000"/>
        </w:rPr>
        <w:t>improved sanitation facilities.</w:t>
      </w:r>
      <w:r w:rsidR="00F21DB8" w:rsidRPr="00006BE9">
        <w:rPr>
          <w:color w:val="000000"/>
        </w:rPr>
        <w:t xml:space="preserve"> </w:t>
      </w:r>
      <w:r w:rsidRPr="00006BE9">
        <w:rPr>
          <w:color w:val="000000"/>
        </w:rPr>
        <w:t>The initial year of targeted program budget support to the Vietnam Rural Water Supply and Sanitation National Target Program Phase</w:t>
      </w:r>
      <w:r w:rsidR="00496B11" w:rsidRPr="00006BE9">
        <w:rPr>
          <w:color w:val="000000"/>
        </w:rPr>
        <w:t> </w:t>
      </w:r>
      <w:r w:rsidRPr="00006BE9">
        <w:rPr>
          <w:color w:val="000000"/>
        </w:rPr>
        <w:t>2 (RWSS</w:t>
      </w:r>
      <w:r w:rsidR="00C95494" w:rsidRPr="00006BE9">
        <w:rPr>
          <w:color w:val="000000"/>
        </w:rPr>
        <w:t> </w:t>
      </w:r>
      <w:r w:rsidRPr="00006BE9">
        <w:rPr>
          <w:color w:val="000000"/>
        </w:rPr>
        <w:t xml:space="preserve">NTP2) resulted in improved planning and implementation of the national program </w:t>
      </w:r>
      <w:r w:rsidR="00E157CA" w:rsidRPr="00006BE9">
        <w:rPr>
          <w:color w:val="000000"/>
        </w:rPr>
        <w:t xml:space="preserve">and </w:t>
      </w:r>
      <w:r w:rsidRPr="00006BE9">
        <w:rPr>
          <w:color w:val="000000"/>
        </w:rPr>
        <w:t>contribut</w:t>
      </w:r>
      <w:r w:rsidR="00E157CA" w:rsidRPr="00006BE9">
        <w:rPr>
          <w:color w:val="000000"/>
        </w:rPr>
        <w:t>ed</w:t>
      </w:r>
      <w:r w:rsidRPr="00006BE9">
        <w:rPr>
          <w:color w:val="000000"/>
        </w:rPr>
        <w:t xml:space="preserve"> to expanded access.</w:t>
      </w:r>
    </w:p>
    <w:p w:rsidR="0005352A" w:rsidRPr="00006BE9" w:rsidRDefault="0005352A" w:rsidP="0005352A">
      <w:pPr>
        <w:pStyle w:val="BodyText"/>
        <w:rPr>
          <w:color w:val="000000"/>
        </w:rPr>
      </w:pPr>
      <w:r w:rsidRPr="00006BE9">
        <w:rPr>
          <w:color w:val="000000"/>
        </w:rPr>
        <w:t xml:space="preserve">In terms of challenges it will be important </w:t>
      </w:r>
      <w:r w:rsidR="00E157CA" w:rsidRPr="00006BE9">
        <w:rPr>
          <w:color w:val="000000"/>
        </w:rPr>
        <w:t xml:space="preserve">for </w:t>
      </w:r>
      <w:r w:rsidRPr="00006BE9">
        <w:rPr>
          <w:color w:val="000000"/>
        </w:rPr>
        <w:t xml:space="preserve">the PNG transport support </w:t>
      </w:r>
      <w:r w:rsidR="005F3C45" w:rsidRPr="00006BE9">
        <w:rPr>
          <w:color w:val="000000"/>
        </w:rPr>
        <w:t>program</w:t>
      </w:r>
      <w:r w:rsidRPr="00006BE9">
        <w:rPr>
          <w:color w:val="000000"/>
        </w:rPr>
        <w:t xml:space="preserve"> </w:t>
      </w:r>
      <w:r w:rsidR="00E157CA" w:rsidRPr="00006BE9">
        <w:rPr>
          <w:color w:val="000000"/>
        </w:rPr>
        <w:t xml:space="preserve">to </w:t>
      </w:r>
      <w:r w:rsidRPr="00006BE9">
        <w:rPr>
          <w:color w:val="000000"/>
        </w:rPr>
        <w:t>continue to promote the allocation of scarce resources to the mutually agreed core road network and to leverage increased state budget allocations for road maintenance.</w:t>
      </w:r>
      <w:r w:rsidR="00F21DB8" w:rsidRPr="00006BE9">
        <w:rPr>
          <w:color w:val="000000"/>
        </w:rPr>
        <w:t xml:space="preserve"> </w:t>
      </w:r>
      <w:r w:rsidRPr="00006BE9">
        <w:rPr>
          <w:color w:val="000000"/>
        </w:rPr>
        <w:t xml:space="preserve">The challenges faced by the </w:t>
      </w:r>
      <w:r w:rsidR="00BE26F4" w:rsidRPr="00006BE9">
        <w:rPr>
          <w:color w:val="000000"/>
        </w:rPr>
        <w:t xml:space="preserve">targeted program budget support </w:t>
      </w:r>
      <w:r w:rsidRPr="00006BE9">
        <w:rPr>
          <w:color w:val="000000"/>
        </w:rPr>
        <w:t xml:space="preserve">in </w:t>
      </w:r>
      <w:smartTag w:uri="urn:schemas-microsoft-com:office:smarttags" w:element="country-region">
        <w:smartTag w:uri="urn:schemas-microsoft-com:office:smarttags" w:element="place">
          <w:r w:rsidRPr="00006BE9">
            <w:rPr>
              <w:color w:val="000000"/>
            </w:rPr>
            <w:t>Vietnam</w:t>
          </w:r>
        </w:smartTag>
      </w:smartTag>
      <w:r w:rsidRPr="00006BE9">
        <w:rPr>
          <w:color w:val="000000"/>
        </w:rPr>
        <w:t xml:space="preserve"> relate to the very ambitious nature of the </w:t>
      </w:r>
      <w:r w:rsidR="005F3C45" w:rsidRPr="00006BE9">
        <w:rPr>
          <w:color w:val="000000"/>
        </w:rPr>
        <w:t>program</w:t>
      </w:r>
      <w:r w:rsidRPr="00006BE9">
        <w:rPr>
          <w:color w:val="000000"/>
        </w:rPr>
        <w:t>.</w:t>
      </w:r>
      <w:r w:rsidR="00F21DB8" w:rsidRPr="00006BE9">
        <w:rPr>
          <w:color w:val="000000"/>
        </w:rPr>
        <w:t xml:space="preserve"> </w:t>
      </w:r>
      <w:r w:rsidRPr="00006BE9">
        <w:rPr>
          <w:color w:val="000000"/>
        </w:rPr>
        <w:t>Firstly</w:t>
      </w:r>
      <w:r w:rsidR="00BE26F4" w:rsidRPr="00006BE9">
        <w:rPr>
          <w:color w:val="000000"/>
        </w:rPr>
        <w:t>,</w:t>
      </w:r>
      <w:r w:rsidRPr="00006BE9">
        <w:rPr>
          <w:color w:val="000000"/>
        </w:rPr>
        <w:t xml:space="preserve"> it will take time for </w:t>
      </w:r>
      <w:r w:rsidR="00BE26F4" w:rsidRPr="00006BE9">
        <w:rPr>
          <w:color w:val="000000"/>
        </w:rPr>
        <w:t xml:space="preserve">the </w:t>
      </w:r>
      <w:r w:rsidRPr="00006BE9">
        <w:rPr>
          <w:color w:val="000000"/>
        </w:rPr>
        <w:t>government and the bilateral donors to adjust to this new form of engagement.</w:t>
      </w:r>
      <w:r w:rsidR="00F21DB8" w:rsidRPr="00006BE9">
        <w:rPr>
          <w:color w:val="000000"/>
        </w:rPr>
        <w:t xml:space="preserve"> </w:t>
      </w:r>
      <w:r w:rsidRPr="00006BE9">
        <w:rPr>
          <w:color w:val="000000"/>
        </w:rPr>
        <w:t>Secondly</w:t>
      </w:r>
      <w:r w:rsidR="00BE26F4" w:rsidRPr="00006BE9">
        <w:rPr>
          <w:color w:val="000000"/>
        </w:rPr>
        <w:t>,</w:t>
      </w:r>
      <w:r w:rsidRPr="00006BE9">
        <w:rPr>
          <w:color w:val="000000"/>
        </w:rPr>
        <w:t xml:space="preserve"> </w:t>
      </w:r>
      <w:r w:rsidR="00496B11" w:rsidRPr="00006BE9">
        <w:rPr>
          <w:color w:val="000000"/>
        </w:rPr>
        <w:t xml:space="preserve">the </w:t>
      </w:r>
      <w:r w:rsidRPr="00006BE9">
        <w:rPr>
          <w:color w:val="000000"/>
        </w:rPr>
        <w:t>RWSS</w:t>
      </w:r>
      <w:r w:rsidR="00C95494" w:rsidRPr="00006BE9">
        <w:rPr>
          <w:color w:val="000000"/>
        </w:rPr>
        <w:t> </w:t>
      </w:r>
      <w:r w:rsidRPr="00006BE9">
        <w:rPr>
          <w:color w:val="000000"/>
        </w:rPr>
        <w:t>NTP2 is based on new ideas including decentralised implementation, beneficiary participation and inter-ministerial cooperation, all of which are very different from previous operational modalities.</w:t>
      </w:r>
      <w:r w:rsidR="00F21DB8" w:rsidRPr="00006BE9">
        <w:rPr>
          <w:color w:val="000000"/>
        </w:rPr>
        <w:t xml:space="preserve"> </w:t>
      </w:r>
      <w:r w:rsidRPr="00006BE9">
        <w:rPr>
          <w:color w:val="000000"/>
        </w:rPr>
        <w:t xml:space="preserve">For these reasons it would be prudent to consolidate performance in the initial </w:t>
      </w:r>
      <w:r w:rsidR="00C95494" w:rsidRPr="00006BE9">
        <w:rPr>
          <w:color w:val="000000"/>
        </w:rPr>
        <w:t xml:space="preserve">nine </w:t>
      </w:r>
      <w:r w:rsidRPr="00006BE9">
        <w:rPr>
          <w:color w:val="000000"/>
        </w:rPr>
        <w:t xml:space="preserve">pilot provinces, perhaps with some modest expansion, before rolling out the </w:t>
      </w:r>
      <w:r w:rsidR="00C95494" w:rsidRPr="00006BE9">
        <w:rPr>
          <w:color w:val="000000"/>
        </w:rPr>
        <w:t xml:space="preserve">targeted program budget support </w:t>
      </w:r>
      <w:r w:rsidRPr="00006BE9">
        <w:rPr>
          <w:color w:val="000000"/>
        </w:rPr>
        <w:t>across the whole country.</w:t>
      </w:r>
      <w:r w:rsidR="00F21DB8" w:rsidRPr="00006BE9">
        <w:rPr>
          <w:color w:val="000000"/>
        </w:rPr>
        <w:t xml:space="preserve"> </w:t>
      </w:r>
      <w:r w:rsidRPr="00006BE9">
        <w:rPr>
          <w:color w:val="000000"/>
        </w:rPr>
        <w:t>This approach would enable the initial provinces to serve as centres of best practice that other provinces could follow.</w:t>
      </w:r>
    </w:p>
    <w:bookmarkEnd w:id="9"/>
    <w:bookmarkEnd w:id="10"/>
    <w:p w:rsidR="0005352A" w:rsidRPr="00006BE9" w:rsidRDefault="0005352A" w:rsidP="0005352A">
      <w:pPr>
        <w:pStyle w:val="BodyText"/>
        <w:rPr>
          <w:color w:val="000000"/>
        </w:rPr>
      </w:pPr>
      <w:r w:rsidRPr="00006BE9">
        <w:rPr>
          <w:color w:val="000000"/>
        </w:rPr>
        <w:t xml:space="preserve">In terms of quality, </w:t>
      </w:r>
      <w:r w:rsidR="00B46027" w:rsidRPr="00006BE9">
        <w:rPr>
          <w:color w:val="000000"/>
        </w:rPr>
        <w:t xml:space="preserve">the </w:t>
      </w:r>
      <w:r w:rsidRPr="00006BE9">
        <w:rPr>
          <w:color w:val="000000"/>
        </w:rPr>
        <w:t xml:space="preserve">average </w:t>
      </w:r>
      <w:r w:rsidR="003A664B" w:rsidRPr="00006BE9">
        <w:rPr>
          <w:color w:val="000000"/>
        </w:rPr>
        <w:t>quality</w:t>
      </w:r>
      <w:r w:rsidR="00B46027" w:rsidRPr="00006BE9">
        <w:rPr>
          <w:color w:val="000000"/>
        </w:rPr>
        <w:t>-</w:t>
      </w:r>
      <w:r w:rsidR="003A664B" w:rsidRPr="00006BE9">
        <w:rPr>
          <w:color w:val="000000"/>
        </w:rPr>
        <w:t>at</w:t>
      </w:r>
      <w:r w:rsidR="00B46027" w:rsidRPr="00006BE9">
        <w:rPr>
          <w:color w:val="000000"/>
        </w:rPr>
        <w:t>-</w:t>
      </w:r>
      <w:r w:rsidR="003A664B" w:rsidRPr="00006BE9">
        <w:rPr>
          <w:color w:val="000000"/>
        </w:rPr>
        <w:t xml:space="preserve">entry </w:t>
      </w:r>
      <w:r w:rsidRPr="00006BE9">
        <w:rPr>
          <w:color w:val="000000"/>
        </w:rPr>
        <w:t xml:space="preserve">and </w:t>
      </w:r>
      <w:r w:rsidR="003A664B" w:rsidRPr="00006BE9">
        <w:rPr>
          <w:color w:val="000000"/>
        </w:rPr>
        <w:t>quality</w:t>
      </w:r>
      <w:r w:rsidR="00B46027" w:rsidRPr="00006BE9">
        <w:rPr>
          <w:color w:val="000000"/>
        </w:rPr>
        <w:t>-</w:t>
      </w:r>
      <w:r w:rsidR="003A664B" w:rsidRPr="00006BE9">
        <w:rPr>
          <w:color w:val="000000"/>
        </w:rPr>
        <w:t>at</w:t>
      </w:r>
      <w:r w:rsidR="00B46027" w:rsidRPr="00006BE9">
        <w:rPr>
          <w:color w:val="000000"/>
        </w:rPr>
        <w:t>-</w:t>
      </w:r>
      <w:r w:rsidR="003A664B" w:rsidRPr="00006BE9">
        <w:rPr>
          <w:color w:val="000000"/>
        </w:rPr>
        <w:t xml:space="preserve">implementation </w:t>
      </w:r>
      <w:r w:rsidRPr="00006BE9">
        <w:rPr>
          <w:color w:val="000000"/>
        </w:rPr>
        <w:t>ratings for the infrastructure sector as a whole are generally good.</w:t>
      </w:r>
      <w:r w:rsidR="00F21DB8" w:rsidRPr="00006BE9">
        <w:rPr>
          <w:color w:val="000000"/>
        </w:rPr>
        <w:t xml:space="preserve"> </w:t>
      </w:r>
      <w:r w:rsidRPr="00006BE9">
        <w:rPr>
          <w:color w:val="000000"/>
        </w:rPr>
        <w:t>The 2007</w:t>
      </w:r>
      <w:r w:rsidR="00064A26" w:rsidRPr="00006BE9">
        <w:rPr>
          <w:color w:val="000000"/>
        </w:rPr>
        <w:t>-08</w:t>
      </w:r>
      <w:r w:rsidR="003A664B" w:rsidRPr="00006BE9">
        <w:rPr>
          <w:color w:val="000000"/>
        </w:rPr>
        <w:t xml:space="preserve">quality-at-implementation </w:t>
      </w:r>
      <w:r w:rsidRPr="00006BE9">
        <w:rPr>
          <w:color w:val="000000"/>
        </w:rPr>
        <w:t>reports do</w:t>
      </w:r>
      <w:r w:rsidR="00B46027" w:rsidRPr="00006BE9">
        <w:rPr>
          <w:color w:val="000000"/>
        </w:rPr>
        <w:t>,</w:t>
      </w:r>
      <w:r w:rsidRPr="00006BE9">
        <w:rPr>
          <w:color w:val="000000"/>
        </w:rPr>
        <w:t xml:space="preserve"> however</w:t>
      </w:r>
      <w:r w:rsidR="00B46027" w:rsidRPr="00006BE9">
        <w:rPr>
          <w:color w:val="000000"/>
        </w:rPr>
        <w:t>,</w:t>
      </w:r>
      <w:r w:rsidRPr="00006BE9">
        <w:rPr>
          <w:color w:val="000000"/>
        </w:rPr>
        <w:t xml:space="preserve"> signal that more attention should be paid to monitoring and evaluation.</w:t>
      </w:r>
      <w:r w:rsidR="00F21DB8" w:rsidRPr="00006BE9">
        <w:rPr>
          <w:color w:val="000000"/>
        </w:rPr>
        <w:t xml:space="preserve"> </w:t>
      </w:r>
      <w:r w:rsidRPr="00006BE9">
        <w:rPr>
          <w:color w:val="000000"/>
        </w:rPr>
        <w:t>Fortunately this is already taking place</w:t>
      </w:r>
      <w:r w:rsidR="009E6640" w:rsidRPr="00006BE9">
        <w:rPr>
          <w:color w:val="000000"/>
        </w:rPr>
        <w:t>,</w:t>
      </w:r>
      <w:r w:rsidRPr="00006BE9">
        <w:rPr>
          <w:color w:val="000000"/>
        </w:rPr>
        <w:t xml:space="preserve"> although there is a tendency to make performance frameworks overly complex. They should be kept as </w:t>
      </w:r>
      <w:r w:rsidRPr="00006BE9">
        <w:rPr>
          <w:bCs/>
          <w:color w:val="000000"/>
        </w:rPr>
        <w:t>SMART</w:t>
      </w:r>
      <w:r w:rsidRPr="00006BE9">
        <w:rPr>
          <w:color w:val="000000"/>
        </w:rPr>
        <w:t xml:space="preserve"> (</w:t>
      </w:r>
      <w:r w:rsidR="003A664B" w:rsidRPr="00006BE9">
        <w:rPr>
          <w:color w:val="000000"/>
        </w:rPr>
        <w:t>specific, measurable, achievable, relevant and timed</w:t>
      </w:r>
      <w:r w:rsidRPr="00006BE9">
        <w:rPr>
          <w:color w:val="000000"/>
        </w:rPr>
        <w:t>) as possible.</w:t>
      </w:r>
      <w:r w:rsidR="00F21DB8" w:rsidRPr="00006BE9">
        <w:rPr>
          <w:color w:val="000000"/>
        </w:rPr>
        <w:t xml:space="preserve"> </w:t>
      </w:r>
      <w:r w:rsidRPr="00006BE9">
        <w:rPr>
          <w:color w:val="000000"/>
        </w:rPr>
        <w:t>Sustainability is identified as an important issue in the PNG roads sector and</w:t>
      </w:r>
      <w:r w:rsidR="00B46027" w:rsidRPr="00006BE9">
        <w:rPr>
          <w:color w:val="000000"/>
        </w:rPr>
        <w:t>,</w:t>
      </w:r>
      <w:r w:rsidRPr="00006BE9">
        <w:rPr>
          <w:color w:val="000000"/>
        </w:rPr>
        <w:t xml:space="preserve"> as </w:t>
      </w:r>
      <w:r w:rsidR="00B46027" w:rsidRPr="00006BE9">
        <w:rPr>
          <w:color w:val="000000"/>
        </w:rPr>
        <w:t>mentioned previously,</w:t>
      </w:r>
      <w:r w:rsidRPr="00006BE9">
        <w:rPr>
          <w:color w:val="000000"/>
        </w:rPr>
        <w:t xml:space="preserve"> it will be important </w:t>
      </w:r>
      <w:r w:rsidR="009E6640" w:rsidRPr="00006BE9">
        <w:rPr>
          <w:color w:val="000000"/>
        </w:rPr>
        <w:t xml:space="preserve">to </w:t>
      </w:r>
      <w:r w:rsidRPr="00006BE9">
        <w:rPr>
          <w:color w:val="000000"/>
        </w:rPr>
        <w:t>continue working with government to ensure that scarce resources for road maintenance are effectively prioritised.</w:t>
      </w:r>
      <w:r w:rsidR="00F21DB8" w:rsidRPr="00006BE9">
        <w:rPr>
          <w:color w:val="000000"/>
        </w:rPr>
        <w:t xml:space="preserve"> </w:t>
      </w:r>
      <w:r w:rsidRPr="00006BE9">
        <w:rPr>
          <w:color w:val="000000"/>
        </w:rPr>
        <w:t xml:space="preserve">Some of the smaller water and sanitation projects in </w:t>
      </w:r>
      <w:smartTag w:uri="urn:schemas-microsoft-com:office:smarttags" w:element="country-region">
        <w:smartTag w:uri="urn:schemas-microsoft-com:office:smarttags" w:element="place">
          <w:r w:rsidRPr="00006BE9">
            <w:rPr>
              <w:color w:val="000000"/>
            </w:rPr>
            <w:t>Vietnam</w:t>
          </w:r>
        </w:smartTag>
      </w:smartTag>
      <w:r w:rsidRPr="00006BE9">
        <w:rPr>
          <w:color w:val="000000"/>
        </w:rPr>
        <w:t xml:space="preserve"> stand out as poor performers.</w:t>
      </w:r>
      <w:r w:rsidR="00F21DB8" w:rsidRPr="00006BE9">
        <w:rPr>
          <w:color w:val="000000"/>
        </w:rPr>
        <w:t xml:space="preserve"> </w:t>
      </w:r>
      <w:r w:rsidRPr="00006BE9">
        <w:rPr>
          <w:color w:val="000000"/>
        </w:rPr>
        <w:t>The program team is planning a review for later this year to identify the issues and ways of addressing them.</w:t>
      </w:r>
    </w:p>
    <w:p w:rsidR="0005352A" w:rsidRPr="00006BE9" w:rsidRDefault="0005352A" w:rsidP="0005352A">
      <w:pPr>
        <w:pStyle w:val="BodyText"/>
        <w:rPr>
          <w:color w:val="000000"/>
        </w:rPr>
      </w:pPr>
      <w:r w:rsidRPr="00006BE9">
        <w:rPr>
          <w:color w:val="000000"/>
        </w:rPr>
        <w:t>Gender equality is an important priority for the development assistance program, and the infrastructure sector provides significant opportunities to advance equality. The infrastructure response at present is mixed. More work is needed to measure and report on gender equality results and different effects on women and men within the sector.</w:t>
      </w:r>
    </w:p>
    <w:p w:rsidR="0005352A" w:rsidRPr="00006BE9" w:rsidRDefault="0005352A" w:rsidP="007A45B0">
      <w:pPr>
        <w:pStyle w:val="Heading1unnumbered"/>
        <w:spacing w:after="1680"/>
        <w:rPr>
          <w:noProof/>
          <w:color w:val="000000"/>
        </w:rPr>
      </w:pPr>
      <w:bookmarkStart w:id="11" w:name="_Toc217894546"/>
      <w:r w:rsidRPr="00006BE9">
        <w:rPr>
          <w:color w:val="000000"/>
        </w:rPr>
        <w:lastRenderedPageBreak/>
        <w:t>Introduction</w:t>
      </w:r>
      <w:bookmarkEnd w:id="11"/>
    </w:p>
    <w:p w:rsidR="0005352A" w:rsidRPr="00006BE9" w:rsidRDefault="0005352A" w:rsidP="0005352A">
      <w:pPr>
        <w:pStyle w:val="BodyText"/>
        <w:rPr>
          <w:color w:val="000000"/>
        </w:rPr>
      </w:pPr>
      <w:r w:rsidRPr="00006BE9">
        <w:rPr>
          <w:color w:val="000000"/>
        </w:rPr>
        <w:t>This report includes a</w:t>
      </w:r>
      <w:r w:rsidR="009E6640" w:rsidRPr="00006BE9">
        <w:rPr>
          <w:color w:val="000000"/>
        </w:rPr>
        <w:t>n</w:t>
      </w:r>
      <w:r w:rsidRPr="00006BE9">
        <w:rPr>
          <w:color w:val="000000"/>
        </w:rPr>
        <w:t xml:space="preserve"> overview of AusAID’s overall infrastructure</w:t>
      </w:r>
      <w:r w:rsidRPr="00006BE9">
        <w:rPr>
          <w:rStyle w:val="FootnoteReference"/>
          <w:color w:val="000000"/>
        </w:rPr>
        <w:footnoteReference w:id="2"/>
      </w:r>
      <w:r w:rsidRPr="00006BE9">
        <w:rPr>
          <w:color w:val="000000"/>
        </w:rPr>
        <w:t xml:space="preserve"> program</w:t>
      </w:r>
      <w:r w:rsidR="009E6640" w:rsidRPr="00006BE9">
        <w:rPr>
          <w:color w:val="000000"/>
        </w:rPr>
        <w:t>,</w:t>
      </w:r>
      <w:r w:rsidRPr="00006BE9">
        <w:rPr>
          <w:color w:val="000000"/>
        </w:rPr>
        <w:t xml:space="preserve"> the results achieved and the quality of the transport program in </w:t>
      </w:r>
      <w:smartTag w:uri="urn:schemas-microsoft-com:office:smarttags" w:element="country-region">
        <w:r w:rsidR="006449DC" w:rsidRPr="00006BE9">
          <w:rPr>
            <w:color w:val="000000"/>
          </w:rPr>
          <w:t>Papua New Guinea</w:t>
        </w:r>
      </w:smartTag>
      <w:r w:rsidRPr="00006BE9">
        <w:rPr>
          <w:color w:val="000000"/>
        </w:rPr>
        <w:t xml:space="preserve"> and the water and sanitation program in </w:t>
      </w:r>
      <w:smartTag w:uri="urn:schemas-microsoft-com:office:smarttags" w:element="country-region">
        <w:smartTag w:uri="urn:schemas-microsoft-com:office:smarttags" w:element="place">
          <w:r w:rsidRPr="00006BE9">
            <w:rPr>
              <w:color w:val="000000"/>
            </w:rPr>
            <w:t>Vietnam</w:t>
          </w:r>
        </w:smartTag>
      </w:smartTag>
      <w:r w:rsidRPr="00006BE9">
        <w:rPr>
          <w:color w:val="000000"/>
        </w:rPr>
        <w:t xml:space="preserve"> in 2007.</w:t>
      </w:r>
      <w:r w:rsidR="00F21DB8" w:rsidRPr="00006BE9">
        <w:rPr>
          <w:color w:val="000000"/>
        </w:rPr>
        <w:t xml:space="preserve"> </w:t>
      </w:r>
      <w:r w:rsidRPr="00006BE9">
        <w:rPr>
          <w:color w:val="000000"/>
        </w:rPr>
        <w:t>The transpo</w:t>
      </w:r>
      <w:r w:rsidR="005F3C45" w:rsidRPr="00006BE9">
        <w:rPr>
          <w:color w:val="000000"/>
        </w:rPr>
        <w:t>rt and water and sanitation sub</w:t>
      </w:r>
      <w:r w:rsidRPr="00006BE9">
        <w:rPr>
          <w:color w:val="000000"/>
        </w:rPr>
        <w:t xml:space="preserve">sectors were chosen because most of infrastructure support </w:t>
      </w:r>
      <w:r w:rsidR="00712AAD" w:rsidRPr="00006BE9">
        <w:rPr>
          <w:color w:val="000000"/>
        </w:rPr>
        <w:t xml:space="preserve">is allocated </w:t>
      </w:r>
      <w:r w:rsidRPr="00006BE9">
        <w:rPr>
          <w:color w:val="000000"/>
        </w:rPr>
        <w:t>to them</w:t>
      </w:r>
      <w:r w:rsidR="00712AAD" w:rsidRPr="00006BE9">
        <w:rPr>
          <w:color w:val="000000"/>
        </w:rPr>
        <w:t>—</w:t>
      </w:r>
      <w:r w:rsidRPr="00006BE9">
        <w:rPr>
          <w:color w:val="000000"/>
        </w:rPr>
        <w:t>54</w:t>
      </w:r>
      <w:r w:rsidR="00F21DB8" w:rsidRPr="00006BE9">
        <w:rPr>
          <w:color w:val="000000"/>
        </w:rPr>
        <w:t> per cent</w:t>
      </w:r>
      <w:r w:rsidRPr="00006BE9">
        <w:rPr>
          <w:color w:val="000000"/>
        </w:rPr>
        <w:t xml:space="preserve"> for transport and 13</w:t>
      </w:r>
      <w:r w:rsidR="00F21DB8" w:rsidRPr="00006BE9">
        <w:rPr>
          <w:color w:val="000000"/>
        </w:rPr>
        <w:t> per cent</w:t>
      </w:r>
      <w:r w:rsidRPr="00006BE9">
        <w:rPr>
          <w:color w:val="000000"/>
        </w:rPr>
        <w:t xml:space="preserve"> for water and sanitation.</w:t>
      </w:r>
      <w:r w:rsidR="00F21DB8" w:rsidRPr="00006BE9">
        <w:rPr>
          <w:color w:val="000000"/>
        </w:rPr>
        <w:t xml:space="preserve"> </w:t>
      </w:r>
      <w:r w:rsidRPr="00006BE9">
        <w:rPr>
          <w:color w:val="000000"/>
        </w:rPr>
        <w:t xml:space="preserve">The respective programs in </w:t>
      </w:r>
      <w:smartTag w:uri="urn:schemas-microsoft-com:office:smarttags" w:element="country-region">
        <w:r w:rsidR="006449DC" w:rsidRPr="00006BE9">
          <w:rPr>
            <w:color w:val="000000"/>
          </w:rPr>
          <w:t>Papua New Guinea</w:t>
        </w:r>
      </w:smartTag>
      <w:r w:rsidRPr="00006BE9">
        <w:rPr>
          <w:color w:val="000000"/>
        </w:rPr>
        <w:t xml:space="preserve"> and </w:t>
      </w:r>
      <w:smartTag w:uri="urn:schemas-microsoft-com:office:smarttags" w:element="country-region">
        <w:r w:rsidRPr="00006BE9">
          <w:rPr>
            <w:color w:val="000000"/>
          </w:rPr>
          <w:t>Vietnam</w:t>
        </w:r>
      </w:smartTag>
      <w:r w:rsidRPr="00006BE9">
        <w:rPr>
          <w:color w:val="000000"/>
        </w:rPr>
        <w:t xml:space="preserve"> are largely representative of what </w:t>
      </w:r>
      <w:smartTag w:uri="urn:schemas-microsoft-com:office:smarttags" w:element="country-region">
        <w:smartTag w:uri="urn:schemas-microsoft-com:office:smarttags" w:element="place">
          <w:r w:rsidR="00712AAD" w:rsidRPr="00006BE9">
            <w:rPr>
              <w:color w:val="000000"/>
            </w:rPr>
            <w:t>Australia</w:t>
          </w:r>
        </w:smartTag>
      </w:smartTag>
      <w:r w:rsidR="00712AAD" w:rsidRPr="00006BE9">
        <w:rPr>
          <w:color w:val="000000"/>
        </w:rPr>
        <w:t xml:space="preserve"> </w:t>
      </w:r>
      <w:r w:rsidRPr="00006BE9">
        <w:rPr>
          <w:color w:val="000000"/>
        </w:rPr>
        <w:t>ha</w:t>
      </w:r>
      <w:r w:rsidR="00712AAD" w:rsidRPr="00006BE9">
        <w:rPr>
          <w:color w:val="000000"/>
        </w:rPr>
        <w:t>s</w:t>
      </w:r>
      <w:r w:rsidRPr="00006BE9">
        <w:rPr>
          <w:color w:val="000000"/>
        </w:rPr>
        <w:t xml:space="preserve"> been supporting through </w:t>
      </w:r>
      <w:r w:rsidR="003A664B" w:rsidRPr="00006BE9">
        <w:rPr>
          <w:color w:val="000000"/>
        </w:rPr>
        <w:t xml:space="preserve">country development cooperation strategies </w:t>
      </w:r>
      <w:r w:rsidRPr="00006BE9">
        <w:rPr>
          <w:color w:val="000000"/>
        </w:rPr>
        <w:t>elsewhere. These programs were also selected because they offer lessons for the future</w:t>
      </w:r>
      <w:r w:rsidR="00712AAD" w:rsidRPr="00006BE9">
        <w:rPr>
          <w:color w:val="000000"/>
        </w:rPr>
        <w:t>.</w:t>
      </w:r>
      <w:r w:rsidRPr="00006BE9">
        <w:rPr>
          <w:color w:val="000000"/>
        </w:rPr>
        <w:t xml:space="preserve"> </w:t>
      </w:r>
      <w:r w:rsidR="00712AAD" w:rsidRPr="00006BE9">
        <w:rPr>
          <w:color w:val="000000"/>
        </w:rPr>
        <w:t>B</w:t>
      </w:r>
      <w:r w:rsidRPr="00006BE9">
        <w:rPr>
          <w:color w:val="000000"/>
        </w:rPr>
        <w:t xml:space="preserve">oth programs have recently adopted programmatic </w:t>
      </w:r>
      <w:r w:rsidR="00B664D4" w:rsidRPr="00006BE9">
        <w:rPr>
          <w:color w:val="000000"/>
        </w:rPr>
        <w:t>funding</w:t>
      </w:r>
      <w:r w:rsidR="009E6640" w:rsidRPr="00006BE9">
        <w:rPr>
          <w:color w:val="000000"/>
        </w:rPr>
        <w:t>,</w:t>
      </w:r>
      <w:r w:rsidRPr="00006BE9">
        <w:rPr>
          <w:color w:val="000000"/>
        </w:rPr>
        <w:t xml:space="preserve"> </w:t>
      </w:r>
      <w:r w:rsidR="009E6640" w:rsidRPr="00006BE9">
        <w:rPr>
          <w:color w:val="000000"/>
        </w:rPr>
        <w:t xml:space="preserve">which </w:t>
      </w:r>
      <w:r w:rsidRPr="00006BE9">
        <w:rPr>
          <w:color w:val="000000"/>
        </w:rPr>
        <w:t>is int</w:t>
      </w:r>
      <w:r w:rsidR="003A664B" w:rsidRPr="00006BE9">
        <w:rPr>
          <w:color w:val="000000"/>
        </w:rPr>
        <w:t xml:space="preserve">ended to lead to broader sector-wide approaches </w:t>
      </w:r>
      <w:r w:rsidRPr="00006BE9">
        <w:rPr>
          <w:color w:val="000000"/>
        </w:rPr>
        <w:t xml:space="preserve">that are implemented through government systems, and Vietnam’s experience </w:t>
      </w:r>
      <w:r w:rsidR="00712AAD" w:rsidRPr="00006BE9">
        <w:rPr>
          <w:color w:val="000000"/>
        </w:rPr>
        <w:t xml:space="preserve">in providing </w:t>
      </w:r>
      <w:r w:rsidRPr="00006BE9">
        <w:rPr>
          <w:color w:val="000000"/>
        </w:rPr>
        <w:t xml:space="preserve">water and sanitation </w:t>
      </w:r>
      <w:r w:rsidR="00712AAD" w:rsidRPr="00006BE9">
        <w:rPr>
          <w:color w:val="000000"/>
        </w:rPr>
        <w:t xml:space="preserve">services </w:t>
      </w:r>
      <w:r w:rsidRPr="00006BE9">
        <w:rPr>
          <w:color w:val="000000"/>
        </w:rPr>
        <w:t>will help</w:t>
      </w:r>
      <w:r w:rsidR="00712AAD" w:rsidRPr="00006BE9">
        <w:rPr>
          <w:color w:val="000000"/>
        </w:rPr>
        <w:t xml:space="preserve"> to</w:t>
      </w:r>
      <w:r w:rsidRPr="00006BE9">
        <w:rPr>
          <w:color w:val="000000"/>
        </w:rPr>
        <w:t xml:space="preserve"> inform preparation of the new Water and Sanitation Initiative</w:t>
      </w:r>
      <w:r w:rsidR="00712AAD" w:rsidRPr="00006BE9">
        <w:rPr>
          <w:color w:val="000000"/>
        </w:rPr>
        <w:t>,</w:t>
      </w:r>
      <w:r w:rsidRPr="00006BE9">
        <w:rPr>
          <w:color w:val="000000"/>
        </w:rPr>
        <w:t xml:space="preserve"> </w:t>
      </w:r>
      <w:r w:rsidR="00712AAD" w:rsidRPr="00006BE9">
        <w:rPr>
          <w:color w:val="000000"/>
        </w:rPr>
        <w:t xml:space="preserve">which </w:t>
      </w:r>
      <w:r w:rsidRPr="00006BE9">
        <w:rPr>
          <w:color w:val="000000"/>
        </w:rPr>
        <w:t>will be implemented from 2009 to 2011.</w:t>
      </w:r>
    </w:p>
    <w:p w:rsidR="0005352A" w:rsidRPr="00006BE9" w:rsidRDefault="0005352A" w:rsidP="0005352A">
      <w:pPr>
        <w:pStyle w:val="BodyText"/>
        <w:rPr>
          <w:color w:val="000000"/>
        </w:rPr>
      </w:pPr>
      <w:r w:rsidRPr="00006BE9">
        <w:rPr>
          <w:color w:val="000000"/>
        </w:rPr>
        <w:t>The programs reviewed are representative of the largely bilateral infrastructure programs</w:t>
      </w:r>
      <w:r w:rsidRPr="00006BE9">
        <w:rPr>
          <w:rStyle w:val="FootnoteReference"/>
          <w:color w:val="000000"/>
        </w:rPr>
        <w:footnoteReference w:id="3"/>
      </w:r>
      <w:r w:rsidRPr="00006BE9">
        <w:rPr>
          <w:color w:val="000000"/>
        </w:rPr>
        <w:t xml:space="preserve"> that AusAID has been supporting in recent years.</w:t>
      </w:r>
      <w:r w:rsidR="00F21DB8" w:rsidRPr="00006BE9">
        <w:rPr>
          <w:color w:val="000000"/>
        </w:rPr>
        <w:t xml:space="preserve"> </w:t>
      </w:r>
      <w:r w:rsidRPr="00006BE9">
        <w:rPr>
          <w:color w:val="000000"/>
        </w:rPr>
        <w:t>However</w:t>
      </w:r>
      <w:r w:rsidR="00EF7EFB" w:rsidRPr="00006BE9">
        <w:rPr>
          <w:color w:val="000000"/>
        </w:rPr>
        <w:t>,</w:t>
      </w:r>
      <w:r w:rsidRPr="00006BE9">
        <w:rPr>
          <w:color w:val="000000"/>
        </w:rPr>
        <w:t xml:space="preserve"> the nature of </w:t>
      </w:r>
      <w:r w:rsidR="00EF7EFB" w:rsidRPr="00006BE9">
        <w:rPr>
          <w:color w:val="000000"/>
        </w:rPr>
        <w:t xml:space="preserve">that </w:t>
      </w:r>
      <w:r w:rsidRPr="00006BE9">
        <w:rPr>
          <w:color w:val="000000"/>
        </w:rPr>
        <w:t xml:space="preserve">support for infrastructure will change </w:t>
      </w:r>
      <w:r w:rsidR="009E6640" w:rsidRPr="00006BE9">
        <w:rPr>
          <w:color w:val="000000"/>
        </w:rPr>
        <w:t>as</w:t>
      </w:r>
      <w:r w:rsidRPr="00006BE9">
        <w:rPr>
          <w:color w:val="000000"/>
        </w:rPr>
        <w:t xml:space="preserve"> new infrastructure initiatives</w:t>
      </w:r>
      <w:r w:rsidR="009E6640" w:rsidRPr="00006BE9">
        <w:rPr>
          <w:color w:val="000000"/>
        </w:rPr>
        <w:t xml:space="preserve"> are implemented</w:t>
      </w:r>
      <w:r w:rsidRPr="00006BE9">
        <w:rPr>
          <w:color w:val="000000"/>
        </w:rPr>
        <w:t>, including the Infrastructure for Growth Initiative</w:t>
      </w:r>
      <w:r w:rsidR="009E6640" w:rsidRPr="00006BE9">
        <w:rPr>
          <w:color w:val="000000"/>
        </w:rPr>
        <w:t>,</w:t>
      </w:r>
      <w:r w:rsidRPr="00006BE9">
        <w:rPr>
          <w:color w:val="000000"/>
        </w:rPr>
        <w:t xml:space="preserve"> which</w:t>
      </w:r>
      <w:r w:rsidR="006449DC" w:rsidRPr="00006BE9">
        <w:rPr>
          <w:color w:val="000000"/>
        </w:rPr>
        <w:t xml:space="preserve"> </w:t>
      </w:r>
      <w:r w:rsidR="009E6640" w:rsidRPr="00006BE9">
        <w:rPr>
          <w:color w:val="000000"/>
        </w:rPr>
        <w:t>began</w:t>
      </w:r>
      <w:r w:rsidR="006449DC" w:rsidRPr="00006BE9">
        <w:rPr>
          <w:color w:val="000000"/>
        </w:rPr>
        <w:t xml:space="preserve"> in 2007–</w:t>
      </w:r>
      <w:r w:rsidRPr="00006BE9">
        <w:rPr>
          <w:color w:val="000000"/>
        </w:rPr>
        <w:t xml:space="preserve">08, </w:t>
      </w:r>
      <w:r w:rsidR="00EF7EFB" w:rsidRPr="00006BE9">
        <w:rPr>
          <w:color w:val="000000"/>
        </w:rPr>
        <w:t xml:space="preserve">and </w:t>
      </w:r>
      <w:r w:rsidRPr="00006BE9">
        <w:rPr>
          <w:color w:val="000000"/>
        </w:rPr>
        <w:t xml:space="preserve">the Water and Sanitation Initiative and the Pacific Region Infrastructure Facility, both </w:t>
      </w:r>
      <w:r w:rsidR="009E6640" w:rsidRPr="00006BE9">
        <w:rPr>
          <w:color w:val="000000"/>
        </w:rPr>
        <w:t>due to</w:t>
      </w:r>
      <w:r w:rsidRPr="00006BE9">
        <w:rPr>
          <w:color w:val="000000"/>
        </w:rPr>
        <w:t xml:space="preserve"> </w:t>
      </w:r>
      <w:r w:rsidR="009E6640" w:rsidRPr="00006BE9">
        <w:rPr>
          <w:color w:val="000000"/>
        </w:rPr>
        <w:t>begin</w:t>
      </w:r>
      <w:r w:rsidR="006449DC" w:rsidRPr="00006BE9">
        <w:rPr>
          <w:color w:val="000000"/>
        </w:rPr>
        <w:t xml:space="preserve"> in 2009–</w:t>
      </w:r>
      <w:r w:rsidRPr="00006BE9">
        <w:rPr>
          <w:color w:val="000000"/>
        </w:rPr>
        <w:t>10.</w:t>
      </w:r>
      <w:r w:rsidR="00F21DB8" w:rsidRPr="00006BE9">
        <w:rPr>
          <w:color w:val="000000"/>
        </w:rPr>
        <w:t xml:space="preserve"> </w:t>
      </w:r>
      <w:r w:rsidRPr="00006BE9">
        <w:rPr>
          <w:color w:val="000000"/>
        </w:rPr>
        <w:t>These initiatives will involve partnering multilateral organisations, particularly the multilateral development banks, to a much greater extent than in the past.</w:t>
      </w:r>
      <w:r w:rsidR="00F21DB8" w:rsidRPr="00006BE9">
        <w:rPr>
          <w:color w:val="000000"/>
        </w:rPr>
        <w:t xml:space="preserve"> </w:t>
      </w:r>
      <w:r w:rsidR="00C0767B" w:rsidRPr="00006BE9">
        <w:rPr>
          <w:color w:val="000000"/>
        </w:rPr>
        <w:t>Working in p</w:t>
      </w:r>
      <w:r w:rsidRPr="00006BE9">
        <w:rPr>
          <w:color w:val="000000"/>
        </w:rPr>
        <w:t>artner</w:t>
      </w:r>
      <w:r w:rsidR="00C0767B" w:rsidRPr="00006BE9">
        <w:rPr>
          <w:color w:val="000000"/>
        </w:rPr>
        <w:t>ship</w:t>
      </w:r>
      <w:r w:rsidRPr="00006BE9">
        <w:rPr>
          <w:color w:val="000000"/>
        </w:rPr>
        <w:t xml:space="preserve"> with the </w:t>
      </w:r>
      <w:r w:rsidR="006449DC" w:rsidRPr="00006BE9">
        <w:rPr>
          <w:color w:val="000000"/>
        </w:rPr>
        <w:t>multilateral development bank</w:t>
      </w:r>
      <w:r w:rsidRPr="00006BE9">
        <w:rPr>
          <w:color w:val="000000"/>
        </w:rPr>
        <w:t xml:space="preserve">s will enable </w:t>
      </w:r>
      <w:r w:rsidR="00C0767B" w:rsidRPr="00006BE9">
        <w:rPr>
          <w:color w:val="000000"/>
        </w:rPr>
        <w:t xml:space="preserve">AusAID </w:t>
      </w:r>
      <w:r w:rsidRPr="00006BE9">
        <w:rPr>
          <w:color w:val="000000"/>
        </w:rPr>
        <w:t>to leverage their technical expertise and large resource base</w:t>
      </w:r>
      <w:r w:rsidR="00C0767B" w:rsidRPr="00006BE9">
        <w:rPr>
          <w:color w:val="000000"/>
        </w:rPr>
        <w:t>,</w:t>
      </w:r>
      <w:r w:rsidRPr="00006BE9">
        <w:rPr>
          <w:color w:val="000000"/>
        </w:rPr>
        <w:t xml:space="preserve"> thereby enabling </w:t>
      </w:r>
      <w:r w:rsidR="00C0767B" w:rsidRPr="00006BE9">
        <w:rPr>
          <w:color w:val="000000"/>
        </w:rPr>
        <w:t xml:space="preserve">AusAID </w:t>
      </w:r>
      <w:r w:rsidRPr="00006BE9">
        <w:rPr>
          <w:color w:val="000000"/>
        </w:rPr>
        <w:t>to have greater influence on policy dialogue with partner governments and to participate in much larger projects and programs than otherwise would be the case.</w:t>
      </w:r>
      <w:r w:rsidR="00F21DB8" w:rsidRPr="00006BE9">
        <w:rPr>
          <w:color w:val="000000"/>
        </w:rPr>
        <w:t xml:space="preserve"> </w:t>
      </w:r>
      <w:r w:rsidRPr="00006BE9">
        <w:rPr>
          <w:color w:val="000000"/>
        </w:rPr>
        <w:t xml:space="preserve">It will also help </w:t>
      </w:r>
      <w:r w:rsidR="00276E46" w:rsidRPr="00006BE9">
        <w:rPr>
          <w:color w:val="000000"/>
        </w:rPr>
        <w:t xml:space="preserve">to </w:t>
      </w:r>
      <w:r w:rsidRPr="00006BE9">
        <w:rPr>
          <w:color w:val="000000"/>
        </w:rPr>
        <w:t>promote more effective donor</w:t>
      </w:r>
      <w:r w:rsidR="006449DC" w:rsidRPr="00006BE9">
        <w:rPr>
          <w:color w:val="000000"/>
        </w:rPr>
        <w:t>–</w:t>
      </w:r>
      <w:r w:rsidRPr="00006BE9">
        <w:rPr>
          <w:color w:val="000000"/>
        </w:rPr>
        <w:t>partner government coordination in line with the Paris Declaration on Donor Harmonisation.</w:t>
      </w:r>
      <w:r w:rsidR="00F21DB8" w:rsidRPr="00006BE9">
        <w:rPr>
          <w:color w:val="000000"/>
        </w:rPr>
        <w:t xml:space="preserve"> </w:t>
      </w:r>
      <w:r w:rsidRPr="00006BE9">
        <w:rPr>
          <w:color w:val="000000"/>
        </w:rPr>
        <w:t>This represents a significant change in the way that AusAID does business and it will be important to take stock in the next year or two on how effectively the agency is adapting.</w:t>
      </w:r>
    </w:p>
    <w:p w:rsidR="0005352A" w:rsidRPr="00006BE9" w:rsidRDefault="0005352A" w:rsidP="0005352A">
      <w:pPr>
        <w:pStyle w:val="BodyText"/>
        <w:rPr>
          <w:color w:val="000000"/>
        </w:rPr>
      </w:pPr>
      <w:r w:rsidRPr="00006BE9">
        <w:rPr>
          <w:color w:val="000000"/>
        </w:rPr>
        <w:t xml:space="preserve">The </w:t>
      </w:r>
      <w:r w:rsidR="006449DC" w:rsidRPr="00006BE9">
        <w:rPr>
          <w:color w:val="000000"/>
        </w:rPr>
        <w:t>Asian Development Bank</w:t>
      </w:r>
      <w:r w:rsidRPr="00006BE9">
        <w:rPr>
          <w:color w:val="000000"/>
        </w:rPr>
        <w:t xml:space="preserve"> and </w:t>
      </w:r>
      <w:r w:rsidR="006449DC" w:rsidRPr="00006BE9">
        <w:rPr>
          <w:color w:val="000000"/>
        </w:rPr>
        <w:t>the World Bank</w:t>
      </w:r>
      <w:r w:rsidRPr="00006BE9">
        <w:rPr>
          <w:color w:val="000000"/>
        </w:rPr>
        <w:t xml:space="preserve"> have the expertise, the reach and the scale of operations needed for large</w:t>
      </w:r>
      <w:r w:rsidR="00C0767B" w:rsidRPr="00006BE9">
        <w:rPr>
          <w:color w:val="000000"/>
        </w:rPr>
        <w:t>-</w:t>
      </w:r>
      <w:r w:rsidRPr="00006BE9">
        <w:rPr>
          <w:color w:val="000000"/>
        </w:rPr>
        <w:t>scale infrastructure programming, and can make highly effective use of additional funding resources.</w:t>
      </w:r>
      <w:r w:rsidR="00F21DB8" w:rsidRPr="00006BE9">
        <w:rPr>
          <w:color w:val="000000"/>
        </w:rPr>
        <w:t xml:space="preserve"> </w:t>
      </w:r>
      <w:r w:rsidRPr="00006BE9">
        <w:rPr>
          <w:color w:val="000000"/>
        </w:rPr>
        <w:t xml:space="preserve">AusAID will continue to work with and through the </w:t>
      </w:r>
      <w:r w:rsidR="006449DC" w:rsidRPr="00006BE9">
        <w:rPr>
          <w:color w:val="000000"/>
        </w:rPr>
        <w:t xml:space="preserve">multilateral development banks </w:t>
      </w:r>
      <w:r w:rsidRPr="00006BE9">
        <w:rPr>
          <w:color w:val="000000"/>
        </w:rPr>
        <w:t xml:space="preserve">to meet the requirements of the Paris Declaration for </w:t>
      </w:r>
      <w:r w:rsidRPr="00006BE9">
        <w:rPr>
          <w:color w:val="000000"/>
        </w:rPr>
        <w:lastRenderedPageBreak/>
        <w:t>systematic donor engagement with partner government programs and policies.</w:t>
      </w:r>
      <w:r w:rsidR="00F21DB8" w:rsidRPr="00006BE9">
        <w:rPr>
          <w:color w:val="000000"/>
        </w:rPr>
        <w:t xml:space="preserve"> </w:t>
      </w:r>
      <w:r w:rsidR="00276E46" w:rsidRPr="00006BE9">
        <w:rPr>
          <w:color w:val="000000"/>
        </w:rPr>
        <w:t>T</w:t>
      </w:r>
      <w:r w:rsidRPr="00006BE9">
        <w:rPr>
          <w:color w:val="000000"/>
        </w:rPr>
        <w:t xml:space="preserve">he comparative advantage and </w:t>
      </w:r>
      <w:r w:rsidR="00276E46" w:rsidRPr="00006BE9">
        <w:rPr>
          <w:color w:val="000000"/>
        </w:rPr>
        <w:t xml:space="preserve">the </w:t>
      </w:r>
      <w:r w:rsidRPr="00006BE9">
        <w:rPr>
          <w:color w:val="000000"/>
        </w:rPr>
        <w:t xml:space="preserve">global resources of the </w:t>
      </w:r>
      <w:r w:rsidR="006449DC" w:rsidRPr="00006BE9">
        <w:rPr>
          <w:color w:val="000000"/>
        </w:rPr>
        <w:t xml:space="preserve">multilateral development banks </w:t>
      </w:r>
      <w:r w:rsidR="00276E46" w:rsidRPr="00006BE9">
        <w:rPr>
          <w:color w:val="000000"/>
        </w:rPr>
        <w:t>enable</w:t>
      </w:r>
      <w:r w:rsidRPr="00006BE9">
        <w:rPr>
          <w:color w:val="000000"/>
        </w:rPr>
        <w:t xml:space="preserve"> AusAID </w:t>
      </w:r>
      <w:r w:rsidR="00276E46" w:rsidRPr="00006BE9">
        <w:rPr>
          <w:color w:val="000000"/>
        </w:rPr>
        <w:t xml:space="preserve">to efficiently and effectively </w:t>
      </w:r>
      <w:r w:rsidRPr="00006BE9">
        <w:rPr>
          <w:color w:val="000000"/>
        </w:rPr>
        <w:t>disburse and manage</w:t>
      </w:r>
      <w:r w:rsidR="00276E46" w:rsidRPr="00006BE9">
        <w:rPr>
          <w:color w:val="000000"/>
        </w:rPr>
        <w:t xml:space="preserve"> its funding</w:t>
      </w:r>
      <w:r w:rsidRPr="00006BE9">
        <w:rPr>
          <w:color w:val="000000"/>
        </w:rPr>
        <w:t xml:space="preserve">, while also helping to coordinate with activities of partner governments and other donors and influencing </w:t>
      </w:r>
      <w:r w:rsidR="00276E46" w:rsidRPr="00006BE9">
        <w:rPr>
          <w:color w:val="000000"/>
        </w:rPr>
        <w:t xml:space="preserve">how the </w:t>
      </w:r>
      <w:r w:rsidRPr="00006BE9">
        <w:rPr>
          <w:color w:val="000000"/>
        </w:rPr>
        <w:t>World Bank engage</w:t>
      </w:r>
      <w:r w:rsidR="00276E46" w:rsidRPr="00006BE9">
        <w:rPr>
          <w:color w:val="000000"/>
        </w:rPr>
        <w:t>s</w:t>
      </w:r>
      <w:r w:rsidRPr="00006BE9">
        <w:rPr>
          <w:color w:val="000000"/>
        </w:rPr>
        <w:t xml:space="preserve"> with the Asia-Pacific region.</w:t>
      </w:r>
    </w:p>
    <w:p w:rsidR="0005352A" w:rsidRPr="00006BE9" w:rsidRDefault="0005352A" w:rsidP="00D641D4">
      <w:pPr>
        <w:pStyle w:val="Heading1unnumbered"/>
        <w:rPr>
          <w:rFonts w:ascii="Franklin Gothic Demi" w:hAnsi="Franklin Gothic Demi"/>
          <w:color w:val="000000"/>
          <w:spacing w:val="0"/>
          <w:sz w:val="28"/>
          <w:szCs w:val="28"/>
        </w:rPr>
      </w:pPr>
      <w:bookmarkStart w:id="12" w:name="_Toc217894547"/>
      <w:r w:rsidRPr="00006BE9">
        <w:rPr>
          <w:color w:val="000000"/>
        </w:rPr>
        <w:lastRenderedPageBreak/>
        <w:t xml:space="preserve">Overview of </w:t>
      </w:r>
      <w:r w:rsidRPr="00006BE9">
        <w:rPr>
          <w:caps/>
          <w:color w:val="000000"/>
        </w:rPr>
        <w:t>a</w:t>
      </w:r>
      <w:r w:rsidRPr="00006BE9">
        <w:rPr>
          <w:color w:val="000000"/>
        </w:rPr>
        <w:t>us</w:t>
      </w:r>
      <w:r w:rsidRPr="00006BE9">
        <w:rPr>
          <w:caps/>
          <w:color w:val="000000"/>
        </w:rPr>
        <w:t>aid</w:t>
      </w:r>
      <w:r w:rsidRPr="00006BE9">
        <w:rPr>
          <w:color w:val="000000"/>
        </w:rPr>
        <w:t>’s infrastructure program</w:t>
      </w:r>
      <w:bookmarkEnd w:id="12"/>
    </w:p>
    <w:p w:rsidR="0005352A" w:rsidRPr="00006BE9" w:rsidRDefault="0005352A" w:rsidP="0005352A">
      <w:pPr>
        <w:pStyle w:val="Heading2unnumbered"/>
        <w:tabs>
          <w:tab w:val="clear" w:pos="709"/>
        </w:tabs>
        <w:spacing w:before="120"/>
        <w:rPr>
          <w:color w:val="000000"/>
        </w:rPr>
      </w:pPr>
      <w:bookmarkStart w:id="13" w:name="_Toc217894548"/>
      <w:r w:rsidRPr="00006BE9">
        <w:rPr>
          <w:color w:val="000000"/>
        </w:rPr>
        <w:t>Background</w:t>
      </w:r>
      <w:bookmarkEnd w:id="13"/>
    </w:p>
    <w:p w:rsidR="0005352A" w:rsidRPr="00006BE9" w:rsidRDefault="0005352A" w:rsidP="0005352A">
      <w:pPr>
        <w:pStyle w:val="BodyText"/>
        <w:rPr>
          <w:color w:val="000000"/>
        </w:rPr>
      </w:pPr>
      <w:r w:rsidRPr="00006BE9">
        <w:rPr>
          <w:color w:val="000000"/>
        </w:rPr>
        <w:t>Infrastructure accounted for $320 million, or 11</w:t>
      </w:r>
      <w:r w:rsidR="00F21DB8" w:rsidRPr="00006BE9">
        <w:rPr>
          <w:color w:val="000000"/>
        </w:rPr>
        <w:t> per cent</w:t>
      </w:r>
      <w:r w:rsidRPr="00006BE9">
        <w:rPr>
          <w:color w:val="000000"/>
        </w:rPr>
        <w:t xml:space="preserve"> of </w:t>
      </w:r>
      <w:smartTag w:uri="urn:schemas-microsoft-com:office:smarttags" w:element="country-region">
        <w:smartTag w:uri="urn:schemas-microsoft-com:office:smarttags" w:element="place">
          <w:r w:rsidRPr="00006BE9">
            <w:rPr>
              <w:color w:val="000000"/>
            </w:rPr>
            <w:t>Australia</w:t>
          </w:r>
        </w:smartTag>
      </w:smartTag>
      <w:r w:rsidR="003F3987" w:rsidRPr="00006BE9">
        <w:rPr>
          <w:color w:val="000000"/>
        </w:rPr>
        <w:t>’s</w:t>
      </w:r>
      <w:r w:rsidRPr="00006BE9">
        <w:rPr>
          <w:color w:val="000000"/>
        </w:rPr>
        <w:t xml:space="preserve"> </w:t>
      </w:r>
      <w:r w:rsidR="003F3987" w:rsidRPr="00006BE9">
        <w:rPr>
          <w:color w:val="000000"/>
        </w:rPr>
        <w:t xml:space="preserve">total </w:t>
      </w:r>
      <w:r w:rsidR="006449DC" w:rsidRPr="00006BE9">
        <w:rPr>
          <w:color w:val="000000"/>
        </w:rPr>
        <w:t xml:space="preserve">official </w:t>
      </w:r>
      <w:r w:rsidRPr="00006BE9">
        <w:rPr>
          <w:color w:val="000000"/>
        </w:rPr>
        <w:t>develo</w:t>
      </w:r>
      <w:r w:rsidR="006449DC" w:rsidRPr="00006BE9">
        <w:rPr>
          <w:color w:val="000000"/>
        </w:rPr>
        <w:t>pment assistance, in 2007–</w:t>
      </w:r>
      <w:r w:rsidRPr="00006BE9">
        <w:rPr>
          <w:color w:val="000000"/>
        </w:rPr>
        <w:t>08.</w:t>
      </w:r>
      <w:r w:rsidR="00F21DB8" w:rsidRPr="00006BE9">
        <w:rPr>
          <w:color w:val="000000"/>
        </w:rPr>
        <w:t xml:space="preserve"> </w:t>
      </w:r>
      <w:r w:rsidRPr="00006BE9">
        <w:rPr>
          <w:color w:val="000000"/>
        </w:rPr>
        <w:t>This was an increase over the 8.3</w:t>
      </w:r>
      <w:r w:rsidR="00F21DB8" w:rsidRPr="00006BE9">
        <w:rPr>
          <w:color w:val="000000"/>
        </w:rPr>
        <w:t> per cent</w:t>
      </w:r>
      <w:r w:rsidRPr="00006BE9">
        <w:rPr>
          <w:color w:val="000000"/>
        </w:rPr>
        <w:t xml:space="preserve"> average for the previous </w:t>
      </w:r>
      <w:r w:rsidR="006449DC" w:rsidRPr="00006BE9">
        <w:rPr>
          <w:color w:val="000000"/>
        </w:rPr>
        <w:t>three</w:t>
      </w:r>
      <w:r w:rsidRPr="00006BE9">
        <w:rPr>
          <w:color w:val="000000"/>
        </w:rPr>
        <w:t xml:space="preserve"> years.</w:t>
      </w:r>
      <w:r w:rsidR="00F21DB8" w:rsidRPr="00006BE9">
        <w:rPr>
          <w:color w:val="000000"/>
        </w:rPr>
        <w:t xml:space="preserve"> </w:t>
      </w:r>
      <w:r w:rsidR="006449DC" w:rsidRPr="00006BE9">
        <w:rPr>
          <w:color w:val="000000"/>
        </w:rPr>
        <w:t>The planned allocation for 2008–09 is $380 million,</w:t>
      </w:r>
      <w:r w:rsidRPr="00006BE9">
        <w:rPr>
          <w:color w:val="000000"/>
        </w:rPr>
        <w:t xml:space="preserve"> 19</w:t>
      </w:r>
      <w:r w:rsidR="00F21DB8" w:rsidRPr="00006BE9">
        <w:rPr>
          <w:color w:val="000000"/>
        </w:rPr>
        <w:t> per cent</w:t>
      </w:r>
      <w:r w:rsidRPr="00006BE9">
        <w:rPr>
          <w:color w:val="000000"/>
        </w:rPr>
        <w:t xml:space="preserve"> </w:t>
      </w:r>
      <w:r w:rsidR="00183FF7" w:rsidRPr="00006BE9">
        <w:rPr>
          <w:color w:val="000000"/>
        </w:rPr>
        <w:t>more than in</w:t>
      </w:r>
      <w:r w:rsidR="006449DC" w:rsidRPr="00006BE9">
        <w:rPr>
          <w:color w:val="000000"/>
        </w:rPr>
        <w:t xml:space="preserve"> 2007–</w:t>
      </w:r>
      <w:r w:rsidRPr="00006BE9">
        <w:rPr>
          <w:color w:val="000000"/>
        </w:rPr>
        <w:t>08, although at 10.3</w:t>
      </w:r>
      <w:r w:rsidR="00F21DB8" w:rsidRPr="00006BE9">
        <w:rPr>
          <w:color w:val="000000"/>
        </w:rPr>
        <w:t> per cent</w:t>
      </w:r>
      <w:r w:rsidRPr="00006BE9">
        <w:rPr>
          <w:color w:val="000000"/>
        </w:rPr>
        <w:t xml:space="preserve"> of total </w:t>
      </w:r>
      <w:r w:rsidR="006449DC" w:rsidRPr="00006BE9">
        <w:rPr>
          <w:color w:val="000000"/>
        </w:rPr>
        <w:t>official development assistance</w:t>
      </w:r>
      <w:r w:rsidRPr="00006BE9">
        <w:rPr>
          <w:color w:val="000000"/>
        </w:rPr>
        <w:t xml:space="preserve">, a slight reduction in </w:t>
      </w:r>
      <w:r w:rsidR="003F3987" w:rsidRPr="00006BE9">
        <w:rPr>
          <w:color w:val="000000"/>
        </w:rPr>
        <w:t xml:space="preserve">its </w:t>
      </w:r>
      <w:r w:rsidRPr="00006BE9">
        <w:rPr>
          <w:color w:val="000000"/>
        </w:rPr>
        <w:t>overall share.</w:t>
      </w:r>
      <w:r w:rsidR="00F21DB8" w:rsidRPr="00006BE9">
        <w:rPr>
          <w:color w:val="000000"/>
        </w:rPr>
        <w:t xml:space="preserve"> </w:t>
      </w:r>
      <w:r w:rsidRPr="00006BE9">
        <w:rPr>
          <w:color w:val="000000"/>
        </w:rPr>
        <w:t xml:space="preserve">With the introduction of the new initiatives mentioned </w:t>
      </w:r>
      <w:r w:rsidR="00183FF7" w:rsidRPr="00006BE9">
        <w:rPr>
          <w:color w:val="000000"/>
        </w:rPr>
        <w:t xml:space="preserve">previously </w:t>
      </w:r>
      <w:r w:rsidRPr="00006BE9">
        <w:rPr>
          <w:color w:val="000000"/>
        </w:rPr>
        <w:t>the trend in increased allocations in absolute terms is set to continue.</w:t>
      </w:r>
      <w:r w:rsidR="00F21DB8" w:rsidRPr="00006BE9">
        <w:rPr>
          <w:color w:val="000000"/>
        </w:rPr>
        <w:t xml:space="preserve"> </w:t>
      </w:r>
      <w:r w:rsidRPr="00006BE9">
        <w:rPr>
          <w:color w:val="000000"/>
        </w:rPr>
        <w:t xml:space="preserve">At this stage it is unclear if the share </w:t>
      </w:r>
      <w:r w:rsidR="00183FF7" w:rsidRPr="00006BE9">
        <w:rPr>
          <w:color w:val="000000"/>
        </w:rPr>
        <w:t xml:space="preserve">of assistance </w:t>
      </w:r>
      <w:r w:rsidRPr="00006BE9">
        <w:rPr>
          <w:color w:val="000000"/>
        </w:rPr>
        <w:t xml:space="preserve">allocated for infrastructure </w:t>
      </w:r>
      <w:r w:rsidR="00183FF7" w:rsidRPr="00006BE9">
        <w:rPr>
          <w:color w:val="000000"/>
        </w:rPr>
        <w:t xml:space="preserve">activities </w:t>
      </w:r>
      <w:r w:rsidRPr="00006BE9">
        <w:rPr>
          <w:color w:val="000000"/>
        </w:rPr>
        <w:t xml:space="preserve">will increase at a higher rate than the rate at which </w:t>
      </w:r>
      <w:r w:rsidR="006449DC" w:rsidRPr="00006BE9">
        <w:rPr>
          <w:color w:val="000000"/>
        </w:rPr>
        <w:t xml:space="preserve">official development assistance </w:t>
      </w:r>
      <w:r w:rsidRPr="00006BE9">
        <w:rPr>
          <w:color w:val="000000"/>
        </w:rPr>
        <w:t xml:space="preserve">as a whole will increase as </w:t>
      </w:r>
      <w:r w:rsidR="00183FF7" w:rsidRPr="00006BE9">
        <w:rPr>
          <w:color w:val="000000"/>
        </w:rPr>
        <w:t xml:space="preserve">Australia </w:t>
      </w:r>
      <w:r w:rsidRPr="00006BE9">
        <w:rPr>
          <w:color w:val="000000"/>
        </w:rPr>
        <w:t>move</w:t>
      </w:r>
      <w:r w:rsidR="00183FF7" w:rsidRPr="00006BE9">
        <w:rPr>
          <w:color w:val="000000"/>
        </w:rPr>
        <w:t>s</w:t>
      </w:r>
      <w:r w:rsidRPr="00006BE9">
        <w:rPr>
          <w:color w:val="000000"/>
        </w:rPr>
        <w:t xml:space="preserve"> towards </w:t>
      </w:r>
      <w:r w:rsidR="00183FF7" w:rsidRPr="00006BE9">
        <w:rPr>
          <w:color w:val="000000"/>
        </w:rPr>
        <w:t xml:space="preserve">the </w:t>
      </w:r>
      <w:r w:rsidR="00B664D4" w:rsidRPr="00006BE9">
        <w:rPr>
          <w:color w:val="000000"/>
        </w:rPr>
        <w:t>G</w:t>
      </w:r>
      <w:r w:rsidRPr="00006BE9">
        <w:rPr>
          <w:color w:val="000000"/>
        </w:rPr>
        <w:t>overnment’s target of 0.5</w:t>
      </w:r>
      <w:r w:rsidR="00F21DB8" w:rsidRPr="00006BE9">
        <w:rPr>
          <w:color w:val="000000"/>
        </w:rPr>
        <w:t> per cent</w:t>
      </w:r>
      <w:r w:rsidRPr="00006BE9">
        <w:rPr>
          <w:color w:val="000000"/>
        </w:rPr>
        <w:t xml:space="preserve"> of </w:t>
      </w:r>
      <w:r w:rsidR="006449DC" w:rsidRPr="00006BE9">
        <w:rPr>
          <w:color w:val="000000"/>
        </w:rPr>
        <w:t xml:space="preserve">gross </w:t>
      </w:r>
      <w:r w:rsidR="005F49BA" w:rsidRPr="00006BE9">
        <w:rPr>
          <w:color w:val="000000"/>
        </w:rPr>
        <w:t>national</w:t>
      </w:r>
      <w:r w:rsidR="006449DC" w:rsidRPr="00006BE9">
        <w:rPr>
          <w:color w:val="000000"/>
        </w:rPr>
        <w:t xml:space="preserve"> income </w:t>
      </w:r>
      <w:r w:rsidRPr="00006BE9">
        <w:rPr>
          <w:color w:val="000000"/>
        </w:rPr>
        <w:t>by 2015.</w:t>
      </w:r>
      <w:r w:rsidR="00F21DB8" w:rsidRPr="00006BE9">
        <w:rPr>
          <w:color w:val="000000"/>
        </w:rPr>
        <w:t xml:space="preserve"> </w:t>
      </w:r>
    </w:p>
    <w:p w:rsidR="0005352A" w:rsidRPr="00006BE9" w:rsidRDefault="0005352A" w:rsidP="0005352A">
      <w:pPr>
        <w:pStyle w:val="BodyText"/>
        <w:rPr>
          <w:color w:val="000000"/>
        </w:rPr>
      </w:pPr>
      <w:r w:rsidRPr="00006BE9">
        <w:rPr>
          <w:color w:val="000000"/>
        </w:rPr>
        <w:t xml:space="preserve">The nature of </w:t>
      </w:r>
      <w:r w:rsidR="003A1A50" w:rsidRPr="00006BE9">
        <w:rPr>
          <w:color w:val="000000"/>
        </w:rPr>
        <w:t xml:space="preserve">AusAID’s </w:t>
      </w:r>
      <w:r w:rsidRPr="00006BE9">
        <w:rPr>
          <w:color w:val="000000"/>
        </w:rPr>
        <w:t xml:space="preserve">support for infrastructure </w:t>
      </w:r>
      <w:r w:rsidR="00CD1A22" w:rsidRPr="00006BE9">
        <w:rPr>
          <w:color w:val="000000"/>
        </w:rPr>
        <w:t xml:space="preserve">is different </w:t>
      </w:r>
      <w:r w:rsidRPr="00006BE9">
        <w:rPr>
          <w:color w:val="000000"/>
        </w:rPr>
        <w:t xml:space="preserve">in East Asia </w:t>
      </w:r>
      <w:r w:rsidR="00CD1A22" w:rsidRPr="00006BE9">
        <w:rPr>
          <w:color w:val="000000"/>
        </w:rPr>
        <w:t xml:space="preserve">from what it is </w:t>
      </w:r>
      <w:r w:rsidRPr="00006BE9">
        <w:rPr>
          <w:color w:val="000000"/>
        </w:rPr>
        <w:t xml:space="preserve">in the Pacific, </w:t>
      </w:r>
      <w:r w:rsidR="006449DC" w:rsidRPr="00006BE9">
        <w:rPr>
          <w:color w:val="000000"/>
        </w:rPr>
        <w:t xml:space="preserve">East </w:t>
      </w:r>
      <w:r w:rsidRPr="00006BE9">
        <w:rPr>
          <w:color w:val="000000"/>
        </w:rPr>
        <w:t xml:space="preserve">Timor and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w:t>
      </w:r>
      <w:r w:rsidR="00F21DB8" w:rsidRPr="00006BE9">
        <w:rPr>
          <w:color w:val="000000"/>
        </w:rPr>
        <w:t xml:space="preserve"> </w:t>
      </w:r>
      <w:r w:rsidRPr="00006BE9">
        <w:rPr>
          <w:color w:val="000000"/>
        </w:rPr>
        <w:t xml:space="preserve">In </w:t>
      </w:r>
      <w:smartTag w:uri="urn:schemas-microsoft-com:office:smarttags" w:element="place">
        <w:r w:rsidRPr="00006BE9">
          <w:rPr>
            <w:color w:val="000000"/>
          </w:rPr>
          <w:t>East Asia</w:t>
        </w:r>
      </w:smartTag>
      <w:r w:rsidRPr="00006BE9">
        <w:rPr>
          <w:color w:val="000000"/>
        </w:rPr>
        <w:t>, AusAID’s contribution is a relatively small but important part of much larger programs</w:t>
      </w:r>
      <w:r w:rsidR="006449DC" w:rsidRPr="00006BE9">
        <w:rPr>
          <w:color w:val="000000"/>
        </w:rPr>
        <w:t xml:space="preserve"> of official development assistance</w:t>
      </w:r>
      <w:r w:rsidRPr="00006BE9">
        <w:rPr>
          <w:color w:val="000000"/>
        </w:rPr>
        <w:t>, the higher level objectives of which are to alleviate poverty and promote sustainable growth.</w:t>
      </w:r>
      <w:r w:rsidR="00F21DB8" w:rsidRPr="00006BE9">
        <w:rPr>
          <w:color w:val="000000"/>
        </w:rPr>
        <w:t xml:space="preserve"> </w:t>
      </w:r>
      <w:r w:rsidRPr="00006BE9">
        <w:rPr>
          <w:color w:val="000000"/>
        </w:rPr>
        <w:t xml:space="preserve">In the Pacific, </w:t>
      </w:r>
      <w:smartTag w:uri="urn:schemas-microsoft-com:office:smarttags" w:element="place">
        <w:r w:rsidR="006449DC" w:rsidRPr="00006BE9">
          <w:rPr>
            <w:color w:val="000000"/>
          </w:rPr>
          <w:t xml:space="preserve">East </w:t>
        </w:r>
        <w:r w:rsidRPr="00006BE9">
          <w:rPr>
            <w:color w:val="000000"/>
          </w:rPr>
          <w:t>Timor</w:t>
        </w:r>
      </w:smartTag>
      <w:r w:rsidRPr="00006BE9">
        <w:rPr>
          <w:color w:val="000000"/>
        </w:rPr>
        <w:t xml:space="preserve"> and </w:t>
      </w:r>
      <w:r w:rsidR="006449DC" w:rsidRPr="00006BE9">
        <w:rPr>
          <w:color w:val="000000"/>
        </w:rPr>
        <w:t>Papua New Guinea</w:t>
      </w:r>
      <w:r w:rsidRPr="00006BE9">
        <w:rPr>
          <w:color w:val="000000"/>
        </w:rPr>
        <w:t xml:space="preserve"> Australia’s development assistance represents a much larger proportion of total </w:t>
      </w:r>
      <w:r w:rsidR="006449DC" w:rsidRPr="00006BE9">
        <w:rPr>
          <w:color w:val="000000"/>
        </w:rPr>
        <w:t>official development assistance</w:t>
      </w:r>
      <w:r w:rsidRPr="00006BE9">
        <w:rPr>
          <w:color w:val="000000"/>
        </w:rPr>
        <w:t>.</w:t>
      </w:r>
      <w:r w:rsidR="00F21DB8" w:rsidRPr="00006BE9">
        <w:rPr>
          <w:color w:val="000000"/>
        </w:rPr>
        <w:t xml:space="preserve"> </w:t>
      </w:r>
      <w:r w:rsidRPr="00006BE9">
        <w:rPr>
          <w:color w:val="000000"/>
        </w:rPr>
        <w:t xml:space="preserve">In many of these countries the priority focus of </w:t>
      </w:r>
      <w:r w:rsidR="00CD1A22" w:rsidRPr="00006BE9">
        <w:rPr>
          <w:color w:val="000000"/>
        </w:rPr>
        <w:t xml:space="preserve">Australian </w:t>
      </w:r>
      <w:r w:rsidRPr="00006BE9">
        <w:rPr>
          <w:color w:val="000000"/>
        </w:rPr>
        <w:t xml:space="preserve">support is to underpin state security and functionality as fundamental preconditions to tackling poverty and promoting sustainable </w:t>
      </w:r>
      <w:r w:rsidR="003F3987" w:rsidRPr="00006BE9">
        <w:rPr>
          <w:color w:val="000000"/>
        </w:rPr>
        <w:t xml:space="preserve">economic </w:t>
      </w:r>
      <w:r w:rsidRPr="00006BE9">
        <w:rPr>
          <w:color w:val="000000"/>
        </w:rPr>
        <w:t>growth.</w:t>
      </w:r>
    </w:p>
    <w:p w:rsidR="0005352A" w:rsidRPr="00006BE9" w:rsidRDefault="0005352A" w:rsidP="0005352A">
      <w:pPr>
        <w:pStyle w:val="Heading2unnumbered"/>
        <w:tabs>
          <w:tab w:val="clear" w:pos="709"/>
        </w:tabs>
        <w:rPr>
          <w:color w:val="000000"/>
        </w:rPr>
      </w:pPr>
      <w:bookmarkStart w:id="14" w:name="_Toc217894549"/>
      <w:r w:rsidRPr="00006BE9">
        <w:rPr>
          <w:color w:val="000000"/>
        </w:rPr>
        <w:t>Policy</w:t>
      </w:r>
      <w:bookmarkEnd w:id="14"/>
    </w:p>
    <w:p w:rsidR="0005352A" w:rsidRPr="00006BE9" w:rsidRDefault="0005352A" w:rsidP="0005352A">
      <w:pPr>
        <w:pStyle w:val="BodyText"/>
        <w:rPr>
          <w:color w:val="000000"/>
          <w:spacing w:val="-1"/>
        </w:rPr>
      </w:pPr>
      <w:r w:rsidRPr="00006BE9">
        <w:rPr>
          <w:color w:val="000000"/>
          <w:spacing w:val="-1"/>
        </w:rPr>
        <w:t xml:space="preserve">The policy framework for </w:t>
      </w:r>
      <w:smartTag w:uri="urn:schemas-microsoft-com:office:smarttags" w:element="country-region">
        <w:smartTag w:uri="urn:schemas-microsoft-com:office:smarttags" w:element="place">
          <w:r w:rsidRPr="00006BE9">
            <w:rPr>
              <w:color w:val="000000"/>
              <w:spacing w:val="-1"/>
            </w:rPr>
            <w:t>Australia</w:t>
          </w:r>
        </w:smartTag>
      </w:smartTag>
      <w:r w:rsidRPr="00006BE9">
        <w:rPr>
          <w:color w:val="000000"/>
          <w:spacing w:val="-1"/>
        </w:rPr>
        <w:t>’s infrastructure assistance was implicit in the previous government’s 200</w:t>
      </w:r>
      <w:r w:rsidR="003F3987" w:rsidRPr="00006BE9">
        <w:rPr>
          <w:color w:val="000000"/>
          <w:spacing w:val="-1"/>
        </w:rPr>
        <w:t>6</w:t>
      </w:r>
      <w:r w:rsidRPr="00006BE9">
        <w:rPr>
          <w:color w:val="000000"/>
          <w:spacing w:val="-1"/>
        </w:rPr>
        <w:t xml:space="preserve"> </w:t>
      </w:r>
      <w:r w:rsidR="004341AB" w:rsidRPr="00006BE9">
        <w:rPr>
          <w:color w:val="000000"/>
          <w:spacing w:val="-1"/>
        </w:rPr>
        <w:t>white paper</w:t>
      </w:r>
      <w:r w:rsidR="00334F39" w:rsidRPr="00006BE9">
        <w:rPr>
          <w:rStyle w:val="FootnoteReference"/>
          <w:color w:val="000000"/>
          <w:spacing w:val="-1"/>
        </w:rPr>
        <w:footnoteReference w:id="4"/>
      </w:r>
      <w:r w:rsidR="004341AB" w:rsidRPr="00006BE9">
        <w:rPr>
          <w:color w:val="000000"/>
          <w:spacing w:val="-1"/>
        </w:rPr>
        <w:t xml:space="preserve"> </w:t>
      </w:r>
      <w:r w:rsidR="00334F39" w:rsidRPr="00006BE9">
        <w:rPr>
          <w:color w:val="000000"/>
          <w:spacing w:val="-1"/>
        </w:rPr>
        <w:t xml:space="preserve">on Australian aid </w:t>
      </w:r>
      <w:r w:rsidRPr="00006BE9">
        <w:rPr>
          <w:color w:val="000000"/>
          <w:spacing w:val="-1"/>
        </w:rPr>
        <w:t xml:space="preserve">and in the presentation of the Infrastructure for Growth Initiative </w:t>
      </w:r>
      <w:r w:rsidR="005F3C45" w:rsidRPr="00006BE9">
        <w:rPr>
          <w:color w:val="000000"/>
          <w:spacing w:val="-1"/>
        </w:rPr>
        <w:t>in the 2007–</w:t>
      </w:r>
      <w:r w:rsidRPr="00006BE9">
        <w:rPr>
          <w:color w:val="000000"/>
          <w:spacing w:val="-1"/>
        </w:rPr>
        <w:t>08 budget documentation.</w:t>
      </w:r>
      <w:r w:rsidR="00F21DB8" w:rsidRPr="00006BE9">
        <w:rPr>
          <w:color w:val="000000"/>
          <w:spacing w:val="-1"/>
        </w:rPr>
        <w:t xml:space="preserve"> </w:t>
      </w:r>
      <w:r w:rsidR="00334F39" w:rsidRPr="00006BE9">
        <w:rPr>
          <w:color w:val="000000"/>
          <w:spacing w:val="-1"/>
        </w:rPr>
        <w:t>The white paper</w:t>
      </w:r>
      <w:r w:rsidRPr="00006BE9">
        <w:rPr>
          <w:color w:val="000000"/>
          <w:spacing w:val="-1"/>
        </w:rPr>
        <w:t xml:space="preserve"> noted the scale of the infrastructure challenge: </w:t>
      </w:r>
      <w:r w:rsidR="00F21DB8" w:rsidRPr="00006BE9">
        <w:rPr>
          <w:color w:val="000000"/>
          <w:spacing w:val="-1"/>
        </w:rPr>
        <w:t>‘</w:t>
      </w:r>
      <w:r w:rsidRPr="00006BE9">
        <w:rPr>
          <w:color w:val="000000"/>
          <w:spacing w:val="-1"/>
        </w:rPr>
        <w:t>an estimated $270 billion is required each year over the next five years to overcome critical infrastructure bottlenecks to growth in the Asia-Pacific region</w:t>
      </w:r>
      <w:r w:rsidR="00334F39" w:rsidRPr="00006BE9">
        <w:rPr>
          <w:color w:val="000000"/>
          <w:spacing w:val="-1"/>
        </w:rPr>
        <w:t>’</w:t>
      </w:r>
      <w:r w:rsidRPr="00006BE9">
        <w:rPr>
          <w:color w:val="000000"/>
          <w:spacing w:val="-1"/>
        </w:rPr>
        <w:t xml:space="preserve">, and concluded that </w:t>
      </w:r>
      <w:r w:rsidR="00F21DB8" w:rsidRPr="00006BE9">
        <w:rPr>
          <w:color w:val="000000"/>
          <w:spacing w:val="-1"/>
        </w:rPr>
        <w:t>‘</w:t>
      </w:r>
      <w:r w:rsidRPr="00006BE9">
        <w:rPr>
          <w:color w:val="000000"/>
          <w:spacing w:val="-1"/>
        </w:rPr>
        <w:t>infrastructure development is thus critical for reducing poverty and making progress towards the Millennium Development Goals</w:t>
      </w:r>
      <w:r w:rsidR="00334F39" w:rsidRPr="00006BE9">
        <w:rPr>
          <w:color w:val="000000"/>
          <w:spacing w:val="-1"/>
        </w:rPr>
        <w:t>’</w:t>
      </w:r>
      <w:r w:rsidRPr="00006BE9">
        <w:rPr>
          <w:color w:val="000000"/>
          <w:spacing w:val="-1"/>
        </w:rPr>
        <w:t>.</w:t>
      </w:r>
      <w:r w:rsidR="00F21DB8" w:rsidRPr="00006BE9">
        <w:rPr>
          <w:color w:val="000000"/>
          <w:spacing w:val="-1"/>
        </w:rPr>
        <w:t xml:space="preserve"> </w:t>
      </w:r>
      <w:r w:rsidR="00334F39" w:rsidRPr="00006BE9">
        <w:rPr>
          <w:color w:val="000000"/>
          <w:spacing w:val="-1"/>
        </w:rPr>
        <w:t>Other k</w:t>
      </w:r>
      <w:r w:rsidRPr="00006BE9">
        <w:rPr>
          <w:color w:val="000000"/>
          <w:spacing w:val="-1"/>
        </w:rPr>
        <w:t>ey points follow</w:t>
      </w:r>
      <w:r w:rsidR="00334F39" w:rsidRPr="00006BE9">
        <w:rPr>
          <w:color w:val="000000"/>
          <w:spacing w:val="-1"/>
        </w:rPr>
        <w:t>.</w:t>
      </w:r>
    </w:p>
    <w:p w:rsidR="0005352A" w:rsidRPr="00006BE9" w:rsidRDefault="0005352A" w:rsidP="0005352A">
      <w:pPr>
        <w:pStyle w:val="ListBullet"/>
        <w:rPr>
          <w:color w:val="000000"/>
        </w:rPr>
      </w:pPr>
      <w:r w:rsidRPr="00006BE9">
        <w:rPr>
          <w:bCs/>
          <w:color w:val="000000"/>
        </w:rPr>
        <w:t xml:space="preserve">Infrastructure </w:t>
      </w:r>
      <w:r w:rsidR="00334F39" w:rsidRPr="00006BE9">
        <w:rPr>
          <w:color w:val="000000"/>
        </w:rPr>
        <w:t xml:space="preserve">is </w:t>
      </w:r>
      <w:r w:rsidRPr="00006BE9">
        <w:rPr>
          <w:color w:val="000000"/>
        </w:rPr>
        <w:t xml:space="preserve">critical for supporting stable development, economic growth and poverty reduction, including in areas of partner countries where unemployment is high and where </w:t>
      </w:r>
      <w:r w:rsidRPr="00006BE9">
        <w:rPr>
          <w:color w:val="000000"/>
        </w:rPr>
        <w:lastRenderedPageBreak/>
        <w:t xml:space="preserve">development indicators are lagging (such as the southern </w:t>
      </w:r>
      <w:smartTag w:uri="urn:schemas-microsoft-com:office:smarttags" w:element="country-region">
        <w:r w:rsidRPr="00006BE9">
          <w:rPr>
            <w:color w:val="000000"/>
          </w:rPr>
          <w:t>Philippines</w:t>
        </w:r>
      </w:smartTag>
      <w:r w:rsidRPr="00006BE9">
        <w:rPr>
          <w:color w:val="000000"/>
        </w:rPr>
        <w:t xml:space="preserve">, eastern </w:t>
      </w:r>
      <w:smartTag w:uri="urn:schemas-microsoft-com:office:smarttags" w:element="country-region">
        <w:smartTag w:uri="urn:schemas-microsoft-com:office:smarttags" w:element="place">
          <w:r w:rsidRPr="00006BE9">
            <w:rPr>
              <w:color w:val="000000"/>
            </w:rPr>
            <w:t>Indonesia</w:t>
          </w:r>
        </w:smartTag>
      </w:smartTag>
      <w:r w:rsidRPr="00006BE9">
        <w:rPr>
          <w:color w:val="000000"/>
        </w:rPr>
        <w:t xml:space="preserve"> and the Pacific).</w:t>
      </w:r>
    </w:p>
    <w:p w:rsidR="0005352A" w:rsidRPr="00006BE9" w:rsidRDefault="0019702B" w:rsidP="0005352A">
      <w:pPr>
        <w:pStyle w:val="ListBullet"/>
        <w:rPr>
          <w:color w:val="000000"/>
        </w:rPr>
      </w:pPr>
      <w:r w:rsidRPr="00006BE9">
        <w:rPr>
          <w:color w:val="000000"/>
        </w:rPr>
        <w:t xml:space="preserve">Throughout the Asia-Pacific region poor </w:t>
      </w:r>
      <w:r w:rsidR="0005352A" w:rsidRPr="00006BE9">
        <w:rPr>
          <w:color w:val="000000"/>
        </w:rPr>
        <w:t xml:space="preserve">infrastructure </w:t>
      </w:r>
      <w:r w:rsidR="00334F39" w:rsidRPr="00006BE9">
        <w:rPr>
          <w:color w:val="000000"/>
        </w:rPr>
        <w:t xml:space="preserve">is </w:t>
      </w:r>
      <w:r w:rsidR="0005352A" w:rsidRPr="00006BE9">
        <w:rPr>
          <w:color w:val="000000"/>
        </w:rPr>
        <w:t xml:space="preserve">perhaps the most binding constraint to </w:t>
      </w:r>
      <w:r w:rsidR="00334F39" w:rsidRPr="00006BE9">
        <w:rPr>
          <w:color w:val="000000"/>
        </w:rPr>
        <w:t xml:space="preserve">economic growth led by the </w:t>
      </w:r>
      <w:r w:rsidR="0005352A" w:rsidRPr="00006BE9">
        <w:rPr>
          <w:color w:val="000000"/>
        </w:rPr>
        <w:t xml:space="preserve">private sector. </w:t>
      </w:r>
    </w:p>
    <w:p w:rsidR="0005352A" w:rsidRPr="00006BE9" w:rsidRDefault="0005352A" w:rsidP="000016BE">
      <w:pPr>
        <w:pStyle w:val="ListBullet2"/>
        <w:numPr>
          <w:ilvl w:val="0"/>
          <w:numId w:val="5"/>
        </w:numPr>
        <w:rPr>
          <w:color w:val="000000"/>
        </w:rPr>
      </w:pPr>
      <w:r w:rsidRPr="00006BE9">
        <w:rPr>
          <w:color w:val="000000"/>
        </w:rPr>
        <w:t xml:space="preserve">In </w:t>
      </w:r>
      <w:smartTag w:uri="urn:schemas-microsoft-com:office:smarttags" w:element="place">
        <w:r w:rsidRPr="00006BE9">
          <w:rPr>
            <w:color w:val="000000"/>
          </w:rPr>
          <w:t>East Asia</w:t>
        </w:r>
      </w:smartTag>
      <w:r w:rsidRPr="00006BE9">
        <w:rPr>
          <w:color w:val="000000"/>
        </w:rPr>
        <w:t xml:space="preserve">, rapid population growth and urbanisation threaten to exacerbate infrastructure bottlenecks. </w:t>
      </w:r>
    </w:p>
    <w:p w:rsidR="0005352A" w:rsidRPr="00006BE9" w:rsidRDefault="0005352A" w:rsidP="000016BE">
      <w:pPr>
        <w:pStyle w:val="ListBullet2"/>
        <w:numPr>
          <w:ilvl w:val="0"/>
          <w:numId w:val="5"/>
        </w:numPr>
        <w:rPr>
          <w:color w:val="000000"/>
        </w:rPr>
      </w:pPr>
      <w:r w:rsidRPr="00006BE9">
        <w:rPr>
          <w:color w:val="000000"/>
        </w:rPr>
        <w:t xml:space="preserve">In the Pacific, emphasis </w:t>
      </w:r>
      <w:r w:rsidR="0019702B" w:rsidRPr="00006BE9">
        <w:rPr>
          <w:color w:val="000000"/>
        </w:rPr>
        <w:t xml:space="preserve">is </w:t>
      </w:r>
      <w:r w:rsidRPr="00006BE9">
        <w:rPr>
          <w:color w:val="000000"/>
        </w:rPr>
        <w:t>needed on equitable access to social infrastructure in remote, rural environments where 80</w:t>
      </w:r>
      <w:r w:rsidR="0019702B" w:rsidRPr="00006BE9">
        <w:rPr>
          <w:color w:val="000000"/>
        </w:rPr>
        <w:t> </w:t>
      </w:r>
      <w:r w:rsidRPr="00006BE9">
        <w:rPr>
          <w:color w:val="000000"/>
        </w:rPr>
        <w:t>per cent of the population live</w:t>
      </w:r>
      <w:r w:rsidR="003F3987" w:rsidRPr="00006BE9">
        <w:rPr>
          <w:color w:val="000000"/>
        </w:rPr>
        <w:t>s</w:t>
      </w:r>
      <w:r w:rsidRPr="00006BE9">
        <w:rPr>
          <w:color w:val="000000"/>
        </w:rPr>
        <w:t xml:space="preserve"> mostly without adequate electricity and roads</w:t>
      </w:r>
      <w:r w:rsidR="006449DC" w:rsidRPr="00006BE9">
        <w:rPr>
          <w:color w:val="000000"/>
        </w:rPr>
        <w:t>.</w:t>
      </w:r>
    </w:p>
    <w:p w:rsidR="0005352A" w:rsidRPr="00006BE9" w:rsidRDefault="0005352A" w:rsidP="0005352A">
      <w:pPr>
        <w:pStyle w:val="ListBullet"/>
        <w:rPr>
          <w:color w:val="000000"/>
        </w:rPr>
      </w:pPr>
      <w:r w:rsidRPr="00006BE9">
        <w:rPr>
          <w:color w:val="000000"/>
        </w:rPr>
        <w:t xml:space="preserve">Infrastructure had been a declining sector for the aid program but the post-tsunami engagement in </w:t>
      </w:r>
      <w:smartTag w:uri="urn:schemas-microsoft-com:office:smarttags" w:element="country-region">
        <w:smartTag w:uri="urn:schemas-microsoft-com:office:smarttags" w:element="place">
          <w:r w:rsidRPr="00006BE9">
            <w:rPr>
              <w:color w:val="000000"/>
            </w:rPr>
            <w:t>Indonesia</w:t>
          </w:r>
        </w:smartTag>
      </w:smartTag>
      <w:r w:rsidRPr="00006BE9">
        <w:rPr>
          <w:color w:val="000000"/>
        </w:rPr>
        <w:t xml:space="preserve"> in 2006 (with </w:t>
      </w:r>
      <w:r w:rsidR="003F3987" w:rsidRPr="00006BE9">
        <w:rPr>
          <w:color w:val="000000"/>
        </w:rPr>
        <w:t>‘</w:t>
      </w:r>
      <w:r w:rsidRPr="00006BE9">
        <w:rPr>
          <w:color w:val="000000"/>
        </w:rPr>
        <w:t>soft lending</w:t>
      </w:r>
      <w:r w:rsidR="003F3987" w:rsidRPr="00006BE9">
        <w:rPr>
          <w:color w:val="000000"/>
        </w:rPr>
        <w:t>’</w:t>
      </w:r>
      <w:r w:rsidRPr="00006BE9">
        <w:rPr>
          <w:color w:val="000000"/>
        </w:rPr>
        <w:t xml:space="preserve"> for roads) marked a turning point</w:t>
      </w:r>
      <w:r w:rsidR="003F3987" w:rsidRPr="00006BE9">
        <w:rPr>
          <w:color w:val="000000"/>
        </w:rPr>
        <w:t>;</w:t>
      </w:r>
      <w:r w:rsidRPr="00006BE9">
        <w:rPr>
          <w:color w:val="000000"/>
        </w:rPr>
        <w:t xml:space="preserve"> infrastructure </w:t>
      </w:r>
      <w:r w:rsidR="0019702B" w:rsidRPr="00006BE9">
        <w:rPr>
          <w:color w:val="000000"/>
        </w:rPr>
        <w:t xml:space="preserve">will </w:t>
      </w:r>
      <w:r w:rsidRPr="00006BE9">
        <w:rPr>
          <w:color w:val="000000"/>
        </w:rPr>
        <w:t>be a major focus for Australian aid in the coming decade.</w:t>
      </w:r>
    </w:p>
    <w:p w:rsidR="0005352A" w:rsidRPr="00006BE9" w:rsidRDefault="0005352A" w:rsidP="0005352A">
      <w:pPr>
        <w:pStyle w:val="ListBullet"/>
        <w:rPr>
          <w:color w:val="000000"/>
        </w:rPr>
      </w:pPr>
      <w:r w:rsidRPr="00006BE9">
        <w:rPr>
          <w:color w:val="000000"/>
        </w:rPr>
        <w:t>For many countries where the binding constraint to infrastructure development was a poor investment environment, Australian expertise could help get the policies right, reduce corruption and encourage public</w:t>
      </w:r>
      <w:r w:rsidR="003F3987" w:rsidRPr="00006BE9">
        <w:rPr>
          <w:color w:val="000000"/>
        </w:rPr>
        <w:t>–</w:t>
      </w:r>
      <w:r w:rsidRPr="00006BE9">
        <w:rPr>
          <w:color w:val="000000"/>
        </w:rPr>
        <w:t>private partnerships.</w:t>
      </w:r>
    </w:p>
    <w:p w:rsidR="0005352A" w:rsidRPr="00006BE9" w:rsidRDefault="0005352A" w:rsidP="0005352A">
      <w:pPr>
        <w:pStyle w:val="ListBullet"/>
        <w:rPr>
          <w:color w:val="000000"/>
        </w:rPr>
      </w:pPr>
      <w:smartTag w:uri="urn:schemas-microsoft-com:office:smarttags" w:element="country-region">
        <w:smartTag w:uri="urn:schemas-microsoft-com:office:smarttags" w:element="place">
          <w:r w:rsidRPr="00006BE9">
            <w:rPr>
              <w:color w:val="000000"/>
            </w:rPr>
            <w:t>Australia</w:t>
          </w:r>
        </w:smartTag>
      </w:smartTag>
      <w:r w:rsidRPr="00006BE9">
        <w:rPr>
          <w:color w:val="000000"/>
        </w:rPr>
        <w:t xml:space="preserve"> could finance projects that offer significant development impacts.</w:t>
      </w:r>
      <w:r w:rsidR="00F21DB8" w:rsidRPr="00006BE9">
        <w:rPr>
          <w:color w:val="000000"/>
        </w:rPr>
        <w:t xml:space="preserve"> </w:t>
      </w:r>
    </w:p>
    <w:p w:rsidR="0005352A" w:rsidRPr="00006BE9" w:rsidRDefault="003F3987" w:rsidP="0005352A">
      <w:pPr>
        <w:pStyle w:val="BodyText"/>
        <w:rPr>
          <w:color w:val="000000"/>
        </w:rPr>
      </w:pPr>
      <w:r w:rsidRPr="00006BE9">
        <w:rPr>
          <w:color w:val="000000"/>
        </w:rPr>
        <w:t>T</w:t>
      </w:r>
      <w:r w:rsidR="0005352A" w:rsidRPr="00006BE9">
        <w:rPr>
          <w:color w:val="000000"/>
        </w:rPr>
        <w:t>he infrastructure policy framework is in the process of being updated</w:t>
      </w:r>
      <w:r w:rsidRPr="00006BE9">
        <w:rPr>
          <w:color w:val="000000"/>
        </w:rPr>
        <w:t xml:space="preserve"> to reflect the current government’s greater emphasis on supporting poverty alleviation by helping partner countries achieve the Millennium Development Goals (MDGs)</w:t>
      </w:r>
      <w:r w:rsidR="0005352A" w:rsidRPr="00006BE9">
        <w:rPr>
          <w:color w:val="000000"/>
        </w:rPr>
        <w:t>.</w:t>
      </w:r>
      <w:r w:rsidR="00F21DB8" w:rsidRPr="00006BE9">
        <w:rPr>
          <w:color w:val="000000"/>
        </w:rPr>
        <w:t xml:space="preserve"> </w:t>
      </w:r>
      <w:r w:rsidR="0005352A" w:rsidRPr="00006BE9">
        <w:rPr>
          <w:color w:val="000000"/>
        </w:rPr>
        <w:t xml:space="preserve">This will put greater emphasis </w:t>
      </w:r>
      <w:r w:rsidR="003642E2" w:rsidRPr="00006BE9">
        <w:rPr>
          <w:color w:val="000000"/>
        </w:rPr>
        <w:t>o</w:t>
      </w:r>
      <w:r w:rsidR="0005352A" w:rsidRPr="00006BE9">
        <w:rPr>
          <w:color w:val="000000"/>
        </w:rPr>
        <w:t>n supporting equitable access to infrastructure services by supporting expanded coverage to the poor in rural and urban areas.</w:t>
      </w:r>
      <w:r w:rsidR="00F21DB8" w:rsidRPr="00006BE9">
        <w:rPr>
          <w:color w:val="000000"/>
        </w:rPr>
        <w:t xml:space="preserve"> </w:t>
      </w:r>
      <w:r w:rsidR="0005352A" w:rsidRPr="00006BE9">
        <w:rPr>
          <w:color w:val="000000"/>
        </w:rPr>
        <w:t xml:space="preserve">More effort will be put into helping partner countries sustain infrastructure services, including in the case of some Pacific countries </w:t>
      </w:r>
      <w:r w:rsidR="003642E2" w:rsidRPr="00006BE9">
        <w:rPr>
          <w:color w:val="000000"/>
        </w:rPr>
        <w:t xml:space="preserve">providing </w:t>
      </w:r>
      <w:r w:rsidR="0005352A" w:rsidRPr="00006BE9">
        <w:rPr>
          <w:color w:val="000000"/>
        </w:rPr>
        <w:t>support</w:t>
      </w:r>
      <w:r w:rsidR="003642E2" w:rsidRPr="00006BE9">
        <w:rPr>
          <w:color w:val="000000"/>
        </w:rPr>
        <w:t xml:space="preserve"> for</w:t>
      </w:r>
      <w:r w:rsidR="0005352A" w:rsidRPr="00006BE9">
        <w:rPr>
          <w:color w:val="000000"/>
        </w:rPr>
        <w:t xml:space="preserve"> operation and maintenance costs.</w:t>
      </w:r>
    </w:p>
    <w:p w:rsidR="0005352A" w:rsidRPr="00006BE9" w:rsidRDefault="0005352A" w:rsidP="0005352A">
      <w:pPr>
        <w:pStyle w:val="BodyText"/>
        <w:rPr>
          <w:color w:val="000000"/>
        </w:rPr>
      </w:pPr>
      <w:r w:rsidRPr="00006BE9">
        <w:rPr>
          <w:color w:val="000000"/>
        </w:rPr>
        <w:t xml:space="preserve">As noted in </w:t>
      </w:r>
      <w:r w:rsidR="00B061C3" w:rsidRPr="00006BE9">
        <w:rPr>
          <w:color w:val="000000"/>
        </w:rPr>
        <w:t>the ‘Introduction’</w:t>
      </w:r>
      <w:r w:rsidR="003F3987" w:rsidRPr="00006BE9">
        <w:rPr>
          <w:color w:val="000000"/>
        </w:rPr>
        <w:t>,</w:t>
      </w:r>
      <w:r w:rsidR="00B061C3" w:rsidRPr="00006BE9">
        <w:rPr>
          <w:color w:val="000000"/>
        </w:rPr>
        <w:t xml:space="preserve"> </w:t>
      </w:r>
      <w:r w:rsidR="003642E2" w:rsidRPr="00006BE9">
        <w:rPr>
          <w:color w:val="000000"/>
        </w:rPr>
        <w:t xml:space="preserve">AusAID </w:t>
      </w:r>
      <w:r w:rsidRPr="00006BE9">
        <w:rPr>
          <w:color w:val="000000"/>
        </w:rPr>
        <w:t>will also partner multilateral organisations to a much greater extent than in the past.</w:t>
      </w:r>
      <w:r w:rsidR="00F21DB8" w:rsidRPr="00006BE9">
        <w:rPr>
          <w:color w:val="000000"/>
        </w:rPr>
        <w:t xml:space="preserve"> </w:t>
      </w:r>
      <w:r w:rsidRPr="00006BE9">
        <w:rPr>
          <w:color w:val="000000"/>
        </w:rPr>
        <w:t xml:space="preserve">In the Pacific </w:t>
      </w:r>
      <w:r w:rsidR="003642E2" w:rsidRPr="00006BE9">
        <w:rPr>
          <w:color w:val="000000"/>
        </w:rPr>
        <w:t xml:space="preserve">AusAID </w:t>
      </w:r>
      <w:r w:rsidRPr="00006BE9">
        <w:rPr>
          <w:color w:val="000000"/>
        </w:rPr>
        <w:t>will be one of the four founding partners</w:t>
      </w:r>
      <w:r w:rsidRPr="00006BE9">
        <w:rPr>
          <w:rStyle w:val="FootnoteReference"/>
          <w:color w:val="000000"/>
        </w:rPr>
        <w:footnoteReference w:id="5"/>
      </w:r>
      <w:r w:rsidRPr="00006BE9">
        <w:rPr>
          <w:color w:val="000000"/>
        </w:rPr>
        <w:t xml:space="preserve"> of the </w:t>
      </w:r>
      <w:r w:rsidR="003A664B" w:rsidRPr="00006BE9">
        <w:rPr>
          <w:color w:val="000000"/>
        </w:rPr>
        <w:t>Pacific Region Infrastructure Facility</w:t>
      </w:r>
      <w:r w:rsidRPr="00006BE9">
        <w:rPr>
          <w:color w:val="000000"/>
        </w:rPr>
        <w:t xml:space="preserve"> and will play a very active role in managing the facility.</w:t>
      </w:r>
      <w:r w:rsidR="00F21DB8" w:rsidRPr="00006BE9">
        <w:rPr>
          <w:color w:val="000000"/>
        </w:rPr>
        <w:t xml:space="preserve"> </w:t>
      </w:r>
      <w:r w:rsidRPr="00006BE9">
        <w:rPr>
          <w:color w:val="000000"/>
        </w:rPr>
        <w:t xml:space="preserve">Elsewhere </w:t>
      </w:r>
      <w:r w:rsidR="003642E2" w:rsidRPr="00006BE9">
        <w:rPr>
          <w:color w:val="000000"/>
        </w:rPr>
        <w:t xml:space="preserve">the agency </w:t>
      </w:r>
      <w:r w:rsidRPr="00006BE9">
        <w:rPr>
          <w:color w:val="000000"/>
        </w:rPr>
        <w:t xml:space="preserve">will contribute to activities led by multilateral organisations, </w:t>
      </w:r>
      <w:r w:rsidR="003642E2" w:rsidRPr="00006BE9">
        <w:rPr>
          <w:color w:val="000000"/>
        </w:rPr>
        <w:t>the degree of its involvement</w:t>
      </w:r>
      <w:r w:rsidRPr="00006BE9">
        <w:rPr>
          <w:color w:val="000000"/>
        </w:rPr>
        <w:t xml:space="preserve"> depending on the extent of contributions </w:t>
      </w:r>
      <w:r w:rsidR="003642E2" w:rsidRPr="00006BE9">
        <w:rPr>
          <w:color w:val="000000"/>
        </w:rPr>
        <w:t xml:space="preserve">made </w:t>
      </w:r>
      <w:r w:rsidRPr="00006BE9">
        <w:rPr>
          <w:color w:val="000000"/>
        </w:rPr>
        <w:t>and the nature of the activities.</w:t>
      </w:r>
      <w:r w:rsidR="00F21DB8" w:rsidRPr="00006BE9">
        <w:rPr>
          <w:color w:val="000000"/>
        </w:rPr>
        <w:t xml:space="preserve"> </w:t>
      </w:r>
      <w:r w:rsidRPr="00006BE9">
        <w:rPr>
          <w:color w:val="000000"/>
        </w:rPr>
        <w:t xml:space="preserve">AusAID’s grant funds complement the development banks’ credits and loans </w:t>
      </w:r>
      <w:r w:rsidR="006640A2" w:rsidRPr="00006BE9">
        <w:rPr>
          <w:color w:val="000000"/>
        </w:rPr>
        <w:t xml:space="preserve">very effectively </w:t>
      </w:r>
      <w:r w:rsidRPr="00006BE9">
        <w:rPr>
          <w:color w:val="000000"/>
        </w:rPr>
        <w:t>by ensuring activities for which counterpart governments are reluctant to borrow, such as capacity building, monitoring and evaluation</w:t>
      </w:r>
      <w:r w:rsidR="003F3987" w:rsidRPr="00006BE9">
        <w:rPr>
          <w:color w:val="000000"/>
        </w:rPr>
        <w:t>,</w:t>
      </w:r>
      <w:r w:rsidRPr="00006BE9">
        <w:rPr>
          <w:color w:val="000000"/>
        </w:rPr>
        <w:t xml:space="preserve"> and addressing HIV/AID</w:t>
      </w:r>
      <w:r w:rsidR="006449DC" w:rsidRPr="00006BE9">
        <w:rPr>
          <w:color w:val="000000"/>
        </w:rPr>
        <w:t>S</w:t>
      </w:r>
      <w:r w:rsidRPr="00006BE9">
        <w:rPr>
          <w:color w:val="000000"/>
        </w:rPr>
        <w:t xml:space="preserve"> and gender issues, are covered.</w:t>
      </w:r>
      <w:r w:rsidR="00F21DB8" w:rsidRPr="00006BE9">
        <w:rPr>
          <w:color w:val="000000"/>
        </w:rPr>
        <w:t xml:space="preserve"> </w:t>
      </w:r>
      <w:r w:rsidR="003642E2" w:rsidRPr="00006BE9">
        <w:rPr>
          <w:color w:val="000000"/>
        </w:rPr>
        <w:t>G</w:t>
      </w:r>
      <w:r w:rsidRPr="00006BE9">
        <w:rPr>
          <w:color w:val="000000"/>
        </w:rPr>
        <w:t>rant funds</w:t>
      </w:r>
      <w:r w:rsidR="00707CB5" w:rsidRPr="00006BE9">
        <w:rPr>
          <w:color w:val="000000"/>
        </w:rPr>
        <w:t xml:space="preserve"> can also </w:t>
      </w:r>
      <w:r w:rsidR="006640A2" w:rsidRPr="00006BE9">
        <w:rPr>
          <w:color w:val="000000"/>
        </w:rPr>
        <w:t xml:space="preserve">be used to target </w:t>
      </w:r>
      <w:r w:rsidRPr="00006BE9">
        <w:rPr>
          <w:color w:val="000000"/>
        </w:rPr>
        <w:t xml:space="preserve">poverty </w:t>
      </w:r>
      <w:r w:rsidR="006640A2" w:rsidRPr="00006BE9">
        <w:rPr>
          <w:color w:val="000000"/>
        </w:rPr>
        <w:t xml:space="preserve">effectively by </w:t>
      </w:r>
      <w:r w:rsidRPr="00006BE9">
        <w:rPr>
          <w:color w:val="000000"/>
        </w:rPr>
        <w:t>expanding access to sustainable utility services for which cost recovery is essential</w:t>
      </w:r>
      <w:r w:rsidR="003642E2" w:rsidRPr="00006BE9">
        <w:rPr>
          <w:color w:val="000000"/>
        </w:rPr>
        <w:t xml:space="preserve">—for example, </w:t>
      </w:r>
      <w:r w:rsidRPr="00006BE9">
        <w:rPr>
          <w:color w:val="000000"/>
        </w:rPr>
        <w:t>by subsidising capital costs or more specifically subsidising connections for water, sanitation or electricity services.</w:t>
      </w:r>
    </w:p>
    <w:p w:rsidR="0005352A" w:rsidRPr="00006BE9" w:rsidRDefault="0005352A" w:rsidP="0005352A">
      <w:pPr>
        <w:pStyle w:val="BodyText"/>
        <w:rPr>
          <w:color w:val="000000"/>
        </w:rPr>
      </w:pPr>
      <w:r w:rsidRPr="00006BE9">
        <w:rPr>
          <w:color w:val="000000"/>
        </w:rPr>
        <w:t xml:space="preserve">Infrastructure </w:t>
      </w:r>
      <w:r w:rsidR="00E869E9" w:rsidRPr="00006BE9">
        <w:rPr>
          <w:color w:val="000000"/>
        </w:rPr>
        <w:t xml:space="preserve">support </w:t>
      </w:r>
      <w:r w:rsidRPr="00006BE9">
        <w:rPr>
          <w:color w:val="000000"/>
        </w:rPr>
        <w:t>also provides opportunities to address gender inequalities</w:t>
      </w:r>
      <w:r w:rsidR="00E869E9" w:rsidRPr="00006BE9">
        <w:rPr>
          <w:color w:val="000000"/>
        </w:rPr>
        <w:t>—</w:t>
      </w:r>
      <w:r w:rsidRPr="00006BE9">
        <w:rPr>
          <w:color w:val="000000"/>
        </w:rPr>
        <w:t>for example</w:t>
      </w:r>
      <w:r w:rsidR="00E869E9" w:rsidRPr="00006BE9">
        <w:rPr>
          <w:color w:val="000000"/>
        </w:rPr>
        <w:t>,</w:t>
      </w:r>
      <w:r w:rsidRPr="00006BE9">
        <w:rPr>
          <w:color w:val="000000"/>
        </w:rPr>
        <w:t xml:space="preserve"> by increasing mobility and safety for women and girls and reducing the often excessive burdens</w:t>
      </w:r>
      <w:r w:rsidR="00E869E9" w:rsidRPr="00006BE9">
        <w:rPr>
          <w:color w:val="000000"/>
        </w:rPr>
        <w:t xml:space="preserve"> on their time</w:t>
      </w:r>
      <w:r w:rsidRPr="00006BE9">
        <w:rPr>
          <w:color w:val="000000"/>
        </w:rPr>
        <w:t xml:space="preserve">. Poor school sanitation is often the single most important factor in girls’ under-representation in secondary school. </w:t>
      </w:r>
    </w:p>
    <w:p w:rsidR="0005352A" w:rsidRPr="00006BE9" w:rsidRDefault="0005352A" w:rsidP="0005352A">
      <w:pPr>
        <w:pStyle w:val="Heading2unnumbered"/>
        <w:tabs>
          <w:tab w:val="clear" w:pos="709"/>
        </w:tabs>
        <w:rPr>
          <w:color w:val="000000"/>
        </w:rPr>
      </w:pPr>
      <w:bookmarkStart w:id="15" w:name="_Toc217894550"/>
      <w:r w:rsidRPr="00006BE9">
        <w:rPr>
          <w:color w:val="000000"/>
        </w:rPr>
        <w:lastRenderedPageBreak/>
        <w:t>Portfolio</w:t>
      </w:r>
      <w:bookmarkEnd w:id="15"/>
    </w:p>
    <w:p w:rsidR="0005352A" w:rsidRPr="00006BE9" w:rsidRDefault="0005352A" w:rsidP="00E353AF">
      <w:pPr>
        <w:pStyle w:val="BodyText"/>
        <w:keepNext/>
        <w:keepLines/>
        <w:rPr>
          <w:color w:val="000000"/>
        </w:rPr>
      </w:pPr>
      <w:r w:rsidRPr="00006BE9">
        <w:rPr>
          <w:color w:val="000000"/>
        </w:rPr>
        <w:t xml:space="preserve">Tables 1 and 2 present planned </w:t>
      </w:r>
      <w:r w:rsidR="001303EA" w:rsidRPr="00006BE9">
        <w:rPr>
          <w:color w:val="000000"/>
        </w:rPr>
        <w:t xml:space="preserve">AusAID </w:t>
      </w:r>
      <w:r w:rsidRPr="00006BE9">
        <w:rPr>
          <w:color w:val="000000"/>
        </w:rPr>
        <w:t>expenditure on infrastructure from 2007</w:t>
      </w:r>
      <w:r w:rsidR="00064A26" w:rsidRPr="00006BE9">
        <w:rPr>
          <w:color w:val="000000"/>
        </w:rPr>
        <w:t>-08</w:t>
      </w:r>
      <w:r w:rsidRPr="00006BE9">
        <w:rPr>
          <w:color w:val="000000"/>
        </w:rPr>
        <w:t xml:space="preserve"> to 20</w:t>
      </w:r>
      <w:r w:rsidR="00064A26" w:rsidRPr="00006BE9">
        <w:rPr>
          <w:color w:val="000000"/>
        </w:rPr>
        <w:t>10-</w:t>
      </w:r>
      <w:r w:rsidRPr="00006BE9">
        <w:rPr>
          <w:color w:val="000000"/>
        </w:rPr>
        <w:t xml:space="preserve">11 through bilateral programs and the </w:t>
      </w:r>
      <w:r w:rsidR="003A664B" w:rsidRPr="00006BE9">
        <w:rPr>
          <w:color w:val="000000"/>
        </w:rPr>
        <w:t>Infrastructure for Growth Initiative</w:t>
      </w:r>
      <w:r w:rsidRPr="00006BE9">
        <w:rPr>
          <w:color w:val="000000"/>
        </w:rPr>
        <w:t>.</w:t>
      </w:r>
      <w:r w:rsidR="00F21DB8" w:rsidRPr="00006BE9">
        <w:rPr>
          <w:color w:val="000000"/>
        </w:rPr>
        <w:t xml:space="preserve"> </w:t>
      </w:r>
      <w:r w:rsidRPr="00006BE9">
        <w:rPr>
          <w:color w:val="000000"/>
        </w:rPr>
        <w:t xml:space="preserve">It can be seen </w:t>
      </w:r>
      <w:r w:rsidR="001303EA" w:rsidRPr="00006BE9">
        <w:rPr>
          <w:color w:val="000000"/>
        </w:rPr>
        <w:t xml:space="preserve">that </w:t>
      </w:r>
      <w:r w:rsidRPr="00006BE9">
        <w:rPr>
          <w:color w:val="000000"/>
        </w:rPr>
        <w:t>road transport accounts for more than 50</w:t>
      </w:r>
      <w:r w:rsidR="00F21DB8" w:rsidRPr="00006BE9">
        <w:rPr>
          <w:color w:val="000000"/>
        </w:rPr>
        <w:t> per cent</w:t>
      </w:r>
      <w:r w:rsidRPr="00006BE9">
        <w:rPr>
          <w:color w:val="000000"/>
        </w:rPr>
        <w:t xml:space="preserve"> of </w:t>
      </w:r>
      <w:r w:rsidR="001303EA" w:rsidRPr="00006BE9">
        <w:rPr>
          <w:color w:val="000000"/>
        </w:rPr>
        <w:t xml:space="preserve">the </w:t>
      </w:r>
      <w:r w:rsidRPr="00006BE9">
        <w:rPr>
          <w:color w:val="000000"/>
        </w:rPr>
        <w:t xml:space="preserve">support and that </w:t>
      </w:r>
      <w:r w:rsidR="001303EA" w:rsidRPr="00006BE9">
        <w:rPr>
          <w:color w:val="000000"/>
        </w:rPr>
        <w:t>multi-sector activities</w:t>
      </w:r>
      <w:r w:rsidRPr="00006BE9">
        <w:rPr>
          <w:color w:val="000000"/>
        </w:rPr>
        <w:t xml:space="preserve"> represent </w:t>
      </w:r>
      <w:r w:rsidR="001303EA" w:rsidRPr="00006BE9">
        <w:rPr>
          <w:color w:val="000000"/>
        </w:rPr>
        <w:t xml:space="preserve">the </w:t>
      </w:r>
      <w:r w:rsidRPr="00006BE9">
        <w:rPr>
          <w:color w:val="000000"/>
        </w:rPr>
        <w:t xml:space="preserve">next highest </w:t>
      </w:r>
      <w:r w:rsidR="005F3C45" w:rsidRPr="00006BE9">
        <w:rPr>
          <w:color w:val="000000"/>
        </w:rPr>
        <w:t>sub</w:t>
      </w:r>
      <w:r w:rsidRPr="00006BE9">
        <w:rPr>
          <w:color w:val="000000"/>
        </w:rPr>
        <w:t xml:space="preserve">sector, closely followed by water </w:t>
      </w:r>
      <w:r w:rsidR="001303EA" w:rsidRPr="00006BE9">
        <w:rPr>
          <w:color w:val="000000"/>
        </w:rPr>
        <w:t>supply</w:t>
      </w:r>
      <w:r w:rsidR="008D26A4" w:rsidRPr="00006BE9">
        <w:rPr>
          <w:color w:val="000000"/>
        </w:rPr>
        <w:t xml:space="preserve"> </w:t>
      </w:r>
      <w:r w:rsidRPr="00006BE9">
        <w:rPr>
          <w:color w:val="000000"/>
        </w:rPr>
        <w:t>and sanitation</w:t>
      </w:r>
      <w:r w:rsidR="001303EA" w:rsidRPr="00006BE9">
        <w:rPr>
          <w:color w:val="000000"/>
        </w:rPr>
        <w:t>,</w:t>
      </w:r>
      <w:r w:rsidRPr="00006BE9">
        <w:rPr>
          <w:color w:val="000000"/>
        </w:rPr>
        <w:t xml:space="preserve"> and energy.</w:t>
      </w:r>
      <w:r w:rsidR="00F21DB8" w:rsidRPr="00006BE9">
        <w:rPr>
          <w:color w:val="000000"/>
        </w:rPr>
        <w:t xml:space="preserve"> </w:t>
      </w:r>
      <w:r w:rsidRPr="00006BE9">
        <w:rPr>
          <w:color w:val="000000"/>
        </w:rPr>
        <w:t>Multi-sector activities are largely contributions to trust funds</w:t>
      </w:r>
      <w:r w:rsidRPr="00006BE9">
        <w:rPr>
          <w:rStyle w:val="FootnoteReference"/>
          <w:color w:val="000000"/>
        </w:rPr>
        <w:footnoteReference w:id="6"/>
      </w:r>
      <w:r w:rsidRPr="00006BE9">
        <w:rPr>
          <w:color w:val="000000"/>
        </w:rPr>
        <w:t xml:space="preserve"> managed by the </w:t>
      </w:r>
      <w:r w:rsidR="006449DC" w:rsidRPr="00006BE9">
        <w:rPr>
          <w:color w:val="000000"/>
        </w:rPr>
        <w:t>multilateral development banks</w:t>
      </w:r>
      <w:r w:rsidRPr="00006BE9">
        <w:rPr>
          <w:color w:val="000000"/>
        </w:rPr>
        <w:t xml:space="preserve"> and yet-to-be-defined facilities under the </w:t>
      </w:r>
      <w:r w:rsidR="003A664B" w:rsidRPr="00006BE9">
        <w:rPr>
          <w:color w:val="000000"/>
        </w:rPr>
        <w:t>Infrastructure for Growth Initiative</w:t>
      </w:r>
      <w:r w:rsidR="008D26A4" w:rsidRPr="00006BE9">
        <w:rPr>
          <w:color w:val="000000"/>
        </w:rPr>
        <w:t>,</w:t>
      </w:r>
      <w:r w:rsidR="003A664B" w:rsidRPr="00006BE9">
        <w:rPr>
          <w:color w:val="000000"/>
        </w:rPr>
        <w:t xml:space="preserve"> </w:t>
      </w:r>
      <w:r w:rsidRPr="00006BE9">
        <w:rPr>
          <w:color w:val="000000"/>
        </w:rPr>
        <w:t>such as the Indonesia Infrastructure Initiative.</w:t>
      </w:r>
    </w:p>
    <w:p w:rsidR="0005352A" w:rsidRPr="00006BE9" w:rsidRDefault="0005352A" w:rsidP="0005352A">
      <w:pPr>
        <w:pStyle w:val="Caption"/>
        <w:rPr>
          <w:color w:val="000000"/>
        </w:rPr>
      </w:pPr>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1</w:t>
      </w:r>
      <w:r w:rsidRPr="00006BE9">
        <w:rPr>
          <w:color w:val="000000"/>
        </w:rPr>
        <w:fldChar w:fldCharType="end"/>
      </w:r>
      <w:r w:rsidRPr="00006BE9">
        <w:rPr>
          <w:color w:val="000000"/>
        </w:rPr>
        <w:t xml:space="preserve">: </w:t>
      </w:r>
      <w:r w:rsidR="00631FFA" w:rsidRPr="00006BE9">
        <w:rPr>
          <w:color w:val="000000"/>
        </w:rPr>
        <w:t>Summary of planned expenditure on infrastructure by subsector funded by bilateral programs from 2007 to 2011</w:t>
      </w:r>
    </w:p>
    <w:tbl>
      <w:tblPr>
        <w:tblW w:w="0" w:type="auto"/>
        <w:tblInd w:w="57" w:type="dxa"/>
        <w:tblLook w:val="0000" w:firstRow="0" w:lastRow="0" w:firstColumn="0" w:lastColumn="0" w:noHBand="0" w:noVBand="0"/>
      </w:tblPr>
      <w:tblGrid>
        <w:gridCol w:w="3738"/>
        <w:gridCol w:w="1386"/>
        <w:gridCol w:w="1441"/>
        <w:gridCol w:w="1429"/>
      </w:tblGrid>
      <w:tr w:rsidR="0005352A" w:rsidRPr="00006BE9" w:rsidTr="00076D7A">
        <w:trPr>
          <w:cantSplit/>
          <w:tblHeader/>
        </w:trPr>
        <w:tc>
          <w:tcPr>
            <w:tcW w:w="3738" w:type="dxa"/>
            <w:tcBorders>
              <w:bottom w:val="single" w:sz="12" w:space="0" w:color="auto"/>
            </w:tcBorders>
            <w:tcMar>
              <w:left w:w="57" w:type="dxa"/>
              <w:right w:w="57" w:type="dxa"/>
            </w:tcMar>
          </w:tcPr>
          <w:p w:rsidR="0005352A" w:rsidRPr="00006BE9" w:rsidRDefault="0005352A" w:rsidP="0005352A">
            <w:pPr>
              <w:pStyle w:val="TableDataColumnHeading"/>
              <w:jc w:val="left"/>
              <w:rPr>
                <w:color w:val="000000"/>
              </w:rPr>
            </w:pPr>
            <w:r w:rsidRPr="00006BE9">
              <w:rPr>
                <w:color w:val="000000"/>
              </w:rPr>
              <w:t>S</w:t>
            </w:r>
            <w:r w:rsidR="001303EA" w:rsidRPr="00006BE9">
              <w:rPr>
                <w:color w:val="000000"/>
              </w:rPr>
              <w:t>ubs</w:t>
            </w:r>
            <w:r w:rsidRPr="00006BE9">
              <w:rPr>
                <w:color w:val="000000"/>
              </w:rPr>
              <w:t>ector</w:t>
            </w:r>
          </w:p>
        </w:tc>
        <w:tc>
          <w:tcPr>
            <w:tcW w:w="1386" w:type="dxa"/>
            <w:tcBorders>
              <w:bottom w:val="single" w:sz="12" w:space="0" w:color="auto"/>
            </w:tcBorders>
            <w:tcMar>
              <w:left w:w="57" w:type="dxa"/>
              <w:right w:w="57" w:type="dxa"/>
            </w:tcMar>
          </w:tcPr>
          <w:p w:rsidR="0005352A" w:rsidRPr="00006BE9" w:rsidRDefault="0005352A" w:rsidP="0005352A">
            <w:pPr>
              <w:pStyle w:val="TableDataColumnHeading"/>
              <w:rPr>
                <w:color w:val="000000"/>
              </w:rPr>
            </w:pPr>
            <w:r w:rsidRPr="00006BE9">
              <w:rPr>
                <w:color w:val="000000"/>
              </w:rPr>
              <w:t xml:space="preserve">Number of </w:t>
            </w:r>
            <w:r w:rsidR="00631FFA" w:rsidRPr="00006BE9">
              <w:rPr>
                <w:color w:val="000000"/>
              </w:rPr>
              <w:t>activities</w:t>
            </w:r>
          </w:p>
        </w:tc>
        <w:tc>
          <w:tcPr>
            <w:tcW w:w="1441" w:type="dxa"/>
            <w:tcBorders>
              <w:bottom w:val="single" w:sz="12" w:space="0" w:color="auto"/>
            </w:tcBorders>
            <w:tcMar>
              <w:left w:w="57" w:type="dxa"/>
              <w:right w:w="57" w:type="dxa"/>
            </w:tcMar>
          </w:tcPr>
          <w:p w:rsidR="0005352A" w:rsidRPr="00006BE9" w:rsidRDefault="0005352A" w:rsidP="0005352A">
            <w:pPr>
              <w:pStyle w:val="TableDataColumnHeading"/>
              <w:rPr>
                <w:color w:val="000000"/>
              </w:rPr>
            </w:pPr>
            <w:r w:rsidRPr="00006BE9">
              <w:rPr>
                <w:color w:val="000000"/>
              </w:rPr>
              <w:t xml:space="preserve">Planned </w:t>
            </w:r>
            <w:r w:rsidR="00631FFA" w:rsidRPr="00006BE9">
              <w:rPr>
                <w:color w:val="000000"/>
              </w:rPr>
              <w:t>expenditure</w:t>
            </w:r>
          </w:p>
        </w:tc>
        <w:tc>
          <w:tcPr>
            <w:tcW w:w="1429" w:type="dxa"/>
            <w:tcBorders>
              <w:bottom w:val="single" w:sz="12" w:space="0" w:color="auto"/>
            </w:tcBorders>
            <w:tcMar>
              <w:left w:w="57" w:type="dxa"/>
              <w:right w:w="57" w:type="dxa"/>
            </w:tcMar>
          </w:tcPr>
          <w:p w:rsidR="0005352A" w:rsidRPr="00006BE9" w:rsidRDefault="0005352A" w:rsidP="0005352A">
            <w:pPr>
              <w:pStyle w:val="TableDataColumnHeading"/>
              <w:rPr>
                <w:color w:val="000000"/>
              </w:rPr>
            </w:pPr>
            <w:r w:rsidRPr="00006BE9">
              <w:rPr>
                <w:color w:val="000000"/>
              </w:rPr>
              <w:t xml:space="preserve">% of </w:t>
            </w:r>
            <w:r w:rsidR="00631FFA" w:rsidRPr="00006BE9">
              <w:rPr>
                <w:color w:val="000000"/>
              </w:rPr>
              <w:t>anticipated contributi</w:t>
            </w:r>
            <w:r w:rsidRPr="00006BE9">
              <w:rPr>
                <w:color w:val="000000"/>
              </w:rPr>
              <w:t>ons</w:t>
            </w:r>
          </w:p>
        </w:tc>
      </w:tr>
      <w:tr w:rsidR="00631FFA" w:rsidRPr="00006BE9" w:rsidTr="00006BE9">
        <w:trPr>
          <w:cantSplit/>
        </w:trPr>
        <w:tc>
          <w:tcPr>
            <w:tcW w:w="3738" w:type="dxa"/>
            <w:tcBorders>
              <w:top w:val="single" w:sz="12" w:space="0" w:color="auto"/>
            </w:tcBorders>
            <w:tcMar>
              <w:left w:w="57" w:type="dxa"/>
              <w:right w:w="57" w:type="dxa"/>
            </w:tcMar>
          </w:tcPr>
          <w:p w:rsidR="00631FFA" w:rsidRPr="00006BE9" w:rsidRDefault="00631FFA" w:rsidP="00631FFA">
            <w:pPr>
              <w:pStyle w:val="TableUnit"/>
              <w:jc w:val="left"/>
              <w:rPr>
                <w:color w:val="000000"/>
              </w:rPr>
            </w:pPr>
          </w:p>
        </w:tc>
        <w:tc>
          <w:tcPr>
            <w:tcW w:w="1386" w:type="dxa"/>
            <w:tcBorders>
              <w:top w:val="single" w:sz="12" w:space="0" w:color="auto"/>
            </w:tcBorders>
            <w:noWrap/>
            <w:tcMar>
              <w:left w:w="57" w:type="dxa"/>
              <w:right w:w="57" w:type="dxa"/>
            </w:tcMar>
          </w:tcPr>
          <w:p w:rsidR="00631FFA" w:rsidRPr="00006BE9" w:rsidRDefault="00631FFA" w:rsidP="00631FFA">
            <w:pPr>
              <w:pStyle w:val="TableUnit"/>
              <w:rPr>
                <w:color w:val="000000"/>
              </w:rPr>
            </w:pPr>
            <w:r w:rsidRPr="00006BE9">
              <w:rPr>
                <w:color w:val="000000"/>
              </w:rPr>
              <w:t>no.</w:t>
            </w:r>
          </w:p>
        </w:tc>
        <w:tc>
          <w:tcPr>
            <w:tcW w:w="1441" w:type="dxa"/>
            <w:tcBorders>
              <w:top w:val="single" w:sz="12" w:space="0" w:color="auto"/>
            </w:tcBorders>
            <w:noWrap/>
            <w:tcMar>
              <w:left w:w="57" w:type="dxa"/>
              <w:right w:w="57" w:type="dxa"/>
            </w:tcMar>
          </w:tcPr>
          <w:p w:rsidR="00631FFA" w:rsidRPr="00006BE9" w:rsidRDefault="00631FFA" w:rsidP="00631FFA">
            <w:pPr>
              <w:pStyle w:val="TableUnit"/>
              <w:rPr>
                <w:color w:val="000000"/>
              </w:rPr>
            </w:pPr>
            <w:r w:rsidRPr="00006BE9">
              <w:rPr>
                <w:color w:val="000000"/>
              </w:rPr>
              <w:t>A$ million</w:t>
            </w:r>
          </w:p>
        </w:tc>
        <w:tc>
          <w:tcPr>
            <w:tcW w:w="1429" w:type="dxa"/>
            <w:tcBorders>
              <w:top w:val="single" w:sz="12" w:space="0" w:color="auto"/>
            </w:tcBorders>
            <w:noWrap/>
            <w:tcMar>
              <w:left w:w="57" w:type="dxa"/>
              <w:right w:w="57" w:type="dxa"/>
            </w:tcMar>
          </w:tcPr>
          <w:p w:rsidR="00631FFA" w:rsidRPr="00006BE9" w:rsidRDefault="00631FFA" w:rsidP="00631FFA">
            <w:pPr>
              <w:pStyle w:val="TableUnit"/>
              <w:rPr>
                <w:color w:val="000000"/>
              </w:rPr>
            </w:pPr>
            <w:r w:rsidRPr="00006BE9">
              <w:rPr>
                <w:color w:val="000000"/>
              </w:rPr>
              <w:t>%</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Energy</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6</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23.2</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2</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 xml:space="preserve">Information and </w:t>
            </w:r>
            <w:r w:rsidR="00631FFA" w:rsidRPr="00006BE9">
              <w:rPr>
                <w:color w:val="000000"/>
              </w:rPr>
              <w:t>communications technology</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1</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0.2</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0</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rStyle w:val="NoteLabel"/>
                <w:color w:val="000000"/>
              </w:rPr>
            </w:pPr>
            <w:r w:rsidRPr="00006BE9">
              <w:rPr>
                <w:color w:val="000000"/>
              </w:rPr>
              <w:t>Multi-</w:t>
            </w:r>
            <w:r w:rsidR="00631FFA" w:rsidRPr="00006BE9">
              <w:rPr>
                <w:color w:val="000000"/>
              </w:rPr>
              <w:t>sector activities</w:t>
            </w:r>
            <w:r w:rsidR="00631FFA" w:rsidRPr="00006BE9">
              <w:rPr>
                <w:rStyle w:val="NoteLabel"/>
                <w:color w:val="000000"/>
              </w:rPr>
              <w:t>a</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19</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115.8</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10</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Transport</w:t>
            </w:r>
            <w:r w:rsidR="00631FFA" w:rsidRPr="00006BE9">
              <w:rPr>
                <w:color w:val="000000"/>
              </w:rPr>
              <w:t>—roads</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9</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624.9</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56</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Transport—other</w:t>
            </w:r>
          </w:p>
        </w:tc>
        <w:tc>
          <w:tcPr>
            <w:tcW w:w="1386" w:type="dxa"/>
            <w:noWrap/>
            <w:tcMar>
              <w:left w:w="57" w:type="dxa"/>
              <w:right w:w="57" w:type="dxa"/>
            </w:tcMar>
          </w:tcPr>
          <w:p w:rsidR="00631FFA" w:rsidRPr="00006BE9" w:rsidRDefault="00631FFA" w:rsidP="00D641D4">
            <w:pPr>
              <w:pStyle w:val="TableDataEntries"/>
              <w:rPr>
                <w:color w:val="000000"/>
              </w:rPr>
            </w:pPr>
            <w:r w:rsidRPr="00006BE9">
              <w:rPr>
                <w:color w:val="000000"/>
              </w:rPr>
              <w:t>5</w:t>
            </w:r>
          </w:p>
        </w:tc>
        <w:tc>
          <w:tcPr>
            <w:tcW w:w="1441" w:type="dxa"/>
            <w:noWrap/>
            <w:tcMar>
              <w:left w:w="57" w:type="dxa"/>
              <w:right w:w="57" w:type="dxa"/>
            </w:tcMar>
          </w:tcPr>
          <w:p w:rsidR="00631FFA" w:rsidRPr="00006BE9" w:rsidRDefault="00631FFA" w:rsidP="00D641D4">
            <w:pPr>
              <w:pStyle w:val="TableDataEntries"/>
              <w:rPr>
                <w:color w:val="000000"/>
              </w:rPr>
            </w:pPr>
            <w:r w:rsidRPr="00006BE9">
              <w:rPr>
                <w:color w:val="000000"/>
              </w:rPr>
              <w:t>108.3</w:t>
            </w:r>
          </w:p>
        </w:tc>
        <w:tc>
          <w:tcPr>
            <w:tcW w:w="1429" w:type="dxa"/>
            <w:noWrap/>
            <w:tcMar>
              <w:left w:w="57" w:type="dxa"/>
              <w:right w:w="57" w:type="dxa"/>
            </w:tcMar>
          </w:tcPr>
          <w:p w:rsidR="00631FFA" w:rsidRPr="00006BE9" w:rsidRDefault="00631FFA" w:rsidP="00D641D4">
            <w:pPr>
              <w:pStyle w:val="TableDataEntries"/>
              <w:rPr>
                <w:color w:val="000000"/>
              </w:rPr>
            </w:pPr>
            <w:r w:rsidRPr="00006BE9">
              <w:rPr>
                <w:color w:val="000000"/>
              </w:rPr>
              <w:t>10</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 xml:space="preserve">Water </w:t>
            </w:r>
            <w:r w:rsidR="00631FFA" w:rsidRPr="00006BE9">
              <w:rPr>
                <w:color w:val="000000"/>
              </w:rPr>
              <w:t>supply and sanitation</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19</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158.7</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14</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 xml:space="preserve">Water </w:t>
            </w:r>
            <w:r w:rsidR="00631FFA" w:rsidRPr="00006BE9">
              <w:rPr>
                <w:color w:val="000000"/>
              </w:rPr>
              <w:t>resource management</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12</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67.9</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6</w:t>
            </w:r>
          </w:p>
        </w:tc>
      </w:tr>
      <w:tr w:rsidR="0005352A" w:rsidRPr="00006BE9" w:rsidTr="00006BE9">
        <w:trPr>
          <w:cantSplit/>
        </w:trPr>
        <w:tc>
          <w:tcPr>
            <w:tcW w:w="3738" w:type="dxa"/>
            <w:tcMar>
              <w:left w:w="57" w:type="dxa"/>
              <w:right w:w="57" w:type="dxa"/>
            </w:tcMar>
          </w:tcPr>
          <w:p w:rsidR="0005352A" w:rsidRPr="00006BE9" w:rsidRDefault="0005352A" w:rsidP="0005352A">
            <w:pPr>
              <w:pStyle w:val="TableDataEntries"/>
              <w:jc w:val="left"/>
              <w:rPr>
                <w:color w:val="000000"/>
              </w:rPr>
            </w:pPr>
            <w:r w:rsidRPr="00006BE9">
              <w:rPr>
                <w:color w:val="000000"/>
              </w:rPr>
              <w:t>Other</w:t>
            </w:r>
          </w:p>
        </w:tc>
        <w:tc>
          <w:tcPr>
            <w:tcW w:w="1386" w:type="dxa"/>
            <w:noWrap/>
            <w:tcMar>
              <w:left w:w="57" w:type="dxa"/>
              <w:right w:w="57" w:type="dxa"/>
            </w:tcMar>
          </w:tcPr>
          <w:p w:rsidR="0005352A" w:rsidRPr="00006BE9" w:rsidRDefault="0005352A" w:rsidP="0005352A">
            <w:pPr>
              <w:pStyle w:val="TableDataEntries"/>
              <w:rPr>
                <w:color w:val="000000"/>
              </w:rPr>
            </w:pPr>
            <w:r w:rsidRPr="00006BE9">
              <w:rPr>
                <w:color w:val="000000"/>
              </w:rPr>
              <w:t>2</w:t>
            </w:r>
          </w:p>
        </w:tc>
        <w:tc>
          <w:tcPr>
            <w:tcW w:w="1441" w:type="dxa"/>
            <w:noWrap/>
            <w:tcMar>
              <w:left w:w="57" w:type="dxa"/>
              <w:right w:w="57" w:type="dxa"/>
            </w:tcMar>
          </w:tcPr>
          <w:p w:rsidR="0005352A" w:rsidRPr="00006BE9" w:rsidRDefault="0005352A" w:rsidP="0005352A">
            <w:pPr>
              <w:pStyle w:val="TableDataEntries"/>
              <w:rPr>
                <w:color w:val="000000"/>
              </w:rPr>
            </w:pPr>
            <w:r w:rsidRPr="00006BE9">
              <w:rPr>
                <w:color w:val="000000"/>
              </w:rPr>
              <w:t>8.6</w:t>
            </w:r>
          </w:p>
        </w:tc>
        <w:tc>
          <w:tcPr>
            <w:tcW w:w="1429" w:type="dxa"/>
            <w:noWrap/>
            <w:tcMar>
              <w:left w:w="57" w:type="dxa"/>
              <w:right w:w="57" w:type="dxa"/>
            </w:tcMar>
          </w:tcPr>
          <w:p w:rsidR="0005352A" w:rsidRPr="00006BE9" w:rsidRDefault="0005352A" w:rsidP="0005352A">
            <w:pPr>
              <w:pStyle w:val="TableDataEntries"/>
              <w:rPr>
                <w:color w:val="000000"/>
              </w:rPr>
            </w:pPr>
            <w:r w:rsidRPr="00006BE9">
              <w:rPr>
                <w:color w:val="000000"/>
              </w:rPr>
              <w:t>1</w:t>
            </w:r>
          </w:p>
        </w:tc>
      </w:tr>
      <w:tr w:rsidR="0005352A" w:rsidRPr="00006BE9" w:rsidTr="00006BE9">
        <w:trPr>
          <w:cantSplit/>
        </w:trPr>
        <w:tc>
          <w:tcPr>
            <w:tcW w:w="3738" w:type="dxa"/>
            <w:tcBorders>
              <w:bottom w:val="single" w:sz="12" w:space="0" w:color="auto"/>
            </w:tcBorders>
            <w:tcMar>
              <w:left w:w="57" w:type="dxa"/>
              <w:right w:w="57" w:type="dxa"/>
            </w:tcMar>
          </w:tcPr>
          <w:p w:rsidR="0005352A" w:rsidRPr="00006BE9" w:rsidRDefault="0005352A" w:rsidP="00631FFA">
            <w:pPr>
              <w:pStyle w:val="TableDataEntries"/>
              <w:spacing w:before="80"/>
              <w:jc w:val="left"/>
              <w:rPr>
                <w:rFonts w:ascii="Franklin Gothic Medium" w:hAnsi="Franklin Gothic Medium"/>
                <w:color w:val="000000"/>
              </w:rPr>
            </w:pPr>
            <w:r w:rsidRPr="00006BE9">
              <w:rPr>
                <w:rFonts w:ascii="Franklin Gothic Medium" w:hAnsi="Franklin Gothic Medium"/>
                <w:color w:val="000000"/>
              </w:rPr>
              <w:t xml:space="preserve">Total </w:t>
            </w:r>
            <w:r w:rsidR="003A664B" w:rsidRPr="00006BE9">
              <w:rPr>
                <w:rFonts w:ascii="Franklin Gothic Medium" w:hAnsi="Franklin Gothic Medium"/>
                <w:color w:val="000000"/>
              </w:rPr>
              <w:t>bilateral</w:t>
            </w:r>
            <w:r w:rsidRPr="00006BE9">
              <w:rPr>
                <w:rFonts w:ascii="Franklin Gothic Medium" w:hAnsi="Franklin Gothic Medium"/>
                <w:color w:val="000000"/>
              </w:rPr>
              <w:t xml:space="preserve"> </w:t>
            </w:r>
            <w:r w:rsidR="00631FFA" w:rsidRPr="00006BE9">
              <w:rPr>
                <w:rFonts w:ascii="Franklin Gothic Medium" w:hAnsi="Franklin Gothic Medium"/>
                <w:color w:val="000000"/>
              </w:rPr>
              <w:t>infrastructure</w:t>
            </w:r>
          </w:p>
        </w:tc>
        <w:tc>
          <w:tcPr>
            <w:tcW w:w="1386" w:type="dxa"/>
            <w:tcBorders>
              <w:bottom w:val="single" w:sz="12" w:space="0" w:color="auto"/>
            </w:tcBorders>
            <w:noWrap/>
            <w:tcMar>
              <w:left w:w="57" w:type="dxa"/>
              <w:right w:w="57" w:type="dxa"/>
            </w:tcMar>
          </w:tcPr>
          <w:p w:rsidR="0005352A" w:rsidRPr="00006BE9" w:rsidRDefault="0005352A"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73</w:t>
            </w:r>
          </w:p>
        </w:tc>
        <w:tc>
          <w:tcPr>
            <w:tcW w:w="1441" w:type="dxa"/>
            <w:tcBorders>
              <w:bottom w:val="single" w:sz="12" w:space="0" w:color="auto"/>
            </w:tcBorders>
            <w:noWrap/>
            <w:tcMar>
              <w:left w:w="57" w:type="dxa"/>
              <w:right w:w="57" w:type="dxa"/>
            </w:tcMar>
          </w:tcPr>
          <w:p w:rsidR="0005352A" w:rsidRPr="00006BE9" w:rsidRDefault="00D641D4"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 xml:space="preserve">1 </w:t>
            </w:r>
            <w:r w:rsidR="0005352A" w:rsidRPr="00006BE9">
              <w:rPr>
                <w:rFonts w:ascii="Franklin Gothic Medium" w:hAnsi="Franklin Gothic Medium"/>
                <w:color w:val="000000"/>
              </w:rPr>
              <w:t>107.7</w:t>
            </w:r>
          </w:p>
        </w:tc>
        <w:tc>
          <w:tcPr>
            <w:tcW w:w="1429" w:type="dxa"/>
            <w:tcBorders>
              <w:bottom w:val="single" w:sz="12" w:space="0" w:color="auto"/>
            </w:tcBorders>
            <w:noWrap/>
            <w:tcMar>
              <w:left w:w="57" w:type="dxa"/>
              <w:right w:w="57" w:type="dxa"/>
            </w:tcMar>
          </w:tcPr>
          <w:p w:rsidR="0005352A" w:rsidRPr="00006BE9" w:rsidRDefault="0005352A"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100</w:t>
            </w:r>
          </w:p>
        </w:tc>
      </w:tr>
    </w:tbl>
    <w:p w:rsidR="0005352A" w:rsidRPr="00006BE9" w:rsidRDefault="00631FFA" w:rsidP="000016BE">
      <w:pPr>
        <w:pStyle w:val="NoteNumber"/>
        <w:numPr>
          <w:ilvl w:val="0"/>
          <w:numId w:val="16"/>
        </w:numPr>
        <w:tabs>
          <w:tab w:val="clear" w:pos="720"/>
        </w:tabs>
        <w:ind w:left="0" w:firstLine="0"/>
        <w:rPr>
          <w:color w:val="000000"/>
        </w:rPr>
      </w:pPr>
      <w:r w:rsidRPr="00006BE9">
        <w:rPr>
          <w:color w:val="000000"/>
        </w:rPr>
        <w:t>Multi-</w:t>
      </w:r>
      <w:r w:rsidR="008D26A4" w:rsidRPr="00006BE9">
        <w:rPr>
          <w:color w:val="000000"/>
        </w:rPr>
        <w:t xml:space="preserve">sector </w:t>
      </w:r>
      <w:r w:rsidR="003F3987" w:rsidRPr="00006BE9">
        <w:rPr>
          <w:color w:val="000000"/>
        </w:rPr>
        <w:t xml:space="preserve">infrastructure </w:t>
      </w:r>
      <w:r w:rsidRPr="00006BE9">
        <w:rPr>
          <w:color w:val="000000"/>
        </w:rPr>
        <w:t xml:space="preserve">includes analytical and advisory activities funded under global programs and facilities such as </w:t>
      </w:r>
      <w:r w:rsidR="008D26A4" w:rsidRPr="00006BE9">
        <w:rPr>
          <w:color w:val="000000"/>
        </w:rPr>
        <w:t>the Indonesia Infrastructure Initiative</w:t>
      </w:r>
      <w:r w:rsidRPr="00006BE9">
        <w:rPr>
          <w:color w:val="000000"/>
        </w:rPr>
        <w:t>.</w:t>
      </w:r>
    </w:p>
    <w:p w:rsidR="00631FFA" w:rsidRPr="00006BE9" w:rsidRDefault="00631FFA" w:rsidP="00631FFA">
      <w:pPr>
        <w:pStyle w:val="Caption"/>
        <w:rPr>
          <w:color w:val="000000"/>
        </w:rPr>
      </w:pPr>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2</w:t>
      </w:r>
      <w:r w:rsidRPr="00006BE9">
        <w:rPr>
          <w:color w:val="000000"/>
        </w:rPr>
        <w:fldChar w:fldCharType="end"/>
      </w:r>
      <w:r w:rsidRPr="00006BE9">
        <w:rPr>
          <w:color w:val="000000"/>
        </w:rPr>
        <w:t>: Summary of planned expen</w:t>
      </w:r>
      <w:r w:rsidR="003A664B" w:rsidRPr="00006BE9">
        <w:rPr>
          <w:color w:val="000000"/>
        </w:rPr>
        <w:t>diture on infrastructure by sub</w:t>
      </w:r>
      <w:r w:rsidRPr="00006BE9">
        <w:rPr>
          <w:color w:val="000000"/>
        </w:rPr>
        <w:t xml:space="preserve">sector funded by </w:t>
      </w:r>
      <w:r w:rsidR="003A664B" w:rsidRPr="00006BE9">
        <w:rPr>
          <w:color w:val="000000"/>
        </w:rPr>
        <w:t xml:space="preserve">the Infrastructure for Growth Initiative </w:t>
      </w:r>
      <w:r w:rsidRPr="00006BE9">
        <w:rPr>
          <w:color w:val="000000"/>
        </w:rPr>
        <w:t>from 2007 to 2011</w:t>
      </w:r>
    </w:p>
    <w:tbl>
      <w:tblPr>
        <w:tblW w:w="0" w:type="auto"/>
        <w:tblInd w:w="57" w:type="dxa"/>
        <w:tblLook w:val="0000" w:firstRow="0" w:lastRow="0" w:firstColumn="0" w:lastColumn="0" w:noHBand="0" w:noVBand="0"/>
      </w:tblPr>
      <w:tblGrid>
        <w:gridCol w:w="3738"/>
        <w:gridCol w:w="1386"/>
        <w:gridCol w:w="1441"/>
        <w:gridCol w:w="1429"/>
      </w:tblGrid>
      <w:tr w:rsidR="00631FFA" w:rsidRPr="00006BE9" w:rsidTr="00076D7A">
        <w:trPr>
          <w:cantSplit/>
          <w:tblHeader/>
        </w:trPr>
        <w:tc>
          <w:tcPr>
            <w:tcW w:w="3738" w:type="dxa"/>
            <w:tcBorders>
              <w:bottom w:val="single" w:sz="12" w:space="0" w:color="auto"/>
            </w:tcBorders>
            <w:tcMar>
              <w:left w:w="57" w:type="dxa"/>
              <w:right w:w="57" w:type="dxa"/>
            </w:tcMar>
          </w:tcPr>
          <w:p w:rsidR="00631FFA" w:rsidRPr="00006BE9" w:rsidRDefault="00631FFA" w:rsidP="00D641D4">
            <w:pPr>
              <w:pStyle w:val="TableDataColumnHeading"/>
              <w:jc w:val="left"/>
              <w:rPr>
                <w:color w:val="000000"/>
              </w:rPr>
            </w:pPr>
            <w:r w:rsidRPr="00006BE9">
              <w:rPr>
                <w:color w:val="000000"/>
              </w:rPr>
              <w:t>S</w:t>
            </w:r>
            <w:r w:rsidR="003F3987" w:rsidRPr="00006BE9">
              <w:rPr>
                <w:color w:val="000000"/>
              </w:rPr>
              <w:t>ubs</w:t>
            </w:r>
            <w:r w:rsidRPr="00006BE9">
              <w:rPr>
                <w:color w:val="000000"/>
              </w:rPr>
              <w:t>ector</w:t>
            </w:r>
          </w:p>
        </w:tc>
        <w:tc>
          <w:tcPr>
            <w:tcW w:w="1386" w:type="dxa"/>
            <w:tcBorders>
              <w:bottom w:val="single" w:sz="12" w:space="0" w:color="auto"/>
            </w:tcBorders>
            <w:tcMar>
              <w:left w:w="57" w:type="dxa"/>
              <w:right w:w="57" w:type="dxa"/>
            </w:tcMar>
          </w:tcPr>
          <w:p w:rsidR="00631FFA" w:rsidRPr="00006BE9" w:rsidRDefault="00631FFA" w:rsidP="00D641D4">
            <w:pPr>
              <w:pStyle w:val="TableDataColumnHeading"/>
              <w:rPr>
                <w:color w:val="000000"/>
              </w:rPr>
            </w:pPr>
            <w:r w:rsidRPr="00006BE9">
              <w:rPr>
                <w:color w:val="000000"/>
              </w:rPr>
              <w:t>Number of activities</w:t>
            </w:r>
          </w:p>
        </w:tc>
        <w:tc>
          <w:tcPr>
            <w:tcW w:w="1441" w:type="dxa"/>
            <w:tcBorders>
              <w:bottom w:val="single" w:sz="12" w:space="0" w:color="auto"/>
            </w:tcBorders>
            <w:tcMar>
              <w:left w:w="57" w:type="dxa"/>
              <w:right w:w="57" w:type="dxa"/>
            </w:tcMar>
          </w:tcPr>
          <w:p w:rsidR="00631FFA" w:rsidRPr="00006BE9" w:rsidRDefault="00631FFA" w:rsidP="00D641D4">
            <w:pPr>
              <w:pStyle w:val="TableDataColumnHeading"/>
              <w:rPr>
                <w:color w:val="000000"/>
              </w:rPr>
            </w:pPr>
            <w:r w:rsidRPr="00006BE9">
              <w:rPr>
                <w:color w:val="000000"/>
              </w:rPr>
              <w:t>Planned expenditure</w:t>
            </w:r>
          </w:p>
        </w:tc>
        <w:tc>
          <w:tcPr>
            <w:tcW w:w="1429" w:type="dxa"/>
            <w:tcBorders>
              <w:bottom w:val="single" w:sz="12" w:space="0" w:color="auto"/>
            </w:tcBorders>
            <w:tcMar>
              <w:left w:w="57" w:type="dxa"/>
              <w:right w:w="57" w:type="dxa"/>
            </w:tcMar>
          </w:tcPr>
          <w:p w:rsidR="00631FFA" w:rsidRPr="00006BE9" w:rsidRDefault="00631FFA" w:rsidP="00D641D4">
            <w:pPr>
              <w:pStyle w:val="TableDataColumnHeading"/>
              <w:rPr>
                <w:color w:val="000000"/>
              </w:rPr>
            </w:pPr>
            <w:r w:rsidRPr="00006BE9">
              <w:rPr>
                <w:color w:val="000000"/>
              </w:rPr>
              <w:t>% of anticipated contributions</w:t>
            </w:r>
          </w:p>
        </w:tc>
      </w:tr>
      <w:tr w:rsidR="00631FFA" w:rsidRPr="00006BE9" w:rsidTr="00006BE9">
        <w:trPr>
          <w:cantSplit/>
        </w:trPr>
        <w:tc>
          <w:tcPr>
            <w:tcW w:w="3738" w:type="dxa"/>
            <w:tcBorders>
              <w:top w:val="single" w:sz="12" w:space="0" w:color="auto"/>
            </w:tcBorders>
            <w:tcMar>
              <w:left w:w="57" w:type="dxa"/>
              <w:right w:w="57" w:type="dxa"/>
            </w:tcMar>
          </w:tcPr>
          <w:p w:rsidR="00631FFA" w:rsidRPr="00006BE9" w:rsidRDefault="00631FFA" w:rsidP="00D641D4">
            <w:pPr>
              <w:pStyle w:val="TableUnit"/>
              <w:jc w:val="left"/>
              <w:rPr>
                <w:color w:val="000000"/>
              </w:rPr>
            </w:pPr>
          </w:p>
        </w:tc>
        <w:tc>
          <w:tcPr>
            <w:tcW w:w="1386" w:type="dxa"/>
            <w:tcBorders>
              <w:top w:val="single" w:sz="12" w:space="0" w:color="auto"/>
            </w:tcBorders>
            <w:noWrap/>
            <w:tcMar>
              <w:left w:w="57" w:type="dxa"/>
              <w:right w:w="57" w:type="dxa"/>
            </w:tcMar>
          </w:tcPr>
          <w:p w:rsidR="00631FFA" w:rsidRPr="00006BE9" w:rsidRDefault="00631FFA" w:rsidP="00D641D4">
            <w:pPr>
              <w:pStyle w:val="TableUnit"/>
              <w:rPr>
                <w:color w:val="000000"/>
              </w:rPr>
            </w:pPr>
            <w:r w:rsidRPr="00006BE9">
              <w:rPr>
                <w:color w:val="000000"/>
              </w:rPr>
              <w:t>no.</w:t>
            </w:r>
          </w:p>
        </w:tc>
        <w:tc>
          <w:tcPr>
            <w:tcW w:w="1441" w:type="dxa"/>
            <w:tcBorders>
              <w:top w:val="single" w:sz="12" w:space="0" w:color="auto"/>
            </w:tcBorders>
            <w:noWrap/>
            <w:tcMar>
              <w:left w:w="57" w:type="dxa"/>
              <w:right w:w="57" w:type="dxa"/>
            </w:tcMar>
          </w:tcPr>
          <w:p w:rsidR="00631FFA" w:rsidRPr="00006BE9" w:rsidRDefault="00631FFA" w:rsidP="00D641D4">
            <w:pPr>
              <w:pStyle w:val="TableUnit"/>
              <w:rPr>
                <w:color w:val="000000"/>
              </w:rPr>
            </w:pPr>
            <w:r w:rsidRPr="00006BE9">
              <w:rPr>
                <w:color w:val="000000"/>
              </w:rPr>
              <w:t>A$ million</w:t>
            </w:r>
          </w:p>
        </w:tc>
        <w:tc>
          <w:tcPr>
            <w:tcW w:w="1429" w:type="dxa"/>
            <w:tcBorders>
              <w:top w:val="single" w:sz="12" w:space="0" w:color="auto"/>
            </w:tcBorders>
            <w:noWrap/>
            <w:tcMar>
              <w:left w:w="57" w:type="dxa"/>
              <w:right w:w="57" w:type="dxa"/>
            </w:tcMar>
          </w:tcPr>
          <w:p w:rsidR="00631FFA" w:rsidRPr="00006BE9" w:rsidRDefault="00631FFA" w:rsidP="00D641D4">
            <w:pPr>
              <w:pStyle w:val="TableUnit"/>
              <w:rPr>
                <w:color w:val="000000"/>
              </w:rPr>
            </w:pPr>
            <w:r w:rsidRPr="00006BE9">
              <w:rPr>
                <w:color w:val="000000"/>
              </w:rPr>
              <w:t>%</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Energy</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8</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77.2</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11</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Information and communications technology</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rStyle w:val="NoteLabel"/>
                <w:color w:val="000000"/>
              </w:rPr>
            </w:pPr>
            <w:r w:rsidRPr="00006BE9">
              <w:rPr>
                <w:color w:val="000000"/>
              </w:rPr>
              <w:t>Multi-</w:t>
            </w:r>
            <w:r w:rsidR="008D26A4" w:rsidRPr="00006BE9">
              <w:rPr>
                <w:color w:val="000000"/>
              </w:rPr>
              <w:t>sector activities</w:t>
            </w:r>
            <w:r w:rsidRPr="00006BE9">
              <w:rPr>
                <w:rStyle w:val="NoteLabel"/>
                <w:color w:val="000000"/>
              </w:rPr>
              <w:t>a</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6</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124.8</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18</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Transport—roads</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17</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358.5</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50</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Transport—other</w:t>
            </w:r>
          </w:p>
        </w:tc>
        <w:tc>
          <w:tcPr>
            <w:tcW w:w="1386" w:type="dxa"/>
            <w:noWrap/>
            <w:tcMar>
              <w:left w:w="57" w:type="dxa"/>
              <w:right w:w="57" w:type="dxa"/>
            </w:tcMar>
          </w:tcPr>
          <w:p w:rsidR="00631FFA" w:rsidRPr="00006BE9" w:rsidRDefault="00631FFA" w:rsidP="00D641D4">
            <w:pPr>
              <w:pStyle w:val="TableDataEntries"/>
              <w:rPr>
                <w:color w:val="000000"/>
              </w:rPr>
            </w:pPr>
            <w:r w:rsidRPr="00006BE9">
              <w:rPr>
                <w:color w:val="000000"/>
              </w:rPr>
              <w:t>4</w:t>
            </w:r>
          </w:p>
        </w:tc>
        <w:tc>
          <w:tcPr>
            <w:tcW w:w="1441" w:type="dxa"/>
            <w:noWrap/>
            <w:tcMar>
              <w:left w:w="57" w:type="dxa"/>
              <w:right w:w="57" w:type="dxa"/>
            </w:tcMar>
          </w:tcPr>
          <w:p w:rsidR="00631FFA" w:rsidRPr="00006BE9" w:rsidRDefault="00631FFA" w:rsidP="00D641D4">
            <w:pPr>
              <w:pStyle w:val="TableDataEntries"/>
              <w:rPr>
                <w:color w:val="000000"/>
              </w:rPr>
            </w:pPr>
            <w:r w:rsidRPr="00006BE9">
              <w:rPr>
                <w:color w:val="000000"/>
              </w:rPr>
              <w:t>72.0</w:t>
            </w:r>
          </w:p>
        </w:tc>
        <w:tc>
          <w:tcPr>
            <w:tcW w:w="1429" w:type="dxa"/>
            <w:noWrap/>
            <w:tcMar>
              <w:left w:w="57" w:type="dxa"/>
              <w:right w:w="57" w:type="dxa"/>
            </w:tcMar>
          </w:tcPr>
          <w:p w:rsidR="00631FFA" w:rsidRPr="00006BE9" w:rsidRDefault="00631FFA" w:rsidP="00D641D4">
            <w:pPr>
              <w:pStyle w:val="TableDataEntries"/>
              <w:rPr>
                <w:color w:val="000000"/>
              </w:rPr>
            </w:pPr>
            <w:r w:rsidRPr="00006BE9">
              <w:rPr>
                <w:color w:val="000000"/>
              </w:rPr>
              <w:t>10</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lastRenderedPageBreak/>
              <w:t>Water supply and sanitation</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4</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77.5</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11</w:t>
            </w:r>
          </w:p>
        </w:tc>
      </w:tr>
      <w:tr w:rsidR="00631FFA" w:rsidRPr="00006BE9" w:rsidTr="00006BE9">
        <w:trPr>
          <w:cantSplit/>
        </w:trPr>
        <w:tc>
          <w:tcPr>
            <w:tcW w:w="3738" w:type="dxa"/>
            <w:tcMar>
              <w:left w:w="57" w:type="dxa"/>
              <w:right w:w="57" w:type="dxa"/>
            </w:tcMar>
          </w:tcPr>
          <w:p w:rsidR="00631FFA" w:rsidRPr="00006BE9" w:rsidRDefault="00631FFA" w:rsidP="00D641D4">
            <w:pPr>
              <w:pStyle w:val="TableDataEntries"/>
              <w:jc w:val="left"/>
              <w:rPr>
                <w:color w:val="000000"/>
              </w:rPr>
            </w:pPr>
            <w:r w:rsidRPr="00006BE9">
              <w:rPr>
                <w:color w:val="000000"/>
              </w:rPr>
              <w:t>Water resource management</w:t>
            </w:r>
          </w:p>
        </w:tc>
        <w:tc>
          <w:tcPr>
            <w:tcW w:w="1386"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c>
          <w:tcPr>
            <w:tcW w:w="1441"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c>
          <w:tcPr>
            <w:tcW w:w="1429" w:type="dxa"/>
            <w:noWrap/>
            <w:tcMar>
              <w:left w:w="57" w:type="dxa"/>
              <w:right w:w="57" w:type="dxa"/>
            </w:tcMar>
          </w:tcPr>
          <w:p w:rsidR="00631FFA" w:rsidRPr="00006BE9" w:rsidRDefault="00631FFA" w:rsidP="00631FFA">
            <w:pPr>
              <w:pStyle w:val="TableDataEntries"/>
              <w:rPr>
                <w:color w:val="000000"/>
              </w:rPr>
            </w:pPr>
            <w:r w:rsidRPr="00006BE9">
              <w:rPr>
                <w:color w:val="000000"/>
              </w:rPr>
              <w:t>0</w:t>
            </w:r>
          </w:p>
        </w:tc>
      </w:tr>
      <w:tr w:rsidR="00631FFA" w:rsidRPr="00006BE9" w:rsidTr="00006BE9">
        <w:trPr>
          <w:cantSplit/>
        </w:trPr>
        <w:tc>
          <w:tcPr>
            <w:tcW w:w="3738" w:type="dxa"/>
            <w:tcBorders>
              <w:bottom w:val="single" w:sz="12" w:space="0" w:color="auto"/>
            </w:tcBorders>
            <w:tcMar>
              <w:left w:w="57" w:type="dxa"/>
              <w:right w:w="57" w:type="dxa"/>
            </w:tcMar>
          </w:tcPr>
          <w:p w:rsidR="00631FFA" w:rsidRPr="00006BE9" w:rsidRDefault="00631FFA" w:rsidP="00631FFA">
            <w:pPr>
              <w:pStyle w:val="TableDataEntries"/>
              <w:spacing w:before="80"/>
              <w:jc w:val="left"/>
              <w:rPr>
                <w:rFonts w:ascii="Franklin Gothic Medium" w:hAnsi="Franklin Gothic Medium"/>
                <w:color w:val="000000"/>
              </w:rPr>
            </w:pPr>
            <w:r w:rsidRPr="00006BE9">
              <w:rPr>
                <w:rFonts w:ascii="Franklin Gothic Medium" w:hAnsi="Franklin Gothic Medium"/>
                <w:color w:val="000000"/>
              </w:rPr>
              <w:t>Total economic infrastructure</w:t>
            </w:r>
          </w:p>
        </w:tc>
        <w:tc>
          <w:tcPr>
            <w:tcW w:w="1386" w:type="dxa"/>
            <w:tcBorders>
              <w:bottom w:val="single" w:sz="12" w:space="0" w:color="auto"/>
            </w:tcBorders>
            <w:noWrap/>
            <w:tcMar>
              <w:left w:w="57" w:type="dxa"/>
              <w:right w:w="57" w:type="dxa"/>
            </w:tcMar>
          </w:tcPr>
          <w:p w:rsidR="00631FFA" w:rsidRPr="00006BE9" w:rsidRDefault="00631FFA"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39</w:t>
            </w:r>
          </w:p>
        </w:tc>
        <w:tc>
          <w:tcPr>
            <w:tcW w:w="1441" w:type="dxa"/>
            <w:tcBorders>
              <w:bottom w:val="single" w:sz="12" w:space="0" w:color="auto"/>
            </w:tcBorders>
            <w:noWrap/>
            <w:tcMar>
              <w:left w:w="57" w:type="dxa"/>
              <w:right w:w="57" w:type="dxa"/>
            </w:tcMar>
          </w:tcPr>
          <w:p w:rsidR="00631FFA" w:rsidRPr="00006BE9" w:rsidRDefault="00631FFA"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710.0</w:t>
            </w:r>
          </w:p>
        </w:tc>
        <w:tc>
          <w:tcPr>
            <w:tcW w:w="1429" w:type="dxa"/>
            <w:tcBorders>
              <w:bottom w:val="single" w:sz="12" w:space="0" w:color="auto"/>
            </w:tcBorders>
            <w:noWrap/>
            <w:tcMar>
              <w:left w:w="57" w:type="dxa"/>
              <w:right w:w="57" w:type="dxa"/>
            </w:tcMar>
          </w:tcPr>
          <w:p w:rsidR="00631FFA" w:rsidRPr="00006BE9" w:rsidRDefault="00631FFA" w:rsidP="00631FFA">
            <w:pPr>
              <w:pStyle w:val="TableDataEntries"/>
              <w:spacing w:before="80"/>
              <w:rPr>
                <w:rFonts w:ascii="Franklin Gothic Medium" w:hAnsi="Franklin Gothic Medium"/>
                <w:color w:val="000000"/>
              </w:rPr>
            </w:pPr>
            <w:r w:rsidRPr="00006BE9">
              <w:rPr>
                <w:rFonts w:ascii="Franklin Gothic Medium" w:hAnsi="Franklin Gothic Medium"/>
                <w:color w:val="000000"/>
              </w:rPr>
              <w:t>100</w:t>
            </w:r>
          </w:p>
        </w:tc>
      </w:tr>
    </w:tbl>
    <w:p w:rsidR="00631FFA" w:rsidRPr="00006BE9" w:rsidRDefault="00631FFA" w:rsidP="000016BE">
      <w:pPr>
        <w:pStyle w:val="NoteNumber"/>
        <w:numPr>
          <w:ilvl w:val="0"/>
          <w:numId w:val="15"/>
        </w:numPr>
        <w:tabs>
          <w:tab w:val="clear" w:pos="720"/>
        </w:tabs>
        <w:ind w:left="0" w:firstLine="0"/>
        <w:rPr>
          <w:color w:val="000000"/>
        </w:rPr>
      </w:pPr>
      <w:r w:rsidRPr="00006BE9">
        <w:rPr>
          <w:color w:val="000000"/>
        </w:rPr>
        <w:t xml:space="preserve">Multi-sector infrastructure includes analytical and advisory activities funded under global programs and facilities such as </w:t>
      </w:r>
      <w:r w:rsidR="00E353AF" w:rsidRPr="00006BE9">
        <w:rPr>
          <w:color w:val="000000"/>
        </w:rPr>
        <w:t>the Indonesia Infrastructure Initiative</w:t>
      </w:r>
      <w:r w:rsidRPr="00006BE9">
        <w:rPr>
          <w:color w:val="000000"/>
        </w:rPr>
        <w:t>.</w:t>
      </w:r>
    </w:p>
    <w:p w:rsidR="00D641D4" w:rsidRPr="00006BE9" w:rsidRDefault="00D641D4" w:rsidP="00AF18BD">
      <w:pPr>
        <w:pStyle w:val="Heading1unnumbered"/>
        <w:rPr>
          <w:noProof/>
          <w:color w:val="000000"/>
        </w:rPr>
      </w:pPr>
      <w:bookmarkStart w:id="16" w:name="_Toc217894551"/>
      <w:r w:rsidRPr="00006BE9">
        <w:rPr>
          <w:color w:val="000000"/>
        </w:rPr>
        <w:lastRenderedPageBreak/>
        <w:t xml:space="preserve">Results of support </w:t>
      </w:r>
      <w:r w:rsidR="003F3987" w:rsidRPr="00006BE9">
        <w:rPr>
          <w:color w:val="000000"/>
        </w:rPr>
        <w:t>for</w:t>
      </w:r>
      <w:r w:rsidRPr="00006BE9">
        <w:rPr>
          <w:color w:val="000000"/>
        </w:rPr>
        <w:t xml:space="preserve"> transport </w:t>
      </w:r>
      <w:r w:rsidR="003F3987" w:rsidRPr="00006BE9">
        <w:rPr>
          <w:color w:val="000000"/>
        </w:rPr>
        <w:t xml:space="preserve">infrastructure </w:t>
      </w:r>
      <w:r w:rsidRPr="00006BE9">
        <w:rPr>
          <w:color w:val="000000"/>
        </w:rPr>
        <w:t xml:space="preserve">in </w:t>
      </w:r>
      <w:smartTag w:uri="urn:schemas-microsoft-com:office:smarttags" w:element="country-region">
        <w:smartTag w:uri="urn:schemas-microsoft-com:office:smarttags" w:element="place">
          <w:r w:rsidR="00AF18BD" w:rsidRPr="00006BE9">
            <w:rPr>
              <w:color w:val="000000"/>
            </w:rPr>
            <w:t>Papua New Guinea</w:t>
          </w:r>
        </w:smartTag>
      </w:smartTag>
      <w:bookmarkEnd w:id="16"/>
    </w:p>
    <w:p w:rsidR="00D641D4" w:rsidRPr="00006BE9" w:rsidRDefault="00D641D4" w:rsidP="00AF18BD">
      <w:pPr>
        <w:pStyle w:val="Heading2unnumbered"/>
        <w:tabs>
          <w:tab w:val="clear" w:pos="709"/>
        </w:tabs>
        <w:spacing w:before="120"/>
        <w:rPr>
          <w:color w:val="000000"/>
        </w:rPr>
      </w:pPr>
      <w:bookmarkStart w:id="17" w:name="_Toc217894552"/>
      <w:r w:rsidRPr="00006BE9">
        <w:rPr>
          <w:color w:val="000000"/>
        </w:rPr>
        <w:t>Background</w:t>
      </w:r>
      <w:bookmarkEnd w:id="17"/>
    </w:p>
    <w:p w:rsidR="00D641D4" w:rsidRPr="00006BE9" w:rsidRDefault="00D641D4" w:rsidP="00D641D4">
      <w:pPr>
        <w:pStyle w:val="BodyText"/>
        <w:rPr>
          <w:color w:val="000000"/>
        </w:rPr>
      </w:pPr>
      <w:r w:rsidRPr="00006BE9">
        <w:rPr>
          <w:color w:val="000000"/>
        </w:rPr>
        <w:t>This part of the review assesses the results of Australian assistance to the transport sector as a</w:t>
      </w:r>
      <w:r w:rsidR="002A68E7" w:rsidRPr="00006BE9">
        <w:rPr>
          <w:color w:val="000000"/>
        </w:rPr>
        <w:t> </w:t>
      </w:r>
      <w:r w:rsidRPr="00006BE9">
        <w:rPr>
          <w:color w:val="000000"/>
        </w:rPr>
        <w:t xml:space="preserve">whole in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w:t>
      </w:r>
      <w:r w:rsidR="00F21DB8" w:rsidRPr="00006BE9">
        <w:rPr>
          <w:color w:val="000000"/>
        </w:rPr>
        <w:t xml:space="preserve"> </w:t>
      </w:r>
      <w:smartTag w:uri="urn:schemas-microsoft-com:office:smarttags" w:element="country-region">
        <w:r w:rsidRPr="00006BE9">
          <w:rPr>
            <w:color w:val="000000"/>
          </w:rPr>
          <w:t>Australia</w:t>
        </w:r>
      </w:smartTag>
      <w:r w:rsidRPr="00006BE9">
        <w:rPr>
          <w:color w:val="000000"/>
        </w:rPr>
        <w:t xml:space="preserve"> has been supporting the PNG transport sector, particularly roads, since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 xml:space="preserve"> achieved independence in 1975.</w:t>
      </w:r>
      <w:r w:rsidR="00F21DB8" w:rsidRPr="00006BE9">
        <w:rPr>
          <w:color w:val="000000"/>
        </w:rPr>
        <w:t xml:space="preserve"> </w:t>
      </w:r>
      <w:r w:rsidRPr="00006BE9">
        <w:rPr>
          <w:color w:val="000000"/>
        </w:rPr>
        <w:t>Table</w:t>
      </w:r>
      <w:r w:rsidR="002A68E7" w:rsidRPr="00006BE9">
        <w:rPr>
          <w:color w:val="000000"/>
        </w:rPr>
        <w:t> </w:t>
      </w:r>
      <w:r w:rsidRPr="00006BE9">
        <w:rPr>
          <w:color w:val="000000"/>
        </w:rPr>
        <w:t>3 lists the</w:t>
      </w:r>
      <w:r w:rsidR="002A68E7" w:rsidRPr="00006BE9">
        <w:rPr>
          <w:color w:val="000000"/>
        </w:rPr>
        <w:t> </w:t>
      </w:r>
      <w:r w:rsidRPr="00006BE9">
        <w:rPr>
          <w:color w:val="000000"/>
        </w:rPr>
        <w:t>most recent projects and programs.</w:t>
      </w:r>
      <w:r w:rsidR="00F21DB8" w:rsidRPr="00006BE9">
        <w:rPr>
          <w:color w:val="000000"/>
        </w:rPr>
        <w:t xml:space="preserve"> </w:t>
      </w:r>
      <w:r w:rsidRPr="00006BE9">
        <w:rPr>
          <w:color w:val="000000"/>
        </w:rPr>
        <w:t>Based on past and current commitments close to $840</w:t>
      </w:r>
      <w:r w:rsidR="002A68E7" w:rsidRPr="00006BE9">
        <w:rPr>
          <w:color w:val="000000"/>
        </w:rPr>
        <w:t> </w:t>
      </w:r>
      <w:r w:rsidRPr="00006BE9">
        <w:rPr>
          <w:color w:val="000000"/>
        </w:rPr>
        <w:t xml:space="preserve">million will be spent on the sector </w:t>
      </w:r>
      <w:r w:rsidR="002A68E7" w:rsidRPr="00006BE9">
        <w:rPr>
          <w:color w:val="000000"/>
        </w:rPr>
        <w:t xml:space="preserve">during </w:t>
      </w:r>
      <w:r w:rsidRPr="00006BE9">
        <w:rPr>
          <w:color w:val="000000"/>
        </w:rPr>
        <w:t>the period 1999</w:t>
      </w:r>
      <w:r w:rsidR="00064A26" w:rsidRPr="00006BE9">
        <w:rPr>
          <w:color w:val="000000"/>
        </w:rPr>
        <w:t>-10</w:t>
      </w:r>
      <w:r w:rsidRPr="00006BE9">
        <w:rPr>
          <w:color w:val="000000"/>
        </w:rPr>
        <w:t xml:space="preserve"> to 20</w:t>
      </w:r>
      <w:r w:rsidR="00064A26" w:rsidRPr="00006BE9">
        <w:rPr>
          <w:color w:val="000000"/>
        </w:rPr>
        <w:t>11-</w:t>
      </w:r>
      <w:r w:rsidRPr="00006BE9">
        <w:rPr>
          <w:color w:val="000000"/>
        </w:rPr>
        <w:t>12.</w:t>
      </w:r>
      <w:r w:rsidR="00F21DB8" w:rsidRPr="00006BE9">
        <w:rPr>
          <w:color w:val="000000"/>
        </w:rPr>
        <w:t xml:space="preserve"> </w:t>
      </w:r>
      <w:r w:rsidRPr="00006BE9">
        <w:rPr>
          <w:color w:val="000000"/>
        </w:rPr>
        <w:t xml:space="preserve">The reported expenditure by </w:t>
      </w:r>
      <w:smartTag w:uri="urn:schemas-microsoft-com:office:smarttags" w:element="country-region">
        <w:r w:rsidRPr="00006BE9">
          <w:rPr>
            <w:color w:val="000000"/>
          </w:rPr>
          <w:t>Australia</w:t>
        </w:r>
      </w:smartTag>
      <w:r w:rsidRPr="00006BE9">
        <w:rPr>
          <w:color w:val="000000"/>
        </w:rPr>
        <w:t xml:space="preserve"> in 2007</w:t>
      </w:r>
      <w:r w:rsidR="00064A26" w:rsidRPr="00006BE9">
        <w:rPr>
          <w:color w:val="000000"/>
        </w:rPr>
        <w:t>-08</w:t>
      </w:r>
      <w:r w:rsidRPr="00006BE9">
        <w:rPr>
          <w:color w:val="000000"/>
        </w:rPr>
        <w:t xml:space="preserve"> was $71.8</w:t>
      </w:r>
      <w:r w:rsidR="003F3987" w:rsidRPr="00006BE9">
        <w:rPr>
          <w:color w:val="000000"/>
        </w:rPr>
        <w:t xml:space="preserve"> million</w:t>
      </w:r>
      <w:r w:rsidRPr="00006BE9">
        <w:rPr>
          <w:rStyle w:val="FootnoteReference"/>
          <w:color w:val="000000"/>
        </w:rPr>
        <w:footnoteReference w:id="7"/>
      </w:r>
      <w:r w:rsidRPr="00006BE9">
        <w:rPr>
          <w:color w:val="000000"/>
        </w:rPr>
        <w:t>, equivalent to 19</w:t>
      </w:r>
      <w:r w:rsidR="00F21DB8" w:rsidRPr="00006BE9">
        <w:rPr>
          <w:color w:val="000000"/>
        </w:rPr>
        <w:t> per cent</w:t>
      </w:r>
      <w:r w:rsidRPr="00006BE9">
        <w:rPr>
          <w:color w:val="000000"/>
        </w:rPr>
        <w:t xml:space="preserve"> of </w:t>
      </w:r>
      <w:smartTag w:uri="urn:schemas-microsoft-com:office:smarttags" w:element="country-region">
        <w:r w:rsidRPr="00006BE9">
          <w:rPr>
            <w:color w:val="000000"/>
          </w:rPr>
          <w:t>Australia</w:t>
        </w:r>
      </w:smartTag>
      <w:r w:rsidR="002A68E7" w:rsidRPr="00006BE9">
        <w:rPr>
          <w:color w:val="000000"/>
        </w:rPr>
        <w:t xml:space="preserve">’s </w:t>
      </w:r>
      <w:r w:rsidRPr="00006BE9">
        <w:rPr>
          <w:color w:val="000000"/>
        </w:rPr>
        <w:t xml:space="preserve">total development assistance to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w:t>
      </w:r>
    </w:p>
    <w:p w:rsidR="00D641D4" w:rsidRPr="00006BE9" w:rsidRDefault="00D641D4" w:rsidP="00E05912">
      <w:pPr>
        <w:pStyle w:val="Caption"/>
        <w:framePr w:hSpace="181" w:wrap="around" w:hAnchor="text" w:yAlign="bottom"/>
        <w:spacing w:before="320"/>
        <w:rPr>
          <w:color w:val="000000"/>
        </w:rPr>
      </w:pPr>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3</w:t>
      </w:r>
      <w:r w:rsidRPr="00006BE9">
        <w:rPr>
          <w:color w:val="000000"/>
        </w:rPr>
        <w:fldChar w:fldCharType="end"/>
      </w:r>
      <w:r w:rsidRPr="00006BE9">
        <w:rPr>
          <w:color w:val="000000"/>
        </w:rPr>
        <w:t xml:space="preserve">: Australian </w:t>
      </w:r>
      <w:r w:rsidR="002A68E7" w:rsidRPr="00006BE9">
        <w:rPr>
          <w:color w:val="000000"/>
        </w:rPr>
        <w:t xml:space="preserve">support </w:t>
      </w:r>
      <w:r w:rsidRPr="00006BE9">
        <w:rPr>
          <w:color w:val="000000"/>
        </w:rPr>
        <w:t xml:space="preserve">to the PNG </w:t>
      </w:r>
      <w:r w:rsidR="00C000AA" w:rsidRPr="00006BE9">
        <w:rPr>
          <w:color w:val="000000"/>
        </w:rPr>
        <w:t>transport sector</w:t>
      </w:r>
      <w:r w:rsidRPr="00006BE9">
        <w:rPr>
          <w:color w:val="000000"/>
        </w:rPr>
        <w:t>, 1999 to 2012</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3"/>
        <w:tblDescription w:val="Australian support to the PNG transport sector, 1999 to 2012"/>
      </w:tblPr>
      <w:tblGrid>
        <w:gridCol w:w="4774"/>
        <w:gridCol w:w="1847"/>
        <w:gridCol w:w="1316"/>
      </w:tblGrid>
      <w:tr w:rsidR="00D641D4" w:rsidRPr="00006BE9" w:rsidTr="007A45B0">
        <w:trPr>
          <w:cantSplit/>
          <w:tblHeader/>
        </w:trPr>
        <w:tc>
          <w:tcPr>
            <w:tcW w:w="4774" w:type="dxa"/>
            <w:tcBorders>
              <w:bottom w:val="single" w:sz="12" w:space="0" w:color="auto"/>
            </w:tcBorders>
            <w:tcMar>
              <w:left w:w="57" w:type="dxa"/>
              <w:right w:w="57" w:type="dxa"/>
            </w:tcMar>
          </w:tcPr>
          <w:p w:rsidR="00D641D4" w:rsidRPr="00006BE9" w:rsidRDefault="00D641D4" w:rsidP="00065D69">
            <w:pPr>
              <w:pStyle w:val="TableDataColumnHeading"/>
              <w:framePr w:hSpace="181" w:wrap="around" w:hAnchor="text" w:yAlign="bottom"/>
              <w:jc w:val="left"/>
              <w:rPr>
                <w:color w:val="000000"/>
              </w:rPr>
            </w:pPr>
            <w:r w:rsidRPr="00006BE9">
              <w:rPr>
                <w:color w:val="000000"/>
              </w:rPr>
              <w:t>Project</w:t>
            </w:r>
            <w:r w:rsidR="003F3987" w:rsidRPr="00006BE9">
              <w:rPr>
                <w:color w:val="000000"/>
              </w:rPr>
              <w:t xml:space="preserve"> or p</w:t>
            </w:r>
            <w:r w:rsidRPr="00006BE9">
              <w:rPr>
                <w:color w:val="000000"/>
              </w:rPr>
              <w:t>rogram</w:t>
            </w:r>
          </w:p>
        </w:tc>
        <w:tc>
          <w:tcPr>
            <w:tcW w:w="1847" w:type="dxa"/>
            <w:tcBorders>
              <w:bottom w:val="single" w:sz="12" w:space="0" w:color="auto"/>
            </w:tcBorders>
            <w:tcMar>
              <w:left w:w="57" w:type="dxa"/>
              <w:right w:w="57" w:type="dxa"/>
            </w:tcMar>
          </w:tcPr>
          <w:p w:rsidR="00D641D4" w:rsidRPr="00006BE9" w:rsidRDefault="00D641D4" w:rsidP="00065D69">
            <w:pPr>
              <w:pStyle w:val="TableDataColumnHeading"/>
              <w:framePr w:hSpace="181" w:wrap="around" w:hAnchor="text" w:yAlign="bottom"/>
              <w:rPr>
                <w:color w:val="000000"/>
              </w:rPr>
            </w:pPr>
            <w:r w:rsidRPr="00006BE9">
              <w:rPr>
                <w:color w:val="000000"/>
              </w:rPr>
              <w:t xml:space="preserve">Implementation </w:t>
            </w:r>
            <w:r w:rsidR="00AF18BD" w:rsidRPr="00006BE9">
              <w:rPr>
                <w:color w:val="000000"/>
              </w:rPr>
              <w:t>period</w:t>
            </w:r>
          </w:p>
        </w:tc>
        <w:tc>
          <w:tcPr>
            <w:tcW w:w="1316" w:type="dxa"/>
            <w:tcBorders>
              <w:bottom w:val="single" w:sz="12" w:space="0" w:color="auto"/>
            </w:tcBorders>
            <w:tcMar>
              <w:left w:w="57" w:type="dxa"/>
              <w:right w:w="57" w:type="dxa"/>
            </w:tcMar>
          </w:tcPr>
          <w:p w:rsidR="00D641D4" w:rsidRPr="00006BE9" w:rsidRDefault="003F3987" w:rsidP="00065D69">
            <w:pPr>
              <w:pStyle w:val="TableDataColumnHeading"/>
              <w:framePr w:hSpace="181" w:wrap="around" w:hAnchor="text" w:yAlign="bottom"/>
              <w:rPr>
                <w:color w:val="000000"/>
              </w:rPr>
            </w:pPr>
            <w:r w:rsidRPr="00006BE9">
              <w:rPr>
                <w:color w:val="000000"/>
              </w:rPr>
              <w:t>A</w:t>
            </w:r>
            <w:r w:rsidR="00AF18BD" w:rsidRPr="00006BE9">
              <w:rPr>
                <w:color w:val="000000"/>
              </w:rPr>
              <w:t>mount</w:t>
            </w:r>
          </w:p>
        </w:tc>
      </w:tr>
      <w:tr w:rsidR="00D641D4" w:rsidRPr="00006BE9" w:rsidTr="007A45B0">
        <w:trPr>
          <w:cantSplit/>
          <w:tblHeader/>
        </w:trPr>
        <w:tc>
          <w:tcPr>
            <w:tcW w:w="4774" w:type="dxa"/>
            <w:tcBorders>
              <w:top w:val="single" w:sz="12" w:space="0" w:color="auto"/>
            </w:tcBorders>
            <w:tcMar>
              <w:left w:w="57" w:type="dxa"/>
              <w:right w:w="57" w:type="dxa"/>
            </w:tcMar>
          </w:tcPr>
          <w:p w:rsidR="00D641D4" w:rsidRPr="00006BE9" w:rsidRDefault="00D641D4" w:rsidP="00065D69">
            <w:pPr>
              <w:pStyle w:val="TableUnit"/>
              <w:framePr w:hSpace="181" w:wrap="around" w:hAnchor="text" w:yAlign="bottom"/>
              <w:rPr>
                <w:color w:val="000000"/>
              </w:rPr>
            </w:pPr>
          </w:p>
        </w:tc>
        <w:tc>
          <w:tcPr>
            <w:tcW w:w="1847" w:type="dxa"/>
            <w:tcBorders>
              <w:top w:val="single" w:sz="12" w:space="0" w:color="auto"/>
            </w:tcBorders>
            <w:tcMar>
              <w:left w:w="57" w:type="dxa"/>
              <w:right w:w="57" w:type="dxa"/>
            </w:tcMar>
          </w:tcPr>
          <w:p w:rsidR="00D641D4" w:rsidRPr="00006BE9" w:rsidRDefault="00D641D4" w:rsidP="00065D69">
            <w:pPr>
              <w:pStyle w:val="TableUnit"/>
              <w:framePr w:hSpace="181" w:wrap="around" w:hAnchor="text" w:yAlign="bottom"/>
              <w:rPr>
                <w:color w:val="000000"/>
              </w:rPr>
            </w:pPr>
          </w:p>
        </w:tc>
        <w:tc>
          <w:tcPr>
            <w:tcW w:w="1316" w:type="dxa"/>
            <w:tcBorders>
              <w:top w:val="single" w:sz="12" w:space="0" w:color="auto"/>
            </w:tcBorders>
            <w:tcMar>
              <w:left w:w="57" w:type="dxa"/>
              <w:right w:w="57" w:type="dxa"/>
            </w:tcMar>
          </w:tcPr>
          <w:p w:rsidR="00D641D4" w:rsidRPr="00006BE9" w:rsidRDefault="00D641D4" w:rsidP="00065D69">
            <w:pPr>
              <w:pStyle w:val="TableUnit"/>
              <w:framePr w:hSpace="181" w:wrap="around" w:hAnchor="text" w:yAlign="bottom"/>
              <w:rPr>
                <w:color w:val="000000"/>
              </w:rPr>
            </w:pPr>
            <w:r w:rsidRPr="00006BE9">
              <w:rPr>
                <w:color w:val="000000"/>
              </w:rPr>
              <w:t>A$ million</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Transport Sector Support Program</w:t>
            </w:r>
            <w:r w:rsidR="002A68E7" w:rsidRPr="00006BE9">
              <w:rPr>
                <w:color w:val="000000"/>
              </w:rPr>
              <w:t>—</w:t>
            </w:r>
            <w:r w:rsidRPr="00006BE9">
              <w:rPr>
                <w:color w:val="000000"/>
              </w:rPr>
              <w:t>Phase</w:t>
            </w:r>
            <w:r w:rsidR="00F21DB8" w:rsidRPr="00006BE9">
              <w:rPr>
                <w:color w:val="000000"/>
              </w:rPr>
              <w:t xml:space="preserve"> </w:t>
            </w:r>
            <w:r w:rsidRPr="00006BE9">
              <w:rPr>
                <w:color w:val="000000"/>
              </w:rPr>
              <w:t>1</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2007–</w:t>
            </w:r>
            <w:r w:rsidR="00D641D4" w:rsidRPr="00006BE9">
              <w:rPr>
                <w:color w:val="000000"/>
              </w:rPr>
              <w:t>12</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250</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Transport Sector Support Program</w:t>
            </w:r>
            <w:r w:rsidR="002A68E7" w:rsidRPr="00006BE9">
              <w:rPr>
                <w:color w:val="000000"/>
              </w:rPr>
              <w:t>—</w:t>
            </w:r>
            <w:r w:rsidRPr="00006BE9">
              <w:rPr>
                <w:color w:val="000000"/>
              </w:rPr>
              <w:t xml:space="preserve">Interim Phase </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2006–</w:t>
            </w:r>
            <w:r w:rsidR="00D641D4" w:rsidRPr="00006BE9">
              <w:rPr>
                <w:color w:val="000000"/>
              </w:rPr>
              <w:t>07</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30</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Key Roads for Growth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2004–</w:t>
            </w:r>
            <w:r w:rsidR="00D641D4" w:rsidRPr="00006BE9">
              <w:rPr>
                <w:color w:val="000000"/>
              </w:rPr>
              <w:t>09</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50</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smartTag w:uri="urn:schemas-microsoft-com:office:smarttags" w:element="place">
              <w:r w:rsidRPr="00006BE9">
                <w:rPr>
                  <w:color w:val="000000"/>
                </w:rPr>
                <w:t>Bougainville</w:t>
              </w:r>
            </w:smartTag>
            <w:r w:rsidRPr="00006BE9">
              <w:rPr>
                <w:color w:val="000000"/>
              </w:rPr>
              <w:t xml:space="preserve"> Coastal Road Trunk Road Maintenance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2002–</w:t>
            </w:r>
            <w:r w:rsidR="00D641D4" w:rsidRPr="00006BE9">
              <w:rPr>
                <w:color w:val="000000"/>
              </w:rPr>
              <w:t>07</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36</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 xml:space="preserve">National Road Re-gravelling and Sealing Project </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1995–</w:t>
            </w:r>
            <w:r w:rsidR="00D641D4" w:rsidRPr="00006BE9">
              <w:rPr>
                <w:color w:val="000000"/>
              </w:rPr>
              <w:t>06</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123</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smartTag w:uri="urn:schemas-microsoft-com:office:smarttags" w:element="PlaceName">
              <w:smartTag w:uri="urn:schemas-microsoft-com:office:smarttags" w:element="place">
                <w:r w:rsidRPr="00006BE9">
                  <w:rPr>
                    <w:color w:val="000000"/>
                  </w:rPr>
                  <w:t>Lae</w:t>
                </w:r>
              </w:smartTag>
              <w:r w:rsidRPr="00006BE9">
                <w:rPr>
                  <w:color w:val="000000"/>
                </w:rPr>
                <w:t xml:space="preserve"> </w:t>
              </w:r>
              <w:smartTag w:uri="urn:schemas-microsoft-com:office:smarttags" w:element="PlaceType">
                <w:r w:rsidRPr="00006BE9">
                  <w:rPr>
                    <w:color w:val="000000"/>
                  </w:rPr>
                  <w:t>City</w:t>
                </w:r>
              </w:smartTag>
            </w:smartTag>
            <w:r w:rsidRPr="00006BE9">
              <w:rPr>
                <w:color w:val="000000"/>
              </w:rPr>
              <w:t xml:space="preserve"> Roads Upgrading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2001–</w:t>
            </w:r>
            <w:r w:rsidR="00D641D4" w:rsidRPr="00006BE9">
              <w:rPr>
                <w:color w:val="000000"/>
              </w:rPr>
              <w:t>06</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50</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 xml:space="preserve">National Roads and Bridges Maintenance Project </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2000–</w:t>
            </w:r>
            <w:r w:rsidR="00D641D4" w:rsidRPr="00006BE9">
              <w:rPr>
                <w:color w:val="000000"/>
              </w:rPr>
              <w:t>05</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125</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Gazelle Road Reconstruction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2002–</w:t>
            </w:r>
            <w:r w:rsidR="00D641D4" w:rsidRPr="00006BE9">
              <w:rPr>
                <w:color w:val="000000"/>
              </w:rPr>
              <w:t>05</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24</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Airport Maintenance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2000–</w:t>
            </w:r>
            <w:r w:rsidR="00D641D4" w:rsidRPr="00006BE9">
              <w:rPr>
                <w:color w:val="000000"/>
              </w:rPr>
              <w:t>05</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46</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r w:rsidRPr="00006BE9">
              <w:rPr>
                <w:color w:val="000000"/>
              </w:rPr>
              <w:t>Bougainville Wharves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2002–</w:t>
            </w:r>
            <w:r w:rsidR="00D641D4" w:rsidRPr="00006BE9">
              <w:rPr>
                <w:color w:val="000000"/>
              </w:rPr>
              <w:t>04</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14</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smartTag w:uri="urn:schemas-microsoft-com:office:smarttags" w:element="place">
              <w:r w:rsidRPr="00006BE9">
                <w:rPr>
                  <w:color w:val="000000"/>
                </w:rPr>
                <w:t>Bougainville</w:t>
              </w:r>
            </w:smartTag>
            <w:r w:rsidRPr="00006BE9">
              <w:rPr>
                <w:color w:val="000000"/>
              </w:rPr>
              <w:t xml:space="preserve"> Coastal Road Trunk Road Rehabilitation Project</w:t>
            </w:r>
          </w:p>
        </w:tc>
        <w:tc>
          <w:tcPr>
            <w:tcW w:w="1847"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19</w:t>
            </w:r>
            <w:r w:rsidR="00AF18BD" w:rsidRPr="00006BE9">
              <w:rPr>
                <w:color w:val="000000"/>
              </w:rPr>
              <w:t>99–</w:t>
            </w:r>
            <w:r w:rsidRPr="00006BE9">
              <w:rPr>
                <w:color w:val="000000"/>
              </w:rPr>
              <w:t>02</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13</w:t>
            </w:r>
          </w:p>
        </w:tc>
      </w:tr>
      <w:tr w:rsidR="00D641D4" w:rsidRPr="00006BE9" w:rsidTr="007A45B0">
        <w:trPr>
          <w:cantSplit/>
        </w:trPr>
        <w:tc>
          <w:tcPr>
            <w:tcW w:w="4774" w:type="dxa"/>
            <w:tcMar>
              <w:left w:w="57" w:type="dxa"/>
              <w:right w:w="57" w:type="dxa"/>
            </w:tcMar>
          </w:tcPr>
          <w:p w:rsidR="00D641D4" w:rsidRPr="00006BE9" w:rsidRDefault="00D641D4" w:rsidP="00065D69">
            <w:pPr>
              <w:pStyle w:val="TableDataEntries"/>
              <w:framePr w:hSpace="181" w:wrap="around" w:hAnchor="text" w:yAlign="bottom"/>
              <w:jc w:val="left"/>
              <w:rPr>
                <w:color w:val="000000"/>
              </w:rPr>
            </w:pPr>
            <w:smartTag w:uri="urn:schemas-microsoft-com:office:smarttags" w:element="Street">
              <w:smartTag w:uri="urn:schemas-microsoft-com:office:smarttags" w:element="address">
                <w:r w:rsidRPr="00006BE9">
                  <w:rPr>
                    <w:color w:val="000000"/>
                  </w:rPr>
                  <w:t>Highland Highway</w:t>
                </w:r>
              </w:smartTag>
            </w:smartTag>
            <w:r w:rsidRPr="00006BE9">
              <w:rPr>
                <w:color w:val="000000"/>
              </w:rPr>
              <w:t xml:space="preserve"> Upgrading Project</w:t>
            </w:r>
          </w:p>
        </w:tc>
        <w:tc>
          <w:tcPr>
            <w:tcW w:w="1847" w:type="dxa"/>
            <w:tcMar>
              <w:left w:w="57" w:type="dxa"/>
              <w:right w:w="57" w:type="dxa"/>
            </w:tcMar>
          </w:tcPr>
          <w:p w:rsidR="00D641D4" w:rsidRPr="00006BE9" w:rsidRDefault="00AF18BD" w:rsidP="00065D69">
            <w:pPr>
              <w:pStyle w:val="TableDataEntries"/>
              <w:framePr w:hSpace="181" w:wrap="around" w:hAnchor="text" w:yAlign="bottom"/>
              <w:rPr>
                <w:color w:val="000000"/>
              </w:rPr>
            </w:pPr>
            <w:r w:rsidRPr="00006BE9">
              <w:rPr>
                <w:color w:val="000000"/>
              </w:rPr>
              <w:t>1999–</w:t>
            </w:r>
            <w:r w:rsidR="00D641D4" w:rsidRPr="00006BE9">
              <w:rPr>
                <w:color w:val="000000"/>
              </w:rPr>
              <w:t>01</w:t>
            </w:r>
          </w:p>
        </w:tc>
        <w:tc>
          <w:tcPr>
            <w:tcW w:w="1316" w:type="dxa"/>
            <w:tcMar>
              <w:left w:w="57" w:type="dxa"/>
              <w:right w:w="57" w:type="dxa"/>
            </w:tcMar>
          </w:tcPr>
          <w:p w:rsidR="00D641D4" w:rsidRPr="00006BE9" w:rsidRDefault="00D641D4" w:rsidP="00065D69">
            <w:pPr>
              <w:pStyle w:val="TableDataEntries"/>
              <w:framePr w:hSpace="181" w:wrap="around" w:hAnchor="text" w:yAlign="bottom"/>
              <w:rPr>
                <w:color w:val="000000"/>
              </w:rPr>
            </w:pPr>
            <w:r w:rsidRPr="00006BE9">
              <w:rPr>
                <w:color w:val="000000"/>
              </w:rPr>
              <w:t>81</w:t>
            </w:r>
          </w:p>
        </w:tc>
      </w:tr>
      <w:tr w:rsidR="00D641D4" w:rsidRPr="00006BE9" w:rsidTr="007A45B0">
        <w:trPr>
          <w:cantSplit/>
        </w:trPr>
        <w:tc>
          <w:tcPr>
            <w:tcW w:w="4774" w:type="dxa"/>
            <w:tcBorders>
              <w:bottom w:val="single" w:sz="12" w:space="0" w:color="auto"/>
            </w:tcBorders>
            <w:tcMar>
              <w:left w:w="57" w:type="dxa"/>
              <w:right w:w="57" w:type="dxa"/>
            </w:tcMar>
          </w:tcPr>
          <w:p w:rsidR="00D641D4" w:rsidRPr="00006BE9" w:rsidRDefault="00D641D4" w:rsidP="00065D69">
            <w:pPr>
              <w:pStyle w:val="TableDataEntries"/>
              <w:framePr w:hSpace="181" w:wrap="around" w:hAnchor="text" w:yAlign="bottom"/>
              <w:spacing w:before="80"/>
              <w:jc w:val="left"/>
              <w:rPr>
                <w:rFonts w:ascii="Franklin Gothic Medium" w:hAnsi="Franklin Gothic Medium"/>
                <w:color w:val="000000"/>
              </w:rPr>
            </w:pPr>
            <w:r w:rsidRPr="00006BE9">
              <w:rPr>
                <w:rFonts w:ascii="Franklin Gothic Medium" w:hAnsi="Franklin Gothic Medium"/>
                <w:color w:val="000000"/>
              </w:rPr>
              <w:t>Total</w:t>
            </w:r>
          </w:p>
        </w:tc>
        <w:tc>
          <w:tcPr>
            <w:tcW w:w="1847" w:type="dxa"/>
            <w:tcBorders>
              <w:bottom w:val="single" w:sz="12" w:space="0" w:color="auto"/>
            </w:tcBorders>
            <w:tcMar>
              <w:left w:w="57" w:type="dxa"/>
              <w:right w:w="57" w:type="dxa"/>
            </w:tcMar>
          </w:tcPr>
          <w:p w:rsidR="00D641D4" w:rsidRPr="00006BE9" w:rsidRDefault="00D641D4" w:rsidP="00065D69">
            <w:pPr>
              <w:pStyle w:val="TableDataEntries"/>
              <w:framePr w:hSpace="181" w:wrap="around" w:hAnchor="text" w:yAlign="bottom"/>
              <w:spacing w:before="80"/>
              <w:rPr>
                <w:rFonts w:ascii="Franklin Gothic Medium" w:hAnsi="Franklin Gothic Medium"/>
                <w:color w:val="000000"/>
              </w:rPr>
            </w:pPr>
          </w:p>
        </w:tc>
        <w:tc>
          <w:tcPr>
            <w:tcW w:w="1316" w:type="dxa"/>
            <w:tcBorders>
              <w:bottom w:val="single" w:sz="12" w:space="0" w:color="auto"/>
            </w:tcBorders>
            <w:tcMar>
              <w:left w:w="57" w:type="dxa"/>
              <w:right w:w="57" w:type="dxa"/>
            </w:tcMar>
          </w:tcPr>
          <w:p w:rsidR="00D641D4" w:rsidRPr="00006BE9" w:rsidRDefault="00D641D4" w:rsidP="00065D69">
            <w:pPr>
              <w:pStyle w:val="TableDataEntries"/>
              <w:framePr w:hSpace="181" w:wrap="around" w:hAnchor="text" w:yAlign="bottom"/>
              <w:spacing w:before="80"/>
              <w:rPr>
                <w:rFonts w:ascii="Franklin Gothic Medium" w:hAnsi="Franklin Gothic Medium"/>
                <w:color w:val="000000"/>
              </w:rPr>
            </w:pPr>
            <w:r w:rsidRPr="00006BE9">
              <w:rPr>
                <w:rFonts w:ascii="Franklin Gothic Medium" w:hAnsi="Franklin Gothic Medium"/>
                <w:color w:val="000000"/>
              </w:rPr>
              <w:fldChar w:fldCharType="begin"/>
            </w:r>
            <w:r w:rsidRPr="00006BE9">
              <w:rPr>
                <w:rFonts w:ascii="Franklin Gothic Medium" w:hAnsi="Franklin Gothic Medium"/>
                <w:color w:val="000000"/>
              </w:rPr>
              <w:instrText xml:space="preserve"> =SUM(ABOVE) </w:instrText>
            </w:r>
            <w:r w:rsidRPr="00006BE9">
              <w:rPr>
                <w:rFonts w:ascii="Franklin Gothic Medium" w:hAnsi="Franklin Gothic Medium"/>
                <w:color w:val="000000"/>
              </w:rPr>
              <w:fldChar w:fldCharType="separate"/>
            </w:r>
            <w:r w:rsidRPr="00006BE9">
              <w:rPr>
                <w:rFonts w:ascii="Franklin Gothic Medium" w:hAnsi="Franklin Gothic Medium"/>
                <w:noProof/>
                <w:color w:val="000000"/>
              </w:rPr>
              <w:t>842</w:t>
            </w:r>
            <w:r w:rsidRPr="00006BE9">
              <w:rPr>
                <w:rFonts w:ascii="Franklin Gothic Medium" w:hAnsi="Franklin Gothic Medium"/>
                <w:color w:val="000000"/>
              </w:rPr>
              <w:fldChar w:fldCharType="end"/>
            </w:r>
          </w:p>
        </w:tc>
      </w:tr>
    </w:tbl>
    <w:p w:rsidR="00D641D4" w:rsidRPr="00006BE9" w:rsidRDefault="00D641D4" w:rsidP="00E05912">
      <w:pPr>
        <w:pStyle w:val="Source"/>
        <w:framePr w:hSpace="181" w:wrap="around" w:hAnchor="text" w:yAlign="bottom"/>
        <w:spacing w:after="700"/>
        <w:rPr>
          <w:color w:val="000000"/>
        </w:rPr>
      </w:pPr>
    </w:p>
    <w:p w:rsidR="00065D69" w:rsidRPr="00006BE9" w:rsidRDefault="00065D69" w:rsidP="00065D69">
      <w:pPr>
        <w:pStyle w:val="BodyText"/>
        <w:rPr>
          <w:color w:val="000000"/>
        </w:rPr>
      </w:pPr>
      <w:r w:rsidRPr="00006BE9">
        <w:rPr>
          <w:color w:val="000000"/>
        </w:rPr>
        <w:t xml:space="preserve">Assistance to the PNG transport sector has gradually evolved over the years from discrete </w:t>
      </w:r>
      <w:r w:rsidRPr="00006BE9">
        <w:rPr>
          <w:color w:val="000000"/>
        </w:rPr>
        <w:lastRenderedPageBreak/>
        <w:t xml:space="preserve">‘ring-fenced’ projects managed by Australian contractors to activities increasingly implemented through government systems using a more programmatic approach. Approval of the Transport Sector Support Program (TSSP) in November 2006 was the most significant step in this evolutionary chain. It is intended that the TSSP will eventually lead to a sector-wide approach using government systems that embraces all donors active in the sector. Earlier projects had relied heavily on Australian contractors working in parallel to government using AusAID-prescribed technical standards and systems for procurement, financial management, etc. The TSSP puts much greater emphasis on working with government to address institutional constraints so that scarce resources are allocated to ensure a mutually agreed core network of roads is rehabilitated and maintained in good condition. Building the capacity of counterpart organisations in the central government and </w:t>
      </w:r>
      <w:r w:rsidR="00860DFC" w:rsidRPr="00006BE9">
        <w:rPr>
          <w:color w:val="000000"/>
        </w:rPr>
        <w:t xml:space="preserve">in </w:t>
      </w:r>
      <w:r w:rsidRPr="00006BE9">
        <w:rPr>
          <w:color w:val="000000"/>
        </w:rPr>
        <w:t>provincial governments will also receive more attention.</w:t>
      </w:r>
    </w:p>
    <w:p w:rsidR="00D641D4" w:rsidRPr="00006BE9" w:rsidRDefault="00D641D4" w:rsidP="00860DFC">
      <w:pPr>
        <w:pStyle w:val="Heading2unnumbered"/>
        <w:tabs>
          <w:tab w:val="clear" w:pos="709"/>
        </w:tabs>
        <w:rPr>
          <w:color w:val="000000"/>
        </w:rPr>
      </w:pPr>
      <w:bookmarkStart w:id="18" w:name="_Toc217894553"/>
      <w:r w:rsidRPr="00006BE9">
        <w:rPr>
          <w:color w:val="000000"/>
        </w:rPr>
        <w:t>Objectives</w:t>
      </w:r>
      <w:bookmarkEnd w:id="18"/>
    </w:p>
    <w:p w:rsidR="00C05BE1" w:rsidRPr="00006BE9" w:rsidRDefault="00D641D4" w:rsidP="00D641D4">
      <w:pPr>
        <w:pStyle w:val="BodyText"/>
        <w:rPr>
          <w:color w:val="000000"/>
        </w:rPr>
      </w:pPr>
      <w:r w:rsidRPr="00006BE9">
        <w:rPr>
          <w:color w:val="000000"/>
        </w:rPr>
        <w:t>The high</w:t>
      </w:r>
      <w:r w:rsidR="002A68E7" w:rsidRPr="00006BE9">
        <w:rPr>
          <w:color w:val="000000"/>
        </w:rPr>
        <w:t>-</w:t>
      </w:r>
      <w:r w:rsidRPr="00006BE9">
        <w:rPr>
          <w:color w:val="000000"/>
        </w:rPr>
        <w:t xml:space="preserve">level objective of the </w:t>
      </w:r>
      <w:smartTag w:uri="urn:schemas-microsoft-com:office:smarttags" w:element="country-region">
        <w:r w:rsidR="002A68E7" w:rsidRPr="00006BE9">
          <w:rPr>
            <w:color w:val="000000"/>
          </w:rPr>
          <w:t>Papua New Guinea</w:t>
        </w:r>
      </w:smartTag>
      <w:r w:rsidR="00C05BE1" w:rsidRPr="00006BE9">
        <w:rPr>
          <w:rFonts w:ascii="Times New Roman" w:hAnsi="Times New Roman"/>
          <w:color w:val="000000"/>
          <w:sz w:val="12"/>
          <w:szCs w:val="12"/>
        </w:rPr>
        <w:t> </w:t>
      </w:r>
      <w:r w:rsidR="002A68E7" w:rsidRPr="00006BE9">
        <w:rPr>
          <w:color w:val="000000"/>
        </w:rPr>
        <w:t>–</w:t>
      </w:r>
      <w:r w:rsidR="00C05BE1" w:rsidRPr="00006BE9">
        <w:rPr>
          <w:rFonts w:ascii="Times New Roman" w:hAnsi="Times New Roman"/>
          <w:color w:val="000000"/>
          <w:sz w:val="12"/>
          <w:szCs w:val="12"/>
        </w:rPr>
        <w:t> </w:t>
      </w:r>
      <w:smartTag w:uri="urn:schemas-microsoft-com:office:smarttags" w:element="country-region">
        <w:smartTag w:uri="urn:schemas-microsoft-com:office:smarttags" w:element="place">
          <w:r w:rsidRPr="00006BE9">
            <w:rPr>
              <w:color w:val="000000"/>
            </w:rPr>
            <w:t>Australia</w:t>
          </w:r>
        </w:smartTag>
      </w:smartTag>
      <w:r w:rsidRPr="00006BE9">
        <w:rPr>
          <w:color w:val="000000"/>
        </w:rPr>
        <w:t xml:space="preserve"> </w:t>
      </w:r>
      <w:r w:rsidR="00860DFC" w:rsidRPr="00006BE9">
        <w:rPr>
          <w:color w:val="000000"/>
        </w:rPr>
        <w:t xml:space="preserve">development cooperation strategy </w:t>
      </w:r>
      <w:r w:rsidRPr="00006BE9">
        <w:rPr>
          <w:color w:val="000000"/>
        </w:rPr>
        <w:t xml:space="preserve">is </w:t>
      </w:r>
      <w:r w:rsidR="00C05BE1" w:rsidRPr="00006BE9">
        <w:rPr>
          <w:color w:val="000000"/>
        </w:rPr>
        <w:t>‘</w:t>
      </w:r>
      <w:r w:rsidRPr="00006BE9">
        <w:rPr>
          <w:color w:val="000000"/>
        </w:rPr>
        <w:t>to reduce poverty and promote sustainable development</w:t>
      </w:r>
      <w:r w:rsidR="00C05BE1" w:rsidRPr="00006BE9">
        <w:rPr>
          <w:color w:val="000000"/>
        </w:rPr>
        <w:t>’</w:t>
      </w:r>
      <w:r w:rsidRPr="00006BE9">
        <w:rPr>
          <w:color w:val="000000"/>
        </w:rPr>
        <w:t>.</w:t>
      </w:r>
      <w:r w:rsidR="00860DFC" w:rsidRPr="00006BE9">
        <w:rPr>
          <w:rStyle w:val="FootnoteReference"/>
          <w:color w:val="000000"/>
        </w:rPr>
        <w:footnoteReference w:id="8"/>
      </w:r>
      <w:r w:rsidR="00F21DB8" w:rsidRPr="00006BE9">
        <w:rPr>
          <w:color w:val="000000"/>
        </w:rPr>
        <w:t xml:space="preserve"> </w:t>
      </w:r>
      <w:r w:rsidRPr="00006BE9">
        <w:rPr>
          <w:color w:val="000000"/>
        </w:rPr>
        <w:t xml:space="preserve">The </w:t>
      </w:r>
      <w:r w:rsidR="00C05BE1" w:rsidRPr="00006BE9">
        <w:rPr>
          <w:color w:val="000000"/>
        </w:rPr>
        <w:t xml:space="preserve">strategy </w:t>
      </w:r>
      <w:r w:rsidRPr="00006BE9">
        <w:rPr>
          <w:color w:val="000000"/>
        </w:rPr>
        <w:t>focuses on four core pillars :</w:t>
      </w:r>
    </w:p>
    <w:p w:rsidR="00C05BE1" w:rsidRPr="00006BE9" w:rsidRDefault="00D641D4" w:rsidP="000016BE">
      <w:pPr>
        <w:pStyle w:val="ListNumber"/>
        <w:numPr>
          <w:ilvl w:val="0"/>
          <w:numId w:val="12"/>
        </w:numPr>
        <w:rPr>
          <w:color w:val="000000"/>
        </w:rPr>
      </w:pPr>
      <w:r w:rsidRPr="00006BE9">
        <w:rPr>
          <w:color w:val="000000"/>
        </w:rPr>
        <w:t>improved governance and nation building</w:t>
      </w:r>
    </w:p>
    <w:p w:rsidR="00C05BE1" w:rsidRPr="00006BE9" w:rsidRDefault="00D641D4" w:rsidP="000016BE">
      <w:pPr>
        <w:pStyle w:val="ListNumber"/>
        <w:numPr>
          <w:ilvl w:val="0"/>
          <w:numId w:val="12"/>
        </w:numPr>
        <w:rPr>
          <w:color w:val="000000"/>
        </w:rPr>
      </w:pPr>
      <w:r w:rsidRPr="00006BE9">
        <w:rPr>
          <w:color w:val="000000"/>
        </w:rPr>
        <w:t>sustainable broad-based economic growth and increased productivity</w:t>
      </w:r>
    </w:p>
    <w:p w:rsidR="00C05BE1" w:rsidRPr="00006BE9" w:rsidRDefault="00D641D4" w:rsidP="000016BE">
      <w:pPr>
        <w:pStyle w:val="ListNumber"/>
        <w:numPr>
          <w:ilvl w:val="0"/>
          <w:numId w:val="12"/>
        </w:numPr>
        <w:rPr>
          <w:color w:val="000000"/>
        </w:rPr>
      </w:pPr>
      <w:r w:rsidRPr="00006BE9">
        <w:rPr>
          <w:color w:val="000000"/>
        </w:rPr>
        <w:t>improved service delivery and stability</w:t>
      </w:r>
    </w:p>
    <w:p w:rsidR="00C05BE1" w:rsidRPr="00006BE9" w:rsidRDefault="00D641D4" w:rsidP="000016BE">
      <w:pPr>
        <w:pStyle w:val="ListNumber"/>
        <w:numPr>
          <w:ilvl w:val="0"/>
          <w:numId w:val="12"/>
        </w:numPr>
        <w:rPr>
          <w:color w:val="000000"/>
        </w:rPr>
      </w:pPr>
      <w:r w:rsidRPr="00006BE9">
        <w:rPr>
          <w:color w:val="000000"/>
        </w:rPr>
        <w:t>a strengthened, coordinated, and effective response to the HIV/AIDS epidemic.</w:t>
      </w:r>
      <w:r w:rsidR="00F21DB8" w:rsidRPr="00006BE9">
        <w:rPr>
          <w:color w:val="000000"/>
        </w:rPr>
        <w:t xml:space="preserve"> </w:t>
      </w:r>
    </w:p>
    <w:p w:rsidR="00D641D4" w:rsidRPr="00006BE9" w:rsidRDefault="00D641D4" w:rsidP="009B4C1F">
      <w:pPr>
        <w:pStyle w:val="BodyText"/>
        <w:rPr>
          <w:color w:val="000000"/>
        </w:rPr>
      </w:pPr>
      <w:r w:rsidRPr="00006BE9">
        <w:rPr>
          <w:color w:val="000000"/>
        </w:rPr>
        <w:t>Support to the transport sector focuse</w:t>
      </w:r>
      <w:r w:rsidR="00C05BE1" w:rsidRPr="00006BE9">
        <w:rPr>
          <w:color w:val="000000"/>
        </w:rPr>
        <w:t>s</w:t>
      </w:r>
      <w:r w:rsidRPr="00006BE9">
        <w:rPr>
          <w:color w:val="000000"/>
        </w:rPr>
        <w:t xml:space="preserve"> primarily on </w:t>
      </w:r>
      <w:r w:rsidR="00C05BE1" w:rsidRPr="00006BE9">
        <w:rPr>
          <w:color w:val="000000"/>
        </w:rPr>
        <w:t>pillar</w:t>
      </w:r>
      <w:r w:rsidR="009B4C1F" w:rsidRPr="00006BE9">
        <w:rPr>
          <w:color w:val="000000"/>
        </w:rPr>
        <w:t> </w:t>
      </w:r>
      <w:r w:rsidRPr="00006BE9">
        <w:rPr>
          <w:color w:val="000000"/>
        </w:rPr>
        <w:t>2 but it also contributes towards delivering the other core pillars.</w:t>
      </w:r>
    </w:p>
    <w:p w:rsidR="00D641D4" w:rsidRPr="00006BE9" w:rsidRDefault="00D641D4" w:rsidP="00D641D4">
      <w:pPr>
        <w:pStyle w:val="BodyText"/>
        <w:rPr>
          <w:color w:val="000000"/>
        </w:rPr>
      </w:pPr>
      <w:r w:rsidRPr="00006BE9">
        <w:rPr>
          <w:color w:val="000000"/>
        </w:rPr>
        <w:t xml:space="preserve">The </w:t>
      </w:r>
      <w:r w:rsidR="009B4C1F" w:rsidRPr="00006BE9">
        <w:rPr>
          <w:color w:val="000000"/>
        </w:rPr>
        <w:t xml:space="preserve">components </w:t>
      </w:r>
      <w:r w:rsidRPr="00006BE9">
        <w:rPr>
          <w:color w:val="000000"/>
        </w:rPr>
        <w:t>of the TSSP are:</w:t>
      </w:r>
    </w:p>
    <w:p w:rsidR="00D641D4" w:rsidRPr="00006BE9" w:rsidRDefault="00D641D4" w:rsidP="000016BE">
      <w:pPr>
        <w:pStyle w:val="ListNumber"/>
        <w:numPr>
          <w:ilvl w:val="0"/>
          <w:numId w:val="18"/>
        </w:numPr>
        <w:rPr>
          <w:color w:val="000000"/>
        </w:rPr>
      </w:pPr>
      <w:r w:rsidRPr="00006BE9">
        <w:rPr>
          <w:i/>
          <w:color w:val="000000"/>
        </w:rPr>
        <w:t xml:space="preserve">Line </w:t>
      </w:r>
      <w:r w:rsidR="009B4C1F" w:rsidRPr="00006BE9">
        <w:rPr>
          <w:i/>
          <w:color w:val="000000"/>
        </w:rPr>
        <w:t>agency public sector reform and governance</w:t>
      </w:r>
      <w:r w:rsidR="009B4C1F" w:rsidRPr="00006BE9">
        <w:rPr>
          <w:color w:val="000000"/>
        </w:rPr>
        <w:t xml:space="preserve"> </w:t>
      </w:r>
      <w:r w:rsidRPr="00006BE9">
        <w:rPr>
          <w:color w:val="000000"/>
        </w:rPr>
        <w:t>to support operational reform in the transport sector agencies through improved public administration and sector coordination</w:t>
      </w:r>
    </w:p>
    <w:p w:rsidR="00D641D4" w:rsidRPr="00006BE9" w:rsidRDefault="00D641D4" w:rsidP="000016BE">
      <w:pPr>
        <w:pStyle w:val="ListNumber"/>
        <w:numPr>
          <w:ilvl w:val="0"/>
          <w:numId w:val="12"/>
        </w:numPr>
        <w:rPr>
          <w:color w:val="000000"/>
        </w:rPr>
      </w:pPr>
      <w:r w:rsidRPr="00006BE9">
        <w:rPr>
          <w:i/>
          <w:color w:val="000000"/>
        </w:rPr>
        <w:t xml:space="preserve">Strengthening </w:t>
      </w:r>
      <w:r w:rsidR="009B4C1F" w:rsidRPr="00006BE9">
        <w:rPr>
          <w:i/>
          <w:color w:val="000000"/>
        </w:rPr>
        <w:t>central agency support</w:t>
      </w:r>
      <w:r w:rsidR="009B4C1F" w:rsidRPr="00006BE9">
        <w:rPr>
          <w:color w:val="000000"/>
        </w:rPr>
        <w:t xml:space="preserve"> </w:t>
      </w:r>
      <w:r w:rsidRPr="00006BE9">
        <w:rPr>
          <w:color w:val="000000"/>
        </w:rPr>
        <w:t>to strengthen links between the transport sector agencies and central agencies so that service delivery and reform programs are actively supported</w:t>
      </w:r>
    </w:p>
    <w:p w:rsidR="00D641D4" w:rsidRPr="00006BE9" w:rsidRDefault="00D641D4" w:rsidP="000016BE">
      <w:pPr>
        <w:pStyle w:val="ListNumber"/>
        <w:numPr>
          <w:ilvl w:val="0"/>
          <w:numId w:val="12"/>
        </w:numPr>
        <w:rPr>
          <w:color w:val="000000"/>
        </w:rPr>
      </w:pPr>
      <w:r w:rsidRPr="00006BE9">
        <w:rPr>
          <w:i/>
          <w:color w:val="000000"/>
        </w:rPr>
        <w:t xml:space="preserve">Provincial </w:t>
      </w:r>
      <w:r w:rsidR="009B4C1F" w:rsidRPr="00006BE9">
        <w:rPr>
          <w:i/>
          <w:color w:val="000000"/>
        </w:rPr>
        <w:t>transport services</w:t>
      </w:r>
      <w:r w:rsidR="009B4C1F" w:rsidRPr="00006BE9">
        <w:rPr>
          <w:color w:val="000000"/>
        </w:rPr>
        <w:t xml:space="preserve"> </w:t>
      </w:r>
      <w:r w:rsidRPr="00006BE9">
        <w:rPr>
          <w:color w:val="000000"/>
        </w:rPr>
        <w:t xml:space="preserve">to </w:t>
      </w:r>
      <w:r w:rsidR="009B4C1F" w:rsidRPr="00006BE9">
        <w:rPr>
          <w:color w:val="000000"/>
        </w:rPr>
        <w:t>assist</w:t>
      </w:r>
      <w:r w:rsidRPr="00006BE9">
        <w:rPr>
          <w:color w:val="000000"/>
        </w:rPr>
        <w:t xml:space="preserve"> provincial, district and local governments to </w:t>
      </w:r>
      <w:r w:rsidR="009B4C1F" w:rsidRPr="00006BE9">
        <w:rPr>
          <w:color w:val="000000"/>
        </w:rPr>
        <w:t xml:space="preserve">improve their </w:t>
      </w:r>
      <w:r w:rsidRPr="00006BE9">
        <w:rPr>
          <w:color w:val="000000"/>
        </w:rPr>
        <w:t>deliver</w:t>
      </w:r>
      <w:r w:rsidR="009B4C1F" w:rsidRPr="00006BE9">
        <w:rPr>
          <w:color w:val="000000"/>
        </w:rPr>
        <w:t>y of</w:t>
      </w:r>
      <w:r w:rsidRPr="00006BE9">
        <w:rPr>
          <w:color w:val="000000"/>
        </w:rPr>
        <w:t xml:space="preserve"> transport services in selected locations</w:t>
      </w:r>
    </w:p>
    <w:p w:rsidR="00D641D4" w:rsidRPr="00006BE9" w:rsidRDefault="00D641D4" w:rsidP="000016BE">
      <w:pPr>
        <w:pStyle w:val="ListNumber"/>
        <w:numPr>
          <w:ilvl w:val="0"/>
          <w:numId w:val="12"/>
        </w:numPr>
        <w:rPr>
          <w:color w:val="000000"/>
        </w:rPr>
      </w:pPr>
      <w:r w:rsidRPr="00006BE9">
        <w:rPr>
          <w:i/>
          <w:color w:val="000000"/>
        </w:rPr>
        <w:t xml:space="preserve">Maintenance of </w:t>
      </w:r>
      <w:r w:rsidR="009B4C1F" w:rsidRPr="00006BE9">
        <w:rPr>
          <w:i/>
          <w:color w:val="000000"/>
        </w:rPr>
        <w:t>prioritised transport assets</w:t>
      </w:r>
      <w:r w:rsidR="009B4C1F" w:rsidRPr="00006BE9">
        <w:rPr>
          <w:color w:val="000000"/>
        </w:rPr>
        <w:t xml:space="preserve"> </w:t>
      </w:r>
      <w:r w:rsidRPr="00006BE9">
        <w:rPr>
          <w:color w:val="000000"/>
        </w:rPr>
        <w:t xml:space="preserve">to support </w:t>
      </w:r>
      <w:r w:rsidR="001B0A42" w:rsidRPr="00006BE9">
        <w:rPr>
          <w:color w:val="000000"/>
        </w:rPr>
        <w:t xml:space="preserve">the </w:t>
      </w:r>
      <w:r w:rsidRPr="00006BE9">
        <w:rPr>
          <w:color w:val="000000"/>
        </w:rPr>
        <w:t>delivery of an affordable, contestable and prioritised national transport network.</w:t>
      </w:r>
    </w:p>
    <w:p w:rsidR="00D641D4" w:rsidRPr="00006BE9" w:rsidRDefault="00D641D4" w:rsidP="00860DFC">
      <w:pPr>
        <w:pStyle w:val="Heading2unnumbered"/>
        <w:tabs>
          <w:tab w:val="clear" w:pos="709"/>
        </w:tabs>
        <w:rPr>
          <w:color w:val="000000"/>
        </w:rPr>
      </w:pPr>
      <w:bookmarkStart w:id="19" w:name="_Toc217894554"/>
      <w:r w:rsidRPr="00006BE9">
        <w:rPr>
          <w:color w:val="000000"/>
        </w:rPr>
        <w:t>Monitoring and evaluation and results</w:t>
      </w:r>
      <w:bookmarkEnd w:id="19"/>
    </w:p>
    <w:p w:rsidR="009D2491" w:rsidRPr="00006BE9" w:rsidRDefault="009D2491" w:rsidP="009D2491">
      <w:pPr>
        <w:pStyle w:val="BodyText"/>
        <w:rPr>
          <w:color w:val="000000"/>
        </w:rPr>
      </w:pPr>
      <w:r w:rsidRPr="00006BE9">
        <w:rPr>
          <w:color w:val="000000"/>
        </w:rPr>
        <w:t>Transport is identified in this year’s annual performance review of the PNG program of assistance as a standout sector in terms of delivering on the objectives of pillar 2 of the Development Cooperation Strategy,</w:t>
      </w:r>
      <w:r w:rsidRPr="00006BE9" w:rsidDel="009D2491">
        <w:rPr>
          <w:color w:val="000000"/>
        </w:rPr>
        <w:t xml:space="preserve"> </w:t>
      </w:r>
      <w:r w:rsidRPr="00006BE9">
        <w:rPr>
          <w:color w:val="000000"/>
        </w:rPr>
        <w:t xml:space="preserve">‘enhancing access to markets and services’. Significant contributions were also made towards pillar 4. For example, under the Key Roads for Growth </w:t>
      </w:r>
      <w:r w:rsidRPr="00006BE9">
        <w:rPr>
          <w:color w:val="000000"/>
        </w:rPr>
        <w:lastRenderedPageBreak/>
        <w:t xml:space="preserve">Project a partnership </w:t>
      </w:r>
      <w:r w:rsidR="00860DFC" w:rsidRPr="00006BE9">
        <w:rPr>
          <w:color w:val="000000"/>
        </w:rPr>
        <w:t>was</w:t>
      </w:r>
      <w:r w:rsidRPr="00006BE9">
        <w:rPr>
          <w:color w:val="000000"/>
        </w:rPr>
        <w:t xml:space="preserve"> established with the Provincial AIDS Council to promote HIV/AIDS awareness, standard clauses relating to the mitigation of HIV/AIDS </w:t>
      </w:r>
      <w:r w:rsidR="00860DFC" w:rsidRPr="00006BE9">
        <w:rPr>
          <w:color w:val="000000"/>
        </w:rPr>
        <w:t>were</w:t>
      </w:r>
      <w:r w:rsidRPr="00006BE9">
        <w:rPr>
          <w:color w:val="000000"/>
        </w:rPr>
        <w:t xml:space="preserve"> incorporated in all construction contracts of the Department of Works, and project staff received training and accreditation to increase awareness in communities.</w:t>
      </w:r>
    </w:p>
    <w:p w:rsidR="009D2491" w:rsidRPr="00006BE9" w:rsidRDefault="00D641D4" w:rsidP="00E05912">
      <w:pPr>
        <w:pStyle w:val="BodyText"/>
        <w:keepLines/>
        <w:rPr>
          <w:color w:val="000000"/>
        </w:rPr>
      </w:pPr>
      <w:r w:rsidRPr="00006BE9">
        <w:rPr>
          <w:color w:val="000000"/>
        </w:rPr>
        <w:t>There is evi</w:t>
      </w:r>
      <w:r w:rsidR="00BB73B0" w:rsidRPr="00006BE9">
        <w:rPr>
          <w:color w:val="000000"/>
        </w:rPr>
        <w:t>dence of very significant socio</w:t>
      </w:r>
      <w:r w:rsidRPr="00006BE9">
        <w:rPr>
          <w:color w:val="000000"/>
        </w:rPr>
        <w:t xml:space="preserve">economic impacts being delivered by road rehabilitation and maintenance interventions in </w:t>
      </w:r>
      <w:smartTag w:uri="urn:schemas-microsoft-com:office:smarttags" w:element="country-region">
        <w:smartTag w:uri="urn:schemas-microsoft-com:office:smarttags" w:element="place">
          <w:r w:rsidR="006449DC" w:rsidRPr="00006BE9">
            <w:rPr>
              <w:color w:val="000000"/>
            </w:rPr>
            <w:t>Papua New Guinea</w:t>
          </w:r>
        </w:smartTag>
      </w:smartTag>
      <w:r w:rsidRPr="00006BE9">
        <w:rPr>
          <w:color w:val="000000"/>
        </w:rPr>
        <w:t>.</w:t>
      </w:r>
      <w:r w:rsidR="00F21DB8" w:rsidRPr="00006BE9">
        <w:rPr>
          <w:color w:val="000000"/>
        </w:rPr>
        <w:t xml:space="preserve"> </w:t>
      </w:r>
      <w:r w:rsidRPr="00006BE9">
        <w:rPr>
          <w:color w:val="000000"/>
        </w:rPr>
        <w:t>An extensive study</w:t>
      </w:r>
      <w:r w:rsidRPr="00006BE9">
        <w:rPr>
          <w:rStyle w:val="FootnoteReference"/>
          <w:color w:val="000000"/>
        </w:rPr>
        <w:footnoteReference w:id="9"/>
      </w:r>
      <w:r w:rsidRPr="00006BE9">
        <w:rPr>
          <w:color w:val="000000"/>
        </w:rPr>
        <w:t xml:space="preserve"> covering </w:t>
      </w:r>
      <w:r w:rsidR="00BB73B0" w:rsidRPr="00006BE9">
        <w:rPr>
          <w:color w:val="000000"/>
        </w:rPr>
        <w:t>six</w:t>
      </w:r>
      <w:r w:rsidRPr="00006BE9">
        <w:rPr>
          <w:color w:val="000000"/>
        </w:rPr>
        <w:t xml:space="preserve"> provinces in </w:t>
      </w:r>
      <w:r w:rsidR="006449DC" w:rsidRPr="00006BE9">
        <w:rPr>
          <w:color w:val="000000"/>
        </w:rPr>
        <w:t>Papua New Guinea</w:t>
      </w:r>
      <w:r w:rsidR="00E05912" w:rsidRPr="00006BE9">
        <w:rPr>
          <w:color w:val="000000"/>
        </w:rPr>
        <w:t>, which was</w:t>
      </w:r>
      <w:r w:rsidRPr="00006BE9">
        <w:rPr>
          <w:color w:val="000000"/>
        </w:rPr>
        <w:t xml:space="preserve"> funded by the World Bank and implemented by Australian and Finnish consultants in 2005 and 2006</w:t>
      </w:r>
      <w:r w:rsidR="00E05912" w:rsidRPr="00006BE9">
        <w:rPr>
          <w:color w:val="000000"/>
        </w:rPr>
        <w:t>,</w:t>
      </w:r>
      <w:r w:rsidRPr="00006BE9">
        <w:rPr>
          <w:color w:val="000000"/>
        </w:rPr>
        <w:t xml:space="preserve"> found that for villages close to rehabilitated roads household incomes increased significantly because of better access to markets and increased wage</w:t>
      </w:r>
      <w:r w:rsidR="009D2491" w:rsidRPr="00006BE9">
        <w:rPr>
          <w:color w:val="000000"/>
        </w:rPr>
        <w:t>-</w:t>
      </w:r>
      <w:r w:rsidRPr="00006BE9">
        <w:rPr>
          <w:color w:val="000000"/>
        </w:rPr>
        <w:t>earning opportunities</w:t>
      </w:r>
      <w:r w:rsidR="00E05912" w:rsidRPr="00006BE9">
        <w:rPr>
          <w:color w:val="000000"/>
        </w:rPr>
        <w:t>,</w:t>
      </w:r>
      <w:r w:rsidRPr="00006BE9">
        <w:rPr>
          <w:color w:val="000000"/>
        </w:rPr>
        <w:t xml:space="preserve"> </w:t>
      </w:r>
      <w:r w:rsidR="009D2491" w:rsidRPr="00006BE9">
        <w:rPr>
          <w:color w:val="000000"/>
        </w:rPr>
        <w:t xml:space="preserve">directly </w:t>
      </w:r>
      <w:r w:rsidRPr="00006BE9">
        <w:rPr>
          <w:color w:val="000000"/>
        </w:rPr>
        <w:t xml:space="preserve">as a result of local people being contracted to carry out routine maintenance and indirectly through better access to jobs. </w:t>
      </w:r>
    </w:p>
    <w:p w:rsidR="00D641D4" w:rsidRPr="00006BE9" w:rsidRDefault="00D641D4" w:rsidP="00D641D4">
      <w:pPr>
        <w:pStyle w:val="BodyText"/>
        <w:rPr>
          <w:color w:val="000000"/>
        </w:rPr>
      </w:pPr>
      <w:r w:rsidRPr="00006BE9">
        <w:rPr>
          <w:color w:val="000000"/>
        </w:rPr>
        <w:t xml:space="preserve">The impact </w:t>
      </w:r>
      <w:r w:rsidR="009D2491" w:rsidRPr="00006BE9">
        <w:rPr>
          <w:color w:val="000000"/>
        </w:rPr>
        <w:t xml:space="preserve">of road rehabilitation and maintenance </w:t>
      </w:r>
      <w:r w:rsidRPr="00006BE9">
        <w:rPr>
          <w:color w:val="000000"/>
        </w:rPr>
        <w:t xml:space="preserve">on poverty is </w:t>
      </w:r>
      <w:r w:rsidR="00FC4A3C" w:rsidRPr="00006BE9">
        <w:rPr>
          <w:color w:val="000000"/>
        </w:rPr>
        <w:t>illustrated in Figure </w:t>
      </w:r>
      <w:r w:rsidRPr="00006BE9">
        <w:rPr>
          <w:color w:val="000000"/>
        </w:rPr>
        <w:t>1.</w:t>
      </w:r>
      <w:r w:rsidR="00F21DB8" w:rsidRPr="00006BE9">
        <w:rPr>
          <w:color w:val="000000"/>
        </w:rPr>
        <w:t xml:space="preserve"> </w:t>
      </w:r>
      <w:r w:rsidR="009D2491" w:rsidRPr="00006BE9">
        <w:rPr>
          <w:color w:val="000000"/>
        </w:rPr>
        <w:t>F</w:t>
      </w:r>
      <w:r w:rsidRPr="00006BE9">
        <w:rPr>
          <w:color w:val="000000"/>
        </w:rPr>
        <w:t>or example</w:t>
      </w:r>
      <w:r w:rsidR="009D2491" w:rsidRPr="00006BE9">
        <w:rPr>
          <w:color w:val="000000"/>
        </w:rPr>
        <w:t>,</w:t>
      </w:r>
      <w:r w:rsidRPr="00006BE9">
        <w:rPr>
          <w:color w:val="000000"/>
        </w:rPr>
        <w:t xml:space="preserve"> the percentage of households living above the poverty line in Oro Province increased from around 28</w:t>
      </w:r>
      <w:r w:rsidR="00F21DB8" w:rsidRPr="00006BE9">
        <w:rPr>
          <w:color w:val="000000"/>
        </w:rPr>
        <w:t> per cent</w:t>
      </w:r>
      <w:r w:rsidRPr="00006BE9">
        <w:rPr>
          <w:color w:val="000000"/>
        </w:rPr>
        <w:t xml:space="preserve"> to 80</w:t>
      </w:r>
      <w:r w:rsidR="00F21DB8" w:rsidRPr="00006BE9">
        <w:rPr>
          <w:color w:val="000000"/>
        </w:rPr>
        <w:t> per cent</w:t>
      </w:r>
      <w:r w:rsidRPr="00006BE9">
        <w:rPr>
          <w:color w:val="000000"/>
        </w:rPr>
        <w:t xml:space="preserve"> after roads were rehabilitated.</w:t>
      </w:r>
      <w:r w:rsidR="00F21DB8" w:rsidRPr="00006BE9">
        <w:rPr>
          <w:color w:val="000000"/>
        </w:rPr>
        <w:t xml:space="preserve"> </w:t>
      </w:r>
      <w:r w:rsidRPr="00006BE9">
        <w:rPr>
          <w:color w:val="000000"/>
        </w:rPr>
        <w:t>There was also evidence of significant economic development in the villages through new agricultural products such as vanilla and allspice being grown and marketed.</w:t>
      </w:r>
      <w:r w:rsidR="00F21DB8" w:rsidRPr="00006BE9">
        <w:rPr>
          <w:color w:val="000000"/>
        </w:rPr>
        <w:t xml:space="preserve"> </w:t>
      </w:r>
      <w:r w:rsidRPr="00006BE9">
        <w:rPr>
          <w:color w:val="000000"/>
        </w:rPr>
        <w:t>Women have benefited through improved access to markets to trade produce and handicrafts</w:t>
      </w:r>
      <w:r w:rsidR="00E05912" w:rsidRPr="00006BE9">
        <w:rPr>
          <w:color w:val="000000"/>
        </w:rPr>
        <w:t>,</w:t>
      </w:r>
      <w:r w:rsidRPr="00006BE9">
        <w:rPr>
          <w:color w:val="000000"/>
        </w:rPr>
        <w:t xml:space="preserve"> as a result of gender equality action plans introduced in the </w:t>
      </w:r>
      <w:r w:rsidR="00970F48" w:rsidRPr="00006BE9">
        <w:rPr>
          <w:color w:val="000000"/>
        </w:rPr>
        <w:t>Key Roads for Growth Maintenance Project</w:t>
      </w:r>
      <w:r w:rsidRPr="00006BE9">
        <w:rPr>
          <w:color w:val="000000"/>
        </w:rPr>
        <w:t xml:space="preserve">, </w:t>
      </w:r>
      <w:r w:rsidR="00E05912" w:rsidRPr="00006BE9">
        <w:rPr>
          <w:color w:val="000000"/>
        </w:rPr>
        <w:t xml:space="preserve">and </w:t>
      </w:r>
      <w:r w:rsidRPr="00006BE9">
        <w:rPr>
          <w:color w:val="000000"/>
        </w:rPr>
        <w:t>through employment in road maintenance</w:t>
      </w:r>
      <w:r w:rsidR="00E05912" w:rsidRPr="00006BE9">
        <w:rPr>
          <w:color w:val="000000"/>
        </w:rPr>
        <w:t xml:space="preserve"> (</w:t>
      </w:r>
      <w:r w:rsidRPr="00006BE9">
        <w:rPr>
          <w:color w:val="000000"/>
        </w:rPr>
        <w:t>around 30</w:t>
      </w:r>
      <w:r w:rsidR="00F21DB8" w:rsidRPr="00006BE9">
        <w:rPr>
          <w:color w:val="000000"/>
        </w:rPr>
        <w:t> per cent</w:t>
      </w:r>
      <w:r w:rsidRPr="00006BE9">
        <w:rPr>
          <w:color w:val="000000"/>
        </w:rPr>
        <w:t xml:space="preserve"> of the employees are women</w:t>
      </w:r>
      <w:r w:rsidR="00E05912" w:rsidRPr="00006BE9">
        <w:rPr>
          <w:color w:val="000000"/>
        </w:rPr>
        <w:t>)</w:t>
      </w:r>
      <w:r w:rsidRPr="00006BE9">
        <w:rPr>
          <w:color w:val="000000"/>
        </w:rPr>
        <w:t>.</w:t>
      </w:r>
      <w:r w:rsidR="00F21DB8" w:rsidRPr="00006BE9">
        <w:rPr>
          <w:color w:val="000000"/>
        </w:rPr>
        <w:t xml:space="preserve"> </w:t>
      </w:r>
      <w:r w:rsidRPr="00006BE9">
        <w:rPr>
          <w:color w:val="000000"/>
        </w:rPr>
        <w:t>The gender action plans also promote female participation in community</w:t>
      </w:r>
      <w:r w:rsidR="009D2491" w:rsidRPr="00006BE9">
        <w:rPr>
          <w:color w:val="000000"/>
        </w:rPr>
        <w:t>-</w:t>
      </w:r>
      <w:r w:rsidRPr="00006BE9">
        <w:rPr>
          <w:color w:val="000000"/>
        </w:rPr>
        <w:t>based decision making.</w:t>
      </w:r>
      <w:r w:rsidR="00F21DB8" w:rsidRPr="00006BE9">
        <w:rPr>
          <w:color w:val="000000"/>
        </w:rPr>
        <w:t xml:space="preserve"> </w:t>
      </w:r>
      <w:r w:rsidRPr="00006BE9">
        <w:rPr>
          <w:color w:val="000000"/>
        </w:rPr>
        <w:t>AusAID is funding a similar socioeconomic impact study that will cover a further 10 provinces.</w:t>
      </w:r>
      <w:r w:rsidR="00F21DB8" w:rsidRPr="00006BE9">
        <w:rPr>
          <w:color w:val="000000"/>
        </w:rPr>
        <w:t xml:space="preserve"> </w:t>
      </w:r>
      <w:r w:rsidRPr="00006BE9">
        <w:rPr>
          <w:color w:val="000000"/>
        </w:rPr>
        <w:t xml:space="preserve">Baseline surveys were carried out from April to June 2008. </w:t>
      </w:r>
    </w:p>
    <w:p w:rsidR="00D641D4" w:rsidRPr="00006BE9" w:rsidRDefault="00D641D4" w:rsidP="00860DFC">
      <w:pPr>
        <w:pStyle w:val="Caption"/>
        <w:framePr w:hSpace="181" w:wrap="around" w:hAnchor="text" w:yAlign="bottom"/>
        <w:spacing w:before="120"/>
        <w:rPr>
          <w:color w:val="000000"/>
        </w:rPr>
      </w:pPr>
      <w:r w:rsidRPr="00006BE9">
        <w:rPr>
          <w:color w:val="000000"/>
        </w:rPr>
        <w:t xml:space="preserve">Figure </w:t>
      </w:r>
      <w:r w:rsidRPr="00006BE9">
        <w:rPr>
          <w:color w:val="000000"/>
        </w:rPr>
        <w:fldChar w:fldCharType="begin"/>
      </w:r>
      <w:r w:rsidRPr="00006BE9">
        <w:rPr>
          <w:color w:val="000000"/>
        </w:rPr>
        <w:instrText xml:space="preserve"> SEQ Figure \* ARABIC </w:instrText>
      </w:r>
      <w:r w:rsidRPr="00006BE9">
        <w:rPr>
          <w:color w:val="000000"/>
        </w:rPr>
        <w:fldChar w:fldCharType="separate"/>
      </w:r>
      <w:r w:rsidR="00FB5D3A" w:rsidRPr="00006BE9">
        <w:rPr>
          <w:noProof/>
          <w:color w:val="000000"/>
        </w:rPr>
        <w:t>1</w:t>
      </w:r>
      <w:r w:rsidRPr="00006BE9">
        <w:rPr>
          <w:color w:val="000000"/>
        </w:rPr>
        <w:fldChar w:fldCharType="end"/>
      </w:r>
      <w:r w:rsidRPr="00006BE9">
        <w:rPr>
          <w:color w:val="000000"/>
        </w:rPr>
        <w:t xml:space="preserve">: </w:t>
      </w:r>
      <w:r w:rsidR="00435528" w:rsidRPr="00006BE9">
        <w:rPr>
          <w:color w:val="000000"/>
        </w:rPr>
        <w:t xml:space="preserve">Proportion </w:t>
      </w:r>
      <w:r w:rsidRPr="00006BE9">
        <w:rPr>
          <w:color w:val="000000"/>
        </w:rPr>
        <w:t>of households living above the poverty line before and after road rehabilitation and maintenance</w:t>
      </w:r>
      <w:r w:rsidR="00970F48" w:rsidRPr="00006BE9">
        <w:rPr>
          <w:color w:val="000000"/>
        </w:rPr>
        <w:t xml:space="preserve"> in </w:t>
      </w:r>
      <w:smartTag w:uri="urn:schemas-microsoft-com:office:smarttags" w:element="country-region">
        <w:smartTag w:uri="urn:schemas-microsoft-com:office:smarttags" w:element="place">
          <w:r w:rsidR="00970F48" w:rsidRPr="00006BE9">
            <w:rPr>
              <w:color w:val="000000"/>
            </w:rPr>
            <w:t>Papua New Guinea</w:t>
          </w:r>
        </w:smartTag>
      </w:smartTag>
    </w:p>
    <w:tbl>
      <w:tblPr>
        <w:tblW w:w="793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938"/>
      </w:tblGrid>
      <w:tr w:rsidR="00D641D4" w:rsidRPr="00006BE9">
        <w:tblPrEx>
          <w:tblCellMar>
            <w:top w:w="0" w:type="dxa"/>
            <w:left w:w="0" w:type="dxa"/>
            <w:bottom w:w="0" w:type="dxa"/>
            <w:right w:w="0" w:type="dxa"/>
          </w:tblCellMar>
        </w:tblPrEx>
        <w:tc>
          <w:tcPr>
            <w:tcW w:w="8505" w:type="dxa"/>
            <w:tcBorders>
              <w:top w:val="single" w:sz="12" w:space="0" w:color="auto"/>
              <w:bottom w:val="single" w:sz="12" w:space="0" w:color="auto"/>
            </w:tcBorders>
          </w:tcPr>
          <w:p w:rsidR="00D641D4" w:rsidRPr="00006BE9" w:rsidRDefault="007A45B0" w:rsidP="00813F5C">
            <w:pPr>
              <w:framePr w:hSpace="181" w:wrap="around" w:hAnchor="text" w:yAlign="bottom"/>
              <w:rPr>
                <w:rFonts w:ascii="Arial" w:hAnsi="Arial"/>
                <w:color w:val="000000"/>
                <w:sz w:val="22"/>
              </w:rPr>
            </w:pPr>
            <w:r>
              <w:rPr>
                <w:rFonts w:ascii="Arial" w:hAnsi="Arial"/>
                <w:noProof/>
                <w:color w:val="000000"/>
                <w:sz w:val="22"/>
                <w:lang w:val="en-US" w:eastAsia="en-US"/>
              </w:rPr>
              <w:drawing>
                <wp:inline distT="0" distB="0" distL="0" distR="0">
                  <wp:extent cx="5019675" cy="2514600"/>
                  <wp:effectExtent l="0" t="0" r="0" b="0"/>
                  <wp:docPr id="3" name="Picture 1" descr="Description: Bar chart showing proportion of households living above the poverty line before and after road rehabilitation and maintenance in Papua New Guinea.&#10;&#10;Oro&#10;Before: 30&#10;After: 80&#10;&#10;Manus&#10;Before: 50&#10;After: 90&#10;&#10;Morobe&#10;Before: 60&#10;After: 95&#10;&#10;Central&#10;Before: 83&#10;After: 98&#10;&#10;East New Britain&#10;Before: 87&#10;After: 98&#10;&#10;West New Britain:&#10;Before: 92&#10;After 99"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2514600"/>
                          </a:xfrm>
                          <a:prstGeom prst="rect">
                            <a:avLst/>
                          </a:prstGeom>
                          <a:noFill/>
                          <a:ln>
                            <a:noFill/>
                          </a:ln>
                        </pic:spPr>
                      </pic:pic>
                    </a:graphicData>
                  </a:graphic>
                </wp:inline>
              </w:drawing>
            </w:r>
          </w:p>
        </w:tc>
      </w:tr>
    </w:tbl>
    <w:p w:rsidR="00D641D4" w:rsidRPr="00006BE9" w:rsidRDefault="009D2491" w:rsidP="00860DFC">
      <w:pPr>
        <w:pStyle w:val="Source"/>
        <w:framePr w:hSpace="181" w:wrap="around" w:hAnchor="text" w:yAlign="bottom"/>
        <w:spacing w:after="1000"/>
        <w:rPr>
          <w:color w:val="000000"/>
        </w:rPr>
      </w:pPr>
      <w:r w:rsidRPr="00006BE9">
        <w:rPr>
          <w:color w:val="000000"/>
        </w:rPr>
        <w:t>Data s</w:t>
      </w:r>
      <w:r w:rsidR="00D641D4" w:rsidRPr="00006BE9">
        <w:rPr>
          <w:color w:val="000000"/>
        </w:rPr>
        <w:t xml:space="preserve">ource: </w:t>
      </w:r>
    </w:p>
    <w:p w:rsidR="00AF18BD" w:rsidRPr="00006BE9" w:rsidRDefault="00EB2634" w:rsidP="00AF18BD">
      <w:pPr>
        <w:pStyle w:val="BodyText"/>
        <w:rPr>
          <w:color w:val="000000"/>
        </w:rPr>
      </w:pPr>
      <w:r w:rsidRPr="00006BE9">
        <w:rPr>
          <w:color w:val="000000"/>
        </w:rPr>
        <w:t>C</w:t>
      </w:r>
      <w:r w:rsidR="00AF18BD" w:rsidRPr="00006BE9">
        <w:rPr>
          <w:color w:val="000000"/>
        </w:rPr>
        <w:t xml:space="preserve">offee processors in the highland provinces report that they have been able to establish a new </w:t>
      </w:r>
      <w:r w:rsidR="00AF18BD" w:rsidRPr="00006BE9">
        <w:rPr>
          <w:color w:val="000000"/>
          <w:lang w:val="en-US"/>
        </w:rPr>
        <w:t>high</w:t>
      </w:r>
      <w:r w:rsidRPr="00006BE9">
        <w:rPr>
          <w:color w:val="000000"/>
          <w:lang w:val="en-US"/>
        </w:rPr>
        <w:t>-</w:t>
      </w:r>
      <w:r w:rsidR="00AF18BD" w:rsidRPr="00006BE9">
        <w:rPr>
          <w:color w:val="000000"/>
          <w:lang w:val="en-US"/>
        </w:rPr>
        <w:t xml:space="preserve">value organic coffee trade as a result of the </w:t>
      </w:r>
      <w:smartTag w:uri="urn:schemas-microsoft-com:office:smarttags" w:element="Street">
        <w:smartTag w:uri="urn:schemas-microsoft-com:office:smarttags" w:element="address">
          <w:r w:rsidRPr="00006BE9">
            <w:rPr>
              <w:color w:val="000000"/>
              <w:lang w:val="en-US"/>
            </w:rPr>
            <w:t>Highlands Highway</w:t>
          </w:r>
        </w:smartTag>
      </w:smartTag>
      <w:r w:rsidRPr="00006BE9">
        <w:rPr>
          <w:color w:val="000000"/>
          <w:lang w:val="en-US"/>
        </w:rPr>
        <w:t xml:space="preserve"> </w:t>
      </w:r>
      <w:r w:rsidR="00AF18BD" w:rsidRPr="00006BE9">
        <w:rPr>
          <w:color w:val="000000"/>
          <w:lang w:val="en-US"/>
        </w:rPr>
        <w:t xml:space="preserve">being reinstated as a reliable part of the logistic chain between coffee gardens in Goroka and </w:t>
      </w:r>
      <w:smartTag w:uri="urn:schemas-microsoft-com:office:smarttags" w:element="PlaceName">
        <w:smartTag w:uri="urn:schemas-microsoft-com:office:smarttags" w:element="place">
          <w:r w:rsidR="00AF18BD" w:rsidRPr="00006BE9">
            <w:rPr>
              <w:color w:val="000000"/>
              <w:lang w:val="en-US"/>
            </w:rPr>
            <w:t>Lae</w:t>
          </w:r>
        </w:smartTag>
        <w:r w:rsidR="00AF18BD" w:rsidRPr="00006BE9">
          <w:rPr>
            <w:color w:val="000000"/>
            <w:lang w:val="en-US"/>
          </w:rPr>
          <w:t xml:space="preserve"> </w:t>
        </w:r>
        <w:smartTag w:uri="urn:schemas-microsoft-com:office:smarttags" w:element="PlaceType">
          <w:r w:rsidR="00AF18BD" w:rsidRPr="00006BE9">
            <w:rPr>
              <w:color w:val="000000"/>
              <w:lang w:val="en-US"/>
            </w:rPr>
            <w:t>Port</w:t>
          </w:r>
          <w:r w:rsidR="00AF18BD" w:rsidRPr="00006BE9">
            <w:rPr>
              <w:color w:val="000000"/>
            </w:rPr>
            <w:t>.</w:t>
          </w:r>
        </w:smartTag>
      </w:smartTag>
      <w:r w:rsidR="00AF18BD" w:rsidRPr="00006BE9">
        <w:rPr>
          <w:color w:val="000000"/>
        </w:rPr>
        <w:t xml:space="preserve"> A major transport company operator reported in June 2008 that </w:t>
      </w:r>
      <w:r w:rsidR="00AF18BD" w:rsidRPr="00006BE9">
        <w:rPr>
          <w:color w:val="000000"/>
          <w:lang w:val="en-US"/>
        </w:rPr>
        <w:t xml:space="preserve">maintenance costs of their </w:t>
      </w:r>
      <w:bookmarkStart w:id="20" w:name="_GoBack"/>
      <w:bookmarkEnd w:id="20"/>
      <w:r w:rsidR="00AF18BD" w:rsidRPr="00006BE9">
        <w:rPr>
          <w:color w:val="000000"/>
          <w:lang w:val="en-US"/>
        </w:rPr>
        <w:lastRenderedPageBreak/>
        <w:t xml:space="preserve">commercial heavy transport fleet </w:t>
      </w:r>
      <w:r w:rsidRPr="00006BE9">
        <w:rPr>
          <w:color w:val="000000"/>
          <w:lang w:val="en-US"/>
        </w:rPr>
        <w:t xml:space="preserve">had </w:t>
      </w:r>
      <w:r w:rsidR="00AF18BD" w:rsidRPr="00006BE9">
        <w:rPr>
          <w:color w:val="000000"/>
          <w:lang w:val="en-US"/>
        </w:rPr>
        <w:t>halved for the same reason.</w:t>
      </w:r>
      <w:r w:rsidR="00F21DB8" w:rsidRPr="00006BE9">
        <w:rPr>
          <w:color w:val="000000"/>
        </w:rPr>
        <w:t xml:space="preserve"> </w:t>
      </w:r>
      <w:r w:rsidR="00AF18BD" w:rsidRPr="00006BE9">
        <w:rPr>
          <w:color w:val="000000"/>
        </w:rPr>
        <w:t xml:space="preserve">Work on the </w:t>
      </w:r>
      <w:smartTag w:uri="urn:schemas-microsoft-com:office:smarttags" w:element="place">
        <w:r w:rsidR="00AF18BD" w:rsidRPr="00006BE9">
          <w:rPr>
            <w:color w:val="000000"/>
          </w:rPr>
          <w:t>Bougainville</w:t>
        </w:r>
      </w:smartTag>
      <w:r w:rsidR="00AF18BD" w:rsidRPr="00006BE9">
        <w:rPr>
          <w:color w:val="000000"/>
        </w:rPr>
        <w:t xml:space="preserve"> coastal road, which reduced journey times between the major towns of Buka and Arawa from 8</w:t>
      </w:r>
      <w:r w:rsidRPr="00006BE9">
        <w:rPr>
          <w:color w:val="000000"/>
        </w:rPr>
        <w:t> </w:t>
      </w:r>
      <w:r w:rsidR="00AF18BD" w:rsidRPr="00006BE9">
        <w:rPr>
          <w:color w:val="000000"/>
        </w:rPr>
        <w:t>hours to 3</w:t>
      </w:r>
      <w:r w:rsidRPr="00006BE9">
        <w:rPr>
          <w:color w:val="000000"/>
        </w:rPr>
        <w:t> </w:t>
      </w:r>
      <w:r w:rsidR="00AF18BD" w:rsidRPr="00006BE9">
        <w:rPr>
          <w:color w:val="000000"/>
        </w:rPr>
        <w:t xml:space="preserve">hours, made significant differences not only in economic terms but also in helping </w:t>
      </w:r>
      <w:r w:rsidRPr="00006BE9">
        <w:rPr>
          <w:color w:val="000000"/>
        </w:rPr>
        <w:t xml:space="preserve">to </w:t>
      </w:r>
      <w:r w:rsidR="00AF18BD" w:rsidRPr="00006BE9">
        <w:rPr>
          <w:color w:val="000000"/>
        </w:rPr>
        <w:t>demonstrate the state’s capacity to deliver public services in a post-conflict situation.</w:t>
      </w:r>
    </w:p>
    <w:p w:rsidR="00AF18BD" w:rsidRPr="00006BE9" w:rsidRDefault="00AF18BD" w:rsidP="00AF18BD">
      <w:pPr>
        <w:pStyle w:val="BodyText"/>
        <w:rPr>
          <w:color w:val="000000"/>
        </w:rPr>
      </w:pPr>
      <w:r w:rsidRPr="00006BE9">
        <w:rPr>
          <w:color w:val="000000"/>
        </w:rPr>
        <w:t xml:space="preserve">Some of the more direct impacts of </w:t>
      </w:r>
      <w:r w:rsidR="00EB2634" w:rsidRPr="00006BE9">
        <w:rPr>
          <w:color w:val="000000"/>
        </w:rPr>
        <w:t>Australian activities</w:t>
      </w:r>
      <w:r w:rsidRPr="00006BE9">
        <w:rPr>
          <w:color w:val="000000"/>
        </w:rPr>
        <w:t xml:space="preserve"> in the PNG transport sector are presented in Table</w:t>
      </w:r>
      <w:r w:rsidR="00EB2634" w:rsidRPr="00006BE9">
        <w:rPr>
          <w:color w:val="000000"/>
        </w:rPr>
        <w:t> </w:t>
      </w:r>
      <w:r w:rsidRPr="00006BE9">
        <w:rPr>
          <w:color w:val="000000"/>
        </w:rPr>
        <w:t>4.</w:t>
      </w:r>
      <w:r w:rsidR="00F21DB8" w:rsidRPr="00006BE9">
        <w:rPr>
          <w:color w:val="000000"/>
        </w:rPr>
        <w:t xml:space="preserve"> </w:t>
      </w:r>
      <w:r w:rsidRPr="00006BE9">
        <w:rPr>
          <w:color w:val="000000"/>
        </w:rPr>
        <w:t xml:space="preserve">The performance monitoring of earlier projects such as the Key Roads for Growth </w:t>
      </w:r>
      <w:r w:rsidR="00E05912" w:rsidRPr="00006BE9">
        <w:rPr>
          <w:color w:val="000000"/>
        </w:rPr>
        <w:t xml:space="preserve">Maintenance </w:t>
      </w:r>
      <w:r w:rsidRPr="00006BE9">
        <w:rPr>
          <w:color w:val="000000"/>
        </w:rPr>
        <w:t>Project placed a much greater emphasis on outputs than on outcomes.</w:t>
      </w:r>
      <w:r w:rsidR="00F21DB8" w:rsidRPr="00006BE9">
        <w:rPr>
          <w:color w:val="000000"/>
        </w:rPr>
        <w:t xml:space="preserve"> </w:t>
      </w:r>
      <w:r w:rsidRPr="00006BE9">
        <w:rPr>
          <w:color w:val="000000"/>
        </w:rPr>
        <w:t xml:space="preserve">It is felt therefore that the performance of these projects is more effectively rated against </w:t>
      </w:r>
      <w:r w:rsidR="00EB2634" w:rsidRPr="00006BE9">
        <w:rPr>
          <w:color w:val="000000"/>
        </w:rPr>
        <w:t>the objectives of components </w:t>
      </w:r>
      <w:r w:rsidRPr="00006BE9">
        <w:rPr>
          <w:color w:val="000000"/>
        </w:rPr>
        <w:t>2 and 4 of the TSSP.</w:t>
      </w:r>
      <w:r w:rsidR="00F21DB8" w:rsidRPr="00006BE9">
        <w:rPr>
          <w:color w:val="000000"/>
        </w:rPr>
        <w:t xml:space="preserve"> </w:t>
      </w:r>
      <w:r w:rsidRPr="00006BE9">
        <w:rPr>
          <w:color w:val="000000"/>
        </w:rPr>
        <w:t xml:space="preserve">The effort made to </w:t>
      </w:r>
      <w:r w:rsidR="00EB2634" w:rsidRPr="00006BE9">
        <w:rPr>
          <w:color w:val="000000"/>
        </w:rPr>
        <w:t xml:space="preserve">increase </w:t>
      </w:r>
      <w:r w:rsidRPr="00006BE9">
        <w:rPr>
          <w:color w:val="000000"/>
        </w:rPr>
        <w:t xml:space="preserve">expenditure on the maintenance of transport facilities </w:t>
      </w:r>
      <w:r w:rsidR="00EB2634" w:rsidRPr="00006BE9">
        <w:rPr>
          <w:color w:val="000000"/>
        </w:rPr>
        <w:t>was</w:t>
      </w:r>
      <w:r w:rsidRPr="00006BE9">
        <w:rPr>
          <w:color w:val="000000"/>
        </w:rPr>
        <w:t xml:space="preserve"> successful</w:t>
      </w:r>
      <w:r w:rsidR="00EB2634" w:rsidRPr="00006BE9">
        <w:rPr>
          <w:color w:val="000000"/>
        </w:rPr>
        <w:t>.</w:t>
      </w:r>
      <w:r w:rsidRPr="00006BE9">
        <w:rPr>
          <w:color w:val="000000"/>
        </w:rPr>
        <w:t xml:space="preserve"> </w:t>
      </w:r>
      <w:r w:rsidR="00EB2634" w:rsidRPr="00006BE9">
        <w:rPr>
          <w:color w:val="000000"/>
        </w:rPr>
        <w:t>The Department of Works</w:t>
      </w:r>
      <w:r w:rsidR="00C000AA" w:rsidRPr="00006BE9">
        <w:rPr>
          <w:color w:val="000000"/>
        </w:rPr>
        <w:t>’</w:t>
      </w:r>
      <w:r w:rsidR="00EB2634" w:rsidRPr="00006BE9">
        <w:rPr>
          <w:color w:val="000000"/>
        </w:rPr>
        <w:t xml:space="preserve"> </w:t>
      </w:r>
      <w:r w:rsidR="00E05912" w:rsidRPr="00006BE9">
        <w:rPr>
          <w:color w:val="000000"/>
        </w:rPr>
        <w:t>total</w:t>
      </w:r>
      <w:r w:rsidR="00EB2634" w:rsidRPr="00006BE9">
        <w:rPr>
          <w:color w:val="000000"/>
        </w:rPr>
        <w:t xml:space="preserve"> </w:t>
      </w:r>
      <w:r w:rsidRPr="00006BE9">
        <w:rPr>
          <w:color w:val="000000"/>
        </w:rPr>
        <w:t xml:space="preserve">expenditure </w:t>
      </w:r>
      <w:r w:rsidR="00EB2634" w:rsidRPr="00006BE9">
        <w:rPr>
          <w:color w:val="000000"/>
        </w:rPr>
        <w:t>in 2007 was slightly more than 50 per cent above the level in</w:t>
      </w:r>
      <w:r w:rsidRPr="00006BE9">
        <w:rPr>
          <w:color w:val="000000"/>
        </w:rPr>
        <w:t xml:space="preserve"> 2003.</w:t>
      </w:r>
      <w:r w:rsidR="00F21DB8" w:rsidRPr="00006BE9">
        <w:rPr>
          <w:color w:val="000000"/>
        </w:rPr>
        <w:t xml:space="preserve"> </w:t>
      </w:r>
      <w:r w:rsidRPr="00006BE9">
        <w:rPr>
          <w:color w:val="000000"/>
        </w:rPr>
        <w:t xml:space="preserve">However, much of the increased funding came from donors; expenditure from </w:t>
      </w:r>
      <w:r w:rsidR="006449DC" w:rsidRPr="00006BE9">
        <w:rPr>
          <w:color w:val="000000"/>
        </w:rPr>
        <w:t>the Government of Papua New Guinea’s</w:t>
      </w:r>
      <w:r w:rsidRPr="00006BE9">
        <w:rPr>
          <w:color w:val="000000"/>
        </w:rPr>
        <w:t xml:space="preserve"> own budget increased by </w:t>
      </w:r>
      <w:r w:rsidR="00D54BD8" w:rsidRPr="00006BE9">
        <w:rPr>
          <w:color w:val="000000"/>
        </w:rPr>
        <w:t xml:space="preserve">only </w:t>
      </w:r>
      <w:r w:rsidRPr="00006BE9">
        <w:rPr>
          <w:color w:val="000000"/>
        </w:rPr>
        <w:t>17</w:t>
      </w:r>
      <w:r w:rsidR="00F21DB8" w:rsidRPr="00006BE9">
        <w:rPr>
          <w:color w:val="000000"/>
        </w:rPr>
        <w:t> per cent</w:t>
      </w:r>
      <w:r w:rsidRPr="00006BE9">
        <w:rPr>
          <w:color w:val="000000"/>
        </w:rPr>
        <w:t>.</w:t>
      </w:r>
      <w:r w:rsidR="00F21DB8" w:rsidRPr="00006BE9">
        <w:rPr>
          <w:color w:val="000000"/>
        </w:rPr>
        <w:t xml:space="preserve"> </w:t>
      </w:r>
      <w:r w:rsidR="00D54BD8" w:rsidRPr="00006BE9">
        <w:rPr>
          <w:color w:val="000000"/>
        </w:rPr>
        <w:t>As</w:t>
      </w:r>
      <w:r w:rsidRPr="00006BE9">
        <w:rPr>
          <w:color w:val="000000"/>
        </w:rPr>
        <w:t xml:space="preserve"> economic growth</w:t>
      </w:r>
      <w:r w:rsidR="00D54BD8" w:rsidRPr="00006BE9">
        <w:rPr>
          <w:color w:val="000000"/>
        </w:rPr>
        <w:t xml:space="preserve"> improves</w:t>
      </w:r>
      <w:r w:rsidRPr="00006BE9">
        <w:rPr>
          <w:color w:val="000000"/>
        </w:rPr>
        <w:t xml:space="preserve"> it will be important for long-term sustainability that the government budget shoulders an increasing share of maintenance costs.</w:t>
      </w:r>
    </w:p>
    <w:p w:rsidR="008B47FC" w:rsidRPr="00006BE9" w:rsidRDefault="008B47FC" w:rsidP="00813F5C">
      <w:pPr>
        <w:pStyle w:val="Caption"/>
        <w:framePr w:hSpace="181" w:wrap="around" w:hAnchor="text" w:yAlign="top"/>
        <w:spacing w:before="180"/>
        <w:rPr>
          <w:color w:val="000000"/>
        </w:rPr>
      </w:pPr>
      <w:r w:rsidRPr="00006BE9">
        <w:rPr>
          <w:color w:val="000000"/>
        </w:rPr>
        <w:lastRenderedPageBreak/>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4</w:t>
      </w:r>
      <w:r w:rsidRPr="00006BE9">
        <w:rPr>
          <w:color w:val="000000"/>
        </w:rPr>
        <w:fldChar w:fldCharType="end"/>
      </w:r>
      <w:r w:rsidRPr="00006BE9">
        <w:rPr>
          <w:color w:val="000000"/>
        </w:rPr>
        <w:t xml:space="preserve">: </w:t>
      </w:r>
      <w:r w:rsidR="00D54BD8" w:rsidRPr="00006BE9">
        <w:rPr>
          <w:color w:val="000000"/>
        </w:rPr>
        <w:t xml:space="preserve">Results of </w:t>
      </w:r>
      <w:r w:rsidRPr="00006BE9">
        <w:rPr>
          <w:color w:val="000000"/>
        </w:rPr>
        <w:t xml:space="preserve">PNG </w:t>
      </w:r>
      <w:r w:rsidR="00E05912" w:rsidRPr="00006BE9">
        <w:rPr>
          <w:color w:val="000000"/>
        </w:rPr>
        <w:t>Transport Sector Support Program</w:t>
      </w:r>
      <w:r w:rsidR="00D54BD8" w:rsidRPr="00006BE9">
        <w:rPr>
          <w:color w:val="000000"/>
        </w:rPr>
        <w:t>,</w:t>
      </w:r>
      <w:r w:rsidRPr="00006BE9">
        <w:rPr>
          <w:color w:val="000000"/>
        </w:rPr>
        <w:t xml:space="preserve"> 2006–</w:t>
      </w:r>
      <w:r w:rsidR="00006BE9">
        <w:rPr>
          <w:color w:val="000000"/>
        </w:rPr>
        <w:t>07</w:t>
      </w:r>
    </w:p>
    <w:tbl>
      <w:tblPr>
        <w:tblW w:w="0" w:type="auto"/>
        <w:tblInd w:w="57" w:type="dxa"/>
        <w:tblLayout w:type="fixed"/>
        <w:tblLook w:val="0000" w:firstRow="0" w:lastRow="0" w:firstColumn="0" w:lastColumn="0" w:noHBand="0" w:noVBand="0"/>
      </w:tblPr>
      <w:tblGrid>
        <w:gridCol w:w="2576"/>
        <w:gridCol w:w="2534"/>
        <w:gridCol w:w="1441"/>
        <w:gridCol w:w="1387"/>
      </w:tblGrid>
      <w:tr w:rsidR="00813F5C" w:rsidRPr="00006BE9" w:rsidTr="007A45B0">
        <w:tblPrEx>
          <w:tblCellMar>
            <w:top w:w="0" w:type="dxa"/>
            <w:bottom w:w="0" w:type="dxa"/>
          </w:tblCellMar>
        </w:tblPrEx>
        <w:trPr>
          <w:cantSplit/>
          <w:tblHeader/>
        </w:trPr>
        <w:tc>
          <w:tcPr>
            <w:tcW w:w="2576" w:type="dxa"/>
            <w:tcMar>
              <w:left w:w="57" w:type="dxa"/>
              <w:right w:w="57" w:type="dxa"/>
            </w:tcMar>
          </w:tcPr>
          <w:p w:rsidR="00813F5C" w:rsidRPr="00006BE9" w:rsidRDefault="00813F5C" w:rsidP="00813F5C">
            <w:pPr>
              <w:pStyle w:val="TableTextColumnHeading"/>
              <w:framePr w:hSpace="181" w:wrap="around" w:hAnchor="text" w:yAlign="top"/>
              <w:spacing w:after="40"/>
              <w:rPr>
                <w:color w:val="000000"/>
              </w:rPr>
            </w:pPr>
            <w:r w:rsidRPr="00006BE9">
              <w:rPr>
                <w:color w:val="000000"/>
              </w:rPr>
              <w:t>Component and objectives</w:t>
            </w:r>
          </w:p>
        </w:tc>
        <w:tc>
          <w:tcPr>
            <w:tcW w:w="2534" w:type="dxa"/>
            <w:tcMar>
              <w:left w:w="57" w:type="dxa"/>
              <w:right w:w="57" w:type="dxa"/>
            </w:tcMar>
          </w:tcPr>
          <w:p w:rsidR="00813F5C" w:rsidRPr="00006BE9" w:rsidRDefault="00813F5C" w:rsidP="00813F5C">
            <w:pPr>
              <w:pStyle w:val="TableTextColumnHeading"/>
              <w:framePr w:hSpace="181" w:wrap="around" w:hAnchor="text" w:yAlign="top"/>
              <w:spacing w:after="40"/>
              <w:rPr>
                <w:color w:val="000000"/>
              </w:rPr>
            </w:pPr>
            <w:r w:rsidRPr="00006BE9">
              <w:rPr>
                <w:color w:val="000000"/>
              </w:rPr>
              <w:t>Outcome indicators</w:t>
            </w:r>
          </w:p>
        </w:tc>
        <w:tc>
          <w:tcPr>
            <w:tcW w:w="2828" w:type="dxa"/>
            <w:gridSpan w:val="2"/>
            <w:tcBorders>
              <w:bottom w:val="single" w:sz="2" w:space="0" w:color="auto"/>
            </w:tcBorders>
            <w:tcMar>
              <w:left w:w="57" w:type="dxa"/>
              <w:right w:w="57" w:type="dxa"/>
            </w:tcMar>
          </w:tcPr>
          <w:p w:rsidR="00813F5C" w:rsidRPr="00006BE9" w:rsidRDefault="00813F5C" w:rsidP="00813F5C">
            <w:pPr>
              <w:pStyle w:val="TableTextColumnHeading"/>
              <w:framePr w:hSpace="181" w:wrap="around" w:hAnchor="text" w:yAlign="top"/>
              <w:spacing w:after="40"/>
              <w:jc w:val="center"/>
              <w:rPr>
                <w:color w:val="000000"/>
              </w:rPr>
            </w:pPr>
            <w:r w:rsidRPr="00006BE9">
              <w:rPr>
                <w:color w:val="000000"/>
              </w:rPr>
              <w:t>Indicators</w:t>
            </w:r>
          </w:p>
        </w:tc>
      </w:tr>
      <w:tr w:rsidR="00D54BD8" w:rsidRPr="00006BE9" w:rsidTr="007A45B0">
        <w:tblPrEx>
          <w:tblCellMar>
            <w:top w:w="0" w:type="dxa"/>
            <w:bottom w:w="0" w:type="dxa"/>
          </w:tblCellMar>
        </w:tblPrEx>
        <w:trPr>
          <w:cantSplit/>
          <w:tblHeader/>
        </w:trPr>
        <w:tc>
          <w:tcPr>
            <w:tcW w:w="2576" w:type="dxa"/>
            <w:tcBorders>
              <w:bottom w:val="single" w:sz="12" w:space="0" w:color="auto"/>
            </w:tcBorders>
            <w:tcMar>
              <w:left w:w="57" w:type="dxa"/>
              <w:right w:w="57" w:type="dxa"/>
            </w:tcMar>
          </w:tcPr>
          <w:p w:rsidR="00D54BD8" w:rsidRPr="00006BE9" w:rsidRDefault="00D54BD8" w:rsidP="00813F5C">
            <w:pPr>
              <w:pStyle w:val="TableTextColumnHeading"/>
              <w:framePr w:hSpace="181" w:wrap="around" w:hAnchor="text" w:yAlign="top"/>
              <w:spacing w:before="40"/>
              <w:rPr>
                <w:color w:val="000000"/>
              </w:rPr>
            </w:pPr>
          </w:p>
        </w:tc>
        <w:tc>
          <w:tcPr>
            <w:tcW w:w="2534" w:type="dxa"/>
            <w:tcBorders>
              <w:bottom w:val="single" w:sz="12" w:space="0" w:color="auto"/>
            </w:tcBorders>
            <w:tcMar>
              <w:left w:w="57" w:type="dxa"/>
              <w:right w:w="57" w:type="dxa"/>
            </w:tcMar>
          </w:tcPr>
          <w:p w:rsidR="00D54BD8" w:rsidRPr="00006BE9" w:rsidRDefault="00D54BD8" w:rsidP="00813F5C">
            <w:pPr>
              <w:pStyle w:val="TableTextColumnHeading"/>
              <w:framePr w:hSpace="181" w:wrap="around" w:hAnchor="text" w:yAlign="top"/>
              <w:spacing w:before="40"/>
              <w:rPr>
                <w:color w:val="000000"/>
              </w:rPr>
            </w:pPr>
          </w:p>
        </w:tc>
        <w:tc>
          <w:tcPr>
            <w:tcW w:w="1441" w:type="dxa"/>
            <w:tcBorders>
              <w:top w:val="single" w:sz="2" w:space="0" w:color="auto"/>
              <w:bottom w:val="single" w:sz="12" w:space="0" w:color="auto"/>
            </w:tcBorders>
            <w:tcMar>
              <w:left w:w="57" w:type="dxa"/>
              <w:right w:w="57" w:type="dxa"/>
            </w:tcMar>
          </w:tcPr>
          <w:p w:rsidR="00D54BD8" w:rsidRPr="00006BE9" w:rsidRDefault="00D54BD8" w:rsidP="00813F5C">
            <w:pPr>
              <w:pStyle w:val="TableTextColumnHeading"/>
              <w:framePr w:hSpace="181" w:wrap="around" w:hAnchor="text" w:yAlign="top"/>
              <w:spacing w:before="40"/>
              <w:rPr>
                <w:color w:val="000000"/>
              </w:rPr>
            </w:pPr>
            <w:r w:rsidRPr="00006BE9">
              <w:rPr>
                <w:color w:val="000000"/>
              </w:rPr>
              <w:t>Baseline</w:t>
            </w:r>
          </w:p>
        </w:tc>
        <w:tc>
          <w:tcPr>
            <w:tcW w:w="1387" w:type="dxa"/>
            <w:tcBorders>
              <w:top w:val="single" w:sz="2" w:space="0" w:color="auto"/>
              <w:bottom w:val="single" w:sz="12" w:space="0" w:color="auto"/>
            </w:tcBorders>
            <w:tcMar>
              <w:left w:w="57" w:type="dxa"/>
              <w:right w:w="57" w:type="dxa"/>
            </w:tcMar>
          </w:tcPr>
          <w:p w:rsidR="00D54BD8" w:rsidRPr="00006BE9" w:rsidRDefault="00D54BD8" w:rsidP="00813F5C">
            <w:pPr>
              <w:pStyle w:val="TableTextColumnHeading"/>
              <w:framePr w:hSpace="181" w:wrap="around" w:hAnchor="text" w:yAlign="top"/>
              <w:spacing w:before="40"/>
              <w:rPr>
                <w:color w:val="000000"/>
              </w:rPr>
            </w:pPr>
            <w:r w:rsidRPr="00006BE9">
              <w:rPr>
                <w:color w:val="000000"/>
              </w:rPr>
              <w:t>Actual in 2007</w:t>
            </w:r>
          </w:p>
        </w:tc>
      </w:tr>
      <w:tr w:rsidR="00D54BD8" w:rsidRPr="00006BE9" w:rsidTr="007A45B0">
        <w:tblPrEx>
          <w:tblCellMar>
            <w:top w:w="0" w:type="dxa"/>
            <w:bottom w:w="0" w:type="dxa"/>
          </w:tblCellMar>
        </w:tblPrEx>
        <w:trPr>
          <w:cantSplit/>
        </w:trPr>
        <w:tc>
          <w:tcPr>
            <w:tcW w:w="2576" w:type="dxa"/>
            <w:tcBorders>
              <w:top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r w:rsidRPr="00006BE9">
              <w:rPr>
                <w:rStyle w:val="TableHeading1Char"/>
                <w:color w:val="000000"/>
              </w:rPr>
              <w:t xml:space="preserve">Component 2: Strengthening </w:t>
            </w:r>
            <w:r w:rsidR="00E40E94" w:rsidRPr="00006BE9">
              <w:rPr>
                <w:rStyle w:val="TableHeading1Char"/>
                <w:color w:val="000000"/>
              </w:rPr>
              <w:t>central agency support</w:t>
            </w:r>
            <w:r w:rsidR="00E40E94" w:rsidRPr="00006BE9">
              <w:rPr>
                <w:rStyle w:val="TableHeading1Char"/>
                <w:color w:val="000000"/>
              </w:rPr>
              <w:br/>
            </w:r>
            <w:r w:rsidR="00E40E94" w:rsidRPr="00006BE9">
              <w:rPr>
                <w:color w:val="000000"/>
              </w:rPr>
              <w:t>T</w:t>
            </w:r>
            <w:r w:rsidRPr="00006BE9">
              <w:rPr>
                <w:rFonts w:cs="Tahoma"/>
                <w:color w:val="000000"/>
              </w:rPr>
              <w:t>o strengthen links between the transport sector agencies and central agencies so that service delivery and reform programs are actively</w:t>
            </w:r>
            <w:r w:rsidRPr="00006BE9">
              <w:rPr>
                <w:rFonts w:cs="Tahoma"/>
                <w:b/>
                <w:color w:val="000000"/>
              </w:rPr>
              <w:t xml:space="preserve"> </w:t>
            </w:r>
            <w:r w:rsidRPr="00006BE9">
              <w:rPr>
                <w:rFonts w:cs="Tahoma"/>
                <w:color w:val="000000"/>
              </w:rPr>
              <w:t>supported</w:t>
            </w:r>
          </w:p>
        </w:tc>
        <w:tc>
          <w:tcPr>
            <w:tcW w:w="2534" w:type="dxa"/>
            <w:tcBorders>
              <w:top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r w:rsidRPr="00006BE9">
              <w:rPr>
                <w:color w:val="000000"/>
              </w:rPr>
              <w:t>Central agencies actively supporting transport sector reform and service delivery through improved planning, budgeting and monitoring</w:t>
            </w:r>
            <w:r w:rsidR="00E05912" w:rsidRPr="00006BE9">
              <w:rPr>
                <w:color w:val="000000"/>
              </w:rPr>
              <w:t>,</w:t>
            </w:r>
            <w:r w:rsidRPr="00006BE9">
              <w:rPr>
                <w:color w:val="000000"/>
              </w:rPr>
              <w:t xml:space="preserve"> and institutional and personnel development functions</w:t>
            </w:r>
          </w:p>
        </w:tc>
        <w:tc>
          <w:tcPr>
            <w:tcW w:w="1441" w:type="dxa"/>
            <w:tcBorders>
              <w:top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p>
        </w:tc>
        <w:tc>
          <w:tcPr>
            <w:tcW w:w="1387" w:type="dxa"/>
            <w:tcBorders>
              <w:top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p>
        </w:tc>
      </w:tr>
      <w:tr w:rsidR="0062290A" w:rsidRPr="00006BE9" w:rsidTr="007A45B0">
        <w:tblPrEx>
          <w:tblCellMar>
            <w:top w:w="0" w:type="dxa"/>
            <w:bottom w:w="0" w:type="dxa"/>
          </w:tblCellMar>
        </w:tblPrEx>
        <w:trPr>
          <w:cantSplit/>
          <w:trHeight w:val="1126"/>
        </w:trPr>
        <w:tc>
          <w:tcPr>
            <w:tcW w:w="2576" w:type="dxa"/>
            <w:tcMar>
              <w:left w:w="57" w:type="dxa"/>
              <w:right w:w="57" w:type="dxa"/>
            </w:tcMar>
          </w:tcPr>
          <w:p w:rsidR="0062290A" w:rsidRPr="00006BE9" w:rsidRDefault="0062290A" w:rsidP="00813F5C">
            <w:pPr>
              <w:pStyle w:val="TableTextEntries"/>
              <w:framePr w:hSpace="181" w:wrap="around" w:hAnchor="text" w:yAlign="top"/>
              <w:rPr>
                <w:color w:val="000000"/>
              </w:rPr>
            </w:pPr>
          </w:p>
        </w:tc>
        <w:tc>
          <w:tcPr>
            <w:tcW w:w="2534" w:type="dxa"/>
            <w:tcMar>
              <w:left w:w="57" w:type="dxa"/>
              <w:right w:w="57" w:type="dxa"/>
            </w:tcMar>
          </w:tcPr>
          <w:p w:rsidR="0062290A" w:rsidRPr="00006BE9" w:rsidRDefault="0062290A" w:rsidP="00813F5C">
            <w:pPr>
              <w:pStyle w:val="TableTextEntries"/>
              <w:framePr w:hSpace="181" w:wrap="around" w:hAnchor="text" w:yAlign="top"/>
              <w:rPr>
                <w:color w:val="000000"/>
              </w:rPr>
            </w:pPr>
            <w:r w:rsidRPr="00006BE9">
              <w:rPr>
                <w:color w:val="000000"/>
              </w:rPr>
              <w:t xml:space="preserve">Increased expenditure by </w:t>
            </w:r>
            <w:r w:rsidR="00E05912" w:rsidRPr="00006BE9">
              <w:rPr>
                <w:color w:val="000000"/>
              </w:rPr>
              <w:t xml:space="preserve">the </w:t>
            </w:r>
            <w:r w:rsidRPr="00006BE9">
              <w:rPr>
                <w:color w:val="000000"/>
              </w:rPr>
              <w:t>Department of Works:</w:t>
            </w:r>
          </w:p>
          <w:p w:rsidR="0062290A" w:rsidRPr="00006BE9" w:rsidRDefault="00E05912" w:rsidP="00813F5C">
            <w:pPr>
              <w:pStyle w:val="TableListBullet"/>
              <w:framePr w:hSpace="181" w:wrap="around" w:hAnchor="text" w:yAlign="top"/>
              <w:rPr>
                <w:color w:val="000000"/>
              </w:rPr>
            </w:pPr>
            <w:r w:rsidRPr="00006BE9">
              <w:rPr>
                <w:color w:val="000000"/>
              </w:rPr>
              <w:t xml:space="preserve">from </w:t>
            </w:r>
            <w:r w:rsidR="0062290A" w:rsidRPr="00006BE9">
              <w:rPr>
                <w:color w:val="000000"/>
              </w:rPr>
              <w:t>budget</w:t>
            </w:r>
          </w:p>
          <w:p w:rsidR="0062290A" w:rsidRPr="00006BE9" w:rsidRDefault="00E05912" w:rsidP="00D60B64">
            <w:pPr>
              <w:pStyle w:val="TableListBullet"/>
              <w:framePr w:hSpace="181" w:wrap="around" w:hAnchor="text" w:yAlign="top"/>
              <w:rPr>
                <w:color w:val="000000"/>
              </w:rPr>
            </w:pPr>
            <w:r w:rsidRPr="00006BE9">
              <w:rPr>
                <w:color w:val="000000"/>
              </w:rPr>
              <w:t xml:space="preserve">total </w:t>
            </w:r>
            <w:r w:rsidR="0062290A" w:rsidRPr="00006BE9">
              <w:rPr>
                <w:color w:val="000000"/>
              </w:rPr>
              <w:t>expenditure</w:t>
            </w:r>
          </w:p>
        </w:tc>
        <w:tc>
          <w:tcPr>
            <w:tcW w:w="1441" w:type="dxa"/>
            <w:tcMar>
              <w:left w:w="57" w:type="dxa"/>
              <w:right w:w="57" w:type="dxa"/>
            </w:tcMar>
          </w:tcPr>
          <w:p w:rsidR="0062290A" w:rsidRPr="00006BE9" w:rsidRDefault="0062290A" w:rsidP="00813F5C">
            <w:pPr>
              <w:pStyle w:val="TableTextEntries"/>
              <w:framePr w:hSpace="181" w:wrap="around" w:hAnchor="text" w:yAlign="top"/>
              <w:rPr>
                <w:color w:val="000000"/>
              </w:rPr>
            </w:pPr>
            <w:r w:rsidRPr="00006BE9">
              <w:rPr>
                <w:color w:val="000000"/>
              </w:rPr>
              <w:br/>
            </w:r>
          </w:p>
          <w:p w:rsidR="0062290A" w:rsidRPr="00006BE9" w:rsidRDefault="0062290A" w:rsidP="00813F5C">
            <w:pPr>
              <w:pStyle w:val="TableTextEntries"/>
              <w:framePr w:hSpace="181" w:wrap="around" w:hAnchor="text" w:yAlign="top"/>
              <w:rPr>
                <w:color w:val="000000"/>
              </w:rPr>
            </w:pPr>
            <w:r w:rsidRPr="00006BE9">
              <w:rPr>
                <w:color w:val="000000"/>
              </w:rPr>
              <w:t>K83m (2003)</w:t>
            </w:r>
          </w:p>
          <w:p w:rsidR="0062290A" w:rsidRPr="00006BE9" w:rsidRDefault="0062290A" w:rsidP="00D60B64">
            <w:pPr>
              <w:pStyle w:val="TableTextEntries"/>
              <w:framePr w:hSpace="181" w:wrap="around" w:hAnchor="text" w:yAlign="top"/>
              <w:rPr>
                <w:color w:val="000000"/>
              </w:rPr>
            </w:pPr>
            <w:r w:rsidRPr="00006BE9">
              <w:rPr>
                <w:color w:val="000000"/>
              </w:rPr>
              <w:t>K208m (2003)</w:t>
            </w:r>
          </w:p>
        </w:tc>
        <w:tc>
          <w:tcPr>
            <w:tcW w:w="1387" w:type="dxa"/>
            <w:tcMar>
              <w:left w:w="57" w:type="dxa"/>
              <w:right w:w="57" w:type="dxa"/>
            </w:tcMar>
          </w:tcPr>
          <w:p w:rsidR="0062290A" w:rsidRPr="00006BE9" w:rsidRDefault="0062290A" w:rsidP="00813F5C">
            <w:pPr>
              <w:pStyle w:val="TableTextEntries"/>
              <w:framePr w:hSpace="181" w:wrap="around" w:hAnchor="text" w:yAlign="top"/>
              <w:rPr>
                <w:color w:val="000000"/>
              </w:rPr>
            </w:pPr>
            <w:r w:rsidRPr="00006BE9">
              <w:rPr>
                <w:color w:val="000000"/>
              </w:rPr>
              <w:br/>
            </w:r>
          </w:p>
          <w:p w:rsidR="0062290A" w:rsidRPr="00006BE9" w:rsidRDefault="0062290A" w:rsidP="00813F5C">
            <w:pPr>
              <w:pStyle w:val="TableTextEntries"/>
              <w:framePr w:hSpace="181" w:wrap="around" w:hAnchor="text" w:yAlign="top"/>
              <w:rPr>
                <w:color w:val="000000"/>
              </w:rPr>
            </w:pPr>
            <w:r w:rsidRPr="00006BE9">
              <w:rPr>
                <w:color w:val="000000"/>
              </w:rPr>
              <w:t>K97m</w:t>
            </w:r>
          </w:p>
          <w:p w:rsidR="0062290A" w:rsidRPr="00006BE9" w:rsidRDefault="0062290A" w:rsidP="00D60B64">
            <w:pPr>
              <w:pStyle w:val="TableTextEntries"/>
              <w:framePr w:hSpace="181" w:wrap="around" w:hAnchor="text" w:yAlign="top"/>
              <w:rPr>
                <w:color w:val="000000"/>
              </w:rPr>
            </w:pPr>
            <w:r w:rsidRPr="00006BE9">
              <w:rPr>
                <w:color w:val="000000"/>
              </w:rPr>
              <w:t>K315m</w:t>
            </w:r>
          </w:p>
        </w:tc>
      </w:tr>
      <w:tr w:rsidR="00E40E94" w:rsidRPr="00006BE9" w:rsidTr="007A45B0">
        <w:tblPrEx>
          <w:tblCellMar>
            <w:top w:w="0" w:type="dxa"/>
            <w:bottom w:w="0" w:type="dxa"/>
          </w:tblCellMar>
        </w:tblPrEx>
        <w:trPr>
          <w:cantSplit/>
        </w:trPr>
        <w:tc>
          <w:tcPr>
            <w:tcW w:w="2576" w:type="dxa"/>
            <w:vMerge w:val="restart"/>
            <w:tcBorders>
              <w:top w:val="single" w:sz="2" w:space="0" w:color="auto"/>
            </w:tcBorders>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rStyle w:val="TableHeading1Char"/>
                <w:color w:val="000000"/>
              </w:rPr>
              <w:t>Component 4: Maintenance of prioritised transport assets</w:t>
            </w:r>
            <w:r w:rsidRPr="00006BE9">
              <w:rPr>
                <w:i/>
                <w:color w:val="000000"/>
              </w:rPr>
              <w:br/>
            </w:r>
            <w:r w:rsidRPr="00006BE9">
              <w:rPr>
                <w:color w:val="000000"/>
              </w:rPr>
              <w:t xml:space="preserve">To support </w:t>
            </w:r>
            <w:r w:rsidR="00E05912" w:rsidRPr="00006BE9">
              <w:rPr>
                <w:color w:val="000000"/>
              </w:rPr>
              <w:t xml:space="preserve">the </w:t>
            </w:r>
            <w:r w:rsidRPr="00006BE9">
              <w:rPr>
                <w:color w:val="000000"/>
              </w:rPr>
              <w:t>delivery of an affordable, contestable and prioritised national transport network</w:t>
            </w:r>
          </w:p>
        </w:tc>
        <w:tc>
          <w:tcPr>
            <w:tcW w:w="2534" w:type="dxa"/>
            <w:tcBorders>
              <w:top w:val="single" w:sz="2" w:space="0" w:color="auto"/>
            </w:tcBorders>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Increase</w:t>
            </w:r>
            <w:r w:rsidR="00E05912" w:rsidRPr="00006BE9">
              <w:rPr>
                <w:color w:val="000000"/>
              </w:rPr>
              <w:t>d</w:t>
            </w:r>
            <w:r w:rsidRPr="00006BE9">
              <w:rPr>
                <w:color w:val="000000"/>
              </w:rPr>
              <w:t xml:space="preserve"> percentage of national roads in good condition</w:t>
            </w:r>
          </w:p>
        </w:tc>
        <w:tc>
          <w:tcPr>
            <w:tcW w:w="1441" w:type="dxa"/>
            <w:tcBorders>
              <w:top w:val="single" w:sz="2" w:space="0" w:color="auto"/>
            </w:tcBorders>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20% (2006)</w:t>
            </w:r>
          </w:p>
        </w:tc>
        <w:tc>
          <w:tcPr>
            <w:tcW w:w="1387" w:type="dxa"/>
            <w:tcBorders>
              <w:top w:val="single" w:sz="2" w:space="0" w:color="auto"/>
            </w:tcBorders>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27%</w:t>
            </w:r>
          </w:p>
        </w:tc>
      </w:tr>
      <w:tr w:rsidR="00E40E94" w:rsidRPr="00006BE9" w:rsidTr="007A45B0">
        <w:tblPrEx>
          <w:tblCellMar>
            <w:top w:w="0" w:type="dxa"/>
            <w:bottom w:w="0" w:type="dxa"/>
          </w:tblCellMar>
        </w:tblPrEx>
        <w:trPr>
          <w:cantSplit/>
        </w:trPr>
        <w:tc>
          <w:tcPr>
            <w:tcW w:w="2576" w:type="dxa"/>
            <w:vMerge/>
            <w:tcMar>
              <w:left w:w="57" w:type="dxa"/>
              <w:right w:w="57" w:type="dxa"/>
            </w:tcMar>
          </w:tcPr>
          <w:p w:rsidR="00E40E94" w:rsidRPr="00006BE9" w:rsidRDefault="00E40E94" w:rsidP="00813F5C">
            <w:pPr>
              <w:pStyle w:val="TableTextEntries"/>
              <w:framePr w:hSpace="181" w:wrap="around" w:hAnchor="text" w:yAlign="top"/>
              <w:rPr>
                <w:color w:val="000000"/>
              </w:rPr>
            </w:pPr>
          </w:p>
        </w:tc>
        <w:tc>
          <w:tcPr>
            <w:tcW w:w="2534" w:type="dxa"/>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Reduce</w:t>
            </w:r>
            <w:r w:rsidR="00E05912" w:rsidRPr="00006BE9">
              <w:rPr>
                <w:color w:val="000000"/>
              </w:rPr>
              <w:t>d</w:t>
            </w:r>
            <w:r w:rsidRPr="00006BE9">
              <w:rPr>
                <w:color w:val="000000"/>
              </w:rPr>
              <w:t xml:space="preserve"> journey time from:</w:t>
            </w:r>
          </w:p>
          <w:p w:rsidR="00E40E94" w:rsidRPr="00006BE9" w:rsidRDefault="00E40E94" w:rsidP="00813F5C">
            <w:pPr>
              <w:pStyle w:val="TableListBullet"/>
              <w:framePr w:hSpace="181" w:wrap="around" w:hAnchor="text" w:yAlign="top"/>
              <w:spacing w:before="0"/>
              <w:rPr>
                <w:color w:val="000000"/>
              </w:rPr>
            </w:pPr>
            <w:r w:rsidRPr="00006BE9">
              <w:rPr>
                <w:color w:val="000000"/>
              </w:rPr>
              <w:t>Goroka to Lae</w:t>
            </w:r>
          </w:p>
          <w:p w:rsidR="00E40E94" w:rsidRPr="00006BE9" w:rsidRDefault="00E40E94" w:rsidP="00813F5C">
            <w:pPr>
              <w:pStyle w:val="TableListBullet"/>
              <w:framePr w:hSpace="181" w:wrap="around" w:hAnchor="text" w:yAlign="top"/>
              <w:spacing w:before="0"/>
              <w:rPr>
                <w:color w:val="000000"/>
              </w:rPr>
            </w:pPr>
            <w:r w:rsidRPr="00006BE9">
              <w:rPr>
                <w:color w:val="000000"/>
              </w:rPr>
              <w:t xml:space="preserve">Buka to Arawa in </w:t>
            </w:r>
            <w:smartTag w:uri="urn:schemas-microsoft-com:office:smarttags" w:element="place">
              <w:r w:rsidRPr="00006BE9">
                <w:rPr>
                  <w:color w:val="000000"/>
                </w:rPr>
                <w:t>Bougainville</w:t>
              </w:r>
            </w:smartTag>
          </w:p>
        </w:tc>
        <w:tc>
          <w:tcPr>
            <w:tcW w:w="1441" w:type="dxa"/>
            <w:tcMar>
              <w:left w:w="57" w:type="dxa"/>
              <w:right w:w="57" w:type="dxa"/>
            </w:tcMar>
          </w:tcPr>
          <w:p w:rsidR="00E40E94" w:rsidRPr="00006BE9" w:rsidRDefault="00E40E94" w:rsidP="00813F5C">
            <w:pPr>
              <w:pStyle w:val="TableTextEntries"/>
              <w:framePr w:hSpace="181" w:wrap="around" w:hAnchor="text" w:yAlign="top"/>
              <w:rPr>
                <w:color w:val="000000"/>
              </w:rPr>
            </w:pPr>
          </w:p>
          <w:p w:rsidR="00E40E94" w:rsidRPr="00006BE9" w:rsidRDefault="00E40E94" w:rsidP="00813F5C">
            <w:pPr>
              <w:pStyle w:val="TableTextEntries"/>
              <w:framePr w:hSpace="181" w:wrap="around" w:hAnchor="text" w:yAlign="top"/>
              <w:spacing w:before="0"/>
              <w:ind w:left="227" w:hanging="227"/>
              <w:rPr>
                <w:color w:val="000000"/>
              </w:rPr>
            </w:pPr>
            <w:r w:rsidRPr="00006BE9">
              <w:rPr>
                <w:color w:val="000000"/>
              </w:rPr>
              <w:t>5 hours (2005)</w:t>
            </w:r>
          </w:p>
          <w:p w:rsidR="00E40E94" w:rsidRPr="00006BE9" w:rsidRDefault="00E40E94" w:rsidP="00813F5C">
            <w:pPr>
              <w:pStyle w:val="TableTextEntries"/>
              <w:framePr w:hSpace="181" w:wrap="around" w:hAnchor="text" w:yAlign="top"/>
              <w:spacing w:before="0"/>
              <w:ind w:left="227" w:hanging="227"/>
              <w:rPr>
                <w:color w:val="000000"/>
              </w:rPr>
            </w:pPr>
            <w:r w:rsidRPr="00006BE9">
              <w:rPr>
                <w:color w:val="000000"/>
              </w:rPr>
              <w:t>8 hours</w:t>
            </w:r>
          </w:p>
        </w:tc>
        <w:tc>
          <w:tcPr>
            <w:tcW w:w="1387" w:type="dxa"/>
            <w:tcMar>
              <w:left w:w="57" w:type="dxa"/>
              <w:right w:w="57" w:type="dxa"/>
            </w:tcMar>
          </w:tcPr>
          <w:p w:rsidR="00E40E94" w:rsidRPr="00006BE9" w:rsidRDefault="00E40E94" w:rsidP="00813F5C">
            <w:pPr>
              <w:pStyle w:val="TableTextEntries"/>
              <w:framePr w:hSpace="181" w:wrap="around" w:hAnchor="text" w:yAlign="top"/>
              <w:rPr>
                <w:color w:val="000000"/>
              </w:rPr>
            </w:pPr>
          </w:p>
          <w:p w:rsidR="00E40E94" w:rsidRPr="00006BE9" w:rsidRDefault="00E40E94" w:rsidP="00813F5C">
            <w:pPr>
              <w:pStyle w:val="TableTextEntries"/>
              <w:framePr w:hSpace="181" w:wrap="around" w:hAnchor="text" w:yAlign="top"/>
              <w:spacing w:before="0"/>
              <w:ind w:left="227" w:hanging="227"/>
              <w:rPr>
                <w:color w:val="000000"/>
              </w:rPr>
            </w:pPr>
            <w:r w:rsidRPr="00006BE9">
              <w:rPr>
                <w:color w:val="000000"/>
              </w:rPr>
              <w:t>4 hours</w:t>
            </w:r>
          </w:p>
          <w:p w:rsidR="00E40E94" w:rsidRPr="00006BE9" w:rsidRDefault="00E40E94" w:rsidP="00813F5C">
            <w:pPr>
              <w:pStyle w:val="TableTextEntries"/>
              <w:framePr w:hSpace="181" w:wrap="around" w:hAnchor="text" w:yAlign="top"/>
              <w:spacing w:before="0"/>
              <w:ind w:left="227" w:hanging="227"/>
              <w:rPr>
                <w:color w:val="000000"/>
              </w:rPr>
            </w:pPr>
            <w:r w:rsidRPr="00006BE9">
              <w:rPr>
                <w:color w:val="000000"/>
              </w:rPr>
              <w:t>3 hours</w:t>
            </w:r>
          </w:p>
        </w:tc>
      </w:tr>
      <w:tr w:rsidR="00E40E94" w:rsidRPr="00006BE9" w:rsidTr="007A45B0">
        <w:tblPrEx>
          <w:tblCellMar>
            <w:top w:w="0" w:type="dxa"/>
            <w:bottom w:w="0" w:type="dxa"/>
          </w:tblCellMar>
        </w:tblPrEx>
        <w:trPr>
          <w:cantSplit/>
        </w:trPr>
        <w:tc>
          <w:tcPr>
            <w:tcW w:w="2576" w:type="dxa"/>
            <w:vMerge/>
            <w:tcMar>
              <w:left w:w="57" w:type="dxa"/>
              <w:right w:w="57" w:type="dxa"/>
            </w:tcMar>
          </w:tcPr>
          <w:p w:rsidR="00E40E94" w:rsidRPr="00006BE9" w:rsidRDefault="00E40E94" w:rsidP="00813F5C">
            <w:pPr>
              <w:pStyle w:val="TableTextEntries"/>
              <w:framePr w:hSpace="181" w:wrap="around" w:hAnchor="text" w:yAlign="top"/>
              <w:rPr>
                <w:color w:val="000000"/>
              </w:rPr>
            </w:pPr>
          </w:p>
        </w:tc>
        <w:tc>
          <w:tcPr>
            <w:tcW w:w="2534" w:type="dxa"/>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 xml:space="preserve">Reduced vehicle operating costs on </w:t>
            </w:r>
            <w:smartTag w:uri="urn:schemas-microsoft-com:office:smarttags" w:element="Street">
              <w:smartTag w:uri="urn:schemas-microsoft-com:office:smarttags" w:element="address">
                <w:r w:rsidRPr="00006BE9">
                  <w:rPr>
                    <w:color w:val="000000"/>
                  </w:rPr>
                  <w:t>Highlands Highway</w:t>
                </w:r>
              </w:smartTag>
            </w:smartTag>
            <w:r w:rsidRPr="00006BE9">
              <w:rPr>
                <w:color w:val="000000"/>
              </w:rPr>
              <w:t xml:space="preserve"> in Morobe and </w:t>
            </w:r>
            <w:smartTag w:uri="urn:schemas-microsoft-com:office:smarttags" w:element="place">
              <w:r w:rsidRPr="00006BE9">
                <w:rPr>
                  <w:color w:val="000000"/>
                </w:rPr>
                <w:t>Eastern Highlands</w:t>
              </w:r>
            </w:smartTag>
            <w:r w:rsidRPr="00006BE9">
              <w:rPr>
                <w:color w:val="000000"/>
              </w:rPr>
              <w:t xml:space="preserve"> </w:t>
            </w:r>
            <w:r w:rsidR="00E05912" w:rsidRPr="00006BE9">
              <w:rPr>
                <w:color w:val="000000"/>
              </w:rPr>
              <w:t xml:space="preserve">provinces </w:t>
            </w:r>
            <w:r w:rsidRPr="00006BE9">
              <w:rPr>
                <w:color w:val="000000"/>
              </w:rPr>
              <w:t>as a result of improved road pavement condition</w:t>
            </w:r>
          </w:p>
        </w:tc>
        <w:tc>
          <w:tcPr>
            <w:tcW w:w="1441" w:type="dxa"/>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IRI</w:t>
            </w:r>
            <w:r w:rsidR="00813F5C" w:rsidRPr="00006BE9">
              <w:rPr>
                <w:rStyle w:val="NoteLabel"/>
                <w:color w:val="000000"/>
              </w:rPr>
              <w:t>a</w:t>
            </w:r>
            <w:r w:rsidRPr="00006BE9">
              <w:rPr>
                <w:color w:val="000000"/>
              </w:rPr>
              <w:t xml:space="preserve"> 5.63 (2005)</w:t>
            </w:r>
          </w:p>
        </w:tc>
        <w:tc>
          <w:tcPr>
            <w:tcW w:w="1387" w:type="dxa"/>
            <w:tcMar>
              <w:left w:w="57" w:type="dxa"/>
              <w:right w:w="57" w:type="dxa"/>
            </w:tcMar>
          </w:tcPr>
          <w:p w:rsidR="00E40E94" w:rsidRPr="00006BE9" w:rsidRDefault="00E40E94" w:rsidP="00813F5C">
            <w:pPr>
              <w:pStyle w:val="TableTextEntries"/>
              <w:framePr w:hSpace="181" w:wrap="around" w:hAnchor="text" w:yAlign="top"/>
              <w:rPr>
                <w:color w:val="000000"/>
              </w:rPr>
            </w:pPr>
            <w:r w:rsidRPr="00006BE9">
              <w:rPr>
                <w:color w:val="000000"/>
              </w:rPr>
              <w:t>IRI</w:t>
            </w:r>
            <w:r w:rsidR="00813F5C" w:rsidRPr="00006BE9">
              <w:rPr>
                <w:rStyle w:val="NoteLabel"/>
                <w:color w:val="000000"/>
              </w:rPr>
              <w:t>a</w:t>
            </w:r>
            <w:r w:rsidRPr="00006BE9">
              <w:rPr>
                <w:color w:val="000000"/>
              </w:rPr>
              <w:t xml:space="preserve"> 3.77 </w:t>
            </w:r>
            <w:r w:rsidR="00813F5C" w:rsidRPr="00006BE9">
              <w:rPr>
                <w:color w:val="000000"/>
              </w:rPr>
              <w:br/>
            </w:r>
            <w:r w:rsidRPr="00006BE9">
              <w:rPr>
                <w:color w:val="000000"/>
              </w:rPr>
              <w:t>equates to an estimated K6.4m in vehicle operating cost savings</w:t>
            </w:r>
          </w:p>
        </w:tc>
      </w:tr>
      <w:tr w:rsidR="00D54BD8" w:rsidRPr="00006BE9" w:rsidTr="007A45B0">
        <w:tblPrEx>
          <w:tblCellMar>
            <w:top w:w="0" w:type="dxa"/>
            <w:bottom w:w="0" w:type="dxa"/>
          </w:tblCellMar>
        </w:tblPrEx>
        <w:trPr>
          <w:cantSplit/>
        </w:trPr>
        <w:tc>
          <w:tcPr>
            <w:tcW w:w="2576" w:type="dxa"/>
            <w:tcBorders>
              <w:bottom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p>
        </w:tc>
        <w:tc>
          <w:tcPr>
            <w:tcW w:w="2534" w:type="dxa"/>
            <w:tcBorders>
              <w:bottom w:val="single" w:sz="12" w:space="0" w:color="auto"/>
            </w:tcBorders>
            <w:tcMar>
              <w:left w:w="57" w:type="dxa"/>
              <w:right w:w="57" w:type="dxa"/>
            </w:tcMar>
          </w:tcPr>
          <w:p w:rsidR="00D54BD8" w:rsidRPr="00006BE9" w:rsidRDefault="00E05912" w:rsidP="00813F5C">
            <w:pPr>
              <w:pStyle w:val="TableTextEntries"/>
              <w:framePr w:hSpace="181" w:wrap="around" w:hAnchor="text" w:yAlign="top"/>
              <w:rPr>
                <w:color w:val="000000"/>
              </w:rPr>
            </w:pPr>
            <w:r w:rsidRPr="00006BE9">
              <w:rPr>
                <w:color w:val="000000"/>
              </w:rPr>
              <w:t>Increased n</w:t>
            </w:r>
            <w:r w:rsidR="00D54BD8" w:rsidRPr="00006BE9">
              <w:rPr>
                <w:color w:val="000000"/>
              </w:rPr>
              <w:t xml:space="preserve">umber of </w:t>
            </w:r>
            <w:r w:rsidR="00E40E94" w:rsidRPr="00006BE9">
              <w:rPr>
                <w:color w:val="000000"/>
              </w:rPr>
              <w:t xml:space="preserve">regional </w:t>
            </w:r>
            <w:r w:rsidR="00D54BD8" w:rsidRPr="00006BE9">
              <w:rPr>
                <w:color w:val="000000"/>
              </w:rPr>
              <w:t>airports meeting safety certification standards</w:t>
            </w:r>
          </w:p>
        </w:tc>
        <w:tc>
          <w:tcPr>
            <w:tcW w:w="1441" w:type="dxa"/>
            <w:tcBorders>
              <w:bottom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r w:rsidRPr="00006BE9">
              <w:rPr>
                <w:color w:val="000000"/>
              </w:rPr>
              <w:t>0 (2004)</w:t>
            </w:r>
          </w:p>
        </w:tc>
        <w:tc>
          <w:tcPr>
            <w:tcW w:w="1387" w:type="dxa"/>
            <w:tcBorders>
              <w:bottom w:val="single" w:sz="12" w:space="0" w:color="auto"/>
            </w:tcBorders>
            <w:tcMar>
              <w:left w:w="57" w:type="dxa"/>
              <w:right w:w="57" w:type="dxa"/>
            </w:tcMar>
          </w:tcPr>
          <w:p w:rsidR="00D54BD8" w:rsidRPr="00006BE9" w:rsidRDefault="00D54BD8" w:rsidP="00813F5C">
            <w:pPr>
              <w:pStyle w:val="TableTextEntries"/>
              <w:framePr w:hSpace="181" w:wrap="around" w:hAnchor="text" w:yAlign="top"/>
              <w:rPr>
                <w:color w:val="000000"/>
              </w:rPr>
            </w:pPr>
            <w:r w:rsidRPr="00006BE9">
              <w:rPr>
                <w:color w:val="000000"/>
              </w:rPr>
              <w:t>2</w:t>
            </w:r>
          </w:p>
        </w:tc>
      </w:tr>
    </w:tbl>
    <w:p w:rsidR="008B47FC" w:rsidRPr="00006BE9" w:rsidRDefault="00E40E94" w:rsidP="000016BE">
      <w:pPr>
        <w:pStyle w:val="NoteNumber"/>
        <w:framePr w:hSpace="181" w:wrap="around" w:hAnchor="text" w:yAlign="top"/>
        <w:numPr>
          <w:ilvl w:val="0"/>
          <w:numId w:val="17"/>
        </w:numPr>
        <w:tabs>
          <w:tab w:val="clear" w:pos="720"/>
        </w:tabs>
        <w:spacing w:after="240"/>
        <w:ind w:left="0" w:firstLine="0"/>
        <w:rPr>
          <w:color w:val="000000"/>
        </w:rPr>
      </w:pPr>
      <w:r w:rsidRPr="00006BE9">
        <w:rPr>
          <w:color w:val="000000"/>
        </w:rPr>
        <w:t xml:space="preserve">International </w:t>
      </w:r>
      <w:r w:rsidR="00813F5C" w:rsidRPr="00006BE9">
        <w:rPr>
          <w:color w:val="000000"/>
        </w:rPr>
        <w:t>[</w:t>
      </w:r>
      <w:r w:rsidRPr="00006BE9">
        <w:rPr>
          <w:color w:val="000000"/>
        </w:rPr>
        <w:t>Road</w:t>
      </w:r>
      <w:r w:rsidR="00813F5C" w:rsidRPr="00006BE9">
        <w:rPr>
          <w:color w:val="000000"/>
        </w:rPr>
        <w:t>]</w:t>
      </w:r>
      <w:r w:rsidRPr="00006BE9">
        <w:rPr>
          <w:color w:val="000000"/>
        </w:rPr>
        <w:t xml:space="preserve"> Roughness Index (IRI) measures pavement roughness over </w:t>
      </w:r>
      <w:r w:rsidR="00813F5C" w:rsidRPr="00006BE9">
        <w:rPr>
          <w:color w:val="000000"/>
        </w:rPr>
        <w:t xml:space="preserve">the </w:t>
      </w:r>
      <w:r w:rsidRPr="00006BE9">
        <w:rPr>
          <w:color w:val="000000"/>
        </w:rPr>
        <w:t>longitudinal road profile.</w:t>
      </w:r>
    </w:p>
    <w:p w:rsidR="00E05912" w:rsidRPr="00006BE9" w:rsidRDefault="00797008" w:rsidP="00072718">
      <w:pPr>
        <w:pStyle w:val="BodyText"/>
        <w:rPr>
          <w:color w:val="000000"/>
        </w:rPr>
      </w:pPr>
      <w:r w:rsidRPr="00006BE9">
        <w:rPr>
          <w:color w:val="000000"/>
        </w:rPr>
        <w:t>T</w:t>
      </w:r>
      <w:r w:rsidR="00072718" w:rsidRPr="00006BE9">
        <w:rPr>
          <w:color w:val="000000"/>
        </w:rPr>
        <w:t xml:space="preserve">he TSSP design document defined </w:t>
      </w:r>
      <w:r w:rsidR="00F31650" w:rsidRPr="00006BE9">
        <w:rPr>
          <w:color w:val="000000"/>
        </w:rPr>
        <w:t xml:space="preserve">the </w:t>
      </w:r>
      <w:r w:rsidR="00072718" w:rsidRPr="00006BE9">
        <w:rPr>
          <w:color w:val="000000"/>
        </w:rPr>
        <w:t>program</w:t>
      </w:r>
      <w:r w:rsidR="00F31650" w:rsidRPr="00006BE9">
        <w:rPr>
          <w:color w:val="000000"/>
        </w:rPr>
        <w:t>’s</w:t>
      </w:r>
      <w:r w:rsidR="00072718" w:rsidRPr="00006BE9">
        <w:rPr>
          <w:color w:val="000000"/>
        </w:rPr>
        <w:t xml:space="preserve"> goal and broad objectives and outcomes for each of the program’s four components.</w:t>
      </w:r>
      <w:r w:rsidR="00F21DB8" w:rsidRPr="00006BE9">
        <w:rPr>
          <w:color w:val="000000"/>
        </w:rPr>
        <w:t xml:space="preserve"> </w:t>
      </w:r>
      <w:r w:rsidR="00072718" w:rsidRPr="00006BE9">
        <w:rPr>
          <w:color w:val="000000"/>
        </w:rPr>
        <w:t>Some broad performance measures were included for the goal and objectives but development of a comprehensive performance assessment framework was deferred until more detailed consultation could be carried out among all stakeholders.</w:t>
      </w:r>
      <w:r w:rsidR="00F21DB8" w:rsidRPr="00006BE9">
        <w:rPr>
          <w:color w:val="000000"/>
        </w:rPr>
        <w:t xml:space="preserve"> </w:t>
      </w:r>
      <w:r w:rsidR="00072718" w:rsidRPr="00006BE9">
        <w:rPr>
          <w:color w:val="000000"/>
        </w:rPr>
        <w:t>It was also envisaged that the TSSP Board would set performance indicators for the program on a year</w:t>
      </w:r>
      <w:r w:rsidR="00C000AA" w:rsidRPr="00006BE9">
        <w:rPr>
          <w:color w:val="000000"/>
        </w:rPr>
        <w:t>-</w:t>
      </w:r>
      <w:r w:rsidR="00072718" w:rsidRPr="00006BE9">
        <w:rPr>
          <w:color w:val="000000"/>
        </w:rPr>
        <w:t>by</w:t>
      </w:r>
      <w:r w:rsidR="00C000AA" w:rsidRPr="00006BE9">
        <w:rPr>
          <w:color w:val="000000"/>
        </w:rPr>
        <w:t>-</w:t>
      </w:r>
      <w:r w:rsidR="00072718" w:rsidRPr="00006BE9">
        <w:rPr>
          <w:color w:val="000000"/>
        </w:rPr>
        <w:t>year basis as a way of accommodating unfor</w:t>
      </w:r>
      <w:r w:rsidR="00C000AA" w:rsidRPr="00006BE9">
        <w:rPr>
          <w:color w:val="000000"/>
        </w:rPr>
        <w:t>e</w:t>
      </w:r>
      <w:r w:rsidR="00072718" w:rsidRPr="00006BE9">
        <w:rPr>
          <w:color w:val="000000"/>
        </w:rPr>
        <w:t xml:space="preserve">seen trends in sector performance (recognising that overall sector performance </w:t>
      </w:r>
      <w:r w:rsidR="00F31650" w:rsidRPr="00006BE9">
        <w:rPr>
          <w:color w:val="000000"/>
        </w:rPr>
        <w:t xml:space="preserve">is </w:t>
      </w:r>
      <w:r w:rsidR="00072718" w:rsidRPr="00006BE9">
        <w:rPr>
          <w:color w:val="000000"/>
        </w:rPr>
        <w:t>not under the control of the TSSP).</w:t>
      </w:r>
      <w:r w:rsidR="00F21DB8" w:rsidRPr="00006BE9">
        <w:rPr>
          <w:color w:val="000000"/>
        </w:rPr>
        <w:t xml:space="preserve"> </w:t>
      </w:r>
      <w:r w:rsidR="00072718" w:rsidRPr="00006BE9">
        <w:rPr>
          <w:color w:val="000000"/>
        </w:rPr>
        <w:t xml:space="preserve">Performance assessment </w:t>
      </w:r>
      <w:r w:rsidR="00F31650" w:rsidRPr="00006BE9">
        <w:rPr>
          <w:color w:val="000000"/>
        </w:rPr>
        <w:t xml:space="preserve">is </w:t>
      </w:r>
      <w:r w:rsidR="00072718" w:rsidRPr="00006BE9">
        <w:rPr>
          <w:color w:val="000000"/>
        </w:rPr>
        <w:t>therefore by way of monitoring against rolling annual performance frameworks, supplemented by independent analytical studies</w:t>
      </w:r>
      <w:r w:rsidR="00072718" w:rsidRPr="00006BE9">
        <w:rPr>
          <w:i/>
          <w:color w:val="000000"/>
        </w:rPr>
        <w:t>.</w:t>
      </w:r>
      <w:r w:rsidR="00F21DB8" w:rsidRPr="00006BE9">
        <w:rPr>
          <w:color w:val="000000"/>
        </w:rPr>
        <w:t xml:space="preserve"> </w:t>
      </w:r>
    </w:p>
    <w:p w:rsidR="00072718" w:rsidRPr="00006BE9" w:rsidRDefault="00072718" w:rsidP="00072718">
      <w:pPr>
        <w:pStyle w:val="BodyText"/>
        <w:rPr>
          <w:color w:val="000000"/>
        </w:rPr>
      </w:pPr>
      <w:r w:rsidRPr="00006BE9">
        <w:rPr>
          <w:color w:val="000000"/>
        </w:rPr>
        <w:lastRenderedPageBreak/>
        <w:t xml:space="preserve">Good progress has been made on </w:t>
      </w:r>
      <w:r w:rsidR="00E05912" w:rsidRPr="00006BE9">
        <w:rPr>
          <w:color w:val="000000"/>
        </w:rPr>
        <w:t xml:space="preserve">performance assessment, </w:t>
      </w:r>
      <w:r w:rsidRPr="00006BE9">
        <w:rPr>
          <w:color w:val="000000"/>
        </w:rPr>
        <w:t>with a comprehensive monitoring and evaluation (M&amp;E) report produced in February 2008.</w:t>
      </w:r>
      <w:r w:rsidR="00F21DB8" w:rsidRPr="00006BE9">
        <w:rPr>
          <w:color w:val="000000"/>
        </w:rPr>
        <w:t xml:space="preserve"> </w:t>
      </w:r>
      <w:r w:rsidRPr="00006BE9">
        <w:rPr>
          <w:color w:val="000000"/>
        </w:rPr>
        <w:t>The report proposed that M&amp;E focus on two levels</w:t>
      </w:r>
      <w:r w:rsidR="00F31650" w:rsidRPr="00006BE9">
        <w:rPr>
          <w:color w:val="000000"/>
        </w:rPr>
        <w:t>—</w:t>
      </w:r>
      <w:r w:rsidRPr="00006BE9">
        <w:rPr>
          <w:color w:val="000000"/>
        </w:rPr>
        <w:t xml:space="preserve">a </w:t>
      </w:r>
      <w:r w:rsidR="00F31650" w:rsidRPr="00006BE9">
        <w:rPr>
          <w:color w:val="000000"/>
        </w:rPr>
        <w:t xml:space="preserve">program-level framework </w:t>
      </w:r>
      <w:r w:rsidRPr="00006BE9">
        <w:rPr>
          <w:color w:val="000000"/>
        </w:rPr>
        <w:t>(Table</w:t>
      </w:r>
      <w:r w:rsidR="00F31650" w:rsidRPr="00006BE9">
        <w:rPr>
          <w:color w:val="000000"/>
        </w:rPr>
        <w:t> </w:t>
      </w:r>
      <w:r w:rsidRPr="00006BE9">
        <w:rPr>
          <w:color w:val="000000"/>
        </w:rPr>
        <w:t xml:space="preserve">5) reflecting higher level achievements and three </w:t>
      </w:r>
      <w:r w:rsidR="007D59EB" w:rsidRPr="00006BE9">
        <w:rPr>
          <w:color w:val="000000"/>
        </w:rPr>
        <w:t xml:space="preserve">activity-level frameworks </w:t>
      </w:r>
      <w:r w:rsidRPr="00006BE9">
        <w:rPr>
          <w:color w:val="000000"/>
        </w:rPr>
        <w:t>that can assess results collectively or individually.</w:t>
      </w:r>
      <w:r w:rsidR="00F21DB8" w:rsidRPr="00006BE9">
        <w:rPr>
          <w:color w:val="000000"/>
        </w:rPr>
        <w:t xml:space="preserve"> </w:t>
      </w:r>
      <w:r w:rsidRPr="00006BE9">
        <w:rPr>
          <w:color w:val="000000"/>
        </w:rPr>
        <w:t xml:space="preserve">The </w:t>
      </w:r>
      <w:r w:rsidR="007D59EB" w:rsidRPr="00006BE9">
        <w:rPr>
          <w:color w:val="000000"/>
        </w:rPr>
        <w:t xml:space="preserve">program-level framework </w:t>
      </w:r>
      <w:r w:rsidRPr="00006BE9">
        <w:rPr>
          <w:color w:val="000000"/>
        </w:rPr>
        <w:t>will measure broad outcomes across</w:t>
      </w:r>
      <w:r w:rsidR="00E05912" w:rsidRPr="00006BE9">
        <w:rPr>
          <w:color w:val="000000"/>
        </w:rPr>
        <w:t xml:space="preserve"> the objectives of</w:t>
      </w:r>
      <w:r w:rsidRPr="00006BE9">
        <w:rPr>
          <w:color w:val="000000"/>
        </w:rPr>
        <w:t xml:space="preserve"> the four </w:t>
      </w:r>
      <w:r w:rsidR="00E05912" w:rsidRPr="00006BE9">
        <w:rPr>
          <w:color w:val="000000"/>
        </w:rPr>
        <w:t xml:space="preserve">components </w:t>
      </w:r>
      <w:r w:rsidRPr="00006BE9">
        <w:rPr>
          <w:color w:val="000000"/>
        </w:rPr>
        <w:t xml:space="preserve">detailed in the </w:t>
      </w:r>
      <w:r w:rsidR="00E05912" w:rsidRPr="00006BE9">
        <w:rPr>
          <w:color w:val="000000"/>
        </w:rPr>
        <w:t xml:space="preserve">design document </w:t>
      </w:r>
      <w:r w:rsidRPr="00006BE9">
        <w:rPr>
          <w:color w:val="000000"/>
        </w:rPr>
        <w:t xml:space="preserve">plus </w:t>
      </w:r>
      <w:r w:rsidR="006B7127" w:rsidRPr="00006BE9">
        <w:rPr>
          <w:color w:val="000000"/>
        </w:rPr>
        <w:t xml:space="preserve">the cross-cutting issues of gender, HIV/AIDS, environmental impact mitigation and public expenditure management.  These will be measured separately against the </w:t>
      </w:r>
      <w:r w:rsidRPr="00006BE9">
        <w:rPr>
          <w:color w:val="000000"/>
        </w:rPr>
        <w:t>three themes of governance, capacity building and access (infrastructure).</w:t>
      </w:r>
      <w:r w:rsidR="00F21DB8" w:rsidRPr="00006BE9">
        <w:rPr>
          <w:color w:val="000000"/>
        </w:rPr>
        <w:t xml:space="preserve"> </w:t>
      </w:r>
      <w:r w:rsidR="008B47FC" w:rsidRPr="00006BE9">
        <w:rPr>
          <w:color w:val="000000"/>
        </w:rPr>
        <w:t>The activity-level frameworks comprise</w:t>
      </w:r>
      <w:r w:rsidRPr="00006BE9">
        <w:rPr>
          <w:color w:val="000000"/>
        </w:rPr>
        <w:t xml:space="preserve"> an Implementing Service Provider Performance Framework</w:t>
      </w:r>
      <w:r w:rsidR="008B47FC" w:rsidRPr="00006BE9">
        <w:rPr>
          <w:color w:val="000000"/>
        </w:rPr>
        <w:t>,</w:t>
      </w:r>
      <w:r w:rsidRPr="00006BE9">
        <w:rPr>
          <w:color w:val="000000"/>
        </w:rPr>
        <w:t xml:space="preserve"> a Technical Assistance F</w:t>
      </w:r>
      <w:r w:rsidR="008B47FC" w:rsidRPr="00006BE9">
        <w:rPr>
          <w:color w:val="000000"/>
        </w:rPr>
        <w:t>ramework</w:t>
      </w:r>
      <w:r w:rsidRPr="00006BE9">
        <w:rPr>
          <w:color w:val="000000"/>
        </w:rPr>
        <w:t xml:space="preserve"> and a Program Management and Supervision Consultant Framework.</w:t>
      </w:r>
    </w:p>
    <w:p w:rsidR="00072718" w:rsidRPr="00006BE9" w:rsidRDefault="00072718" w:rsidP="00072718">
      <w:pPr>
        <w:pStyle w:val="BodyText"/>
        <w:rPr>
          <w:color w:val="000000"/>
        </w:rPr>
      </w:pPr>
      <w:r w:rsidRPr="00006BE9">
        <w:rPr>
          <w:color w:val="000000"/>
        </w:rPr>
        <w:t>While gender equality results are measured as a separate section in the framework, indic</w:t>
      </w:r>
      <w:r w:rsidR="00B664D4" w:rsidRPr="00006BE9">
        <w:rPr>
          <w:color w:val="000000"/>
        </w:rPr>
        <w:t>a</w:t>
      </w:r>
      <w:r w:rsidRPr="00006BE9">
        <w:rPr>
          <w:color w:val="000000"/>
        </w:rPr>
        <w:t xml:space="preserve">tors for results in each component are largely gender blind. The program will support the TSSP Board to ensure that the performance indicators that it develops are gender sensitive and that all data relating to people </w:t>
      </w:r>
      <w:r w:rsidR="00721152" w:rsidRPr="00006BE9">
        <w:rPr>
          <w:color w:val="000000"/>
        </w:rPr>
        <w:t xml:space="preserve">are </w:t>
      </w:r>
      <w:r w:rsidRPr="00006BE9">
        <w:rPr>
          <w:color w:val="000000"/>
        </w:rPr>
        <w:t xml:space="preserve">sex disaggregated. There is no doubt that </w:t>
      </w:r>
      <w:r w:rsidR="006449DC" w:rsidRPr="00006BE9">
        <w:rPr>
          <w:color w:val="000000"/>
        </w:rPr>
        <w:t>Papua New Guinea</w:t>
      </w:r>
      <w:r w:rsidRPr="00006BE9">
        <w:rPr>
          <w:color w:val="000000"/>
        </w:rPr>
        <w:t xml:space="preserve"> in general faces challenges in collecting reliable </w:t>
      </w:r>
      <w:r w:rsidR="00721152" w:rsidRPr="00006BE9">
        <w:rPr>
          <w:color w:val="000000"/>
        </w:rPr>
        <w:t>sex-</w:t>
      </w:r>
      <w:r w:rsidRPr="00006BE9">
        <w:rPr>
          <w:color w:val="000000"/>
        </w:rPr>
        <w:t>disaggregated data, but this program will at least ensure that program</w:t>
      </w:r>
      <w:r w:rsidR="00721152" w:rsidRPr="00006BE9">
        <w:rPr>
          <w:color w:val="000000"/>
        </w:rPr>
        <w:t>-</w:t>
      </w:r>
      <w:r w:rsidRPr="00006BE9">
        <w:rPr>
          <w:color w:val="000000"/>
        </w:rPr>
        <w:t>generated data are sex disaggregated</w:t>
      </w:r>
      <w:r w:rsidR="00E05912" w:rsidRPr="00006BE9">
        <w:rPr>
          <w:color w:val="000000"/>
        </w:rPr>
        <w:t>,</w:t>
      </w:r>
      <w:r w:rsidRPr="00006BE9">
        <w:rPr>
          <w:color w:val="000000"/>
        </w:rPr>
        <w:t xml:space="preserve"> and support will be provide</w:t>
      </w:r>
      <w:r w:rsidR="00721152" w:rsidRPr="00006BE9">
        <w:rPr>
          <w:color w:val="000000"/>
        </w:rPr>
        <w:t>d</w:t>
      </w:r>
      <w:r w:rsidRPr="00006BE9">
        <w:rPr>
          <w:color w:val="000000"/>
        </w:rPr>
        <w:t xml:space="preserve"> wherever appropriate to ensure that externally generated data are also gender sensitive and sex disaggregated. Once the broader performance indicators are established, the program indicators will be revisited.</w:t>
      </w:r>
    </w:p>
    <w:p w:rsidR="00072718" w:rsidRPr="00006BE9" w:rsidRDefault="00072718" w:rsidP="00072718">
      <w:pPr>
        <w:pStyle w:val="Caption"/>
        <w:rPr>
          <w:color w:val="000000"/>
        </w:rPr>
      </w:pPr>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5</w:t>
      </w:r>
      <w:r w:rsidRPr="00006BE9">
        <w:rPr>
          <w:color w:val="000000"/>
        </w:rPr>
        <w:fldChar w:fldCharType="end"/>
      </w:r>
      <w:r w:rsidRPr="00006BE9">
        <w:rPr>
          <w:color w:val="000000"/>
        </w:rPr>
        <w:t xml:space="preserve">: TSSP </w:t>
      </w:r>
      <w:r w:rsidR="00721152" w:rsidRPr="00006BE9">
        <w:rPr>
          <w:color w:val="000000"/>
        </w:rPr>
        <w:t>monitoring and evaluation</w:t>
      </w:r>
      <w:r w:rsidRPr="00006BE9">
        <w:rPr>
          <w:color w:val="000000"/>
        </w:rPr>
        <w:t xml:space="preserve"> </w:t>
      </w:r>
      <w:r w:rsidR="00721152" w:rsidRPr="00006BE9">
        <w:rPr>
          <w:color w:val="000000"/>
        </w:rPr>
        <w:t>framework</w:t>
      </w:r>
    </w:p>
    <w:tbl>
      <w:tblPr>
        <w:tblStyle w:val="TableGrid"/>
        <w:tblW w:w="4868"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Caption w:val="Table 5"/>
        <w:tblDescription w:val="TSSP monitoring and evaluation framework"/>
      </w:tblPr>
      <w:tblGrid>
        <w:gridCol w:w="1512"/>
        <w:gridCol w:w="2422"/>
        <w:gridCol w:w="2112"/>
        <w:gridCol w:w="1792"/>
      </w:tblGrid>
      <w:tr w:rsidR="00C0362F" w:rsidRPr="00006BE9" w:rsidTr="007A45B0">
        <w:trPr>
          <w:cantSplit/>
          <w:tblHeader/>
        </w:trPr>
        <w:tc>
          <w:tcPr>
            <w:tcW w:w="965" w:type="pct"/>
            <w:tcBorders>
              <w:bottom w:val="single" w:sz="12" w:space="0" w:color="auto"/>
            </w:tcBorders>
            <w:tcMar>
              <w:left w:w="57" w:type="dxa"/>
              <w:right w:w="57" w:type="dxa"/>
            </w:tcMar>
          </w:tcPr>
          <w:p w:rsidR="00072718" w:rsidRPr="00006BE9" w:rsidRDefault="00072718" w:rsidP="00072718">
            <w:pPr>
              <w:pStyle w:val="TableTextColumnHeading"/>
              <w:rPr>
                <w:color w:val="000000"/>
              </w:rPr>
            </w:pPr>
            <w:r w:rsidRPr="00006BE9">
              <w:rPr>
                <w:color w:val="000000"/>
              </w:rPr>
              <w:t xml:space="preserve">Component </w:t>
            </w:r>
          </w:p>
        </w:tc>
        <w:tc>
          <w:tcPr>
            <w:tcW w:w="1545" w:type="pct"/>
            <w:tcBorders>
              <w:bottom w:val="single" w:sz="12" w:space="0" w:color="auto"/>
            </w:tcBorders>
            <w:tcMar>
              <w:left w:w="57" w:type="dxa"/>
              <w:right w:w="57" w:type="dxa"/>
            </w:tcMar>
          </w:tcPr>
          <w:p w:rsidR="00072718" w:rsidRPr="00006BE9" w:rsidRDefault="00072718" w:rsidP="00072718">
            <w:pPr>
              <w:pStyle w:val="TableTextColumnHeading"/>
              <w:rPr>
                <w:color w:val="000000"/>
              </w:rPr>
            </w:pPr>
            <w:r w:rsidRPr="00006BE9">
              <w:rPr>
                <w:color w:val="000000"/>
              </w:rPr>
              <w:t>Governance</w:t>
            </w:r>
          </w:p>
        </w:tc>
        <w:tc>
          <w:tcPr>
            <w:tcW w:w="1347" w:type="pct"/>
            <w:tcBorders>
              <w:bottom w:val="single" w:sz="12" w:space="0" w:color="auto"/>
            </w:tcBorders>
            <w:tcMar>
              <w:left w:w="57" w:type="dxa"/>
              <w:right w:w="57" w:type="dxa"/>
            </w:tcMar>
          </w:tcPr>
          <w:p w:rsidR="00072718" w:rsidRPr="00006BE9" w:rsidRDefault="00072718" w:rsidP="00072718">
            <w:pPr>
              <w:pStyle w:val="TableTextColumnHeading"/>
              <w:rPr>
                <w:color w:val="000000"/>
              </w:rPr>
            </w:pPr>
            <w:r w:rsidRPr="00006BE9">
              <w:rPr>
                <w:color w:val="000000"/>
              </w:rPr>
              <w:t xml:space="preserve">Capacity </w:t>
            </w:r>
            <w:r w:rsidR="005F3C45" w:rsidRPr="00006BE9">
              <w:rPr>
                <w:color w:val="000000"/>
              </w:rPr>
              <w:t>building</w:t>
            </w:r>
          </w:p>
        </w:tc>
        <w:tc>
          <w:tcPr>
            <w:tcW w:w="1143" w:type="pct"/>
            <w:tcBorders>
              <w:bottom w:val="single" w:sz="12" w:space="0" w:color="auto"/>
            </w:tcBorders>
            <w:tcMar>
              <w:left w:w="57" w:type="dxa"/>
              <w:right w:w="57" w:type="dxa"/>
            </w:tcMar>
          </w:tcPr>
          <w:p w:rsidR="00072718" w:rsidRPr="00006BE9" w:rsidRDefault="00072718" w:rsidP="00072718">
            <w:pPr>
              <w:pStyle w:val="TableTextColumnHeading"/>
              <w:rPr>
                <w:color w:val="000000"/>
              </w:rPr>
            </w:pPr>
            <w:r w:rsidRPr="00006BE9">
              <w:rPr>
                <w:color w:val="000000"/>
              </w:rPr>
              <w:t>Access (</w:t>
            </w:r>
            <w:r w:rsidR="005F3C45" w:rsidRPr="00006BE9">
              <w:rPr>
                <w:color w:val="000000"/>
              </w:rPr>
              <w:t>infrastructure</w:t>
            </w:r>
            <w:r w:rsidRPr="00006BE9">
              <w:rPr>
                <w:color w:val="000000"/>
              </w:rPr>
              <w:t>)</w:t>
            </w:r>
          </w:p>
        </w:tc>
      </w:tr>
      <w:tr w:rsidR="00C0362F" w:rsidRPr="00006BE9" w:rsidTr="007A45B0">
        <w:trPr>
          <w:cantSplit/>
        </w:trPr>
        <w:tc>
          <w:tcPr>
            <w:tcW w:w="965" w:type="pct"/>
            <w:tcBorders>
              <w:top w:val="single" w:sz="1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rFonts w:ascii="Franklin Gothic Medium" w:hAnsi="Franklin Gothic Medium"/>
                <w:color w:val="000000"/>
              </w:rPr>
              <w:t>Component 1:</w:t>
            </w:r>
            <w:r w:rsidRPr="00006BE9">
              <w:rPr>
                <w:color w:val="000000"/>
              </w:rPr>
              <w:t xml:space="preserve"> </w:t>
            </w:r>
            <w:r w:rsidR="005F3C45" w:rsidRPr="00006BE9">
              <w:rPr>
                <w:color w:val="000000"/>
              </w:rPr>
              <w:br/>
            </w:r>
            <w:r w:rsidRPr="00006BE9">
              <w:rPr>
                <w:color w:val="000000"/>
              </w:rPr>
              <w:t>Line agency public sector reform and governance</w:t>
            </w:r>
          </w:p>
        </w:tc>
        <w:tc>
          <w:tcPr>
            <w:tcW w:w="1545" w:type="pct"/>
            <w:tcBorders>
              <w:top w:val="single" w:sz="1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Improved clarity in roles and responsibilities between line agencies</w:t>
            </w:r>
          </w:p>
          <w:p w:rsidR="00072718" w:rsidRPr="00006BE9" w:rsidRDefault="00072718" w:rsidP="00072718">
            <w:pPr>
              <w:pStyle w:val="TableTextEntries"/>
              <w:rPr>
                <w:color w:val="000000"/>
                <w:spacing w:val="-2"/>
              </w:rPr>
            </w:pPr>
            <w:r w:rsidRPr="00006BE9">
              <w:rPr>
                <w:color w:val="000000"/>
                <w:spacing w:val="-2"/>
              </w:rPr>
              <w:t>Corporate plans used as central management documents to provide strategic guidance and promote change</w:t>
            </w:r>
          </w:p>
        </w:tc>
        <w:tc>
          <w:tcPr>
            <w:tcW w:w="1347" w:type="pct"/>
            <w:tcBorders>
              <w:top w:val="single" w:sz="1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Improved capa</w:t>
            </w:r>
            <w:r w:rsidR="005F3C45" w:rsidRPr="00006BE9">
              <w:rPr>
                <w:color w:val="000000"/>
              </w:rPr>
              <w:t xml:space="preserve">city of agencies to implement </w:t>
            </w:r>
            <w:r w:rsidRPr="00006BE9">
              <w:rPr>
                <w:color w:val="000000"/>
              </w:rPr>
              <w:t xml:space="preserve">PNG </w:t>
            </w:r>
            <w:r w:rsidR="005F3C45" w:rsidRPr="00006BE9">
              <w:rPr>
                <w:color w:val="000000"/>
              </w:rPr>
              <w:t xml:space="preserve">government policy using </w:t>
            </w:r>
            <w:r w:rsidRPr="00006BE9">
              <w:rPr>
                <w:color w:val="000000"/>
              </w:rPr>
              <w:t xml:space="preserve">PNG </w:t>
            </w:r>
            <w:r w:rsidR="005F3C45" w:rsidRPr="00006BE9">
              <w:rPr>
                <w:color w:val="000000"/>
              </w:rPr>
              <w:t xml:space="preserve">government </w:t>
            </w:r>
            <w:r w:rsidRPr="00006BE9">
              <w:rPr>
                <w:color w:val="000000"/>
              </w:rPr>
              <w:t>systems and procedures</w:t>
            </w:r>
          </w:p>
        </w:tc>
        <w:tc>
          <w:tcPr>
            <w:tcW w:w="1143" w:type="pct"/>
            <w:tcBorders>
              <w:top w:val="single" w:sz="1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Infrastructure service delivery activities comp</w:t>
            </w:r>
            <w:r w:rsidR="005F3C45" w:rsidRPr="00006BE9">
              <w:rPr>
                <w:color w:val="000000"/>
              </w:rPr>
              <w:t>leted on time and within budget</w:t>
            </w:r>
          </w:p>
          <w:p w:rsidR="00072718" w:rsidRPr="00006BE9" w:rsidRDefault="00072718" w:rsidP="00072718">
            <w:pPr>
              <w:pStyle w:val="TableTextEntries"/>
              <w:rPr>
                <w:color w:val="000000"/>
              </w:rPr>
            </w:pPr>
            <w:r w:rsidRPr="00006BE9">
              <w:rPr>
                <w:color w:val="000000"/>
              </w:rPr>
              <w:t>Improved income and social indicators in target provinces (health and education)</w:t>
            </w:r>
          </w:p>
        </w:tc>
      </w:tr>
      <w:tr w:rsidR="00C0362F" w:rsidRPr="00006BE9" w:rsidTr="007A45B0">
        <w:trPr>
          <w:cantSplit/>
        </w:trPr>
        <w:tc>
          <w:tcPr>
            <w:tcW w:w="96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rFonts w:ascii="Franklin Gothic Medium" w:hAnsi="Franklin Gothic Medium"/>
                <w:color w:val="000000"/>
              </w:rPr>
              <w:t>Component 2:</w:t>
            </w:r>
            <w:r w:rsidRPr="00006BE9">
              <w:rPr>
                <w:color w:val="000000"/>
              </w:rPr>
              <w:t xml:space="preserve"> Strengthen</w:t>
            </w:r>
            <w:r w:rsidR="00C0362F" w:rsidRPr="00006BE9">
              <w:rPr>
                <w:color w:val="000000"/>
              </w:rPr>
              <w:t>ing</w:t>
            </w:r>
            <w:r w:rsidRPr="00006BE9">
              <w:rPr>
                <w:color w:val="000000"/>
              </w:rPr>
              <w:t xml:space="preserve"> central agency capacity</w:t>
            </w:r>
          </w:p>
        </w:tc>
        <w:tc>
          <w:tcPr>
            <w:tcW w:w="1545" w:type="pct"/>
            <w:tcBorders>
              <w:top w:val="single" w:sz="2" w:space="0" w:color="auto"/>
              <w:bottom w:val="single" w:sz="2" w:space="0" w:color="auto"/>
            </w:tcBorders>
            <w:tcMar>
              <w:left w:w="57" w:type="dxa"/>
              <w:right w:w="57" w:type="dxa"/>
            </w:tcMar>
          </w:tcPr>
          <w:p w:rsidR="00721152" w:rsidRPr="00006BE9" w:rsidRDefault="00072718" w:rsidP="00072718">
            <w:pPr>
              <w:pStyle w:val="TableTextEntries"/>
              <w:rPr>
                <w:color w:val="000000"/>
                <w:spacing w:val="-2"/>
              </w:rPr>
            </w:pPr>
            <w:r w:rsidRPr="00006BE9">
              <w:rPr>
                <w:color w:val="000000"/>
                <w:spacing w:val="-2"/>
              </w:rPr>
              <w:t>Strengthened links between line agencies and central agencies so that service delivery and programs are supported</w:t>
            </w:r>
          </w:p>
          <w:p w:rsidR="00072718" w:rsidRPr="00006BE9" w:rsidRDefault="00072718" w:rsidP="00072718">
            <w:pPr>
              <w:pStyle w:val="TableTextEntries"/>
              <w:rPr>
                <w:color w:val="000000"/>
              </w:rPr>
            </w:pPr>
            <w:r w:rsidRPr="00006BE9">
              <w:rPr>
                <w:color w:val="000000"/>
              </w:rPr>
              <w:t>Evidence of cross</w:t>
            </w:r>
            <w:r w:rsidR="00721152" w:rsidRPr="00006BE9">
              <w:rPr>
                <w:color w:val="000000"/>
              </w:rPr>
              <w:t>-</w:t>
            </w:r>
            <w:r w:rsidRPr="00006BE9">
              <w:rPr>
                <w:color w:val="000000"/>
              </w:rPr>
              <w:t>agency partnerships</w:t>
            </w:r>
          </w:p>
        </w:tc>
        <w:tc>
          <w:tcPr>
            <w:tcW w:w="1347"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Central agency plans support links between central and line agencies</w:t>
            </w:r>
          </w:p>
        </w:tc>
        <w:tc>
          <w:tcPr>
            <w:tcW w:w="1143"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p>
        </w:tc>
      </w:tr>
      <w:tr w:rsidR="00C0362F" w:rsidRPr="00006BE9" w:rsidTr="007A45B0">
        <w:trPr>
          <w:cantSplit/>
        </w:trPr>
        <w:tc>
          <w:tcPr>
            <w:tcW w:w="96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rFonts w:ascii="Franklin Gothic Medium" w:hAnsi="Franklin Gothic Medium"/>
                <w:color w:val="000000"/>
              </w:rPr>
              <w:t>Component 3:</w:t>
            </w:r>
            <w:r w:rsidRPr="00006BE9">
              <w:rPr>
                <w:color w:val="000000"/>
              </w:rPr>
              <w:t xml:space="preserve"> Provincial </w:t>
            </w:r>
            <w:r w:rsidR="005F3C45" w:rsidRPr="00006BE9">
              <w:rPr>
                <w:color w:val="000000"/>
              </w:rPr>
              <w:t>transport services</w:t>
            </w:r>
          </w:p>
        </w:tc>
        <w:tc>
          <w:tcPr>
            <w:tcW w:w="154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Prioritised systems f</w:t>
            </w:r>
            <w:r w:rsidR="005F3C45" w:rsidRPr="00006BE9">
              <w:rPr>
                <w:color w:val="000000"/>
              </w:rPr>
              <w:t>or work</w:t>
            </w:r>
            <w:r w:rsidR="00F31650" w:rsidRPr="00006BE9">
              <w:rPr>
                <w:color w:val="000000"/>
              </w:rPr>
              <w:t>,</w:t>
            </w:r>
            <w:r w:rsidR="005F3C45" w:rsidRPr="00006BE9">
              <w:rPr>
                <w:color w:val="000000"/>
              </w:rPr>
              <w:t xml:space="preserve"> and budgets operational</w:t>
            </w:r>
          </w:p>
          <w:p w:rsidR="00072718" w:rsidRPr="00006BE9" w:rsidRDefault="00072718" w:rsidP="00072718">
            <w:pPr>
              <w:pStyle w:val="TableTextEntries"/>
              <w:rPr>
                <w:color w:val="000000"/>
              </w:rPr>
            </w:pPr>
            <w:r w:rsidRPr="00006BE9">
              <w:rPr>
                <w:color w:val="000000"/>
              </w:rPr>
              <w:t>Formulation of provincial policies and implementation</w:t>
            </w:r>
          </w:p>
        </w:tc>
        <w:tc>
          <w:tcPr>
            <w:tcW w:w="1347"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Provinces report improved capacity to implement policies and prioritised work</w:t>
            </w:r>
          </w:p>
        </w:tc>
        <w:tc>
          <w:tcPr>
            <w:tcW w:w="1143"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Plans and projects providing improved access at the provincial level</w:t>
            </w:r>
          </w:p>
        </w:tc>
      </w:tr>
      <w:tr w:rsidR="00C0362F" w:rsidRPr="00006BE9" w:rsidTr="007A45B0">
        <w:trPr>
          <w:cantSplit/>
        </w:trPr>
        <w:tc>
          <w:tcPr>
            <w:tcW w:w="96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rFonts w:ascii="Franklin Gothic Medium" w:hAnsi="Franklin Gothic Medium"/>
                <w:color w:val="000000"/>
              </w:rPr>
              <w:lastRenderedPageBreak/>
              <w:t>Component 4:</w:t>
            </w:r>
            <w:r w:rsidRPr="00006BE9">
              <w:rPr>
                <w:color w:val="000000"/>
              </w:rPr>
              <w:t xml:space="preserve"> </w:t>
            </w:r>
            <w:r w:rsidRPr="00006BE9">
              <w:rPr>
                <w:color w:val="000000"/>
                <w:spacing w:val="-2"/>
              </w:rPr>
              <w:t xml:space="preserve">Prioritised </w:t>
            </w:r>
            <w:r w:rsidR="005F3C45" w:rsidRPr="00006BE9">
              <w:rPr>
                <w:color w:val="000000"/>
                <w:spacing w:val="-2"/>
              </w:rPr>
              <w:t>transport asset maintenance</w:t>
            </w:r>
          </w:p>
        </w:tc>
        <w:tc>
          <w:tcPr>
            <w:tcW w:w="154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Prioritised lists developed and followed annually</w:t>
            </w:r>
          </w:p>
          <w:p w:rsidR="00072718" w:rsidRPr="00006BE9" w:rsidRDefault="00072718" w:rsidP="00072718">
            <w:pPr>
              <w:pStyle w:val="TableTextEntries"/>
              <w:rPr>
                <w:color w:val="000000"/>
                <w:spacing w:val="-2"/>
              </w:rPr>
            </w:pPr>
            <w:r w:rsidRPr="00006BE9">
              <w:rPr>
                <w:color w:val="000000"/>
                <w:spacing w:val="-2"/>
              </w:rPr>
              <w:t>Compliance with relevant legislation/policies and priorities</w:t>
            </w:r>
          </w:p>
        </w:tc>
        <w:tc>
          <w:tcPr>
            <w:tcW w:w="1347"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p>
        </w:tc>
        <w:tc>
          <w:tcPr>
            <w:tcW w:w="1143"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Physical works</w:t>
            </w:r>
            <w:r w:rsidR="00C0362F" w:rsidRPr="00006BE9">
              <w:rPr>
                <w:color w:val="000000"/>
              </w:rPr>
              <w:t>:</w:t>
            </w:r>
            <w:r w:rsidRPr="00006BE9">
              <w:rPr>
                <w:color w:val="000000"/>
              </w:rPr>
              <w:t xml:space="preserve"> #</w:t>
            </w:r>
            <w:r w:rsidR="00721152" w:rsidRPr="00006BE9">
              <w:rPr>
                <w:color w:val="000000"/>
              </w:rPr>
              <w:t xml:space="preserve"> </w:t>
            </w:r>
            <w:r w:rsidRPr="00006BE9">
              <w:rPr>
                <w:color w:val="000000"/>
              </w:rPr>
              <w:t>km of roads (% quality)</w:t>
            </w:r>
          </w:p>
          <w:p w:rsidR="00072718" w:rsidRPr="00006BE9" w:rsidRDefault="00072718" w:rsidP="00072718">
            <w:pPr>
              <w:pStyle w:val="TableTextEntries"/>
              <w:rPr>
                <w:color w:val="000000"/>
              </w:rPr>
            </w:pPr>
            <w:r w:rsidRPr="00006BE9">
              <w:rPr>
                <w:color w:val="000000"/>
              </w:rPr>
              <w:t># airports maintained</w:t>
            </w:r>
          </w:p>
        </w:tc>
      </w:tr>
      <w:tr w:rsidR="00C0362F" w:rsidRPr="00006BE9" w:rsidTr="007A45B0">
        <w:trPr>
          <w:cantSplit/>
        </w:trPr>
        <w:tc>
          <w:tcPr>
            <w:tcW w:w="96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 xml:space="preserve">Public </w:t>
            </w:r>
            <w:r w:rsidR="005F3C45" w:rsidRPr="00006BE9">
              <w:rPr>
                <w:color w:val="000000"/>
              </w:rPr>
              <w:t>expenditure management</w:t>
            </w:r>
          </w:p>
        </w:tc>
        <w:tc>
          <w:tcPr>
            <w:tcW w:w="1545"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Systems in place that link prioritised programs to work</w:t>
            </w:r>
            <w:r w:rsidR="00721152" w:rsidRPr="00006BE9">
              <w:rPr>
                <w:color w:val="000000"/>
              </w:rPr>
              <w:t xml:space="preserve"> </w:t>
            </w:r>
            <w:r w:rsidRPr="00006BE9">
              <w:rPr>
                <w:color w:val="000000"/>
              </w:rPr>
              <w:t>plan and corporate plan budgets</w:t>
            </w:r>
          </w:p>
        </w:tc>
        <w:tc>
          <w:tcPr>
            <w:tcW w:w="1347" w:type="pct"/>
            <w:tcBorders>
              <w:top w:val="single" w:sz="2" w:space="0" w:color="auto"/>
              <w:bottom w:val="single" w:sz="2" w:space="0" w:color="auto"/>
            </w:tcBorders>
            <w:tcMar>
              <w:left w:w="57" w:type="dxa"/>
              <w:right w:w="57" w:type="dxa"/>
            </w:tcMar>
          </w:tcPr>
          <w:p w:rsidR="00072718" w:rsidRPr="00006BE9" w:rsidRDefault="00072718" w:rsidP="00072718">
            <w:pPr>
              <w:pStyle w:val="TableTextEntries"/>
              <w:rPr>
                <w:color w:val="000000"/>
              </w:rPr>
            </w:pPr>
          </w:p>
        </w:tc>
        <w:tc>
          <w:tcPr>
            <w:tcW w:w="1143" w:type="pct"/>
            <w:tcBorders>
              <w:top w:val="single" w:sz="2" w:space="0" w:color="auto"/>
              <w:bottom w:val="single" w:sz="2" w:space="0" w:color="auto"/>
            </w:tcBorders>
            <w:tcMar>
              <w:left w:w="57" w:type="dxa"/>
              <w:right w:w="57" w:type="dxa"/>
            </w:tcMar>
          </w:tcPr>
          <w:p w:rsidR="00721152" w:rsidRPr="00006BE9" w:rsidRDefault="00072718" w:rsidP="00072718">
            <w:pPr>
              <w:pStyle w:val="TableTextEntries"/>
              <w:rPr>
                <w:color w:val="000000"/>
              </w:rPr>
            </w:pPr>
            <w:r w:rsidRPr="00006BE9">
              <w:rPr>
                <w:color w:val="000000"/>
              </w:rPr>
              <w:t>Priorit</w:t>
            </w:r>
            <w:r w:rsidR="00C0362F" w:rsidRPr="00006BE9">
              <w:rPr>
                <w:color w:val="000000"/>
              </w:rPr>
              <w:t>y</w:t>
            </w:r>
            <w:r w:rsidRPr="00006BE9">
              <w:rPr>
                <w:color w:val="000000"/>
              </w:rPr>
              <w:t xml:space="preserve"> assets maintained</w:t>
            </w:r>
          </w:p>
          <w:p w:rsidR="00072718" w:rsidRPr="00006BE9" w:rsidRDefault="00721152" w:rsidP="00072718">
            <w:pPr>
              <w:pStyle w:val="TableTextEntries"/>
              <w:rPr>
                <w:color w:val="000000"/>
              </w:rPr>
            </w:pPr>
            <w:r w:rsidRPr="00006BE9">
              <w:rPr>
                <w:color w:val="000000"/>
              </w:rPr>
              <w:t>A</w:t>
            </w:r>
            <w:r w:rsidR="00072718" w:rsidRPr="00006BE9">
              <w:rPr>
                <w:color w:val="000000"/>
              </w:rPr>
              <w:t>ctivities completed according to agreed budgets and plans</w:t>
            </w:r>
          </w:p>
        </w:tc>
      </w:tr>
      <w:tr w:rsidR="00C0362F" w:rsidRPr="00006BE9" w:rsidTr="007A45B0">
        <w:trPr>
          <w:cantSplit/>
        </w:trPr>
        <w:tc>
          <w:tcPr>
            <w:tcW w:w="965" w:type="pct"/>
            <w:tcBorders>
              <w:top w:val="single" w:sz="2" w:space="0" w:color="auto"/>
              <w:bottom w:val="single" w:sz="1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 xml:space="preserve">Gender, HIV/AIDS and </w:t>
            </w:r>
            <w:r w:rsidR="005F3C45" w:rsidRPr="00006BE9">
              <w:rPr>
                <w:color w:val="000000"/>
              </w:rPr>
              <w:t>environment mainstreaming</w:t>
            </w:r>
          </w:p>
        </w:tc>
        <w:tc>
          <w:tcPr>
            <w:tcW w:w="1545" w:type="pct"/>
            <w:tcBorders>
              <w:top w:val="single" w:sz="2" w:space="0" w:color="auto"/>
              <w:bottom w:val="single" w:sz="1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 xml:space="preserve">Gender, HIV/AIDS and </w:t>
            </w:r>
            <w:r w:rsidR="005F3C45" w:rsidRPr="00006BE9">
              <w:rPr>
                <w:color w:val="000000"/>
              </w:rPr>
              <w:t xml:space="preserve">environment </w:t>
            </w:r>
            <w:r w:rsidRPr="00006BE9">
              <w:rPr>
                <w:color w:val="000000"/>
              </w:rPr>
              <w:t>policies and plans operational in each line agency</w:t>
            </w:r>
          </w:p>
        </w:tc>
        <w:tc>
          <w:tcPr>
            <w:tcW w:w="1347" w:type="pct"/>
            <w:tcBorders>
              <w:top w:val="single" w:sz="2" w:space="0" w:color="auto"/>
              <w:bottom w:val="single" w:sz="12" w:space="0" w:color="auto"/>
            </w:tcBorders>
            <w:tcMar>
              <w:left w:w="57" w:type="dxa"/>
              <w:right w:w="57" w:type="dxa"/>
            </w:tcMar>
          </w:tcPr>
          <w:p w:rsidR="00072718" w:rsidRPr="00006BE9" w:rsidRDefault="00072718" w:rsidP="00072718">
            <w:pPr>
              <w:pStyle w:val="TableTextEntries"/>
              <w:rPr>
                <w:color w:val="000000"/>
              </w:rPr>
            </w:pPr>
            <w:r w:rsidRPr="00006BE9">
              <w:rPr>
                <w:color w:val="000000"/>
                <w:spacing w:val="-2"/>
              </w:rPr>
              <w:t xml:space="preserve">Increased awareness </w:t>
            </w:r>
            <w:r w:rsidR="00721152" w:rsidRPr="00006BE9">
              <w:rPr>
                <w:color w:val="000000"/>
                <w:spacing w:val="-2"/>
              </w:rPr>
              <w:t xml:space="preserve">of </w:t>
            </w:r>
            <w:r w:rsidR="00C0362F" w:rsidRPr="00006BE9">
              <w:rPr>
                <w:color w:val="000000"/>
                <w:spacing w:val="-2"/>
              </w:rPr>
              <w:t xml:space="preserve">HIV, </w:t>
            </w:r>
            <w:r w:rsidRPr="00006BE9">
              <w:rPr>
                <w:color w:val="000000"/>
              </w:rPr>
              <w:t xml:space="preserve">gender and environment </w:t>
            </w:r>
            <w:r w:rsidR="00721152" w:rsidRPr="00006BE9">
              <w:rPr>
                <w:color w:val="000000"/>
              </w:rPr>
              <w:t xml:space="preserve">issues </w:t>
            </w:r>
            <w:r w:rsidRPr="00006BE9">
              <w:rPr>
                <w:color w:val="000000"/>
              </w:rPr>
              <w:t>through training, information and planning</w:t>
            </w:r>
          </w:p>
        </w:tc>
        <w:tc>
          <w:tcPr>
            <w:tcW w:w="1143" w:type="pct"/>
            <w:tcBorders>
              <w:top w:val="single" w:sz="2" w:space="0" w:color="auto"/>
              <w:bottom w:val="single" w:sz="12" w:space="0" w:color="auto"/>
            </w:tcBorders>
            <w:tcMar>
              <w:left w:w="57" w:type="dxa"/>
              <w:right w:w="57" w:type="dxa"/>
            </w:tcMar>
          </w:tcPr>
          <w:p w:rsidR="00072718" w:rsidRPr="00006BE9" w:rsidRDefault="00072718" w:rsidP="00072718">
            <w:pPr>
              <w:pStyle w:val="TableTextEntries"/>
              <w:rPr>
                <w:color w:val="000000"/>
              </w:rPr>
            </w:pPr>
            <w:r w:rsidRPr="00006BE9">
              <w:rPr>
                <w:color w:val="000000"/>
              </w:rPr>
              <w:t>Both women and men considered in all TSSP activities</w:t>
            </w:r>
          </w:p>
        </w:tc>
      </w:tr>
    </w:tbl>
    <w:p w:rsidR="00B858B5" w:rsidRPr="00006BE9" w:rsidRDefault="00B858B5" w:rsidP="00B858B5">
      <w:pPr>
        <w:pStyle w:val="BodyText"/>
        <w:rPr>
          <w:color w:val="000000"/>
        </w:rPr>
      </w:pPr>
      <w:r w:rsidRPr="00006BE9">
        <w:rPr>
          <w:color w:val="000000"/>
        </w:rPr>
        <w:t>The TSSP M&amp;E report correctly cautions that results and impacts will not be immediately apparent and that time will be required for these to emerge as technical assistance is engaged, infrastructure and maintenance works are implemented and strategic management decisions are taken. However, measures are already under way in terms of developing survey tools, developing M&amp;E databases and delivering M&amp;E awareness training within line agencies. Corporate plans, which have already been prepared by the main transport agencies, will be a key element of the M&amp;E framework.</w:t>
      </w:r>
    </w:p>
    <w:p w:rsidR="00072718" w:rsidRPr="00006BE9" w:rsidRDefault="00072718" w:rsidP="00072718">
      <w:pPr>
        <w:pStyle w:val="Heading2unnumbered"/>
        <w:tabs>
          <w:tab w:val="clear" w:pos="709"/>
        </w:tabs>
        <w:rPr>
          <w:color w:val="000000"/>
        </w:rPr>
      </w:pPr>
      <w:bookmarkStart w:id="21" w:name="_Toc217894555"/>
      <w:r w:rsidRPr="00006BE9">
        <w:rPr>
          <w:color w:val="000000"/>
        </w:rPr>
        <w:t>Challenges</w:t>
      </w:r>
      <w:bookmarkEnd w:id="21"/>
    </w:p>
    <w:p w:rsidR="005F3C45" w:rsidRPr="00006BE9" w:rsidRDefault="00072718" w:rsidP="00072718">
      <w:pPr>
        <w:pStyle w:val="BodyText"/>
        <w:rPr>
          <w:color w:val="000000"/>
        </w:rPr>
      </w:pPr>
      <w:r w:rsidRPr="00006BE9">
        <w:rPr>
          <w:color w:val="000000"/>
        </w:rPr>
        <w:t>The main challenges likely to be faced by the TSSP in the coming years are:</w:t>
      </w:r>
    </w:p>
    <w:p w:rsidR="005F3C45" w:rsidRPr="00006BE9" w:rsidRDefault="00072718" w:rsidP="005F3C45">
      <w:pPr>
        <w:pStyle w:val="ListBullet"/>
        <w:rPr>
          <w:color w:val="000000"/>
        </w:rPr>
      </w:pPr>
      <w:r w:rsidRPr="00006BE9">
        <w:rPr>
          <w:color w:val="000000"/>
        </w:rPr>
        <w:t xml:space="preserve">ensuring that priority continues to be given to maintaining the core road network mutually agreed by </w:t>
      </w:r>
      <w:r w:rsidR="005F3C45" w:rsidRPr="00006BE9">
        <w:rPr>
          <w:color w:val="000000"/>
        </w:rPr>
        <w:t xml:space="preserve">government </w:t>
      </w:r>
      <w:r w:rsidRPr="00006BE9">
        <w:rPr>
          <w:color w:val="000000"/>
        </w:rPr>
        <w:t>and AusAID to maximise the benefits arising from the limited funding available for maintenance</w:t>
      </w:r>
    </w:p>
    <w:p w:rsidR="005F3C45" w:rsidRPr="00006BE9" w:rsidRDefault="00072718" w:rsidP="005F3C45">
      <w:pPr>
        <w:pStyle w:val="ListBullet"/>
        <w:rPr>
          <w:color w:val="000000"/>
        </w:rPr>
      </w:pPr>
      <w:r w:rsidRPr="00006BE9">
        <w:rPr>
          <w:color w:val="000000"/>
        </w:rPr>
        <w:t>leveraging increased budget allocations for road maintenance</w:t>
      </w:r>
    </w:p>
    <w:p w:rsidR="00072718" w:rsidRPr="00006BE9" w:rsidRDefault="00072718" w:rsidP="00B52DCF">
      <w:pPr>
        <w:pStyle w:val="ListBullet"/>
        <w:rPr>
          <w:color w:val="000000"/>
        </w:rPr>
      </w:pPr>
      <w:r w:rsidRPr="00006BE9">
        <w:rPr>
          <w:color w:val="000000"/>
        </w:rPr>
        <w:t xml:space="preserve">integrating monitoring and evaluation as a management tool for both AusAID and </w:t>
      </w:r>
      <w:r w:rsidR="00B858B5" w:rsidRPr="00006BE9">
        <w:rPr>
          <w:color w:val="000000"/>
        </w:rPr>
        <w:t xml:space="preserve">the </w:t>
      </w:r>
      <w:r w:rsidRPr="00006BE9">
        <w:rPr>
          <w:color w:val="000000"/>
        </w:rPr>
        <w:t>government using the recently developed frameworks.</w:t>
      </w:r>
      <w:r w:rsidR="00F21DB8" w:rsidRPr="00006BE9">
        <w:rPr>
          <w:color w:val="000000"/>
        </w:rPr>
        <w:t xml:space="preserve"> </w:t>
      </w:r>
      <w:r w:rsidRPr="00006BE9">
        <w:rPr>
          <w:color w:val="000000"/>
        </w:rPr>
        <w:t>This will require continued close management by program staff and may need the intervention of senior management when</w:t>
      </w:r>
      <w:r w:rsidR="00A56BD1" w:rsidRPr="00006BE9">
        <w:rPr>
          <w:color w:val="000000"/>
        </w:rPr>
        <w:t> </w:t>
      </w:r>
      <w:r w:rsidRPr="00006BE9">
        <w:rPr>
          <w:color w:val="000000"/>
        </w:rPr>
        <w:t>needed.</w:t>
      </w:r>
    </w:p>
    <w:p w:rsidR="00072718" w:rsidRPr="00006BE9" w:rsidRDefault="00072718" w:rsidP="005A2B35">
      <w:pPr>
        <w:pStyle w:val="Heading1unnumbered"/>
        <w:rPr>
          <w:noProof/>
          <w:color w:val="000000"/>
        </w:rPr>
      </w:pPr>
      <w:bookmarkStart w:id="22" w:name="_Toc217894556"/>
      <w:r w:rsidRPr="00006BE9">
        <w:rPr>
          <w:color w:val="000000"/>
        </w:rPr>
        <w:lastRenderedPageBreak/>
        <w:t xml:space="preserve">Results of support </w:t>
      </w:r>
      <w:r w:rsidR="00B52DCF" w:rsidRPr="00006BE9">
        <w:rPr>
          <w:color w:val="000000"/>
        </w:rPr>
        <w:t>for</w:t>
      </w:r>
      <w:r w:rsidRPr="00006BE9">
        <w:rPr>
          <w:color w:val="000000"/>
        </w:rPr>
        <w:t xml:space="preserve"> water and sanitation </w:t>
      </w:r>
      <w:r w:rsidR="00B52DCF" w:rsidRPr="00006BE9">
        <w:rPr>
          <w:color w:val="000000"/>
        </w:rPr>
        <w:t xml:space="preserve">infrastructure </w:t>
      </w:r>
      <w:r w:rsidRPr="00006BE9">
        <w:rPr>
          <w:color w:val="000000"/>
        </w:rPr>
        <w:t xml:space="preserve">in </w:t>
      </w:r>
      <w:smartTag w:uri="urn:schemas-microsoft-com:office:smarttags" w:element="country-region">
        <w:r w:rsidRPr="00006BE9">
          <w:rPr>
            <w:color w:val="000000"/>
          </w:rPr>
          <w:t>Vietnam</w:t>
        </w:r>
      </w:smartTag>
      <w:bookmarkEnd w:id="22"/>
    </w:p>
    <w:p w:rsidR="00072718" w:rsidRPr="00006BE9" w:rsidRDefault="00072718" w:rsidP="00072718">
      <w:pPr>
        <w:pStyle w:val="Heading2unnumbered"/>
        <w:tabs>
          <w:tab w:val="clear" w:pos="709"/>
        </w:tabs>
        <w:spacing w:before="120"/>
        <w:rPr>
          <w:color w:val="000000"/>
        </w:rPr>
      </w:pPr>
      <w:bookmarkStart w:id="23" w:name="_Toc217894557"/>
      <w:r w:rsidRPr="00006BE9">
        <w:rPr>
          <w:color w:val="000000"/>
        </w:rPr>
        <w:t>Background</w:t>
      </w:r>
      <w:bookmarkEnd w:id="23"/>
    </w:p>
    <w:p w:rsidR="00072718" w:rsidRPr="00006BE9" w:rsidRDefault="00072718" w:rsidP="00072718">
      <w:pPr>
        <w:pStyle w:val="BodyText"/>
        <w:rPr>
          <w:color w:val="000000"/>
        </w:rPr>
      </w:pPr>
      <w:smartTag w:uri="urn:schemas-microsoft-com:office:smarttags" w:element="country-region">
        <w:r w:rsidRPr="00006BE9">
          <w:rPr>
            <w:color w:val="000000"/>
          </w:rPr>
          <w:t>Australia</w:t>
        </w:r>
      </w:smartTag>
      <w:r w:rsidR="00B858B5" w:rsidRPr="00006BE9">
        <w:rPr>
          <w:color w:val="000000"/>
        </w:rPr>
        <w:t>’s</w:t>
      </w:r>
      <w:r w:rsidRPr="00006BE9">
        <w:rPr>
          <w:color w:val="000000"/>
        </w:rPr>
        <w:t xml:space="preserve"> assistance to the water and sanitation sector in </w:t>
      </w:r>
      <w:smartTag w:uri="urn:schemas-microsoft-com:office:smarttags" w:element="country-region">
        <w:r w:rsidRPr="00006BE9">
          <w:rPr>
            <w:color w:val="000000"/>
          </w:rPr>
          <w:t>Vietnam</w:t>
        </w:r>
      </w:smartTag>
      <w:r w:rsidRPr="00006BE9">
        <w:rPr>
          <w:color w:val="000000"/>
        </w:rPr>
        <w:t xml:space="preserve"> has been a significant part of the </w:t>
      </w:r>
      <w:smartTag w:uri="urn:schemas-microsoft-com:office:smarttags" w:element="country-region">
        <w:r w:rsidRPr="00006BE9">
          <w:rPr>
            <w:color w:val="000000"/>
          </w:rPr>
          <w:t>Vietnam</w:t>
        </w:r>
      </w:smartTag>
      <w:r w:rsidRPr="00006BE9">
        <w:rPr>
          <w:color w:val="000000"/>
        </w:rPr>
        <w:t xml:space="preserve"> </w:t>
      </w:r>
      <w:r w:rsidR="005F3C45" w:rsidRPr="00006BE9">
        <w:rPr>
          <w:color w:val="000000"/>
        </w:rPr>
        <w:t xml:space="preserve">development cooperation strategy </w:t>
      </w:r>
      <w:r w:rsidR="00B858B5" w:rsidRPr="00006BE9">
        <w:rPr>
          <w:color w:val="000000"/>
        </w:rPr>
        <w:t xml:space="preserve">during </w:t>
      </w:r>
      <w:r w:rsidRPr="00006BE9">
        <w:rPr>
          <w:color w:val="000000"/>
        </w:rPr>
        <w:t>the past decade.</w:t>
      </w:r>
      <w:r w:rsidR="00F21DB8" w:rsidRPr="00006BE9">
        <w:rPr>
          <w:color w:val="000000"/>
        </w:rPr>
        <w:t xml:space="preserve"> </w:t>
      </w:r>
      <w:r w:rsidRPr="00006BE9">
        <w:rPr>
          <w:color w:val="000000"/>
        </w:rPr>
        <w:t>In 2007</w:t>
      </w:r>
      <w:r w:rsidR="006B7127" w:rsidRPr="00006BE9">
        <w:rPr>
          <w:color w:val="000000"/>
        </w:rPr>
        <w:t>-08</w:t>
      </w:r>
      <w:r w:rsidRPr="00006BE9">
        <w:rPr>
          <w:color w:val="000000"/>
        </w:rPr>
        <w:t xml:space="preserve"> it accounted for around 16</w:t>
      </w:r>
      <w:r w:rsidR="00F21DB8" w:rsidRPr="00006BE9">
        <w:rPr>
          <w:color w:val="000000"/>
        </w:rPr>
        <w:t> per cent</w:t>
      </w:r>
      <w:r w:rsidRPr="00006BE9">
        <w:rPr>
          <w:color w:val="000000"/>
        </w:rPr>
        <w:t xml:space="preserve"> of </w:t>
      </w:r>
      <w:r w:rsidR="005F3C45" w:rsidRPr="00006BE9">
        <w:rPr>
          <w:color w:val="000000"/>
        </w:rPr>
        <w:t>program</w:t>
      </w:r>
      <w:r w:rsidRPr="00006BE9">
        <w:rPr>
          <w:color w:val="000000"/>
        </w:rPr>
        <w:t xml:space="preserve"> expenditure.</w:t>
      </w:r>
      <w:r w:rsidR="00F21DB8" w:rsidRPr="00006BE9">
        <w:rPr>
          <w:color w:val="000000"/>
        </w:rPr>
        <w:t xml:space="preserve"> </w:t>
      </w:r>
      <w:r w:rsidR="008B47FC" w:rsidRPr="00006BE9">
        <w:rPr>
          <w:color w:val="000000"/>
        </w:rPr>
        <w:t>Table </w:t>
      </w:r>
      <w:r w:rsidRPr="00006BE9">
        <w:rPr>
          <w:color w:val="000000"/>
        </w:rPr>
        <w:t xml:space="preserve">6 lists recent projects and </w:t>
      </w:r>
      <w:r w:rsidR="005F3C45" w:rsidRPr="00006BE9">
        <w:rPr>
          <w:color w:val="000000"/>
        </w:rPr>
        <w:t>program</w:t>
      </w:r>
      <w:r w:rsidRPr="00006BE9">
        <w:rPr>
          <w:color w:val="000000"/>
        </w:rPr>
        <w:t xml:space="preserve">s supported by </w:t>
      </w:r>
      <w:smartTag w:uri="urn:schemas-microsoft-com:office:smarttags" w:element="country-region">
        <w:r w:rsidRPr="00006BE9">
          <w:rPr>
            <w:color w:val="000000"/>
          </w:rPr>
          <w:t>Australia</w:t>
        </w:r>
      </w:smartTag>
      <w:r w:rsidRPr="00006BE9">
        <w:rPr>
          <w:color w:val="000000"/>
        </w:rPr>
        <w:t>.</w:t>
      </w:r>
      <w:r w:rsidR="00F21DB8" w:rsidRPr="00006BE9">
        <w:rPr>
          <w:color w:val="000000"/>
        </w:rPr>
        <w:t xml:space="preserve"> </w:t>
      </w:r>
      <w:r w:rsidRPr="00006BE9">
        <w:rPr>
          <w:color w:val="000000"/>
        </w:rPr>
        <w:t xml:space="preserve">Close to $130 million has been committed to the sector </w:t>
      </w:r>
      <w:r w:rsidR="00B858B5" w:rsidRPr="00006BE9">
        <w:rPr>
          <w:color w:val="000000"/>
        </w:rPr>
        <w:t xml:space="preserve">for </w:t>
      </w:r>
      <w:r w:rsidRPr="00006BE9">
        <w:rPr>
          <w:color w:val="000000"/>
        </w:rPr>
        <w:t>the period 199</w:t>
      </w:r>
      <w:r w:rsidR="00B52DCF" w:rsidRPr="00006BE9">
        <w:rPr>
          <w:color w:val="000000"/>
        </w:rPr>
        <w:t>6</w:t>
      </w:r>
      <w:r w:rsidRPr="00006BE9">
        <w:rPr>
          <w:color w:val="000000"/>
        </w:rPr>
        <w:t xml:space="preserve"> to 2012.</w:t>
      </w:r>
    </w:p>
    <w:p w:rsidR="00B858B5" w:rsidRPr="00006BE9" w:rsidRDefault="00B858B5" w:rsidP="00B858B5">
      <w:pPr>
        <w:pStyle w:val="BodyText"/>
        <w:rPr>
          <w:color w:val="000000"/>
        </w:rPr>
      </w:pPr>
      <w:r w:rsidRPr="00006BE9">
        <w:rPr>
          <w:color w:val="000000"/>
        </w:rPr>
        <w:t xml:space="preserve">As with the transport sector in </w:t>
      </w:r>
      <w:smartTag w:uri="urn:schemas-microsoft-com:office:smarttags" w:element="country-region">
        <w:r w:rsidRPr="00006BE9">
          <w:rPr>
            <w:color w:val="000000"/>
          </w:rPr>
          <w:t>Papua New Guinea</w:t>
        </w:r>
      </w:smartTag>
      <w:r w:rsidRPr="00006BE9">
        <w:rPr>
          <w:color w:val="000000"/>
        </w:rPr>
        <w:t xml:space="preserve">, assistance to the water and sanitation sector in </w:t>
      </w:r>
      <w:smartTag w:uri="urn:schemas-microsoft-com:office:smarttags" w:element="country-region">
        <w:r w:rsidRPr="00006BE9">
          <w:rPr>
            <w:color w:val="000000"/>
          </w:rPr>
          <w:t>Vietnam</w:t>
        </w:r>
      </w:smartTag>
      <w:r w:rsidRPr="00006BE9">
        <w:rPr>
          <w:color w:val="000000"/>
        </w:rPr>
        <w:t xml:space="preserve"> has evolved from discrete projects managed by Australian contractors to a programmatic approach using government systems. In the case of Vietnam the change is more ambitious, with Australia joining Denmark and the Netherlands (the donors) to provide targeted program budget support to the Government of Vietnam’s </w:t>
      </w:r>
      <w:r w:rsidR="00B52DCF" w:rsidRPr="00006BE9">
        <w:rPr>
          <w:color w:val="000000"/>
        </w:rPr>
        <w:t>five</w:t>
      </w:r>
      <w:r w:rsidRPr="00006BE9">
        <w:rPr>
          <w:color w:val="000000"/>
        </w:rPr>
        <w:t>-year (2006</w:t>
      </w:r>
      <w:r w:rsidR="00B52DCF" w:rsidRPr="00006BE9">
        <w:rPr>
          <w:color w:val="000000"/>
        </w:rPr>
        <w:t>–</w:t>
      </w:r>
      <w:r w:rsidRPr="00006BE9">
        <w:rPr>
          <w:color w:val="000000"/>
        </w:rPr>
        <w:t xml:space="preserve">10) Rural Water Supply </w:t>
      </w:r>
      <w:r w:rsidR="00B52DCF" w:rsidRPr="00006BE9">
        <w:rPr>
          <w:color w:val="000000"/>
        </w:rPr>
        <w:t xml:space="preserve">and </w:t>
      </w:r>
      <w:r w:rsidRPr="00006BE9">
        <w:rPr>
          <w:color w:val="000000"/>
        </w:rPr>
        <w:t>Sanitation National Target Program</w:t>
      </w:r>
      <w:r w:rsidRPr="00006BE9">
        <w:rPr>
          <w:rStyle w:val="FootnoteReference"/>
          <w:color w:val="000000"/>
        </w:rPr>
        <w:footnoteReference w:id="10"/>
      </w:r>
      <w:r w:rsidRPr="00006BE9">
        <w:rPr>
          <w:color w:val="000000"/>
        </w:rPr>
        <w:t xml:space="preserve"> Phase 2. Donor support is being provided to nine provinces in an initial </w:t>
      </w:r>
      <w:r w:rsidR="00B52DCF" w:rsidRPr="00006BE9">
        <w:rPr>
          <w:color w:val="000000"/>
        </w:rPr>
        <w:t>two</w:t>
      </w:r>
      <w:r w:rsidRPr="00006BE9">
        <w:rPr>
          <w:color w:val="000000"/>
        </w:rPr>
        <w:t xml:space="preserve">-year pilot phase that effectively started in April 2007, somewhat later than planned. The original intention was to roll out </w:t>
      </w:r>
      <w:r w:rsidR="00496B11" w:rsidRPr="00006BE9">
        <w:rPr>
          <w:color w:val="000000"/>
        </w:rPr>
        <w:t xml:space="preserve">the </w:t>
      </w:r>
      <w:r w:rsidR="00D87CA4" w:rsidRPr="00006BE9">
        <w:rPr>
          <w:color w:val="000000"/>
        </w:rPr>
        <w:t xml:space="preserve">targeted program budget support </w:t>
      </w:r>
      <w:r w:rsidRPr="00006BE9">
        <w:rPr>
          <w:color w:val="000000"/>
        </w:rPr>
        <w:t xml:space="preserve">to all 64 of </w:t>
      </w:r>
      <w:smartTag w:uri="urn:schemas-microsoft-com:office:smarttags" w:element="country-region">
        <w:r w:rsidRPr="00006BE9">
          <w:rPr>
            <w:color w:val="000000"/>
          </w:rPr>
          <w:t>Vietnam</w:t>
        </w:r>
      </w:smartTag>
      <w:r w:rsidRPr="00006BE9">
        <w:rPr>
          <w:color w:val="000000"/>
        </w:rPr>
        <w:t>’s provinces in the third year. However</w:t>
      </w:r>
      <w:r w:rsidR="00D04E66" w:rsidRPr="00006BE9">
        <w:rPr>
          <w:color w:val="000000"/>
        </w:rPr>
        <w:t>,</w:t>
      </w:r>
      <w:r w:rsidRPr="00006BE9">
        <w:rPr>
          <w:color w:val="000000"/>
        </w:rPr>
        <w:t xml:space="preserve"> a recent joint review team including government and the donor representatives recommended that the rollout be limited to 30</w:t>
      </w:r>
      <w:r w:rsidR="00F37362" w:rsidRPr="00006BE9">
        <w:rPr>
          <w:color w:val="000000"/>
        </w:rPr>
        <w:t> </w:t>
      </w:r>
      <w:r w:rsidRPr="00006BE9">
        <w:rPr>
          <w:color w:val="000000"/>
        </w:rPr>
        <w:t xml:space="preserve">provinces (including the original </w:t>
      </w:r>
      <w:r w:rsidR="00F37362" w:rsidRPr="00006BE9">
        <w:rPr>
          <w:color w:val="000000"/>
        </w:rPr>
        <w:t xml:space="preserve">nine </w:t>
      </w:r>
      <w:r w:rsidRPr="00006BE9">
        <w:rPr>
          <w:color w:val="000000"/>
        </w:rPr>
        <w:t xml:space="preserve">pilot provinces). </w:t>
      </w:r>
    </w:p>
    <w:p w:rsidR="00072718" w:rsidRPr="00006BE9" w:rsidRDefault="00072718" w:rsidP="00667237">
      <w:pPr>
        <w:pStyle w:val="Caption"/>
        <w:framePr w:hSpace="181" w:wrap="around" w:hAnchor="text" w:yAlign="bottom"/>
        <w:spacing w:before="180"/>
        <w:rPr>
          <w:color w:val="000000"/>
        </w:rPr>
      </w:pPr>
      <w:r w:rsidRPr="00006BE9">
        <w:rPr>
          <w:color w:val="000000"/>
        </w:rPr>
        <w:lastRenderedPageBreak/>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6</w:t>
      </w:r>
      <w:r w:rsidRPr="00006BE9">
        <w:rPr>
          <w:color w:val="000000"/>
        </w:rPr>
        <w:fldChar w:fldCharType="end"/>
      </w:r>
      <w:r w:rsidRPr="00006BE9">
        <w:rPr>
          <w:color w:val="000000"/>
        </w:rPr>
        <w:t xml:space="preserve">: </w:t>
      </w:r>
      <w:r w:rsidR="00B52DCF" w:rsidRPr="00006BE9">
        <w:rPr>
          <w:color w:val="000000"/>
        </w:rPr>
        <w:t>Australian support to the</w:t>
      </w:r>
      <w:r w:rsidRPr="00006BE9">
        <w:rPr>
          <w:color w:val="000000"/>
        </w:rPr>
        <w:t xml:space="preserve"> </w:t>
      </w:r>
      <w:r w:rsidR="005F3C45" w:rsidRPr="00006BE9">
        <w:rPr>
          <w:color w:val="000000"/>
        </w:rPr>
        <w:t xml:space="preserve">water and sanitation </w:t>
      </w:r>
      <w:r w:rsidR="00B52DCF" w:rsidRPr="00006BE9">
        <w:rPr>
          <w:color w:val="000000"/>
        </w:rPr>
        <w:t>sector</w:t>
      </w:r>
      <w:r w:rsidR="00B858B5" w:rsidRPr="00006BE9">
        <w:rPr>
          <w:color w:val="000000"/>
        </w:rPr>
        <w:t xml:space="preserve"> in </w:t>
      </w:r>
      <w:smartTag w:uri="urn:schemas-microsoft-com:office:smarttags" w:element="country-region">
        <w:r w:rsidR="00B858B5" w:rsidRPr="00006BE9">
          <w:rPr>
            <w:color w:val="000000"/>
          </w:rPr>
          <w:t>Vietnam</w:t>
        </w:r>
      </w:smartTag>
      <w:r w:rsidR="00B52DCF" w:rsidRPr="00006BE9">
        <w:rPr>
          <w:color w:val="000000"/>
        </w:rPr>
        <w:t>, 1995 to 2012</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e 6"/>
        <w:tblDescription w:val="Australian support to the water and sanitation sector in Vietnam, 1995 to 2012"/>
      </w:tblPr>
      <w:tblGrid>
        <w:gridCol w:w="4452"/>
        <w:gridCol w:w="1805"/>
        <w:gridCol w:w="1680"/>
      </w:tblGrid>
      <w:tr w:rsidR="00072718" w:rsidRPr="00006BE9" w:rsidTr="007A45B0">
        <w:trPr>
          <w:cantSplit/>
          <w:tblHeader/>
        </w:trPr>
        <w:tc>
          <w:tcPr>
            <w:tcW w:w="4452" w:type="dxa"/>
            <w:tcBorders>
              <w:bottom w:val="single" w:sz="12" w:space="0" w:color="auto"/>
            </w:tcBorders>
            <w:tcMar>
              <w:left w:w="57" w:type="dxa"/>
              <w:right w:w="57" w:type="dxa"/>
            </w:tcMar>
          </w:tcPr>
          <w:p w:rsidR="00072718" w:rsidRPr="00006BE9" w:rsidRDefault="00072718" w:rsidP="00667237">
            <w:pPr>
              <w:pStyle w:val="TableDataColumnHeading"/>
              <w:framePr w:hSpace="181" w:wrap="around" w:hAnchor="text" w:yAlign="bottom"/>
              <w:jc w:val="left"/>
              <w:rPr>
                <w:color w:val="000000"/>
              </w:rPr>
            </w:pPr>
            <w:r w:rsidRPr="00006BE9">
              <w:rPr>
                <w:color w:val="000000"/>
              </w:rPr>
              <w:t>Project</w:t>
            </w:r>
            <w:r w:rsidR="00355CB3" w:rsidRPr="00006BE9">
              <w:rPr>
                <w:color w:val="000000"/>
              </w:rPr>
              <w:t xml:space="preserve"> or program</w:t>
            </w:r>
          </w:p>
        </w:tc>
        <w:tc>
          <w:tcPr>
            <w:tcW w:w="1805" w:type="dxa"/>
            <w:tcBorders>
              <w:bottom w:val="single" w:sz="12" w:space="0" w:color="auto"/>
            </w:tcBorders>
            <w:tcMar>
              <w:left w:w="57" w:type="dxa"/>
              <w:right w:w="57" w:type="dxa"/>
            </w:tcMar>
          </w:tcPr>
          <w:p w:rsidR="00072718" w:rsidRPr="00006BE9" w:rsidRDefault="00072718" w:rsidP="00667237">
            <w:pPr>
              <w:pStyle w:val="TableDataColumnHeading"/>
              <w:framePr w:hSpace="181" w:wrap="around" w:hAnchor="text" w:yAlign="bottom"/>
              <w:rPr>
                <w:color w:val="000000"/>
              </w:rPr>
            </w:pPr>
            <w:r w:rsidRPr="00006BE9">
              <w:rPr>
                <w:color w:val="000000"/>
              </w:rPr>
              <w:t xml:space="preserve">Implementation </w:t>
            </w:r>
            <w:r w:rsidR="008B47FC" w:rsidRPr="00006BE9">
              <w:rPr>
                <w:color w:val="000000"/>
              </w:rPr>
              <w:t>period</w:t>
            </w:r>
          </w:p>
        </w:tc>
        <w:tc>
          <w:tcPr>
            <w:tcW w:w="1680" w:type="dxa"/>
            <w:tcBorders>
              <w:bottom w:val="single" w:sz="12" w:space="0" w:color="auto"/>
            </w:tcBorders>
            <w:tcMar>
              <w:left w:w="57" w:type="dxa"/>
              <w:right w:w="57" w:type="dxa"/>
            </w:tcMar>
          </w:tcPr>
          <w:p w:rsidR="00072718" w:rsidRPr="00006BE9" w:rsidRDefault="00355CB3" w:rsidP="00667237">
            <w:pPr>
              <w:pStyle w:val="TableDataColumnHeading"/>
              <w:framePr w:hSpace="181" w:wrap="around" w:hAnchor="text" w:yAlign="bottom"/>
              <w:rPr>
                <w:color w:val="000000"/>
              </w:rPr>
            </w:pPr>
            <w:r w:rsidRPr="00006BE9">
              <w:rPr>
                <w:color w:val="000000"/>
              </w:rPr>
              <w:t>A</w:t>
            </w:r>
            <w:r w:rsidR="008B47FC" w:rsidRPr="00006BE9">
              <w:rPr>
                <w:color w:val="000000"/>
              </w:rPr>
              <w:t>mount</w:t>
            </w:r>
          </w:p>
        </w:tc>
      </w:tr>
      <w:tr w:rsidR="00072718" w:rsidRPr="00006BE9" w:rsidTr="007A45B0">
        <w:trPr>
          <w:cantSplit/>
        </w:trPr>
        <w:tc>
          <w:tcPr>
            <w:tcW w:w="4452" w:type="dxa"/>
            <w:tcBorders>
              <w:top w:val="single" w:sz="12" w:space="0" w:color="auto"/>
            </w:tcBorders>
            <w:tcMar>
              <w:left w:w="57" w:type="dxa"/>
              <w:right w:w="57" w:type="dxa"/>
            </w:tcMar>
          </w:tcPr>
          <w:p w:rsidR="00072718" w:rsidRPr="00006BE9" w:rsidRDefault="00072718" w:rsidP="00667237">
            <w:pPr>
              <w:pStyle w:val="TableUnit"/>
              <w:framePr w:hSpace="181" w:wrap="around" w:hAnchor="text" w:yAlign="bottom"/>
              <w:jc w:val="left"/>
              <w:rPr>
                <w:color w:val="000000"/>
              </w:rPr>
            </w:pPr>
          </w:p>
        </w:tc>
        <w:tc>
          <w:tcPr>
            <w:tcW w:w="1805" w:type="dxa"/>
            <w:tcBorders>
              <w:top w:val="single" w:sz="12" w:space="0" w:color="auto"/>
            </w:tcBorders>
            <w:tcMar>
              <w:left w:w="57" w:type="dxa"/>
              <w:right w:w="57" w:type="dxa"/>
            </w:tcMar>
          </w:tcPr>
          <w:p w:rsidR="00072718" w:rsidRPr="00006BE9" w:rsidRDefault="00072718" w:rsidP="00667237">
            <w:pPr>
              <w:pStyle w:val="TableUnit"/>
              <w:framePr w:hSpace="181" w:wrap="around" w:hAnchor="text" w:yAlign="bottom"/>
              <w:rPr>
                <w:color w:val="000000"/>
              </w:rPr>
            </w:pPr>
          </w:p>
        </w:tc>
        <w:tc>
          <w:tcPr>
            <w:tcW w:w="1680" w:type="dxa"/>
            <w:tcBorders>
              <w:top w:val="single" w:sz="12" w:space="0" w:color="auto"/>
            </w:tcBorders>
            <w:tcMar>
              <w:left w:w="57" w:type="dxa"/>
              <w:right w:w="57" w:type="dxa"/>
            </w:tcMar>
          </w:tcPr>
          <w:p w:rsidR="00072718" w:rsidRPr="00006BE9" w:rsidRDefault="008B47FC" w:rsidP="00667237">
            <w:pPr>
              <w:pStyle w:val="TableUnit"/>
              <w:framePr w:hSpace="181" w:wrap="around" w:hAnchor="text" w:yAlign="bottom"/>
              <w:rPr>
                <w:color w:val="000000"/>
              </w:rPr>
            </w:pPr>
            <w:r w:rsidRPr="00006BE9">
              <w:rPr>
                <w:color w:val="000000"/>
              </w:rPr>
              <w:t>A$ million</w:t>
            </w:r>
          </w:p>
        </w:tc>
      </w:tr>
      <w:tr w:rsidR="00072718" w:rsidRPr="00006BE9" w:rsidTr="007A45B0">
        <w:trPr>
          <w:cantSplit/>
        </w:trPr>
        <w:tc>
          <w:tcPr>
            <w:tcW w:w="4452" w:type="dxa"/>
            <w:tcMar>
              <w:left w:w="57" w:type="dxa"/>
              <w:right w:w="57" w:type="dxa"/>
            </w:tcMar>
          </w:tcPr>
          <w:p w:rsidR="00072718" w:rsidRPr="00006BE9" w:rsidRDefault="00072718" w:rsidP="00667237">
            <w:pPr>
              <w:pStyle w:val="TableDataEntries"/>
              <w:framePr w:hSpace="181" w:wrap="around" w:hAnchor="text" w:yAlign="bottom"/>
              <w:jc w:val="left"/>
              <w:rPr>
                <w:color w:val="000000"/>
              </w:rPr>
            </w:pPr>
            <w:bookmarkStart w:id="24" w:name="_Hlk201999094"/>
            <w:r w:rsidRPr="00006BE9">
              <w:rPr>
                <w:color w:val="000000"/>
              </w:rPr>
              <w:t xml:space="preserve">Rural Water Supply </w:t>
            </w:r>
            <w:r w:rsidR="00355CB3" w:rsidRPr="00006BE9">
              <w:rPr>
                <w:color w:val="000000"/>
              </w:rPr>
              <w:t>and</w:t>
            </w:r>
            <w:r w:rsidRPr="00006BE9">
              <w:rPr>
                <w:color w:val="000000"/>
              </w:rPr>
              <w:t xml:space="preserve"> Sanitation National Target Program 2 (including the preparation phase)</w:t>
            </w:r>
          </w:p>
        </w:tc>
        <w:tc>
          <w:tcPr>
            <w:tcW w:w="1805"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2004 to 2012</w:t>
            </w:r>
          </w:p>
        </w:tc>
        <w:tc>
          <w:tcPr>
            <w:tcW w:w="1680" w:type="dxa"/>
            <w:tcMar>
              <w:left w:w="57" w:type="dxa"/>
              <w:right w:w="57" w:type="dxa"/>
            </w:tcMar>
          </w:tcPr>
          <w:p w:rsidR="00072718" w:rsidRPr="00006BE9" w:rsidRDefault="00B76F11" w:rsidP="00667237">
            <w:pPr>
              <w:pStyle w:val="TableDataEntries"/>
              <w:framePr w:hSpace="181" w:wrap="around" w:hAnchor="text" w:yAlign="bottom"/>
              <w:rPr>
                <w:color w:val="000000"/>
              </w:rPr>
            </w:pPr>
            <w:r w:rsidRPr="00006BE9">
              <w:rPr>
                <w:color w:val="000000"/>
              </w:rPr>
              <w:t>48</w:t>
            </w:r>
            <w:r w:rsidR="00F37362" w:rsidRPr="00006BE9">
              <w:rPr>
                <w:color w:val="000000"/>
              </w:rPr>
              <w:t>.0</w:t>
            </w:r>
          </w:p>
        </w:tc>
      </w:tr>
      <w:tr w:rsidR="00072718" w:rsidRPr="00006BE9" w:rsidTr="007A45B0">
        <w:trPr>
          <w:cantSplit/>
        </w:trPr>
        <w:tc>
          <w:tcPr>
            <w:tcW w:w="4452" w:type="dxa"/>
            <w:tcMar>
              <w:left w:w="57" w:type="dxa"/>
              <w:right w:w="57" w:type="dxa"/>
            </w:tcMar>
          </w:tcPr>
          <w:p w:rsidR="00072718" w:rsidRPr="00006BE9" w:rsidRDefault="00B57605" w:rsidP="00667237">
            <w:pPr>
              <w:pStyle w:val="TableDataEntries"/>
              <w:framePr w:hSpace="181" w:wrap="around" w:hAnchor="text" w:yAlign="bottom"/>
              <w:jc w:val="left"/>
              <w:rPr>
                <w:color w:val="000000"/>
              </w:rPr>
            </w:pPr>
            <w:r w:rsidRPr="00006BE9">
              <w:rPr>
                <w:color w:val="000000"/>
              </w:rPr>
              <w:t xml:space="preserve">Three </w:t>
            </w:r>
            <w:r w:rsidR="00072718" w:rsidRPr="00006BE9">
              <w:rPr>
                <w:color w:val="000000"/>
              </w:rPr>
              <w:t xml:space="preserve">Delta Towns Water Supply </w:t>
            </w:r>
            <w:r w:rsidR="00355CB3" w:rsidRPr="00006BE9">
              <w:rPr>
                <w:color w:val="000000"/>
              </w:rPr>
              <w:t>and</w:t>
            </w:r>
            <w:r w:rsidR="00072718" w:rsidRPr="00006BE9">
              <w:rPr>
                <w:color w:val="000000"/>
              </w:rPr>
              <w:t xml:space="preserve"> Sanitation</w:t>
            </w:r>
            <w:r w:rsidRPr="00006BE9">
              <w:rPr>
                <w:color w:val="000000"/>
              </w:rPr>
              <w:t xml:space="preserve"> Project</w:t>
            </w:r>
          </w:p>
        </w:tc>
        <w:tc>
          <w:tcPr>
            <w:tcW w:w="1805"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1999 to 2008</w:t>
            </w:r>
          </w:p>
        </w:tc>
        <w:tc>
          <w:tcPr>
            <w:tcW w:w="1680"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51.5</w:t>
            </w:r>
          </w:p>
        </w:tc>
      </w:tr>
      <w:tr w:rsidR="00072718" w:rsidRPr="00006BE9" w:rsidTr="007A45B0">
        <w:trPr>
          <w:cantSplit/>
        </w:trPr>
        <w:tc>
          <w:tcPr>
            <w:tcW w:w="4452" w:type="dxa"/>
            <w:tcMar>
              <w:left w:w="57" w:type="dxa"/>
              <w:right w:w="57" w:type="dxa"/>
            </w:tcMar>
          </w:tcPr>
          <w:p w:rsidR="00072718" w:rsidRPr="00006BE9" w:rsidRDefault="00072718" w:rsidP="00667237">
            <w:pPr>
              <w:pStyle w:val="TableDataEntries"/>
              <w:framePr w:hSpace="181" w:wrap="around" w:hAnchor="text" w:yAlign="bottom"/>
              <w:jc w:val="left"/>
              <w:rPr>
                <w:color w:val="000000"/>
              </w:rPr>
            </w:pPr>
            <w:r w:rsidRPr="00006BE9">
              <w:rPr>
                <w:color w:val="000000"/>
              </w:rPr>
              <w:t xml:space="preserve">Cuu Long Delta Rural Water Supply </w:t>
            </w:r>
            <w:r w:rsidR="00355CB3" w:rsidRPr="00006BE9">
              <w:rPr>
                <w:color w:val="000000"/>
              </w:rPr>
              <w:t>and</w:t>
            </w:r>
            <w:r w:rsidRPr="00006BE9">
              <w:rPr>
                <w:color w:val="000000"/>
              </w:rPr>
              <w:t xml:space="preserve"> Sanitation Project</w:t>
            </w:r>
          </w:p>
        </w:tc>
        <w:tc>
          <w:tcPr>
            <w:tcW w:w="1805"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1999 to 2008</w:t>
            </w:r>
          </w:p>
        </w:tc>
        <w:tc>
          <w:tcPr>
            <w:tcW w:w="1680"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28.3</w:t>
            </w:r>
          </w:p>
        </w:tc>
      </w:tr>
      <w:tr w:rsidR="00072718" w:rsidRPr="00006BE9" w:rsidTr="007A45B0">
        <w:trPr>
          <w:cantSplit/>
        </w:trPr>
        <w:tc>
          <w:tcPr>
            <w:tcW w:w="4452" w:type="dxa"/>
            <w:tcMar>
              <w:left w:w="57" w:type="dxa"/>
              <w:right w:w="57" w:type="dxa"/>
            </w:tcMar>
          </w:tcPr>
          <w:p w:rsidR="00072718" w:rsidRPr="00006BE9" w:rsidRDefault="00072718" w:rsidP="00667237">
            <w:pPr>
              <w:pStyle w:val="TableDataEntries"/>
              <w:framePr w:hSpace="181" w:wrap="around" w:hAnchor="text" w:yAlign="bottom"/>
              <w:jc w:val="left"/>
              <w:rPr>
                <w:color w:val="000000"/>
              </w:rPr>
            </w:pPr>
            <w:r w:rsidRPr="00006BE9">
              <w:rPr>
                <w:color w:val="000000"/>
              </w:rPr>
              <w:t xml:space="preserve">VANGOCA Water </w:t>
            </w:r>
            <w:r w:rsidR="00355CB3" w:rsidRPr="00006BE9">
              <w:rPr>
                <w:color w:val="000000"/>
              </w:rPr>
              <w:t>and</w:t>
            </w:r>
            <w:r w:rsidRPr="00006BE9">
              <w:rPr>
                <w:color w:val="000000"/>
              </w:rPr>
              <w:t xml:space="preserve"> Sanitation for the Rural Poor</w:t>
            </w:r>
          </w:p>
        </w:tc>
        <w:tc>
          <w:tcPr>
            <w:tcW w:w="1805"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2004 to 2010</w:t>
            </w:r>
          </w:p>
        </w:tc>
        <w:tc>
          <w:tcPr>
            <w:tcW w:w="1680"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6.7</w:t>
            </w:r>
          </w:p>
        </w:tc>
      </w:tr>
      <w:tr w:rsidR="00072718" w:rsidRPr="00006BE9" w:rsidTr="007A45B0">
        <w:trPr>
          <w:cantSplit/>
        </w:trPr>
        <w:tc>
          <w:tcPr>
            <w:tcW w:w="4452" w:type="dxa"/>
            <w:tcMar>
              <w:left w:w="57" w:type="dxa"/>
              <w:right w:w="57" w:type="dxa"/>
            </w:tcMar>
          </w:tcPr>
          <w:p w:rsidR="00072718" w:rsidRPr="00006BE9" w:rsidRDefault="00072718" w:rsidP="00667237">
            <w:pPr>
              <w:pStyle w:val="TableDataEntries"/>
              <w:framePr w:hSpace="181" w:wrap="around" w:hAnchor="text" w:yAlign="bottom"/>
              <w:jc w:val="left"/>
              <w:rPr>
                <w:color w:val="000000"/>
              </w:rPr>
            </w:pPr>
            <w:r w:rsidRPr="00006BE9">
              <w:rPr>
                <w:color w:val="000000"/>
              </w:rPr>
              <w:t xml:space="preserve">Danang Water Supply </w:t>
            </w:r>
            <w:r w:rsidR="00355CB3" w:rsidRPr="00006BE9">
              <w:rPr>
                <w:color w:val="000000"/>
              </w:rPr>
              <w:t>and</w:t>
            </w:r>
            <w:r w:rsidRPr="00006BE9">
              <w:rPr>
                <w:color w:val="000000"/>
              </w:rPr>
              <w:t xml:space="preserve"> Sanitation Project</w:t>
            </w:r>
          </w:p>
        </w:tc>
        <w:tc>
          <w:tcPr>
            <w:tcW w:w="1805"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1996 to 2005</w:t>
            </w:r>
          </w:p>
        </w:tc>
        <w:tc>
          <w:tcPr>
            <w:tcW w:w="1680" w:type="dxa"/>
            <w:tcMar>
              <w:left w:w="57" w:type="dxa"/>
              <w:right w:w="57" w:type="dxa"/>
            </w:tcMar>
          </w:tcPr>
          <w:p w:rsidR="00072718" w:rsidRPr="00006BE9" w:rsidRDefault="00072718" w:rsidP="00667237">
            <w:pPr>
              <w:pStyle w:val="TableDataEntries"/>
              <w:framePr w:hSpace="181" w:wrap="around" w:hAnchor="text" w:yAlign="bottom"/>
              <w:rPr>
                <w:color w:val="000000"/>
              </w:rPr>
            </w:pPr>
            <w:r w:rsidRPr="00006BE9">
              <w:rPr>
                <w:color w:val="000000"/>
              </w:rPr>
              <w:t>9.8</w:t>
            </w:r>
          </w:p>
        </w:tc>
      </w:tr>
      <w:tr w:rsidR="00072718" w:rsidRPr="00006BE9" w:rsidTr="007A45B0">
        <w:trPr>
          <w:cantSplit/>
        </w:trPr>
        <w:tc>
          <w:tcPr>
            <w:tcW w:w="4452" w:type="dxa"/>
            <w:tcBorders>
              <w:bottom w:val="single" w:sz="12" w:space="0" w:color="auto"/>
            </w:tcBorders>
            <w:tcMar>
              <w:left w:w="57" w:type="dxa"/>
              <w:right w:w="57" w:type="dxa"/>
            </w:tcMar>
          </w:tcPr>
          <w:p w:rsidR="00072718" w:rsidRPr="00006BE9" w:rsidRDefault="00072718" w:rsidP="00667237">
            <w:pPr>
              <w:pStyle w:val="TableDataEntries"/>
              <w:framePr w:hSpace="181" w:wrap="around" w:hAnchor="text" w:yAlign="bottom"/>
              <w:spacing w:before="80"/>
              <w:jc w:val="left"/>
              <w:rPr>
                <w:rFonts w:ascii="Franklin Gothic Medium" w:hAnsi="Franklin Gothic Medium"/>
                <w:color w:val="000000"/>
              </w:rPr>
            </w:pPr>
            <w:r w:rsidRPr="00006BE9">
              <w:rPr>
                <w:rFonts w:ascii="Franklin Gothic Medium" w:hAnsi="Franklin Gothic Medium"/>
                <w:color w:val="000000"/>
              </w:rPr>
              <w:t>Total</w:t>
            </w:r>
          </w:p>
        </w:tc>
        <w:tc>
          <w:tcPr>
            <w:tcW w:w="1805" w:type="dxa"/>
            <w:tcBorders>
              <w:bottom w:val="single" w:sz="12" w:space="0" w:color="auto"/>
            </w:tcBorders>
            <w:tcMar>
              <w:left w:w="57" w:type="dxa"/>
              <w:right w:w="57" w:type="dxa"/>
            </w:tcMar>
          </w:tcPr>
          <w:p w:rsidR="00072718" w:rsidRPr="00006BE9" w:rsidRDefault="00072718" w:rsidP="00667237">
            <w:pPr>
              <w:pStyle w:val="TableDataEntries"/>
              <w:framePr w:hSpace="181" w:wrap="around" w:hAnchor="text" w:yAlign="bottom"/>
              <w:spacing w:before="80"/>
              <w:rPr>
                <w:rFonts w:ascii="Franklin Gothic Medium" w:hAnsi="Franklin Gothic Medium"/>
                <w:color w:val="000000"/>
              </w:rPr>
            </w:pPr>
          </w:p>
        </w:tc>
        <w:tc>
          <w:tcPr>
            <w:tcW w:w="1680" w:type="dxa"/>
            <w:tcBorders>
              <w:bottom w:val="single" w:sz="12" w:space="0" w:color="auto"/>
            </w:tcBorders>
            <w:tcMar>
              <w:left w:w="57" w:type="dxa"/>
              <w:right w:w="57" w:type="dxa"/>
            </w:tcMar>
          </w:tcPr>
          <w:p w:rsidR="00072718" w:rsidRPr="00006BE9" w:rsidRDefault="00072718" w:rsidP="00667237">
            <w:pPr>
              <w:pStyle w:val="TableDataEntries"/>
              <w:framePr w:hSpace="181" w:wrap="around" w:hAnchor="text" w:yAlign="bottom"/>
              <w:spacing w:before="80"/>
              <w:rPr>
                <w:rFonts w:ascii="Franklin Gothic Medium" w:hAnsi="Franklin Gothic Medium"/>
                <w:color w:val="000000"/>
              </w:rPr>
            </w:pPr>
            <w:r w:rsidRPr="00006BE9">
              <w:rPr>
                <w:rFonts w:ascii="Franklin Gothic Medium" w:hAnsi="Franklin Gothic Medium"/>
                <w:color w:val="000000"/>
              </w:rPr>
              <w:fldChar w:fldCharType="begin"/>
            </w:r>
            <w:r w:rsidRPr="00006BE9">
              <w:rPr>
                <w:rFonts w:ascii="Franklin Gothic Medium" w:hAnsi="Franklin Gothic Medium"/>
                <w:color w:val="000000"/>
              </w:rPr>
              <w:instrText xml:space="preserve"> =SUM(ABOVE) </w:instrText>
            </w:r>
            <w:r w:rsidRPr="00006BE9">
              <w:rPr>
                <w:rFonts w:ascii="Franklin Gothic Medium" w:hAnsi="Franklin Gothic Medium"/>
                <w:color w:val="000000"/>
              </w:rPr>
              <w:fldChar w:fldCharType="separate"/>
            </w:r>
            <w:r w:rsidRPr="00006BE9">
              <w:rPr>
                <w:rFonts w:ascii="Franklin Gothic Medium" w:hAnsi="Franklin Gothic Medium"/>
                <w:noProof/>
                <w:color w:val="000000"/>
              </w:rPr>
              <w:t>1</w:t>
            </w:r>
            <w:r w:rsidR="00B76F11" w:rsidRPr="00006BE9">
              <w:rPr>
                <w:rFonts w:ascii="Franklin Gothic Medium" w:hAnsi="Franklin Gothic Medium"/>
                <w:noProof/>
                <w:color w:val="000000"/>
              </w:rPr>
              <w:t>44</w:t>
            </w:r>
            <w:r w:rsidRPr="00006BE9">
              <w:rPr>
                <w:rFonts w:ascii="Franklin Gothic Medium" w:hAnsi="Franklin Gothic Medium"/>
                <w:noProof/>
                <w:color w:val="000000"/>
              </w:rPr>
              <w:t>.3</w:t>
            </w:r>
            <w:r w:rsidRPr="00006BE9">
              <w:rPr>
                <w:rFonts w:ascii="Franklin Gothic Medium" w:hAnsi="Franklin Gothic Medium"/>
                <w:color w:val="000000"/>
              </w:rPr>
              <w:fldChar w:fldCharType="end"/>
            </w:r>
          </w:p>
        </w:tc>
      </w:tr>
      <w:bookmarkEnd w:id="24"/>
    </w:tbl>
    <w:p w:rsidR="00072718" w:rsidRPr="00006BE9" w:rsidRDefault="00072718" w:rsidP="00667237">
      <w:pPr>
        <w:pStyle w:val="Source"/>
        <w:framePr w:hSpace="181" w:wrap="around" w:hAnchor="text" w:yAlign="bottom"/>
        <w:spacing w:after="1200"/>
        <w:rPr>
          <w:color w:val="000000"/>
        </w:rPr>
      </w:pPr>
    </w:p>
    <w:p w:rsidR="00072718" w:rsidRPr="00006BE9" w:rsidRDefault="00072718" w:rsidP="00072718">
      <w:pPr>
        <w:pStyle w:val="BodyText"/>
        <w:rPr>
          <w:color w:val="000000"/>
        </w:rPr>
      </w:pPr>
      <w:r w:rsidRPr="00006BE9">
        <w:rPr>
          <w:color w:val="000000"/>
        </w:rPr>
        <w:t xml:space="preserve">The projected budget for </w:t>
      </w:r>
      <w:r w:rsidR="00496B11" w:rsidRPr="00006BE9">
        <w:rPr>
          <w:color w:val="000000"/>
        </w:rPr>
        <w:t xml:space="preserve">the </w:t>
      </w:r>
      <w:r w:rsidRPr="00006BE9">
        <w:rPr>
          <w:color w:val="000000"/>
        </w:rPr>
        <w:t>RWSS</w:t>
      </w:r>
      <w:r w:rsidR="0076283F" w:rsidRPr="00006BE9">
        <w:rPr>
          <w:color w:val="000000"/>
        </w:rPr>
        <w:t> </w:t>
      </w:r>
      <w:r w:rsidRPr="00006BE9">
        <w:rPr>
          <w:color w:val="000000"/>
        </w:rPr>
        <w:t>NTP2 is US$685</w:t>
      </w:r>
      <w:r w:rsidR="008B47FC" w:rsidRPr="00006BE9">
        <w:rPr>
          <w:color w:val="000000"/>
        </w:rPr>
        <w:t xml:space="preserve"> </w:t>
      </w:r>
      <w:r w:rsidRPr="00006BE9">
        <w:rPr>
          <w:color w:val="000000"/>
        </w:rPr>
        <w:t>m</w:t>
      </w:r>
      <w:r w:rsidR="008B47FC" w:rsidRPr="00006BE9">
        <w:rPr>
          <w:color w:val="000000"/>
        </w:rPr>
        <w:t>illion</w:t>
      </w:r>
      <w:r w:rsidRPr="00006BE9">
        <w:rPr>
          <w:rStyle w:val="FootnoteReference"/>
          <w:color w:val="000000"/>
        </w:rPr>
        <w:footnoteReference w:id="11"/>
      </w:r>
      <w:r w:rsidR="00B57605" w:rsidRPr="00006BE9">
        <w:rPr>
          <w:color w:val="000000"/>
        </w:rPr>
        <w:t>,</w:t>
      </w:r>
      <w:r w:rsidRPr="00006BE9">
        <w:rPr>
          <w:color w:val="000000"/>
        </w:rPr>
        <w:t xml:space="preserve"> with US$136</w:t>
      </w:r>
      <w:r w:rsidR="008B47FC" w:rsidRPr="00006BE9">
        <w:rPr>
          <w:color w:val="000000"/>
        </w:rPr>
        <w:t xml:space="preserve"> </w:t>
      </w:r>
      <w:r w:rsidRPr="00006BE9">
        <w:rPr>
          <w:color w:val="000000"/>
        </w:rPr>
        <w:t>m</w:t>
      </w:r>
      <w:r w:rsidR="008B47FC" w:rsidRPr="00006BE9">
        <w:rPr>
          <w:color w:val="000000"/>
        </w:rPr>
        <w:t>illion</w:t>
      </w:r>
      <w:r w:rsidRPr="00006BE9">
        <w:rPr>
          <w:color w:val="000000"/>
        </w:rPr>
        <w:t xml:space="preserve"> coming from the national government and US$101</w:t>
      </w:r>
      <w:r w:rsidR="00BA792D" w:rsidRPr="00006BE9">
        <w:rPr>
          <w:color w:val="000000"/>
        </w:rPr>
        <w:t xml:space="preserve"> </w:t>
      </w:r>
      <w:r w:rsidRPr="00006BE9">
        <w:rPr>
          <w:color w:val="000000"/>
        </w:rPr>
        <w:t>m</w:t>
      </w:r>
      <w:r w:rsidR="00BA792D" w:rsidRPr="00006BE9">
        <w:rPr>
          <w:color w:val="000000"/>
        </w:rPr>
        <w:t>illion</w:t>
      </w:r>
      <w:r w:rsidRPr="00006BE9">
        <w:rPr>
          <w:color w:val="000000"/>
        </w:rPr>
        <w:t xml:space="preserve"> (of a total commitment of US$125</w:t>
      </w:r>
      <w:r w:rsidR="008B47FC" w:rsidRPr="00006BE9">
        <w:rPr>
          <w:color w:val="000000"/>
        </w:rPr>
        <w:t xml:space="preserve"> </w:t>
      </w:r>
      <w:r w:rsidRPr="00006BE9">
        <w:rPr>
          <w:color w:val="000000"/>
        </w:rPr>
        <w:t>m</w:t>
      </w:r>
      <w:r w:rsidR="008B47FC" w:rsidRPr="00006BE9">
        <w:rPr>
          <w:color w:val="000000"/>
        </w:rPr>
        <w:t>illion</w:t>
      </w:r>
      <w:r w:rsidRPr="00006BE9">
        <w:rPr>
          <w:color w:val="000000"/>
        </w:rPr>
        <w:t>) from the donors.</w:t>
      </w:r>
      <w:r w:rsidR="00F21DB8" w:rsidRPr="00006BE9">
        <w:rPr>
          <w:color w:val="000000"/>
        </w:rPr>
        <w:t xml:space="preserve"> </w:t>
      </w:r>
      <w:r w:rsidRPr="00006BE9">
        <w:rPr>
          <w:color w:val="000000"/>
        </w:rPr>
        <w:t>This part of the donors’ support will be channelled through the state budget and is intended to be indistinguishable from state funds.</w:t>
      </w:r>
      <w:r w:rsidR="00F21DB8" w:rsidRPr="00006BE9">
        <w:rPr>
          <w:color w:val="000000"/>
        </w:rPr>
        <w:t xml:space="preserve"> </w:t>
      </w:r>
      <w:r w:rsidR="00B57605" w:rsidRPr="00006BE9">
        <w:rPr>
          <w:color w:val="000000"/>
        </w:rPr>
        <w:t xml:space="preserve">The remaining </w:t>
      </w:r>
      <w:r w:rsidRPr="00006BE9">
        <w:rPr>
          <w:color w:val="000000"/>
        </w:rPr>
        <w:t>US$24</w:t>
      </w:r>
      <w:r w:rsidR="008B47FC" w:rsidRPr="00006BE9">
        <w:rPr>
          <w:color w:val="000000"/>
        </w:rPr>
        <w:t xml:space="preserve"> </w:t>
      </w:r>
      <w:r w:rsidRPr="00006BE9">
        <w:rPr>
          <w:color w:val="000000"/>
        </w:rPr>
        <w:t>m</w:t>
      </w:r>
      <w:r w:rsidR="008B47FC" w:rsidRPr="00006BE9">
        <w:rPr>
          <w:color w:val="000000"/>
        </w:rPr>
        <w:t>illion</w:t>
      </w:r>
      <w:r w:rsidRPr="00006BE9">
        <w:rPr>
          <w:color w:val="000000"/>
        </w:rPr>
        <w:t xml:space="preserve"> of the donors’ commitment will be managed directly by the donors to fund technical assistance</w:t>
      </w:r>
      <w:r w:rsidR="00B57605" w:rsidRPr="00006BE9">
        <w:rPr>
          <w:color w:val="000000"/>
        </w:rPr>
        <w:t>,</w:t>
      </w:r>
      <w:r w:rsidRPr="00006BE9">
        <w:rPr>
          <w:color w:val="000000"/>
        </w:rPr>
        <w:t xml:space="preserve"> audits, studies and research</w:t>
      </w:r>
      <w:r w:rsidR="00B57605" w:rsidRPr="00006BE9">
        <w:rPr>
          <w:color w:val="000000"/>
        </w:rPr>
        <w:t>,</w:t>
      </w:r>
      <w:r w:rsidRPr="00006BE9">
        <w:rPr>
          <w:color w:val="000000"/>
        </w:rPr>
        <w:t xml:space="preserve"> supervision</w:t>
      </w:r>
      <w:r w:rsidR="00B57605" w:rsidRPr="00006BE9">
        <w:rPr>
          <w:color w:val="000000"/>
        </w:rPr>
        <w:t>,</w:t>
      </w:r>
      <w:r w:rsidRPr="00006BE9">
        <w:rPr>
          <w:color w:val="000000"/>
        </w:rPr>
        <w:t xml:space="preserve"> and internal </w:t>
      </w:r>
      <w:r w:rsidR="005F3C45" w:rsidRPr="00006BE9">
        <w:rPr>
          <w:color w:val="000000"/>
        </w:rPr>
        <w:t>program</w:t>
      </w:r>
      <w:r w:rsidRPr="00006BE9">
        <w:rPr>
          <w:color w:val="000000"/>
        </w:rPr>
        <w:t xml:space="preserve"> management.</w:t>
      </w:r>
      <w:r w:rsidR="00F21DB8" w:rsidRPr="00006BE9">
        <w:rPr>
          <w:color w:val="000000"/>
        </w:rPr>
        <w:t xml:space="preserve"> </w:t>
      </w:r>
      <w:r w:rsidRPr="00006BE9">
        <w:rPr>
          <w:color w:val="000000"/>
        </w:rPr>
        <w:t>It remains to be</w:t>
      </w:r>
      <w:r w:rsidR="00355CB3" w:rsidRPr="00006BE9">
        <w:rPr>
          <w:color w:val="000000"/>
        </w:rPr>
        <w:t> </w:t>
      </w:r>
      <w:r w:rsidRPr="00006BE9">
        <w:rPr>
          <w:color w:val="000000"/>
        </w:rPr>
        <w:t>seen if all of the projected budget will materialise.</w:t>
      </w:r>
      <w:r w:rsidR="00355CB3" w:rsidRPr="00006BE9">
        <w:rPr>
          <w:color w:val="000000"/>
        </w:rPr>
        <w:t xml:space="preserve"> Of the donors’ total commitment of US$125 million, AusAID plans to contribute US$34 million, or 27 per cent. Other sources of funding for the RWSS NTP2 comprise local governments (US$70 million), beneficiaries (US$206 million) and preferential loans (US$172 million).</w:t>
      </w:r>
    </w:p>
    <w:p w:rsidR="00072718" w:rsidRPr="00006BE9" w:rsidRDefault="00072718" w:rsidP="00072718">
      <w:pPr>
        <w:pStyle w:val="BodyText"/>
        <w:rPr>
          <w:color w:val="000000"/>
        </w:rPr>
      </w:pPr>
      <w:r w:rsidRPr="00006BE9">
        <w:rPr>
          <w:color w:val="000000"/>
        </w:rPr>
        <w:t xml:space="preserve">AusAID also supported the Cuu Long Delta Rural Water Supply </w:t>
      </w:r>
      <w:r w:rsidR="00355CB3" w:rsidRPr="00006BE9">
        <w:rPr>
          <w:color w:val="000000"/>
        </w:rPr>
        <w:t xml:space="preserve">and </w:t>
      </w:r>
      <w:r w:rsidRPr="00006BE9">
        <w:rPr>
          <w:color w:val="000000"/>
        </w:rPr>
        <w:t>Sanitation Project</w:t>
      </w:r>
      <w:r w:rsidR="00B57605" w:rsidRPr="00006BE9">
        <w:rPr>
          <w:color w:val="000000"/>
        </w:rPr>
        <w:t>,</w:t>
      </w:r>
      <w:r w:rsidRPr="00006BE9">
        <w:rPr>
          <w:color w:val="000000"/>
        </w:rPr>
        <w:t xml:space="preserve"> which closed in 200</w:t>
      </w:r>
      <w:r w:rsidR="006B7127" w:rsidRPr="00006BE9">
        <w:rPr>
          <w:color w:val="000000"/>
        </w:rPr>
        <w:t>8</w:t>
      </w:r>
      <w:r w:rsidR="00B57605" w:rsidRPr="00006BE9">
        <w:rPr>
          <w:color w:val="000000"/>
        </w:rPr>
        <w:t>,</w:t>
      </w:r>
      <w:r w:rsidRPr="00006BE9">
        <w:rPr>
          <w:color w:val="000000"/>
        </w:rPr>
        <w:t xml:space="preserve"> and the Three Delta Towns Water Supply </w:t>
      </w:r>
      <w:r w:rsidR="00355CB3" w:rsidRPr="00006BE9">
        <w:rPr>
          <w:color w:val="000000"/>
        </w:rPr>
        <w:t>and</w:t>
      </w:r>
      <w:r w:rsidRPr="00006BE9">
        <w:rPr>
          <w:color w:val="000000"/>
        </w:rPr>
        <w:t xml:space="preserve"> Sanitation Project</w:t>
      </w:r>
      <w:r w:rsidR="00355CB3" w:rsidRPr="00006BE9">
        <w:rPr>
          <w:color w:val="000000"/>
        </w:rPr>
        <w:t>,</w:t>
      </w:r>
      <w:r w:rsidRPr="00006BE9">
        <w:rPr>
          <w:color w:val="000000"/>
        </w:rPr>
        <w:t xml:space="preserve"> </w:t>
      </w:r>
      <w:r w:rsidR="00355CB3" w:rsidRPr="00006BE9">
        <w:rPr>
          <w:color w:val="000000"/>
        </w:rPr>
        <w:t xml:space="preserve">which </w:t>
      </w:r>
      <w:r w:rsidRPr="00006BE9">
        <w:rPr>
          <w:color w:val="000000"/>
        </w:rPr>
        <w:t>will close in 2008.</w:t>
      </w:r>
      <w:r w:rsidR="00F21DB8" w:rsidRPr="00006BE9">
        <w:rPr>
          <w:color w:val="000000"/>
        </w:rPr>
        <w:t xml:space="preserve"> </w:t>
      </w:r>
      <w:r w:rsidRPr="00006BE9">
        <w:rPr>
          <w:color w:val="000000"/>
        </w:rPr>
        <w:t>These were traditional AusAID projects implemented by managing contractors.</w:t>
      </w:r>
      <w:r w:rsidR="00F21DB8" w:rsidRPr="00006BE9">
        <w:rPr>
          <w:color w:val="000000"/>
        </w:rPr>
        <w:t xml:space="preserve"> </w:t>
      </w:r>
      <w:r w:rsidRPr="00006BE9">
        <w:rPr>
          <w:color w:val="000000"/>
        </w:rPr>
        <w:t xml:space="preserve">Both projects successfully achieved their primary objective of extending </w:t>
      </w:r>
      <w:r w:rsidR="00B57605" w:rsidRPr="00006BE9">
        <w:rPr>
          <w:color w:val="000000"/>
        </w:rPr>
        <w:t xml:space="preserve">the </w:t>
      </w:r>
      <w:r w:rsidRPr="00006BE9">
        <w:rPr>
          <w:color w:val="000000"/>
        </w:rPr>
        <w:t>coverage of water and sanitation services.</w:t>
      </w:r>
    </w:p>
    <w:p w:rsidR="00072718" w:rsidRPr="00006BE9" w:rsidRDefault="00072718" w:rsidP="00072718">
      <w:pPr>
        <w:pStyle w:val="Heading2unnumbered"/>
        <w:tabs>
          <w:tab w:val="clear" w:pos="709"/>
        </w:tabs>
        <w:rPr>
          <w:color w:val="000000"/>
        </w:rPr>
      </w:pPr>
      <w:bookmarkStart w:id="25" w:name="_Toc217894558"/>
      <w:r w:rsidRPr="00006BE9">
        <w:rPr>
          <w:color w:val="000000"/>
        </w:rPr>
        <w:t>Objectives</w:t>
      </w:r>
      <w:bookmarkEnd w:id="25"/>
    </w:p>
    <w:p w:rsidR="00072718" w:rsidRPr="00006BE9" w:rsidRDefault="00072718" w:rsidP="00072718">
      <w:pPr>
        <w:pStyle w:val="BodyText"/>
        <w:rPr>
          <w:color w:val="000000"/>
        </w:rPr>
      </w:pPr>
      <w:r w:rsidRPr="00006BE9">
        <w:rPr>
          <w:color w:val="000000"/>
        </w:rPr>
        <w:t xml:space="preserve">Support for water and sanitation was a key part of </w:t>
      </w:r>
      <w:smartTag w:uri="urn:schemas-microsoft-com:office:smarttags" w:element="country-region">
        <w:r w:rsidRPr="00006BE9">
          <w:rPr>
            <w:color w:val="000000"/>
          </w:rPr>
          <w:t>Australia</w:t>
        </w:r>
      </w:smartTag>
      <w:r w:rsidRPr="00006BE9">
        <w:rPr>
          <w:color w:val="000000"/>
        </w:rPr>
        <w:t xml:space="preserve">’s assistance to </w:t>
      </w:r>
      <w:smartTag w:uri="urn:schemas-microsoft-com:office:smarttags" w:element="country-region">
        <w:r w:rsidRPr="00006BE9">
          <w:rPr>
            <w:color w:val="000000"/>
          </w:rPr>
          <w:t>Vietnam</w:t>
        </w:r>
      </w:smartTag>
      <w:r w:rsidRPr="00006BE9">
        <w:rPr>
          <w:color w:val="000000"/>
        </w:rPr>
        <w:t xml:space="preserve"> under the 2003–07 </w:t>
      </w:r>
      <w:r w:rsidR="005F3C45" w:rsidRPr="00006BE9">
        <w:rPr>
          <w:color w:val="000000"/>
        </w:rPr>
        <w:t>development cooperation strategy</w:t>
      </w:r>
      <w:r w:rsidR="0035659C" w:rsidRPr="00006BE9">
        <w:rPr>
          <w:rStyle w:val="FootnoteReference"/>
          <w:color w:val="000000"/>
        </w:rPr>
        <w:footnoteReference w:id="12"/>
      </w:r>
      <w:r w:rsidR="005F3C45" w:rsidRPr="00006BE9">
        <w:rPr>
          <w:color w:val="000000"/>
        </w:rPr>
        <w:t xml:space="preserve"> </w:t>
      </w:r>
      <w:r w:rsidRPr="00006BE9">
        <w:rPr>
          <w:color w:val="000000"/>
        </w:rPr>
        <w:t xml:space="preserve">and it is intended that it will remain a significant component in the </w:t>
      </w:r>
      <w:r w:rsidR="005F3C45" w:rsidRPr="00006BE9">
        <w:rPr>
          <w:color w:val="000000"/>
        </w:rPr>
        <w:t>strategy</w:t>
      </w:r>
      <w:r w:rsidRPr="00006BE9">
        <w:rPr>
          <w:color w:val="000000"/>
        </w:rPr>
        <w:t xml:space="preserve"> for 2008</w:t>
      </w:r>
      <w:r w:rsidR="005F3C45" w:rsidRPr="00006BE9">
        <w:rPr>
          <w:color w:val="000000"/>
        </w:rPr>
        <w:t>–</w:t>
      </w:r>
      <w:r w:rsidRPr="00006BE9">
        <w:rPr>
          <w:color w:val="000000"/>
        </w:rPr>
        <w:t>15.</w:t>
      </w:r>
      <w:r w:rsidR="00F21DB8" w:rsidRPr="00006BE9">
        <w:rPr>
          <w:color w:val="000000"/>
        </w:rPr>
        <w:t xml:space="preserve"> </w:t>
      </w:r>
      <w:r w:rsidRPr="00006BE9">
        <w:rPr>
          <w:color w:val="000000"/>
        </w:rPr>
        <w:t>In the 2003</w:t>
      </w:r>
      <w:r w:rsidR="005F3C45" w:rsidRPr="00006BE9">
        <w:rPr>
          <w:color w:val="000000"/>
        </w:rPr>
        <w:t>–</w:t>
      </w:r>
      <w:r w:rsidRPr="00006BE9">
        <w:rPr>
          <w:color w:val="000000"/>
        </w:rPr>
        <w:t xml:space="preserve">07 </w:t>
      </w:r>
      <w:r w:rsidR="005F3C45" w:rsidRPr="00006BE9">
        <w:rPr>
          <w:color w:val="000000"/>
        </w:rPr>
        <w:t>strategy</w:t>
      </w:r>
      <w:r w:rsidRPr="00006BE9">
        <w:rPr>
          <w:color w:val="000000"/>
        </w:rPr>
        <w:t xml:space="preserve"> </w:t>
      </w:r>
      <w:r w:rsidR="00F21DB8" w:rsidRPr="00006BE9">
        <w:rPr>
          <w:color w:val="000000"/>
        </w:rPr>
        <w:t>‘</w:t>
      </w:r>
      <w:r w:rsidRPr="00006BE9">
        <w:rPr>
          <w:color w:val="000000"/>
        </w:rPr>
        <w:t>Improving health by increasing access to clean water and sanitation</w:t>
      </w:r>
      <w:r w:rsidR="00F21DB8" w:rsidRPr="00006BE9">
        <w:rPr>
          <w:color w:val="000000"/>
        </w:rPr>
        <w:t>’</w:t>
      </w:r>
      <w:r w:rsidRPr="00006BE9">
        <w:rPr>
          <w:color w:val="000000"/>
        </w:rPr>
        <w:t xml:space="preserve"> was an intermediate objective of the strategic objective to </w:t>
      </w:r>
      <w:r w:rsidR="00F21DB8" w:rsidRPr="00006BE9">
        <w:rPr>
          <w:color w:val="000000"/>
        </w:rPr>
        <w:t>‘</w:t>
      </w:r>
      <w:r w:rsidRPr="00006BE9">
        <w:rPr>
          <w:color w:val="000000"/>
        </w:rPr>
        <w:t>Develop human capital</w:t>
      </w:r>
      <w:r w:rsidR="00F21DB8" w:rsidRPr="00006BE9">
        <w:rPr>
          <w:color w:val="000000"/>
        </w:rPr>
        <w:t>’</w:t>
      </w:r>
      <w:r w:rsidR="005F3C45" w:rsidRPr="00006BE9">
        <w:rPr>
          <w:color w:val="000000"/>
        </w:rPr>
        <w:t>,</w:t>
      </w:r>
      <w:r w:rsidRPr="00006BE9">
        <w:rPr>
          <w:color w:val="000000"/>
        </w:rPr>
        <w:t xml:space="preserve"> which contributed to the development goal of </w:t>
      </w:r>
      <w:r w:rsidR="00F21DB8" w:rsidRPr="00006BE9">
        <w:rPr>
          <w:color w:val="000000"/>
        </w:rPr>
        <w:t>‘</w:t>
      </w:r>
      <w:r w:rsidRPr="00006BE9">
        <w:rPr>
          <w:color w:val="000000"/>
        </w:rPr>
        <w:t>Improved productivity and links to markets for the rural poor in the Mekong Delta and Central Coast</w:t>
      </w:r>
      <w:r w:rsidR="00F21DB8" w:rsidRPr="00006BE9">
        <w:rPr>
          <w:color w:val="000000"/>
        </w:rPr>
        <w:t>’</w:t>
      </w:r>
      <w:r w:rsidRPr="00006BE9">
        <w:rPr>
          <w:color w:val="000000"/>
        </w:rPr>
        <w:t>.</w:t>
      </w:r>
      <w:r w:rsidR="00F21DB8" w:rsidRPr="00006BE9">
        <w:rPr>
          <w:color w:val="000000"/>
        </w:rPr>
        <w:t xml:space="preserve"> </w:t>
      </w:r>
      <w:r w:rsidRPr="00006BE9">
        <w:rPr>
          <w:color w:val="000000"/>
        </w:rPr>
        <w:t xml:space="preserve">The draft </w:t>
      </w:r>
      <w:r w:rsidR="005F3C45" w:rsidRPr="00006BE9">
        <w:rPr>
          <w:color w:val="000000"/>
        </w:rPr>
        <w:t xml:space="preserve">development cooperation strategy </w:t>
      </w:r>
      <w:r w:rsidRPr="00006BE9">
        <w:rPr>
          <w:color w:val="000000"/>
        </w:rPr>
        <w:t>for 2008</w:t>
      </w:r>
      <w:r w:rsidR="005F3C45" w:rsidRPr="00006BE9">
        <w:rPr>
          <w:color w:val="000000"/>
        </w:rPr>
        <w:t>–</w:t>
      </w:r>
      <w:r w:rsidRPr="00006BE9">
        <w:rPr>
          <w:color w:val="000000"/>
        </w:rPr>
        <w:t xml:space="preserve">15 has </w:t>
      </w:r>
      <w:r w:rsidR="00F21DB8" w:rsidRPr="00006BE9">
        <w:rPr>
          <w:color w:val="000000"/>
        </w:rPr>
        <w:t>‘</w:t>
      </w:r>
      <w:r w:rsidRPr="00006BE9">
        <w:rPr>
          <w:color w:val="000000"/>
        </w:rPr>
        <w:t>The adoption of better planning and implementation approaches for providing water and sanitation</w:t>
      </w:r>
      <w:r w:rsidR="00F21DB8" w:rsidRPr="00006BE9">
        <w:rPr>
          <w:color w:val="000000"/>
        </w:rPr>
        <w:t>’</w:t>
      </w:r>
      <w:r w:rsidRPr="00006BE9">
        <w:rPr>
          <w:color w:val="000000"/>
        </w:rPr>
        <w:t xml:space="preserve"> </w:t>
      </w:r>
      <w:r w:rsidR="005F3C45" w:rsidRPr="00006BE9">
        <w:rPr>
          <w:color w:val="000000"/>
        </w:rPr>
        <w:t xml:space="preserve">as an objective </w:t>
      </w:r>
      <w:r w:rsidRPr="00006BE9">
        <w:rPr>
          <w:color w:val="000000"/>
        </w:rPr>
        <w:t xml:space="preserve">contributing towards the development objective of </w:t>
      </w:r>
      <w:r w:rsidR="00F21DB8" w:rsidRPr="00006BE9">
        <w:rPr>
          <w:color w:val="000000"/>
        </w:rPr>
        <w:t>‘</w:t>
      </w:r>
      <w:r w:rsidRPr="00006BE9">
        <w:rPr>
          <w:color w:val="000000"/>
        </w:rPr>
        <w:t>Improving citizen’s lives</w:t>
      </w:r>
      <w:r w:rsidR="00F21DB8" w:rsidRPr="00006BE9">
        <w:rPr>
          <w:color w:val="000000"/>
        </w:rPr>
        <w:t>’</w:t>
      </w:r>
      <w:r w:rsidRPr="00006BE9">
        <w:rPr>
          <w:color w:val="000000"/>
        </w:rPr>
        <w:t>.</w:t>
      </w:r>
    </w:p>
    <w:p w:rsidR="00072718" w:rsidRPr="00006BE9" w:rsidRDefault="00072718" w:rsidP="00072718">
      <w:pPr>
        <w:pStyle w:val="BodyText"/>
        <w:rPr>
          <w:color w:val="000000"/>
        </w:rPr>
      </w:pPr>
      <w:r w:rsidRPr="00006BE9">
        <w:rPr>
          <w:color w:val="000000"/>
        </w:rPr>
        <w:lastRenderedPageBreak/>
        <w:t xml:space="preserve">The objectives of </w:t>
      </w:r>
      <w:r w:rsidR="00496B11" w:rsidRPr="00006BE9">
        <w:rPr>
          <w:color w:val="000000"/>
        </w:rPr>
        <w:t xml:space="preserve">the </w:t>
      </w:r>
      <w:r w:rsidRPr="00006BE9">
        <w:rPr>
          <w:color w:val="000000"/>
        </w:rPr>
        <w:t>RWSS</w:t>
      </w:r>
      <w:r w:rsidR="007532F1" w:rsidRPr="00006BE9">
        <w:rPr>
          <w:color w:val="000000"/>
        </w:rPr>
        <w:t> </w:t>
      </w:r>
      <w:r w:rsidRPr="00006BE9">
        <w:rPr>
          <w:color w:val="000000"/>
        </w:rPr>
        <w:t xml:space="preserve">NTP2 and </w:t>
      </w:r>
      <w:r w:rsidR="00496B11" w:rsidRPr="00006BE9">
        <w:rPr>
          <w:color w:val="000000"/>
        </w:rPr>
        <w:t xml:space="preserve">the </w:t>
      </w:r>
      <w:r w:rsidR="00D87CA4" w:rsidRPr="00006BE9">
        <w:rPr>
          <w:color w:val="000000"/>
        </w:rPr>
        <w:t>targeted program budget support</w:t>
      </w:r>
      <w:r w:rsidRPr="00006BE9">
        <w:rPr>
          <w:color w:val="000000"/>
        </w:rPr>
        <w:t xml:space="preserve"> (the donor support) are essentially the same</w:t>
      </w:r>
      <w:r w:rsidR="007532F1" w:rsidRPr="00006BE9">
        <w:rPr>
          <w:color w:val="000000"/>
        </w:rPr>
        <w:t>:</w:t>
      </w:r>
    </w:p>
    <w:p w:rsidR="00072718" w:rsidRPr="00006BE9" w:rsidRDefault="005F3C45" w:rsidP="00072718">
      <w:pPr>
        <w:pStyle w:val="ListBullet"/>
        <w:rPr>
          <w:color w:val="000000"/>
        </w:rPr>
      </w:pPr>
      <w:r w:rsidRPr="00006BE9">
        <w:rPr>
          <w:color w:val="000000"/>
        </w:rPr>
        <w:t>development objective</w:t>
      </w:r>
      <w:r w:rsidR="00D87CA4" w:rsidRPr="00006BE9">
        <w:rPr>
          <w:color w:val="000000"/>
        </w:rPr>
        <w:t xml:space="preserve"> of the targeted program budget support</w:t>
      </w:r>
      <w:r w:rsidR="00072718" w:rsidRPr="00006BE9">
        <w:rPr>
          <w:color w:val="000000"/>
        </w:rPr>
        <w:t>:</w:t>
      </w:r>
    </w:p>
    <w:p w:rsidR="00072718" w:rsidRPr="00006BE9" w:rsidRDefault="00072718" w:rsidP="000016BE">
      <w:pPr>
        <w:pStyle w:val="ListBullet2"/>
        <w:numPr>
          <w:ilvl w:val="0"/>
          <w:numId w:val="5"/>
        </w:numPr>
        <w:rPr>
          <w:color w:val="000000"/>
        </w:rPr>
      </w:pPr>
      <w:r w:rsidRPr="00006BE9">
        <w:rPr>
          <w:color w:val="000000"/>
        </w:rPr>
        <w:t>Improved health and living conditions of the rural poor including ethnic minorities through provision of clean water, sanitation, hygiene promotion and protection of the environment.</w:t>
      </w:r>
    </w:p>
    <w:p w:rsidR="00072718" w:rsidRPr="00006BE9" w:rsidRDefault="00072718" w:rsidP="00072718">
      <w:pPr>
        <w:pStyle w:val="ListBullet"/>
        <w:rPr>
          <w:color w:val="000000"/>
          <w:lang w:val="en-GB"/>
        </w:rPr>
      </w:pPr>
      <w:r w:rsidRPr="00006BE9">
        <w:rPr>
          <w:color w:val="000000"/>
          <w:lang w:val="en-GB"/>
        </w:rPr>
        <w:t>(</w:t>
      </w:r>
      <w:r w:rsidR="00F21DB8" w:rsidRPr="00006BE9">
        <w:rPr>
          <w:color w:val="000000"/>
          <w:lang w:val="en-GB"/>
        </w:rPr>
        <w:t>‘</w:t>
      </w:r>
      <w:r w:rsidR="005F3C45" w:rsidRPr="00006BE9">
        <w:rPr>
          <w:color w:val="000000"/>
          <w:lang w:val="en-GB"/>
        </w:rPr>
        <w:t>immediate’) objectives</w:t>
      </w:r>
      <w:r w:rsidR="00D87CA4" w:rsidRPr="00006BE9">
        <w:rPr>
          <w:color w:val="000000"/>
          <w:lang w:val="en-GB"/>
        </w:rPr>
        <w:t xml:space="preserve"> of the </w:t>
      </w:r>
      <w:r w:rsidR="00D87CA4" w:rsidRPr="00006BE9">
        <w:rPr>
          <w:color w:val="000000"/>
        </w:rPr>
        <w:t>targeted program budget support</w:t>
      </w:r>
      <w:r w:rsidRPr="00006BE9">
        <w:rPr>
          <w:color w:val="000000"/>
          <w:lang w:val="en-GB"/>
        </w:rPr>
        <w:t>:</w:t>
      </w:r>
    </w:p>
    <w:p w:rsidR="00072718" w:rsidRPr="00006BE9" w:rsidRDefault="00072718" w:rsidP="000016BE">
      <w:pPr>
        <w:pStyle w:val="ListBullet2"/>
        <w:numPr>
          <w:ilvl w:val="0"/>
          <w:numId w:val="5"/>
        </w:numPr>
        <w:rPr>
          <w:color w:val="000000"/>
        </w:rPr>
      </w:pPr>
      <w:r w:rsidRPr="00006BE9">
        <w:rPr>
          <w:color w:val="000000"/>
        </w:rPr>
        <w:t>Improved RWSS</w:t>
      </w:r>
      <w:r w:rsidR="00667237" w:rsidRPr="00006BE9">
        <w:rPr>
          <w:color w:val="000000"/>
        </w:rPr>
        <w:t> </w:t>
      </w:r>
      <w:r w:rsidRPr="00006BE9">
        <w:rPr>
          <w:color w:val="000000"/>
        </w:rPr>
        <w:t>NTP2 performance and effectiveness</w:t>
      </w:r>
    </w:p>
    <w:p w:rsidR="00072718" w:rsidRPr="00006BE9" w:rsidRDefault="00072718" w:rsidP="000016BE">
      <w:pPr>
        <w:pStyle w:val="ListBullet2"/>
        <w:numPr>
          <w:ilvl w:val="0"/>
          <w:numId w:val="5"/>
        </w:numPr>
        <w:rPr>
          <w:color w:val="000000"/>
        </w:rPr>
      </w:pPr>
      <w:r w:rsidRPr="00006BE9">
        <w:rPr>
          <w:color w:val="000000"/>
        </w:rPr>
        <w:t>Increased coverage of safe water supply and improved sanitation facilities and hygiene promotion amongst the poor.</w:t>
      </w:r>
      <w:r w:rsidR="00F21DB8" w:rsidRPr="00006BE9">
        <w:rPr>
          <w:color w:val="000000"/>
        </w:rPr>
        <w:t xml:space="preserve"> </w:t>
      </w:r>
      <w:r w:rsidRPr="00006BE9">
        <w:rPr>
          <w:color w:val="000000"/>
        </w:rPr>
        <w:t>Specific targets</w:t>
      </w:r>
      <w:r w:rsidRPr="00006BE9">
        <w:rPr>
          <w:rStyle w:val="FootnoteReference"/>
          <w:color w:val="000000"/>
        </w:rPr>
        <w:footnoteReference w:id="13"/>
      </w:r>
      <w:r w:rsidR="007532F1" w:rsidRPr="00006BE9">
        <w:rPr>
          <w:color w:val="000000"/>
        </w:rPr>
        <w:t xml:space="preserve"> are</w:t>
      </w:r>
      <w:r w:rsidRPr="00006BE9">
        <w:rPr>
          <w:color w:val="000000"/>
        </w:rPr>
        <w:t>:</w:t>
      </w:r>
    </w:p>
    <w:tbl>
      <w:tblPr>
        <w:tblStyle w:val="TableGrid"/>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Table detailing the coverage of safe water supply and improved sanitation facilities and hygiene promotion among the poor."/>
      </w:tblPr>
      <w:tblGrid>
        <w:gridCol w:w="3751"/>
        <w:gridCol w:w="1128"/>
        <w:gridCol w:w="2477"/>
      </w:tblGrid>
      <w:tr w:rsidR="00072718" w:rsidRPr="00006BE9" w:rsidTr="007A45B0">
        <w:trPr>
          <w:cantSplit/>
          <w:tblHeader/>
        </w:trPr>
        <w:tc>
          <w:tcPr>
            <w:tcW w:w="3751" w:type="dxa"/>
            <w:tcBorders>
              <w:bottom w:val="single" w:sz="12" w:space="0" w:color="auto"/>
            </w:tcBorders>
            <w:tcMar>
              <w:left w:w="57" w:type="dxa"/>
              <w:right w:w="57" w:type="dxa"/>
            </w:tcMar>
          </w:tcPr>
          <w:p w:rsidR="00072718" w:rsidRPr="00006BE9" w:rsidRDefault="00072718" w:rsidP="005A2B35">
            <w:pPr>
              <w:pStyle w:val="TableDataColumnHeading"/>
              <w:jc w:val="left"/>
              <w:rPr>
                <w:color w:val="000000"/>
              </w:rPr>
            </w:pPr>
          </w:p>
        </w:tc>
        <w:tc>
          <w:tcPr>
            <w:tcW w:w="1128" w:type="dxa"/>
            <w:tcBorders>
              <w:bottom w:val="single" w:sz="12" w:space="0" w:color="auto"/>
            </w:tcBorders>
            <w:tcMar>
              <w:left w:w="57" w:type="dxa"/>
              <w:right w:w="57" w:type="dxa"/>
            </w:tcMar>
          </w:tcPr>
          <w:p w:rsidR="00072718" w:rsidRPr="00006BE9" w:rsidRDefault="00072718" w:rsidP="005A2B35">
            <w:pPr>
              <w:pStyle w:val="TableDataColumnHeading"/>
              <w:rPr>
                <w:color w:val="000000"/>
              </w:rPr>
            </w:pPr>
            <w:r w:rsidRPr="00006BE9">
              <w:rPr>
                <w:color w:val="000000"/>
              </w:rPr>
              <w:t xml:space="preserve">Pilot </w:t>
            </w:r>
            <w:r w:rsidR="005A2B35" w:rsidRPr="00006BE9">
              <w:rPr>
                <w:color w:val="000000"/>
              </w:rPr>
              <w:t>phase</w:t>
            </w:r>
            <w:r w:rsidR="005A2B35" w:rsidRPr="00006BE9">
              <w:rPr>
                <w:color w:val="000000"/>
              </w:rPr>
              <w:br/>
            </w:r>
            <w:r w:rsidRPr="00006BE9">
              <w:rPr>
                <w:color w:val="000000"/>
              </w:rPr>
              <w:t xml:space="preserve">(9 </w:t>
            </w:r>
            <w:r w:rsidR="007532F1" w:rsidRPr="00006BE9">
              <w:rPr>
                <w:color w:val="000000"/>
              </w:rPr>
              <w:t>provinces</w:t>
            </w:r>
            <w:r w:rsidRPr="00006BE9">
              <w:rPr>
                <w:color w:val="000000"/>
              </w:rPr>
              <w:t>)</w:t>
            </w:r>
          </w:p>
        </w:tc>
        <w:tc>
          <w:tcPr>
            <w:tcW w:w="2477" w:type="dxa"/>
            <w:tcBorders>
              <w:bottom w:val="single" w:sz="12" w:space="0" w:color="auto"/>
            </w:tcBorders>
            <w:tcMar>
              <w:left w:w="57" w:type="dxa"/>
              <w:right w:w="57" w:type="dxa"/>
            </w:tcMar>
          </w:tcPr>
          <w:p w:rsidR="00072718" w:rsidRPr="00006BE9" w:rsidRDefault="00072718" w:rsidP="005A2B35">
            <w:pPr>
              <w:pStyle w:val="TableDataColumnHeading"/>
              <w:rPr>
                <w:color w:val="000000"/>
              </w:rPr>
            </w:pPr>
            <w:r w:rsidRPr="00006BE9">
              <w:rPr>
                <w:color w:val="000000"/>
              </w:rPr>
              <w:t xml:space="preserve">Total </w:t>
            </w:r>
            <w:r w:rsidR="00D87CA4" w:rsidRPr="00006BE9">
              <w:rPr>
                <w:color w:val="000000"/>
              </w:rPr>
              <w:t xml:space="preserve">targeted program budget support </w:t>
            </w:r>
            <w:r w:rsidRPr="00006BE9">
              <w:rPr>
                <w:color w:val="000000"/>
              </w:rPr>
              <w:t>to</w:t>
            </w:r>
            <w:r w:rsidR="00667237" w:rsidRPr="00006BE9">
              <w:rPr>
                <w:color w:val="000000"/>
              </w:rPr>
              <w:t> </w:t>
            </w:r>
            <w:r w:rsidR="007532F1" w:rsidRPr="00006BE9">
              <w:rPr>
                <w:color w:val="000000"/>
              </w:rPr>
              <w:t>RWSS </w:t>
            </w:r>
            <w:r w:rsidRPr="00006BE9">
              <w:rPr>
                <w:color w:val="000000"/>
              </w:rPr>
              <w:t>NTP2</w:t>
            </w:r>
          </w:p>
        </w:tc>
      </w:tr>
      <w:tr w:rsidR="00072718" w:rsidRPr="00006BE9" w:rsidTr="007A45B0">
        <w:trPr>
          <w:cantSplit/>
        </w:trPr>
        <w:tc>
          <w:tcPr>
            <w:tcW w:w="3751" w:type="dxa"/>
            <w:tcBorders>
              <w:top w:val="single" w:sz="12" w:space="0" w:color="auto"/>
            </w:tcBorders>
            <w:tcMar>
              <w:left w:w="57" w:type="dxa"/>
              <w:right w:w="57" w:type="dxa"/>
            </w:tcMar>
          </w:tcPr>
          <w:p w:rsidR="00072718" w:rsidRPr="00006BE9" w:rsidRDefault="00072718" w:rsidP="00667237">
            <w:pPr>
              <w:pStyle w:val="TableDataEntries"/>
              <w:spacing w:before="120"/>
              <w:jc w:val="left"/>
              <w:rPr>
                <w:color w:val="000000"/>
              </w:rPr>
            </w:pPr>
            <w:r w:rsidRPr="00006BE9">
              <w:rPr>
                <w:color w:val="000000"/>
              </w:rPr>
              <w:t>Safe water supplies (people)</w:t>
            </w:r>
          </w:p>
        </w:tc>
        <w:tc>
          <w:tcPr>
            <w:tcW w:w="1128" w:type="dxa"/>
            <w:tcBorders>
              <w:top w:val="single" w:sz="12" w:space="0" w:color="auto"/>
            </w:tcBorders>
            <w:tcMar>
              <w:left w:w="57" w:type="dxa"/>
              <w:right w:w="57" w:type="dxa"/>
            </w:tcMar>
          </w:tcPr>
          <w:p w:rsidR="00072718" w:rsidRPr="00006BE9" w:rsidRDefault="00072718" w:rsidP="00667237">
            <w:pPr>
              <w:pStyle w:val="TableDataEntries"/>
              <w:spacing w:before="120"/>
              <w:rPr>
                <w:color w:val="000000"/>
              </w:rPr>
            </w:pPr>
            <w:r w:rsidRPr="00006BE9">
              <w:rPr>
                <w:color w:val="000000"/>
              </w:rPr>
              <w:t>1</w:t>
            </w:r>
            <w:r w:rsidR="005A2B35" w:rsidRPr="00006BE9">
              <w:rPr>
                <w:color w:val="000000"/>
              </w:rPr>
              <w:t xml:space="preserve"> </w:t>
            </w:r>
            <w:r w:rsidRPr="00006BE9">
              <w:rPr>
                <w:color w:val="000000"/>
              </w:rPr>
              <w:t>590</w:t>
            </w:r>
            <w:r w:rsidR="005A2B35" w:rsidRPr="00006BE9">
              <w:rPr>
                <w:color w:val="000000"/>
              </w:rPr>
              <w:t xml:space="preserve"> </w:t>
            </w:r>
            <w:r w:rsidRPr="00006BE9">
              <w:rPr>
                <w:color w:val="000000"/>
              </w:rPr>
              <w:t>000</w:t>
            </w:r>
          </w:p>
        </w:tc>
        <w:tc>
          <w:tcPr>
            <w:tcW w:w="2477" w:type="dxa"/>
            <w:tcBorders>
              <w:top w:val="single" w:sz="12" w:space="0" w:color="auto"/>
            </w:tcBorders>
            <w:tcMar>
              <w:left w:w="57" w:type="dxa"/>
              <w:right w:w="57" w:type="dxa"/>
            </w:tcMar>
          </w:tcPr>
          <w:p w:rsidR="00072718" w:rsidRPr="00006BE9" w:rsidRDefault="00072718" w:rsidP="00667237">
            <w:pPr>
              <w:pStyle w:val="TableDataEntries"/>
              <w:spacing w:before="120"/>
              <w:rPr>
                <w:color w:val="000000"/>
              </w:rPr>
            </w:pPr>
            <w:r w:rsidRPr="00006BE9">
              <w:rPr>
                <w:color w:val="000000"/>
              </w:rPr>
              <w:t>7</w:t>
            </w:r>
            <w:r w:rsidR="005A2B35" w:rsidRPr="00006BE9">
              <w:rPr>
                <w:color w:val="000000"/>
              </w:rPr>
              <w:t xml:space="preserve"> </w:t>
            </w:r>
            <w:r w:rsidRPr="00006BE9">
              <w:rPr>
                <w:color w:val="000000"/>
              </w:rPr>
              <w:t>430</w:t>
            </w:r>
            <w:r w:rsidR="005A2B35" w:rsidRPr="00006BE9">
              <w:rPr>
                <w:color w:val="000000"/>
              </w:rPr>
              <w:t xml:space="preserve"> </w:t>
            </w:r>
            <w:r w:rsidRPr="00006BE9">
              <w:rPr>
                <w:color w:val="000000"/>
              </w:rPr>
              <w:t>000</w:t>
            </w:r>
          </w:p>
        </w:tc>
      </w:tr>
      <w:tr w:rsidR="00072718" w:rsidRPr="00006BE9" w:rsidTr="007A45B0">
        <w:trPr>
          <w:cantSplit/>
        </w:trPr>
        <w:tc>
          <w:tcPr>
            <w:tcW w:w="3751" w:type="dxa"/>
            <w:tcMar>
              <w:left w:w="57" w:type="dxa"/>
              <w:right w:w="57" w:type="dxa"/>
            </w:tcMar>
          </w:tcPr>
          <w:p w:rsidR="00072718" w:rsidRPr="00006BE9" w:rsidRDefault="00072718" w:rsidP="005A2B35">
            <w:pPr>
              <w:pStyle w:val="TableDataEntries"/>
              <w:jc w:val="left"/>
              <w:rPr>
                <w:color w:val="000000"/>
              </w:rPr>
            </w:pPr>
            <w:r w:rsidRPr="00006BE9">
              <w:rPr>
                <w:color w:val="000000"/>
              </w:rPr>
              <w:t>Improved sanitation facilities (households)</w:t>
            </w:r>
          </w:p>
        </w:tc>
        <w:tc>
          <w:tcPr>
            <w:tcW w:w="1128" w:type="dxa"/>
            <w:tcMar>
              <w:left w:w="57" w:type="dxa"/>
              <w:right w:w="57" w:type="dxa"/>
            </w:tcMar>
          </w:tcPr>
          <w:p w:rsidR="00072718" w:rsidRPr="00006BE9" w:rsidRDefault="00072718" w:rsidP="005A2B35">
            <w:pPr>
              <w:pStyle w:val="TableDataEntries"/>
              <w:rPr>
                <w:color w:val="000000"/>
              </w:rPr>
            </w:pPr>
            <w:r w:rsidRPr="00006BE9">
              <w:rPr>
                <w:color w:val="000000"/>
              </w:rPr>
              <w:t>280</w:t>
            </w:r>
            <w:r w:rsidR="005A2B35" w:rsidRPr="00006BE9">
              <w:rPr>
                <w:color w:val="000000"/>
              </w:rPr>
              <w:t xml:space="preserve"> </w:t>
            </w:r>
            <w:r w:rsidRPr="00006BE9">
              <w:rPr>
                <w:color w:val="000000"/>
              </w:rPr>
              <w:t>000</w:t>
            </w:r>
          </w:p>
        </w:tc>
        <w:tc>
          <w:tcPr>
            <w:tcW w:w="2477" w:type="dxa"/>
            <w:tcMar>
              <w:left w:w="57" w:type="dxa"/>
              <w:right w:w="57" w:type="dxa"/>
            </w:tcMar>
          </w:tcPr>
          <w:p w:rsidR="00072718" w:rsidRPr="00006BE9" w:rsidRDefault="00072718" w:rsidP="005A2B35">
            <w:pPr>
              <w:pStyle w:val="TableDataEntries"/>
              <w:rPr>
                <w:color w:val="000000"/>
              </w:rPr>
            </w:pPr>
            <w:r w:rsidRPr="00006BE9">
              <w:rPr>
                <w:color w:val="000000"/>
              </w:rPr>
              <w:t>1</w:t>
            </w:r>
            <w:r w:rsidR="005A2B35" w:rsidRPr="00006BE9">
              <w:rPr>
                <w:color w:val="000000"/>
              </w:rPr>
              <w:t xml:space="preserve"> </w:t>
            </w:r>
            <w:r w:rsidRPr="00006BE9">
              <w:rPr>
                <w:color w:val="000000"/>
              </w:rPr>
              <w:t>300</w:t>
            </w:r>
            <w:r w:rsidR="005A2B35" w:rsidRPr="00006BE9">
              <w:rPr>
                <w:color w:val="000000"/>
              </w:rPr>
              <w:t xml:space="preserve"> </w:t>
            </w:r>
            <w:r w:rsidRPr="00006BE9">
              <w:rPr>
                <w:color w:val="000000"/>
              </w:rPr>
              <w:t>000</w:t>
            </w:r>
          </w:p>
        </w:tc>
      </w:tr>
      <w:tr w:rsidR="00072718" w:rsidRPr="00006BE9" w:rsidTr="007A45B0">
        <w:trPr>
          <w:cantSplit/>
        </w:trPr>
        <w:tc>
          <w:tcPr>
            <w:tcW w:w="3751" w:type="dxa"/>
            <w:tcBorders>
              <w:bottom w:val="single" w:sz="12" w:space="0" w:color="auto"/>
            </w:tcBorders>
            <w:tcMar>
              <w:left w:w="57" w:type="dxa"/>
              <w:right w:w="57" w:type="dxa"/>
            </w:tcMar>
          </w:tcPr>
          <w:p w:rsidR="00072718" w:rsidRPr="00006BE9" w:rsidRDefault="00072718" w:rsidP="005A2B35">
            <w:pPr>
              <w:pStyle w:val="TableDataEntries"/>
              <w:jc w:val="left"/>
              <w:rPr>
                <w:color w:val="000000"/>
              </w:rPr>
            </w:pPr>
            <w:r w:rsidRPr="00006BE9">
              <w:rPr>
                <w:color w:val="000000"/>
              </w:rPr>
              <w:t>Additional school latrines (schools)</w:t>
            </w:r>
          </w:p>
        </w:tc>
        <w:tc>
          <w:tcPr>
            <w:tcW w:w="1128" w:type="dxa"/>
            <w:tcBorders>
              <w:bottom w:val="single" w:sz="12" w:space="0" w:color="auto"/>
            </w:tcBorders>
            <w:tcMar>
              <w:left w:w="57" w:type="dxa"/>
              <w:right w:w="57" w:type="dxa"/>
            </w:tcMar>
          </w:tcPr>
          <w:p w:rsidR="00072718" w:rsidRPr="00006BE9" w:rsidRDefault="00072718" w:rsidP="005A2B35">
            <w:pPr>
              <w:pStyle w:val="TableDataEntries"/>
              <w:rPr>
                <w:color w:val="000000"/>
              </w:rPr>
            </w:pPr>
            <w:r w:rsidRPr="00006BE9">
              <w:rPr>
                <w:color w:val="000000"/>
              </w:rPr>
              <w:t>2</w:t>
            </w:r>
            <w:r w:rsidR="005A2B35" w:rsidRPr="00006BE9">
              <w:rPr>
                <w:color w:val="000000"/>
              </w:rPr>
              <w:t xml:space="preserve"> </w:t>
            </w:r>
            <w:r w:rsidRPr="00006BE9">
              <w:rPr>
                <w:color w:val="000000"/>
              </w:rPr>
              <w:t>200</w:t>
            </w:r>
          </w:p>
        </w:tc>
        <w:tc>
          <w:tcPr>
            <w:tcW w:w="2477" w:type="dxa"/>
            <w:tcBorders>
              <w:bottom w:val="single" w:sz="12" w:space="0" w:color="auto"/>
            </w:tcBorders>
            <w:tcMar>
              <w:left w:w="57" w:type="dxa"/>
              <w:right w:w="57" w:type="dxa"/>
            </w:tcMar>
          </w:tcPr>
          <w:p w:rsidR="00072718" w:rsidRPr="00006BE9" w:rsidRDefault="00072718" w:rsidP="005A2B35">
            <w:pPr>
              <w:pStyle w:val="TableDataEntries"/>
              <w:rPr>
                <w:color w:val="000000"/>
              </w:rPr>
            </w:pPr>
            <w:r w:rsidRPr="00006BE9">
              <w:rPr>
                <w:color w:val="000000"/>
              </w:rPr>
              <w:t>10</w:t>
            </w:r>
            <w:r w:rsidR="005A2B35" w:rsidRPr="00006BE9">
              <w:rPr>
                <w:color w:val="000000"/>
              </w:rPr>
              <w:t xml:space="preserve"> </w:t>
            </w:r>
            <w:r w:rsidRPr="00006BE9">
              <w:rPr>
                <w:color w:val="000000"/>
              </w:rPr>
              <w:t>400</w:t>
            </w:r>
          </w:p>
        </w:tc>
      </w:tr>
    </w:tbl>
    <w:p w:rsidR="005A2B35" w:rsidRPr="00006BE9" w:rsidRDefault="005A2B35" w:rsidP="00D87CA4">
      <w:pPr>
        <w:pStyle w:val="Source"/>
        <w:ind w:left="567"/>
        <w:rPr>
          <w:color w:val="000000"/>
        </w:rPr>
      </w:pPr>
    </w:p>
    <w:p w:rsidR="00072718" w:rsidRPr="00006BE9" w:rsidRDefault="00072718" w:rsidP="00D60B64">
      <w:pPr>
        <w:pStyle w:val="Heading2unnumbered"/>
        <w:tabs>
          <w:tab w:val="clear" w:pos="709"/>
        </w:tabs>
        <w:rPr>
          <w:color w:val="000000"/>
        </w:rPr>
      </w:pPr>
      <w:bookmarkStart w:id="26" w:name="_Toc217894559"/>
      <w:r w:rsidRPr="00006BE9">
        <w:rPr>
          <w:color w:val="000000"/>
        </w:rPr>
        <w:t xml:space="preserve">Monitoring and </w:t>
      </w:r>
      <w:r w:rsidR="005A2B35" w:rsidRPr="00006BE9">
        <w:rPr>
          <w:color w:val="000000"/>
        </w:rPr>
        <w:t>evaluation and results</w:t>
      </w:r>
      <w:bookmarkEnd w:id="26"/>
    </w:p>
    <w:p w:rsidR="00072718" w:rsidRPr="00006BE9" w:rsidRDefault="00072718" w:rsidP="005A2B35">
      <w:pPr>
        <w:pStyle w:val="BodyText"/>
        <w:rPr>
          <w:color w:val="000000"/>
        </w:rPr>
      </w:pPr>
      <w:r w:rsidRPr="00006BE9">
        <w:rPr>
          <w:color w:val="000000"/>
        </w:rPr>
        <w:t xml:space="preserve">It was decided that performance monitoring of </w:t>
      </w:r>
      <w:r w:rsidR="00496B11" w:rsidRPr="00006BE9">
        <w:rPr>
          <w:color w:val="000000"/>
        </w:rPr>
        <w:t xml:space="preserve">the </w:t>
      </w:r>
      <w:r w:rsidR="00667237" w:rsidRPr="00006BE9">
        <w:rPr>
          <w:color w:val="000000"/>
        </w:rPr>
        <w:t xml:space="preserve">RWSS NTP2 </w:t>
      </w:r>
      <w:r w:rsidRPr="00006BE9">
        <w:rPr>
          <w:color w:val="000000"/>
        </w:rPr>
        <w:t>should be government led and the development of a</w:t>
      </w:r>
      <w:r w:rsidR="008B47FC" w:rsidRPr="00006BE9">
        <w:rPr>
          <w:color w:val="000000"/>
        </w:rPr>
        <w:t>n</w:t>
      </w:r>
      <w:r w:rsidRPr="00006BE9">
        <w:rPr>
          <w:color w:val="000000"/>
        </w:rPr>
        <w:t xml:space="preserve"> M&amp;E framework was deferred until </w:t>
      </w:r>
      <w:r w:rsidR="00667237" w:rsidRPr="00006BE9">
        <w:rPr>
          <w:color w:val="000000"/>
        </w:rPr>
        <w:t>the G</w:t>
      </w:r>
      <w:r w:rsidRPr="00006BE9">
        <w:rPr>
          <w:color w:val="000000"/>
        </w:rPr>
        <w:t xml:space="preserve">overnment </w:t>
      </w:r>
      <w:r w:rsidR="00667237" w:rsidRPr="00006BE9">
        <w:rPr>
          <w:color w:val="000000"/>
        </w:rPr>
        <w:t xml:space="preserve">of Vietnam </w:t>
      </w:r>
      <w:r w:rsidRPr="00006BE9">
        <w:rPr>
          <w:color w:val="000000"/>
        </w:rPr>
        <w:t>was able to prepare one.</w:t>
      </w:r>
      <w:r w:rsidR="00F21DB8" w:rsidRPr="00006BE9">
        <w:rPr>
          <w:color w:val="000000"/>
        </w:rPr>
        <w:t xml:space="preserve"> </w:t>
      </w:r>
      <w:r w:rsidRPr="00006BE9">
        <w:rPr>
          <w:color w:val="000000"/>
        </w:rPr>
        <w:t xml:space="preserve">Technical assistance for this was included in the </w:t>
      </w:r>
      <w:r w:rsidR="00D87CA4" w:rsidRPr="00006BE9">
        <w:rPr>
          <w:color w:val="000000"/>
        </w:rPr>
        <w:t xml:space="preserve">targeted program budget support </w:t>
      </w:r>
      <w:r w:rsidRPr="00006BE9">
        <w:rPr>
          <w:color w:val="000000"/>
        </w:rPr>
        <w:t>and an M&amp;E framework was completed in May</w:t>
      </w:r>
      <w:r w:rsidR="00667237" w:rsidRPr="00006BE9">
        <w:rPr>
          <w:color w:val="000000"/>
        </w:rPr>
        <w:t> </w:t>
      </w:r>
      <w:r w:rsidRPr="00006BE9">
        <w:rPr>
          <w:color w:val="000000"/>
        </w:rPr>
        <w:t>2008.</w:t>
      </w:r>
      <w:r w:rsidR="00F21DB8" w:rsidRPr="00006BE9">
        <w:rPr>
          <w:color w:val="000000"/>
        </w:rPr>
        <w:t xml:space="preserve"> </w:t>
      </w:r>
      <w:r w:rsidRPr="00006BE9">
        <w:rPr>
          <w:color w:val="000000"/>
        </w:rPr>
        <w:t>Related training materials are being developed for the implementing agencies.</w:t>
      </w:r>
    </w:p>
    <w:p w:rsidR="00072718" w:rsidRPr="00006BE9" w:rsidRDefault="00072718" w:rsidP="005A2B35">
      <w:pPr>
        <w:pStyle w:val="BodyText"/>
        <w:rPr>
          <w:color w:val="000000"/>
        </w:rPr>
      </w:pPr>
      <w:r w:rsidRPr="00006BE9">
        <w:rPr>
          <w:color w:val="000000"/>
        </w:rPr>
        <w:t>As indicated above</w:t>
      </w:r>
      <w:r w:rsidR="00667237" w:rsidRPr="00006BE9">
        <w:rPr>
          <w:color w:val="000000"/>
        </w:rPr>
        <w:t>,</w:t>
      </w:r>
      <w:r w:rsidRPr="00006BE9">
        <w:rPr>
          <w:color w:val="000000"/>
        </w:rPr>
        <w:t xml:space="preserve"> detailed </w:t>
      </w:r>
      <w:r w:rsidR="00932AE4" w:rsidRPr="00006BE9">
        <w:rPr>
          <w:color w:val="000000"/>
        </w:rPr>
        <w:t>targets</w:t>
      </w:r>
      <w:r w:rsidRPr="00006BE9">
        <w:rPr>
          <w:color w:val="000000"/>
        </w:rPr>
        <w:t xml:space="preserve"> for the </w:t>
      </w:r>
      <w:r w:rsidR="00D87CA4" w:rsidRPr="00006BE9">
        <w:rPr>
          <w:color w:val="000000"/>
        </w:rPr>
        <w:t xml:space="preserve">targeted program budget support </w:t>
      </w:r>
      <w:r w:rsidRPr="00006BE9">
        <w:rPr>
          <w:color w:val="000000"/>
        </w:rPr>
        <w:t xml:space="preserve">were included in the </w:t>
      </w:r>
      <w:r w:rsidR="00667237" w:rsidRPr="00006BE9">
        <w:rPr>
          <w:color w:val="000000"/>
        </w:rPr>
        <w:t xml:space="preserve">program </w:t>
      </w:r>
      <w:r w:rsidR="00BA792D" w:rsidRPr="00006BE9">
        <w:rPr>
          <w:color w:val="000000"/>
        </w:rPr>
        <w:t>design document</w:t>
      </w:r>
      <w:r w:rsidRPr="00006BE9">
        <w:rPr>
          <w:color w:val="000000"/>
        </w:rPr>
        <w:t>.</w:t>
      </w:r>
      <w:r w:rsidR="00F21DB8" w:rsidRPr="00006BE9">
        <w:rPr>
          <w:color w:val="000000"/>
        </w:rPr>
        <w:t xml:space="preserve"> </w:t>
      </w:r>
      <w:r w:rsidRPr="00006BE9">
        <w:rPr>
          <w:color w:val="000000"/>
        </w:rPr>
        <w:t xml:space="preserve">Targets were also included for the entire </w:t>
      </w:r>
      <w:r w:rsidR="00667237" w:rsidRPr="00006BE9">
        <w:rPr>
          <w:color w:val="000000"/>
        </w:rPr>
        <w:t>RWSS NTP2</w:t>
      </w:r>
      <w:r w:rsidRPr="00006BE9">
        <w:rPr>
          <w:color w:val="000000"/>
        </w:rPr>
        <w:t>.</w:t>
      </w:r>
      <w:r w:rsidR="00F21DB8" w:rsidRPr="00006BE9">
        <w:rPr>
          <w:color w:val="000000"/>
        </w:rPr>
        <w:t xml:space="preserve"> </w:t>
      </w:r>
      <w:r w:rsidRPr="00006BE9">
        <w:rPr>
          <w:color w:val="000000"/>
        </w:rPr>
        <w:t>In addition</w:t>
      </w:r>
      <w:r w:rsidR="00BA792D" w:rsidRPr="00006BE9">
        <w:rPr>
          <w:color w:val="000000"/>
        </w:rPr>
        <w:t>,</w:t>
      </w:r>
      <w:r w:rsidRPr="00006BE9">
        <w:rPr>
          <w:color w:val="000000"/>
        </w:rPr>
        <w:t xml:space="preserve"> </w:t>
      </w:r>
      <w:r w:rsidR="00667237" w:rsidRPr="00006BE9">
        <w:rPr>
          <w:color w:val="000000"/>
        </w:rPr>
        <w:t xml:space="preserve">five </w:t>
      </w:r>
      <w:r w:rsidRPr="00006BE9">
        <w:rPr>
          <w:color w:val="000000"/>
        </w:rPr>
        <w:t xml:space="preserve">triggers and </w:t>
      </w:r>
      <w:r w:rsidR="00667237" w:rsidRPr="00006BE9">
        <w:rPr>
          <w:color w:val="000000"/>
        </w:rPr>
        <w:t xml:space="preserve">fifteen </w:t>
      </w:r>
      <w:r w:rsidRPr="00006BE9">
        <w:rPr>
          <w:color w:val="000000"/>
        </w:rPr>
        <w:t xml:space="preserve">benchmarks for moving to </w:t>
      </w:r>
      <w:r w:rsidR="00667237" w:rsidRPr="00006BE9">
        <w:rPr>
          <w:color w:val="000000"/>
        </w:rPr>
        <w:t>phase </w:t>
      </w:r>
      <w:r w:rsidRPr="00006BE9">
        <w:rPr>
          <w:color w:val="000000"/>
        </w:rPr>
        <w:t xml:space="preserve">2 were defined in the </w:t>
      </w:r>
      <w:r w:rsidR="00BA792D" w:rsidRPr="00006BE9">
        <w:rPr>
          <w:color w:val="000000"/>
        </w:rPr>
        <w:t>design document</w:t>
      </w:r>
      <w:r w:rsidRPr="00006BE9">
        <w:rPr>
          <w:color w:val="000000"/>
        </w:rPr>
        <w:t>.</w:t>
      </w:r>
      <w:r w:rsidR="00F21DB8" w:rsidRPr="00006BE9">
        <w:rPr>
          <w:color w:val="000000"/>
        </w:rPr>
        <w:t xml:space="preserve"> </w:t>
      </w:r>
      <w:r w:rsidRPr="00006BE9">
        <w:rPr>
          <w:color w:val="000000"/>
        </w:rPr>
        <w:t xml:space="preserve">The triggers and benchmarks focus mainly on the policy and regulatory aspects of the </w:t>
      </w:r>
      <w:r w:rsidR="00667237" w:rsidRPr="00006BE9">
        <w:rPr>
          <w:color w:val="000000"/>
        </w:rPr>
        <w:t>RWSS NTP2</w:t>
      </w:r>
      <w:r w:rsidRPr="00006BE9">
        <w:rPr>
          <w:color w:val="000000"/>
        </w:rPr>
        <w:t>.</w:t>
      </w:r>
      <w:r w:rsidR="00F21DB8" w:rsidRPr="00006BE9">
        <w:rPr>
          <w:color w:val="000000"/>
        </w:rPr>
        <w:t xml:space="preserve"> </w:t>
      </w:r>
      <w:r w:rsidRPr="00006BE9">
        <w:rPr>
          <w:color w:val="000000"/>
        </w:rPr>
        <w:t>In the absence of a formal M&amp;E reporting system, Table</w:t>
      </w:r>
      <w:r w:rsidR="00667237" w:rsidRPr="00006BE9">
        <w:rPr>
          <w:color w:val="000000"/>
        </w:rPr>
        <w:t> </w:t>
      </w:r>
      <w:r w:rsidRPr="00006BE9">
        <w:rPr>
          <w:color w:val="000000"/>
        </w:rPr>
        <w:t>7 presents the results achieved so far against the objectives</w:t>
      </w:r>
      <w:r w:rsidR="00D87CA4" w:rsidRPr="00006BE9">
        <w:rPr>
          <w:color w:val="000000"/>
        </w:rPr>
        <w:t xml:space="preserve"> of the targeted program budget support</w:t>
      </w:r>
      <w:r w:rsidRPr="00006BE9">
        <w:rPr>
          <w:color w:val="000000"/>
        </w:rPr>
        <w:t>.</w:t>
      </w:r>
    </w:p>
    <w:p w:rsidR="00072718" w:rsidRPr="00006BE9" w:rsidRDefault="00072718" w:rsidP="005A2B35">
      <w:pPr>
        <w:pStyle w:val="BodyText"/>
        <w:rPr>
          <w:color w:val="000000"/>
        </w:rPr>
      </w:pPr>
      <w:r w:rsidRPr="00006BE9">
        <w:rPr>
          <w:color w:val="000000"/>
        </w:rPr>
        <w:t>Against program objective</w:t>
      </w:r>
      <w:r w:rsidR="00667237" w:rsidRPr="00006BE9">
        <w:rPr>
          <w:color w:val="000000"/>
        </w:rPr>
        <w:t> </w:t>
      </w:r>
      <w:r w:rsidRPr="00006BE9">
        <w:rPr>
          <w:color w:val="000000"/>
        </w:rPr>
        <w:t>1 an audit by the State Audit of Vietnam found that financial management procedures were largely being followed.</w:t>
      </w:r>
      <w:r w:rsidR="00F21DB8" w:rsidRPr="00006BE9">
        <w:rPr>
          <w:color w:val="000000"/>
        </w:rPr>
        <w:t xml:space="preserve"> </w:t>
      </w:r>
      <w:r w:rsidRPr="00006BE9">
        <w:rPr>
          <w:color w:val="000000"/>
        </w:rPr>
        <w:t>In terms of budgeting an 8.25</w:t>
      </w:r>
      <w:r w:rsidR="00F21DB8" w:rsidRPr="00006BE9">
        <w:rPr>
          <w:color w:val="000000"/>
        </w:rPr>
        <w:t> per cent</w:t>
      </w:r>
      <w:r w:rsidRPr="00006BE9">
        <w:rPr>
          <w:color w:val="000000"/>
        </w:rPr>
        <w:t xml:space="preserve"> increase in the state budget allocation for 2008 was reported.</w:t>
      </w:r>
      <w:r w:rsidR="00F21DB8" w:rsidRPr="00006BE9">
        <w:rPr>
          <w:color w:val="000000"/>
        </w:rPr>
        <w:t xml:space="preserve"> </w:t>
      </w:r>
      <w:r w:rsidRPr="00006BE9">
        <w:rPr>
          <w:color w:val="000000"/>
        </w:rPr>
        <w:t>While this is positive, unfortunately the real value of the increase is being eroded by the high level of inflation, estimated at around 25</w:t>
      </w:r>
      <w:r w:rsidR="00F21DB8" w:rsidRPr="00006BE9">
        <w:rPr>
          <w:color w:val="000000"/>
        </w:rPr>
        <w:t> per cent</w:t>
      </w:r>
      <w:r w:rsidR="006449DC" w:rsidRPr="00006BE9">
        <w:rPr>
          <w:color w:val="000000"/>
        </w:rPr>
        <w:t xml:space="preserve"> a </w:t>
      </w:r>
      <w:r w:rsidRPr="00006BE9">
        <w:rPr>
          <w:color w:val="000000"/>
        </w:rPr>
        <w:t>year.</w:t>
      </w:r>
      <w:r w:rsidR="00F21DB8" w:rsidRPr="00006BE9">
        <w:rPr>
          <w:color w:val="000000"/>
        </w:rPr>
        <w:t xml:space="preserve"> </w:t>
      </w:r>
      <w:r w:rsidRPr="00006BE9">
        <w:rPr>
          <w:color w:val="000000"/>
        </w:rPr>
        <w:t xml:space="preserve">Disbursement data for the </w:t>
      </w:r>
      <w:r w:rsidR="00221F09" w:rsidRPr="00006BE9">
        <w:rPr>
          <w:color w:val="000000"/>
        </w:rPr>
        <w:t xml:space="preserve">nine </w:t>
      </w:r>
      <w:r w:rsidRPr="00006BE9">
        <w:rPr>
          <w:color w:val="000000"/>
        </w:rPr>
        <w:t>pilot provinces indicate that expenditure of the state budget was lower than planned.</w:t>
      </w:r>
      <w:r w:rsidR="00F21DB8" w:rsidRPr="00006BE9">
        <w:rPr>
          <w:color w:val="000000"/>
        </w:rPr>
        <w:t xml:space="preserve"> </w:t>
      </w:r>
      <w:r w:rsidRPr="00006BE9">
        <w:rPr>
          <w:color w:val="000000"/>
        </w:rPr>
        <w:t xml:space="preserve">Coordination among the ministries involved in the sector has reportedly improved and the </w:t>
      </w:r>
      <w:r w:rsidR="00D87CA4" w:rsidRPr="00006BE9">
        <w:rPr>
          <w:color w:val="000000"/>
        </w:rPr>
        <w:t xml:space="preserve">targeted program budget support </w:t>
      </w:r>
      <w:r w:rsidRPr="00006BE9">
        <w:rPr>
          <w:color w:val="000000"/>
        </w:rPr>
        <w:t>has been successful in ensuring that increased levels of funding have been allocated for sanitation in the pilot provinces.</w:t>
      </w:r>
      <w:r w:rsidR="00F21DB8" w:rsidRPr="00006BE9">
        <w:rPr>
          <w:color w:val="000000"/>
        </w:rPr>
        <w:t xml:space="preserve"> </w:t>
      </w:r>
      <w:r w:rsidRPr="00006BE9">
        <w:rPr>
          <w:color w:val="000000"/>
        </w:rPr>
        <w:t>However</w:t>
      </w:r>
      <w:r w:rsidR="00221F09" w:rsidRPr="00006BE9">
        <w:rPr>
          <w:color w:val="000000"/>
        </w:rPr>
        <w:t>,</w:t>
      </w:r>
      <w:r w:rsidRPr="00006BE9">
        <w:rPr>
          <w:color w:val="000000"/>
        </w:rPr>
        <w:t xml:space="preserve"> considerable improvements still have to be made on subsidy practices and facility sustainability.</w:t>
      </w:r>
      <w:r w:rsidR="00F21DB8" w:rsidRPr="00006BE9">
        <w:rPr>
          <w:color w:val="000000"/>
        </w:rPr>
        <w:t xml:space="preserve"> </w:t>
      </w:r>
      <w:r w:rsidRPr="00006BE9">
        <w:rPr>
          <w:color w:val="000000"/>
        </w:rPr>
        <w:t xml:space="preserve">The reported coverage achieved in 2007 </w:t>
      </w:r>
      <w:r w:rsidRPr="00006BE9">
        <w:rPr>
          <w:color w:val="000000"/>
        </w:rPr>
        <w:lastRenderedPageBreak/>
        <w:t xml:space="preserve">in the </w:t>
      </w:r>
      <w:r w:rsidR="00221F09" w:rsidRPr="00006BE9">
        <w:rPr>
          <w:color w:val="000000"/>
        </w:rPr>
        <w:t xml:space="preserve">nine </w:t>
      </w:r>
      <w:r w:rsidRPr="00006BE9">
        <w:rPr>
          <w:color w:val="000000"/>
        </w:rPr>
        <w:t>pilot projects was much lower than planned.</w:t>
      </w:r>
      <w:r w:rsidRPr="00006BE9">
        <w:rPr>
          <w:rStyle w:val="FootnoteReference"/>
          <w:color w:val="000000"/>
        </w:rPr>
        <w:footnoteReference w:id="14"/>
      </w:r>
      <w:r w:rsidR="00F21DB8" w:rsidRPr="00006BE9">
        <w:rPr>
          <w:color w:val="000000"/>
        </w:rPr>
        <w:t xml:space="preserve"> </w:t>
      </w:r>
      <w:r w:rsidRPr="00006BE9">
        <w:rPr>
          <w:color w:val="000000"/>
        </w:rPr>
        <w:t xml:space="preserve">The report of a </w:t>
      </w:r>
      <w:r w:rsidR="00BA792D" w:rsidRPr="00006BE9">
        <w:rPr>
          <w:color w:val="000000"/>
        </w:rPr>
        <w:t xml:space="preserve">joint annual review </w:t>
      </w:r>
      <w:r w:rsidRPr="00006BE9">
        <w:rPr>
          <w:color w:val="000000"/>
        </w:rPr>
        <w:t xml:space="preserve">carried out by government and donors in July 2008 noted that coverage was lower because construction costs </w:t>
      </w:r>
      <w:r w:rsidR="00221F09" w:rsidRPr="00006BE9">
        <w:rPr>
          <w:color w:val="000000"/>
        </w:rPr>
        <w:t xml:space="preserve">had </w:t>
      </w:r>
      <w:r w:rsidRPr="00006BE9">
        <w:rPr>
          <w:color w:val="000000"/>
        </w:rPr>
        <w:t>risen by around 50</w:t>
      </w:r>
      <w:r w:rsidR="00F21DB8" w:rsidRPr="00006BE9">
        <w:rPr>
          <w:color w:val="000000"/>
        </w:rPr>
        <w:t> per cent</w:t>
      </w:r>
      <w:r w:rsidRPr="00006BE9">
        <w:rPr>
          <w:color w:val="000000"/>
        </w:rPr>
        <w:t xml:space="preserve"> since 2005</w:t>
      </w:r>
      <w:r w:rsidR="00932AE4" w:rsidRPr="00006BE9">
        <w:rPr>
          <w:color w:val="000000"/>
        </w:rPr>
        <w:t>,</w:t>
      </w:r>
      <w:r w:rsidRPr="00006BE9">
        <w:rPr>
          <w:color w:val="000000"/>
        </w:rPr>
        <w:t xml:space="preserve"> when the program was designed.</w:t>
      </w:r>
      <w:r w:rsidR="00F21DB8" w:rsidRPr="00006BE9">
        <w:rPr>
          <w:color w:val="000000"/>
        </w:rPr>
        <w:t xml:space="preserve"> </w:t>
      </w:r>
      <w:r w:rsidRPr="00006BE9">
        <w:rPr>
          <w:color w:val="000000"/>
        </w:rPr>
        <w:t>It also noted that state budget funding had been lower than originally planned.</w:t>
      </w:r>
    </w:p>
    <w:p w:rsidR="00072718" w:rsidRPr="00006BE9" w:rsidRDefault="00072718" w:rsidP="005A2B35">
      <w:pPr>
        <w:pStyle w:val="BodyText"/>
        <w:rPr>
          <w:color w:val="000000"/>
          <w:spacing w:val="-1"/>
        </w:rPr>
      </w:pPr>
      <w:r w:rsidRPr="00006BE9">
        <w:rPr>
          <w:color w:val="000000"/>
          <w:spacing w:val="-1"/>
        </w:rPr>
        <w:t xml:space="preserve">At this stage no targets have been set for the </w:t>
      </w:r>
      <w:r w:rsidR="005F3C45" w:rsidRPr="00006BE9">
        <w:rPr>
          <w:color w:val="000000"/>
          <w:spacing w:val="-1"/>
        </w:rPr>
        <w:t>program</w:t>
      </w:r>
      <w:r w:rsidRPr="00006BE9">
        <w:rPr>
          <w:color w:val="000000"/>
          <w:spacing w:val="-1"/>
        </w:rPr>
        <w:t xml:space="preserve"> development objective of the </w:t>
      </w:r>
      <w:r w:rsidR="00623698" w:rsidRPr="00006BE9">
        <w:rPr>
          <w:color w:val="000000"/>
        </w:rPr>
        <w:t>targeted program budget support</w:t>
      </w:r>
      <w:r w:rsidR="00221F09" w:rsidRPr="00006BE9">
        <w:rPr>
          <w:color w:val="000000"/>
          <w:spacing w:val="-1"/>
        </w:rPr>
        <w:t>,</w:t>
      </w:r>
      <w:r w:rsidRPr="00006BE9">
        <w:rPr>
          <w:color w:val="000000"/>
          <w:spacing w:val="-1"/>
        </w:rPr>
        <w:t xml:space="preserve"> which is to improve health and living conditions of the rural poor.</w:t>
      </w:r>
      <w:r w:rsidR="00F21DB8" w:rsidRPr="00006BE9">
        <w:rPr>
          <w:color w:val="000000"/>
          <w:spacing w:val="-1"/>
        </w:rPr>
        <w:t xml:space="preserve"> </w:t>
      </w:r>
      <w:r w:rsidRPr="00006BE9">
        <w:rPr>
          <w:color w:val="000000"/>
          <w:spacing w:val="-1"/>
        </w:rPr>
        <w:t>While it would be relatively easy to collect data from health clinics this</w:t>
      </w:r>
      <w:r w:rsidR="00932AE4" w:rsidRPr="00006BE9">
        <w:rPr>
          <w:color w:val="000000"/>
          <w:spacing w:val="-1"/>
        </w:rPr>
        <w:t xml:space="preserve"> information</w:t>
      </w:r>
      <w:r w:rsidRPr="00006BE9">
        <w:rPr>
          <w:color w:val="000000"/>
          <w:spacing w:val="-1"/>
        </w:rPr>
        <w:t xml:space="preserve"> is unlikely to be reliable.</w:t>
      </w:r>
      <w:r w:rsidR="00F21DB8" w:rsidRPr="00006BE9">
        <w:rPr>
          <w:color w:val="000000"/>
          <w:spacing w:val="-1"/>
        </w:rPr>
        <w:t xml:space="preserve"> </w:t>
      </w:r>
      <w:r w:rsidRPr="00006BE9">
        <w:rPr>
          <w:color w:val="000000"/>
          <w:spacing w:val="-1"/>
        </w:rPr>
        <w:t>Accurately measuring the impact of improved sanitation on health over the entire country is difficult</w:t>
      </w:r>
      <w:r w:rsidR="00932AE4" w:rsidRPr="00006BE9">
        <w:rPr>
          <w:color w:val="000000"/>
          <w:spacing w:val="-1"/>
        </w:rPr>
        <w:t>,</w:t>
      </w:r>
      <w:r w:rsidRPr="00006BE9">
        <w:rPr>
          <w:color w:val="000000"/>
          <w:spacing w:val="-1"/>
        </w:rPr>
        <w:t xml:space="preserve"> and surveys that adequately screen out the numerous other variables affecting health would be expensive.</w:t>
      </w:r>
      <w:r w:rsidR="00F21DB8" w:rsidRPr="00006BE9">
        <w:rPr>
          <w:color w:val="000000"/>
          <w:spacing w:val="-1"/>
        </w:rPr>
        <w:t xml:space="preserve"> </w:t>
      </w:r>
      <w:r w:rsidRPr="00006BE9">
        <w:rPr>
          <w:color w:val="000000"/>
          <w:spacing w:val="-1"/>
        </w:rPr>
        <w:t>Consideration should be given to carrying out some detailed health surveys in a few representative areas throughout the country.</w:t>
      </w:r>
      <w:r w:rsidR="00F21DB8" w:rsidRPr="00006BE9">
        <w:rPr>
          <w:color w:val="000000"/>
          <w:spacing w:val="-1"/>
        </w:rPr>
        <w:t xml:space="preserve"> </w:t>
      </w:r>
      <w:r w:rsidRPr="00006BE9">
        <w:rPr>
          <w:color w:val="000000"/>
          <w:spacing w:val="-1"/>
        </w:rPr>
        <w:t xml:space="preserve">Specific targets also need to be set for most aspects of </w:t>
      </w:r>
      <w:r w:rsidR="005F3C45" w:rsidRPr="00006BE9">
        <w:rPr>
          <w:color w:val="000000"/>
          <w:spacing w:val="-1"/>
        </w:rPr>
        <w:t>program</w:t>
      </w:r>
      <w:r w:rsidRPr="00006BE9">
        <w:rPr>
          <w:color w:val="000000"/>
          <w:spacing w:val="-1"/>
        </w:rPr>
        <w:t xml:space="preserve"> objective</w:t>
      </w:r>
      <w:r w:rsidR="00221F09" w:rsidRPr="00006BE9">
        <w:rPr>
          <w:color w:val="000000"/>
          <w:spacing w:val="-1"/>
        </w:rPr>
        <w:t> </w:t>
      </w:r>
      <w:r w:rsidRPr="00006BE9">
        <w:rPr>
          <w:color w:val="000000"/>
          <w:spacing w:val="-1"/>
        </w:rPr>
        <w:t xml:space="preserve">1, which address </w:t>
      </w:r>
      <w:r w:rsidR="00221F09" w:rsidRPr="00006BE9">
        <w:rPr>
          <w:color w:val="000000"/>
          <w:spacing w:val="-1"/>
        </w:rPr>
        <w:t xml:space="preserve">aspects of </w:t>
      </w:r>
      <w:r w:rsidRPr="00006BE9">
        <w:rPr>
          <w:color w:val="000000"/>
          <w:spacing w:val="-1"/>
        </w:rPr>
        <w:t xml:space="preserve">capacity building and policy development. </w:t>
      </w:r>
    </w:p>
    <w:p w:rsidR="00072718" w:rsidRPr="00006BE9" w:rsidRDefault="00072718" w:rsidP="005A2B35">
      <w:pPr>
        <w:pStyle w:val="BodyText"/>
        <w:rPr>
          <w:color w:val="000000"/>
        </w:rPr>
      </w:pPr>
      <w:r w:rsidRPr="00006BE9">
        <w:rPr>
          <w:color w:val="000000"/>
        </w:rPr>
        <w:t xml:space="preserve">In addition to the achievements of the </w:t>
      </w:r>
      <w:r w:rsidR="00623698" w:rsidRPr="00006BE9">
        <w:rPr>
          <w:color w:val="000000"/>
        </w:rPr>
        <w:t>targeted program budget support</w:t>
      </w:r>
      <w:r w:rsidR="00221F09" w:rsidRPr="00006BE9">
        <w:rPr>
          <w:color w:val="000000"/>
        </w:rPr>
        <w:t>,</w:t>
      </w:r>
      <w:r w:rsidRPr="00006BE9">
        <w:rPr>
          <w:color w:val="000000"/>
        </w:rPr>
        <w:t xml:space="preserve"> the Cuu Long Delta Rural Water Supply and Sanitation Project improved water and sanitation facilities for around 390</w:t>
      </w:r>
      <w:r w:rsidR="00667237" w:rsidRPr="00006BE9">
        <w:rPr>
          <w:color w:val="000000"/>
        </w:rPr>
        <w:t> </w:t>
      </w:r>
      <w:r w:rsidRPr="00006BE9">
        <w:rPr>
          <w:color w:val="000000"/>
        </w:rPr>
        <w:t>000 people and the Three Delta Towns Water Supply and Sanitation Project enabled an additional 140</w:t>
      </w:r>
      <w:r w:rsidR="00667237" w:rsidRPr="00006BE9">
        <w:rPr>
          <w:color w:val="000000"/>
        </w:rPr>
        <w:t> </w:t>
      </w:r>
      <w:r w:rsidRPr="00006BE9">
        <w:rPr>
          <w:color w:val="000000"/>
        </w:rPr>
        <w:t>000 people to have access to clean piped water and some 100</w:t>
      </w:r>
      <w:r w:rsidR="00667237" w:rsidRPr="00006BE9">
        <w:rPr>
          <w:color w:val="000000"/>
        </w:rPr>
        <w:t> </w:t>
      </w:r>
      <w:r w:rsidRPr="00006BE9">
        <w:rPr>
          <w:color w:val="000000"/>
        </w:rPr>
        <w:t xml:space="preserve">000 people </w:t>
      </w:r>
      <w:r w:rsidR="00221F09" w:rsidRPr="00006BE9">
        <w:rPr>
          <w:color w:val="000000"/>
        </w:rPr>
        <w:t xml:space="preserve">to have access </w:t>
      </w:r>
      <w:r w:rsidRPr="00006BE9">
        <w:rPr>
          <w:color w:val="000000"/>
        </w:rPr>
        <w:t>to improved sanitation facilities.</w:t>
      </w:r>
      <w:r w:rsidR="00F21DB8" w:rsidRPr="00006BE9">
        <w:rPr>
          <w:color w:val="000000"/>
        </w:rPr>
        <w:t xml:space="preserve"> </w:t>
      </w:r>
      <w:r w:rsidRPr="00006BE9">
        <w:rPr>
          <w:color w:val="000000"/>
        </w:rPr>
        <w:t xml:space="preserve">Thus </w:t>
      </w:r>
      <w:bookmarkStart w:id="27" w:name="OLE_LINK10"/>
      <w:bookmarkStart w:id="28" w:name="OLE_LINK11"/>
      <w:r w:rsidRPr="00006BE9">
        <w:rPr>
          <w:color w:val="000000"/>
        </w:rPr>
        <w:t>over the past five years AusAID’s support to the water and sanitation sector in Vietnam has had a significant impact, enabling around 760</w:t>
      </w:r>
      <w:r w:rsidR="00667237" w:rsidRPr="00006BE9">
        <w:rPr>
          <w:color w:val="000000"/>
        </w:rPr>
        <w:t> </w:t>
      </w:r>
      <w:r w:rsidRPr="00006BE9">
        <w:rPr>
          <w:color w:val="000000"/>
        </w:rPr>
        <w:t>000 people to have access to safe water and 530</w:t>
      </w:r>
      <w:r w:rsidR="00667237" w:rsidRPr="00006BE9">
        <w:rPr>
          <w:color w:val="000000"/>
        </w:rPr>
        <w:t> </w:t>
      </w:r>
      <w:r w:rsidRPr="00006BE9">
        <w:rPr>
          <w:color w:val="000000"/>
        </w:rPr>
        <w:t xml:space="preserve">000 people to </w:t>
      </w:r>
      <w:r w:rsidR="00221F09" w:rsidRPr="00006BE9">
        <w:rPr>
          <w:color w:val="000000"/>
        </w:rPr>
        <w:t xml:space="preserve">have access to </w:t>
      </w:r>
      <w:r w:rsidRPr="00006BE9">
        <w:rPr>
          <w:color w:val="000000"/>
        </w:rPr>
        <w:t>improved sanitation facilities.</w:t>
      </w:r>
      <w:bookmarkEnd w:id="27"/>
      <w:bookmarkEnd w:id="28"/>
    </w:p>
    <w:p w:rsidR="00E764F0" w:rsidRPr="00006BE9" w:rsidRDefault="00E764F0" w:rsidP="007A788C">
      <w:pPr>
        <w:rPr>
          <w:color w:val="000000"/>
        </w:rPr>
        <w:sectPr w:rsidR="00E764F0" w:rsidRPr="00006BE9" w:rsidSect="007A788C">
          <w:headerReference w:type="even" r:id="rId12"/>
          <w:footerReference w:type="even" r:id="rId13"/>
          <w:footerReference w:type="default" r:id="rId14"/>
          <w:pgSz w:w="11907" w:h="16840" w:code="9"/>
          <w:pgMar w:top="2381" w:right="1985" w:bottom="851" w:left="1985" w:header="851" w:footer="340" w:gutter="0"/>
          <w:cols w:space="720"/>
        </w:sectPr>
      </w:pPr>
    </w:p>
    <w:p w:rsidR="007A788C" w:rsidRPr="00006BE9" w:rsidRDefault="007A788C" w:rsidP="007A788C">
      <w:pPr>
        <w:pStyle w:val="Caption"/>
        <w:spacing w:before="0"/>
        <w:rPr>
          <w:color w:val="000000"/>
        </w:rPr>
      </w:pPr>
      <w:r w:rsidRPr="00006BE9">
        <w:rPr>
          <w:color w:val="000000"/>
        </w:rPr>
        <w:lastRenderedPageBreak/>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7</w:t>
      </w:r>
      <w:r w:rsidRPr="00006BE9">
        <w:rPr>
          <w:color w:val="000000"/>
        </w:rPr>
        <w:fldChar w:fldCharType="end"/>
      </w:r>
      <w:r w:rsidRPr="00006BE9">
        <w:rPr>
          <w:color w:val="000000"/>
        </w:rPr>
        <w:t xml:space="preserve">: Performance </w:t>
      </w:r>
      <w:r w:rsidR="00667237" w:rsidRPr="00006BE9">
        <w:rPr>
          <w:color w:val="000000"/>
        </w:rPr>
        <w:t xml:space="preserve">matrix </w:t>
      </w:r>
      <w:r w:rsidRPr="00006BE9">
        <w:rPr>
          <w:color w:val="000000"/>
        </w:rPr>
        <w:t xml:space="preserve">for </w:t>
      </w:r>
      <w:r w:rsidR="00496B11" w:rsidRPr="00006BE9">
        <w:rPr>
          <w:color w:val="000000"/>
        </w:rPr>
        <w:t xml:space="preserve">the </w:t>
      </w:r>
      <w:r w:rsidRPr="00006BE9">
        <w:rPr>
          <w:color w:val="000000"/>
        </w:rPr>
        <w:t>RWSS</w:t>
      </w:r>
      <w:r w:rsidR="00667237" w:rsidRPr="00006BE9">
        <w:rPr>
          <w:color w:val="000000"/>
        </w:rPr>
        <w:t> </w:t>
      </w:r>
      <w:r w:rsidRPr="00006BE9">
        <w:rPr>
          <w:color w:val="000000"/>
        </w:rPr>
        <w:t>NTP2</w:t>
      </w:r>
      <w:r w:rsidR="00496B11" w:rsidRPr="00006BE9">
        <w:rPr>
          <w:color w:val="000000"/>
        </w:rPr>
        <w:t>—targeted program budget support</w:t>
      </w:r>
    </w:p>
    <w:tbl>
      <w:tblPr>
        <w:tblStyle w:val="TableGrid"/>
        <w:tblW w:w="1360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e 7"/>
        <w:tblDescription w:val="Australian support to the water and sanitation sector in Vietnam, 1995 to 2012"/>
      </w:tblPr>
      <w:tblGrid>
        <w:gridCol w:w="3230"/>
        <w:gridCol w:w="4505"/>
        <w:gridCol w:w="1798"/>
        <w:gridCol w:w="2869"/>
        <w:gridCol w:w="1206"/>
      </w:tblGrid>
      <w:tr w:rsidR="00B83D6B" w:rsidRPr="00006BE9" w:rsidTr="007A45B0">
        <w:trPr>
          <w:cantSplit/>
          <w:tblHeader/>
        </w:trPr>
        <w:tc>
          <w:tcPr>
            <w:tcW w:w="3230" w:type="dxa"/>
            <w:tcBorders>
              <w:bottom w:val="single" w:sz="2" w:space="0" w:color="auto"/>
            </w:tcBorders>
            <w:tcMar>
              <w:left w:w="57" w:type="dxa"/>
              <w:right w:w="57" w:type="dxa"/>
            </w:tcMar>
          </w:tcPr>
          <w:p w:rsidR="00B83D6B" w:rsidRPr="00006BE9" w:rsidRDefault="00932AE4" w:rsidP="00905421">
            <w:pPr>
              <w:pStyle w:val="TableTextColumnHeading"/>
              <w:spacing w:after="40"/>
              <w:rPr>
                <w:color w:val="000000"/>
              </w:rPr>
            </w:pPr>
            <w:r w:rsidRPr="00006BE9">
              <w:rPr>
                <w:color w:val="000000"/>
              </w:rPr>
              <w:t>O</w:t>
            </w:r>
            <w:r w:rsidR="00B83D6B" w:rsidRPr="00006BE9">
              <w:rPr>
                <w:color w:val="000000"/>
              </w:rPr>
              <w:t>bjectives</w:t>
            </w:r>
          </w:p>
        </w:tc>
        <w:tc>
          <w:tcPr>
            <w:tcW w:w="4505" w:type="dxa"/>
            <w:tcBorders>
              <w:bottom w:val="single" w:sz="2" w:space="0" w:color="auto"/>
            </w:tcBorders>
            <w:tcMar>
              <w:left w:w="57" w:type="dxa"/>
              <w:right w:w="57" w:type="dxa"/>
            </w:tcMar>
          </w:tcPr>
          <w:p w:rsidR="00B83D6B" w:rsidRPr="00006BE9" w:rsidRDefault="00B83D6B" w:rsidP="00905421">
            <w:pPr>
              <w:pStyle w:val="TableTextColumnHeading"/>
              <w:spacing w:after="40"/>
              <w:rPr>
                <w:color w:val="000000"/>
              </w:rPr>
            </w:pPr>
            <w:r w:rsidRPr="00006BE9">
              <w:rPr>
                <w:color w:val="000000"/>
              </w:rPr>
              <w:t>Outcome indicator</w:t>
            </w:r>
          </w:p>
        </w:tc>
        <w:tc>
          <w:tcPr>
            <w:tcW w:w="5873" w:type="dxa"/>
            <w:gridSpan w:val="3"/>
            <w:tcBorders>
              <w:bottom w:val="single" w:sz="2" w:space="0" w:color="auto"/>
            </w:tcBorders>
            <w:tcMar>
              <w:left w:w="57" w:type="dxa"/>
              <w:right w:w="57" w:type="dxa"/>
            </w:tcMar>
          </w:tcPr>
          <w:p w:rsidR="00B83D6B" w:rsidRPr="00006BE9" w:rsidRDefault="00B83D6B" w:rsidP="00905421">
            <w:pPr>
              <w:pStyle w:val="TableTextColumnHeading"/>
              <w:spacing w:after="40"/>
              <w:jc w:val="center"/>
              <w:rPr>
                <w:color w:val="000000"/>
              </w:rPr>
            </w:pPr>
            <w:r w:rsidRPr="00006BE9">
              <w:rPr>
                <w:color w:val="000000"/>
              </w:rPr>
              <w:t>Results</w:t>
            </w:r>
          </w:p>
        </w:tc>
      </w:tr>
      <w:tr w:rsidR="00BD6817" w:rsidRPr="00006BE9" w:rsidTr="007A45B0">
        <w:trPr>
          <w:cantSplit/>
          <w:tblHeader/>
        </w:trPr>
        <w:tc>
          <w:tcPr>
            <w:tcW w:w="3230" w:type="dxa"/>
            <w:tcBorders>
              <w:top w:val="single" w:sz="2" w:space="0" w:color="auto"/>
            </w:tcBorders>
            <w:tcMar>
              <w:left w:w="57" w:type="dxa"/>
              <w:right w:w="57" w:type="dxa"/>
            </w:tcMar>
          </w:tcPr>
          <w:p w:rsidR="00BD6817" w:rsidRPr="00006BE9" w:rsidRDefault="00BD6817" w:rsidP="00905421">
            <w:pPr>
              <w:pStyle w:val="TableTextColumnHeading"/>
              <w:spacing w:before="40"/>
              <w:rPr>
                <w:color w:val="000000"/>
              </w:rPr>
            </w:pPr>
          </w:p>
        </w:tc>
        <w:tc>
          <w:tcPr>
            <w:tcW w:w="4505" w:type="dxa"/>
            <w:tcBorders>
              <w:top w:val="single" w:sz="2" w:space="0" w:color="auto"/>
            </w:tcBorders>
            <w:tcMar>
              <w:left w:w="57" w:type="dxa"/>
              <w:right w:w="57" w:type="dxa"/>
            </w:tcMar>
          </w:tcPr>
          <w:p w:rsidR="00BD6817" w:rsidRPr="00006BE9" w:rsidRDefault="00BD6817" w:rsidP="00905421">
            <w:pPr>
              <w:pStyle w:val="TableTextColumnHeading"/>
              <w:spacing w:before="40"/>
              <w:rPr>
                <w:color w:val="000000"/>
              </w:rPr>
            </w:pPr>
          </w:p>
        </w:tc>
        <w:tc>
          <w:tcPr>
            <w:tcW w:w="4667" w:type="dxa"/>
            <w:gridSpan w:val="2"/>
            <w:tcBorders>
              <w:top w:val="single" w:sz="2" w:space="0" w:color="auto"/>
              <w:bottom w:val="single" w:sz="2" w:space="0" w:color="auto"/>
            </w:tcBorders>
            <w:tcMar>
              <w:left w:w="57" w:type="dxa"/>
              <w:right w:w="57" w:type="dxa"/>
            </w:tcMar>
          </w:tcPr>
          <w:p w:rsidR="00BD6817" w:rsidRPr="00006BE9" w:rsidRDefault="00BD6817" w:rsidP="00905421">
            <w:pPr>
              <w:pStyle w:val="TableTextColumnHeading"/>
              <w:spacing w:before="40"/>
              <w:jc w:val="center"/>
              <w:rPr>
                <w:color w:val="000000"/>
              </w:rPr>
            </w:pPr>
            <w:r w:rsidRPr="00006BE9">
              <w:rPr>
                <w:color w:val="000000"/>
              </w:rPr>
              <w:t xml:space="preserve">Intermediate </w:t>
            </w:r>
            <w:r w:rsidRPr="00006BE9">
              <w:rPr>
                <w:color w:val="000000"/>
              </w:rPr>
              <w:br/>
              <w:t>2007</w:t>
            </w:r>
          </w:p>
        </w:tc>
        <w:tc>
          <w:tcPr>
            <w:tcW w:w="1206" w:type="dxa"/>
            <w:tcBorders>
              <w:top w:val="single" w:sz="2" w:space="0" w:color="auto"/>
              <w:bottom w:val="single" w:sz="2" w:space="0" w:color="auto"/>
            </w:tcBorders>
            <w:tcMar>
              <w:left w:w="57" w:type="dxa"/>
              <w:right w:w="57" w:type="dxa"/>
            </w:tcMar>
          </w:tcPr>
          <w:p w:rsidR="00BD6817" w:rsidRPr="00006BE9" w:rsidRDefault="00BD6817" w:rsidP="00905421">
            <w:pPr>
              <w:pStyle w:val="TableTextColumnHeading"/>
              <w:spacing w:before="40"/>
              <w:ind w:left="170"/>
              <w:rPr>
                <w:color w:val="000000"/>
              </w:rPr>
            </w:pPr>
            <w:r w:rsidRPr="00006BE9">
              <w:rPr>
                <w:color w:val="000000"/>
              </w:rPr>
              <w:t>Ultimate target 2010</w:t>
            </w:r>
          </w:p>
        </w:tc>
      </w:tr>
      <w:tr w:rsidR="00BD6817" w:rsidRPr="00006BE9" w:rsidTr="007A4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3230" w:type="dxa"/>
          </w:tcPr>
          <w:p w:rsidR="00BD6817" w:rsidRPr="00006BE9" w:rsidRDefault="00BD6817" w:rsidP="007A788C">
            <w:pPr>
              <w:pStyle w:val="TableTextColumnHeading"/>
              <w:rPr>
                <w:color w:val="000000"/>
              </w:rPr>
            </w:pPr>
          </w:p>
        </w:tc>
        <w:tc>
          <w:tcPr>
            <w:tcW w:w="4505" w:type="dxa"/>
          </w:tcPr>
          <w:p w:rsidR="00BD6817" w:rsidRPr="00006BE9" w:rsidRDefault="00BD6817" w:rsidP="007A788C">
            <w:pPr>
              <w:pStyle w:val="TableTextColumnHeading"/>
              <w:rPr>
                <w:color w:val="000000"/>
              </w:rPr>
            </w:pPr>
          </w:p>
        </w:tc>
        <w:tc>
          <w:tcPr>
            <w:tcW w:w="1798" w:type="dxa"/>
          </w:tcPr>
          <w:p w:rsidR="00BD6817" w:rsidRPr="00006BE9" w:rsidRDefault="00BD6817" w:rsidP="007E5B0F">
            <w:pPr>
              <w:pStyle w:val="TableTextColumnHeading"/>
              <w:jc w:val="center"/>
              <w:rPr>
                <w:color w:val="000000"/>
              </w:rPr>
            </w:pPr>
            <w:r w:rsidRPr="00006BE9">
              <w:rPr>
                <w:color w:val="000000"/>
              </w:rPr>
              <w:t>Target</w:t>
            </w:r>
          </w:p>
        </w:tc>
        <w:tc>
          <w:tcPr>
            <w:tcW w:w="2869" w:type="dxa"/>
          </w:tcPr>
          <w:p w:rsidR="00BD6817" w:rsidRPr="00006BE9" w:rsidRDefault="00BD6817" w:rsidP="007E5B0F">
            <w:pPr>
              <w:pStyle w:val="TableTextColumnHeading"/>
              <w:jc w:val="center"/>
              <w:rPr>
                <w:color w:val="000000"/>
              </w:rPr>
            </w:pPr>
            <w:r w:rsidRPr="00006BE9">
              <w:rPr>
                <w:color w:val="000000"/>
              </w:rPr>
              <w:t>Actual</w:t>
            </w:r>
          </w:p>
        </w:tc>
        <w:tc>
          <w:tcPr>
            <w:tcW w:w="1206" w:type="dxa"/>
          </w:tcPr>
          <w:p w:rsidR="00BD6817" w:rsidRPr="00006BE9" w:rsidRDefault="00BD6817" w:rsidP="00905421">
            <w:pPr>
              <w:pStyle w:val="TableTextColumnHeading"/>
              <w:ind w:left="170"/>
              <w:rPr>
                <w:color w:val="000000"/>
              </w:rPr>
            </w:pPr>
          </w:p>
        </w:tc>
      </w:tr>
      <w:tr w:rsidR="00BD6817" w:rsidRPr="00006BE9" w:rsidTr="007A45B0">
        <w:trPr>
          <w:cantSplit/>
        </w:trPr>
        <w:tc>
          <w:tcPr>
            <w:tcW w:w="3230" w:type="dxa"/>
            <w:tcBorders>
              <w:top w:val="single" w:sz="12" w:space="0" w:color="auto"/>
            </w:tcBorders>
            <w:tcMar>
              <w:left w:w="57" w:type="dxa"/>
              <w:right w:w="57" w:type="dxa"/>
            </w:tcMar>
          </w:tcPr>
          <w:p w:rsidR="00BD6817" w:rsidRPr="00006BE9" w:rsidRDefault="00BD6817" w:rsidP="00905421">
            <w:pPr>
              <w:pStyle w:val="TableHeading1"/>
              <w:rPr>
                <w:color w:val="000000"/>
              </w:rPr>
            </w:pPr>
            <w:r w:rsidRPr="00006BE9">
              <w:rPr>
                <w:color w:val="000000"/>
              </w:rPr>
              <w:t>Program development objective</w:t>
            </w:r>
          </w:p>
        </w:tc>
        <w:tc>
          <w:tcPr>
            <w:tcW w:w="4505" w:type="dxa"/>
            <w:tcBorders>
              <w:top w:val="single" w:sz="12" w:space="0" w:color="auto"/>
            </w:tcBorders>
            <w:tcMar>
              <w:left w:w="57" w:type="dxa"/>
              <w:right w:w="57" w:type="dxa"/>
            </w:tcMar>
          </w:tcPr>
          <w:p w:rsidR="00BD6817" w:rsidRPr="00006BE9" w:rsidRDefault="00BD6817" w:rsidP="00905421">
            <w:pPr>
              <w:pStyle w:val="TableHeading1"/>
              <w:rPr>
                <w:color w:val="000000"/>
              </w:rPr>
            </w:pPr>
          </w:p>
        </w:tc>
        <w:tc>
          <w:tcPr>
            <w:tcW w:w="1798" w:type="dxa"/>
            <w:tcBorders>
              <w:top w:val="single" w:sz="12" w:space="0" w:color="auto"/>
            </w:tcBorders>
            <w:tcMar>
              <w:left w:w="57" w:type="dxa"/>
              <w:right w:w="57" w:type="dxa"/>
            </w:tcMar>
          </w:tcPr>
          <w:p w:rsidR="00BD6817" w:rsidRPr="00006BE9" w:rsidRDefault="00BD6817" w:rsidP="00905421">
            <w:pPr>
              <w:pStyle w:val="TableHeading1"/>
              <w:rPr>
                <w:color w:val="000000"/>
              </w:rPr>
            </w:pPr>
          </w:p>
        </w:tc>
        <w:tc>
          <w:tcPr>
            <w:tcW w:w="2869" w:type="dxa"/>
            <w:tcBorders>
              <w:top w:val="single" w:sz="12" w:space="0" w:color="auto"/>
            </w:tcBorders>
            <w:tcMar>
              <w:left w:w="57" w:type="dxa"/>
              <w:right w:w="57" w:type="dxa"/>
            </w:tcMar>
          </w:tcPr>
          <w:p w:rsidR="00BD6817" w:rsidRPr="00006BE9" w:rsidRDefault="00BD6817" w:rsidP="00905421">
            <w:pPr>
              <w:pStyle w:val="TableHeading1"/>
              <w:rPr>
                <w:color w:val="000000"/>
              </w:rPr>
            </w:pPr>
          </w:p>
        </w:tc>
        <w:tc>
          <w:tcPr>
            <w:tcW w:w="1206" w:type="dxa"/>
            <w:tcBorders>
              <w:top w:val="single" w:sz="12" w:space="0" w:color="auto"/>
            </w:tcBorders>
            <w:tcMar>
              <w:left w:w="57" w:type="dxa"/>
              <w:right w:w="57" w:type="dxa"/>
            </w:tcMar>
          </w:tcPr>
          <w:p w:rsidR="00BD6817" w:rsidRPr="00006BE9" w:rsidRDefault="00BD6817" w:rsidP="00905421">
            <w:pPr>
              <w:pStyle w:val="TableHeading1"/>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905421">
            <w:pPr>
              <w:pStyle w:val="TableTextEntries"/>
              <w:ind w:left="284" w:hanging="284"/>
              <w:rPr>
                <w:color w:val="000000"/>
                <w:lang w:val="en-GB"/>
              </w:rPr>
            </w:pPr>
            <w:r w:rsidRPr="00006BE9">
              <w:rPr>
                <w:color w:val="000000"/>
              </w:rPr>
              <w:t>1</w:t>
            </w:r>
            <w:r w:rsidRPr="00006BE9">
              <w:rPr>
                <w:color w:val="000000"/>
              </w:rPr>
              <w:tab/>
              <w:t>Improved health and living conditions of the rural poor including ethnic minorities</w:t>
            </w:r>
          </w:p>
        </w:tc>
        <w:tc>
          <w:tcPr>
            <w:tcW w:w="4505" w:type="dxa"/>
            <w:tcMar>
              <w:left w:w="57" w:type="dxa"/>
              <w:right w:w="57" w:type="dxa"/>
            </w:tcMar>
          </w:tcPr>
          <w:p w:rsidR="00BD6817" w:rsidRPr="00006BE9" w:rsidRDefault="00BD6817" w:rsidP="007A788C">
            <w:pPr>
              <w:pStyle w:val="TableTextEntries"/>
              <w:rPr>
                <w:color w:val="000000"/>
              </w:rPr>
            </w:pPr>
            <w:r w:rsidRPr="00006BE9">
              <w:rPr>
                <w:color w:val="000000"/>
              </w:rPr>
              <w:t>Data on the incidence of diseases related to poor water and sanitation</w:t>
            </w:r>
          </w:p>
        </w:tc>
        <w:tc>
          <w:tcPr>
            <w:tcW w:w="1798" w:type="dxa"/>
            <w:tcMar>
              <w:left w:w="57" w:type="dxa"/>
              <w:right w:w="57" w:type="dxa"/>
            </w:tcMar>
          </w:tcPr>
          <w:p w:rsidR="00BD6817" w:rsidRPr="00006BE9" w:rsidRDefault="00BD6817" w:rsidP="00905421">
            <w:pPr>
              <w:pStyle w:val="TableTextEntries"/>
              <w:rPr>
                <w:color w:val="000000"/>
              </w:rPr>
            </w:pPr>
            <w:r w:rsidRPr="00006BE9">
              <w:rPr>
                <w:color w:val="000000"/>
              </w:rPr>
              <w:t>No data available</w:t>
            </w:r>
          </w:p>
        </w:tc>
        <w:tc>
          <w:tcPr>
            <w:tcW w:w="2869" w:type="dxa"/>
            <w:tcMar>
              <w:left w:w="57" w:type="dxa"/>
              <w:right w:w="57" w:type="dxa"/>
            </w:tcMar>
          </w:tcPr>
          <w:p w:rsidR="00BD6817" w:rsidRPr="00006BE9" w:rsidRDefault="00BD6817" w:rsidP="007A788C">
            <w:pPr>
              <w:pStyle w:val="TableTextEntries"/>
              <w:rPr>
                <w:color w:val="000000"/>
              </w:rPr>
            </w:pPr>
          </w:p>
        </w:tc>
        <w:tc>
          <w:tcPr>
            <w:tcW w:w="1206" w:type="dxa"/>
            <w:tcMar>
              <w:left w:w="57" w:type="dxa"/>
              <w:right w:w="57" w:type="dxa"/>
            </w:tcMar>
          </w:tcPr>
          <w:p w:rsidR="00BD6817" w:rsidRPr="00006BE9" w:rsidRDefault="00BD6817" w:rsidP="00905421">
            <w:pPr>
              <w:pStyle w:val="TableTextEntries"/>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905421">
            <w:pPr>
              <w:pStyle w:val="TableHeading1"/>
              <w:rPr>
                <w:color w:val="000000"/>
              </w:rPr>
            </w:pPr>
            <w:r w:rsidRPr="00006BE9">
              <w:rPr>
                <w:color w:val="000000"/>
              </w:rPr>
              <w:t>Program objectives</w:t>
            </w:r>
          </w:p>
        </w:tc>
        <w:tc>
          <w:tcPr>
            <w:tcW w:w="4505" w:type="dxa"/>
            <w:tcMar>
              <w:left w:w="57" w:type="dxa"/>
              <w:right w:w="57" w:type="dxa"/>
            </w:tcMar>
          </w:tcPr>
          <w:p w:rsidR="00BD6817" w:rsidRPr="00006BE9" w:rsidRDefault="00BD6817" w:rsidP="00905421">
            <w:pPr>
              <w:pStyle w:val="TableHeading1"/>
              <w:rPr>
                <w:color w:val="000000"/>
              </w:rPr>
            </w:pPr>
          </w:p>
        </w:tc>
        <w:tc>
          <w:tcPr>
            <w:tcW w:w="1798" w:type="dxa"/>
            <w:tcMar>
              <w:left w:w="57" w:type="dxa"/>
              <w:right w:w="57" w:type="dxa"/>
            </w:tcMar>
          </w:tcPr>
          <w:p w:rsidR="00BD6817" w:rsidRPr="00006BE9" w:rsidRDefault="00BD6817" w:rsidP="00905421">
            <w:pPr>
              <w:pStyle w:val="TableHeading1"/>
              <w:rPr>
                <w:color w:val="000000"/>
              </w:rPr>
            </w:pPr>
          </w:p>
        </w:tc>
        <w:tc>
          <w:tcPr>
            <w:tcW w:w="2869" w:type="dxa"/>
            <w:tcMar>
              <w:left w:w="57" w:type="dxa"/>
              <w:right w:w="57" w:type="dxa"/>
            </w:tcMar>
          </w:tcPr>
          <w:p w:rsidR="00BD6817" w:rsidRPr="00006BE9" w:rsidRDefault="00BD6817" w:rsidP="00905421">
            <w:pPr>
              <w:pStyle w:val="TableHeading1"/>
              <w:rPr>
                <w:color w:val="000000"/>
              </w:rPr>
            </w:pPr>
          </w:p>
        </w:tc>
        <w:tc>
          <w:tcPr>
            <w:tcW w:w="1206" w:type="dxa"/>
            <w:tcMar>
              <w:left w:w="57" w:type="dxa"/>
              <w:right w:w="57" w:type="dxa"/>
            </w:tcMar>
          </w:tcPr>
          <w:p w:rsidR="00BD6817" w:rsidRPr="00006BE9" w:rsidRDefault="00BD6817" w:rsidP="00905421">
            <w:pPr>
              <w:pStyle w:val="TableHeading1"/>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905421">
            <w:pPr>
              <w:pStyle w:val="TableTextEntries"/>
              <w:ind w:left="284" w:hanging="284"/>
              <w:rPr>
                <w:color w:val="000000"/>
              </w:rPr>
            </w:pPr>
            <w:r w:rsidRPr="00006BE9">
              <w:rPr>
                <w:color w:val="000000"/>
              </w:rPr>
              <w:t>1</w:t>
            </w:r>
            <w:r w:rsidRPr="00006BE9">
              <w:rPr>
                <w:color w:val="000000"/>
              </w:rPr>
              <w:tab/>
              <w:t>Improved RWSS NTP2 performance and effectiveness</w:t>
            </w:r>
          </w:p>
        </w:tc>
        <w:tc>
          <w:tcPr>
            <w:tcW w:w="4505" w:type="dxa"/>
            <w:tcMar>
              <w:left w:w="57" w:type="dxa"/>
              <w:right w:w="57" w:type="dxa"/>
            </w:tcMar>
          </w:tcPr>
          <w:p w:rsidR="00BD6817" w:rsidRPr="00006BE9" w:rsidRDefault="00BD6817" w:rsidP="007A788C">
            <w:pPr>
              <w:pStyle w:val="TableTextEntries"/>
              <w:rPr>
                <w:color w:val="000000"/>
              </w:rPr>
            </w:pPr>
            <w:r w:rsidRPr="00006BE9">
              <w:rPr>
                <w:color w:val="000000"/>
              </w:rPr>
              <w:t>Improved financial management in the areas of audits and inspections, procurement and financial reporting</w:t>
            </w:r>
          </w:p>
        </w:tc>
        <w:tc>
          <w:tcPr>
            <w:tcW w:w="1798" w:type="dxa"/>
            <w:tcMar>
              <w:left w:w="57" w:type="dxa"/>
              <w:right w:w="57" w:type="dxa"/>
            </w:tcMar>
          </w:tcPr>
          <w:p w:rsidR="00BD6817" w:rsidRPr="00006BE9" w:rsidRDefault="00BD6817" w:rsidP="00905421">
            <w:pPr>
              <w:pStyle w:val="TableTextEntries"/>
              <w:rPr>
                <w:color w:val="000000"/>
              </w:rPr>
            </w:pPr>
          </w:p>
        </w:tc>
        <w:tc>
          <w:tcPr>
            <w:tcW w:w="2869" w:type="dxa"/>
            <w:tcMar>
              <w:left w:w="57" w:type="dxa"/>
              <w:right w:w="57" w:type="dxa"/>
            </w:tcMar>
          </w:tcPr>
          <w:p w:rsidR="00BD6817" w:rsidRPr="00006BE9" w:rsidRDefault="00BD6817" w:rsidP="007A788C">
            <w:pPr>
              <w:pStyle w:val="TableTextEntries"/>
              <w:rPr>
                <w:color w:val="000000"/>
              </w:rPr>
            </w:pPr>
            <w:r w:rsidRPr="00006BE9">
              <w:rPr>
                <w:color w:val="000000"/>
              </w:rPr>
              <w:t>Financial management reviewed OK by State Audit Authority</w:t>
            </w:r>
          </w:p>
        </w:tc>
        <w:tc>
          <w:tcPr>
            <w:tcW w:w="1206" w:type="dxa"/>
            <w:tcMar>
              <w:left w:w="57" w:type="dxa"/>
              <w:right w:w="57" w:type="dxa"/>
            </w:tcMar>
          </w:tcPr>
          <w:p w:rsidR="00BD6817" w:rsidRPr="00006BE9" w:rsidRDefault="00BD6817" w:rsidP="00905421">
            <w:pPr>
              <w:pStyle w:val="TableTextEntries"/>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7A788C">
            <w:pPr>
              <w:pStyle w:val="TableTextEntries"/>
              <w:rPr>
                <w:color w:val="000000"/>
              </w:rPr>
            </w:pPr>
          </w:p>
        </w:tc>
        <w:tc>
          <w:tcPr>
            <w:tcW w:w="4505" w:type="dxa"/>
            <w:tcMar>
              <w:left w:w="57" w:type="dxa"/>
              <w:right w:w="57" w:type="dxa"/>
            </w:tcMar>
          </w:tcPr>
          <w:p w:rsidR="00BD6817" w:rsidRPr="00006BE9" w:rsidRDefault="00BD6817" w:rsidP="007A788C">
            <w:pPr>
              <w:pStyle w:val="TableTextEntries"/>
              <w:rPr>
                <w:color w:val="000000"/>
                <w:lang w:val="en-GB"/>
              </w:rPr>
            </w:pPr>
            <w:r w:rsidRPr="00006BE9">
              <w:rPr>
                <w:color w:val="000000"/>
                <w:lang w:val="en-GB"/>
              </w:rPr>
              <w:t xml:space="preserve">Improved planning and budgeting for allocating adequate funding for the Department of Health and the Department of Education and Training and for </w:t>
            </w:r>
            <w:r w:rsidRPr="00006BE9">
              <w:rPr>
                <w:color w:val="000000"/>
              </w:rPr>
              <w:t>information, education and communication,</w:t>
            </w:r>
            <w:r w:rsidRPr="00006BE9">
              <w:rPr>
                <w:color w:val="000000"/>
                <w:lang w:val="en-GB"/>
              </w:rPr>
              <w:t xml:space="preserve"> and sanitation</w:t>
            </w:r>
          </w:p>
        </w:tc>
        <w:tc>
          <w:tcPr>
            <w:tcW w:w="1798" w:type="dxa"/>
            <w:tcMar>
              <w:left w:w="57" w:type="dxa"/>
              <w:right w:w="57" w:type="dxa"/>
            </w:tcMar>
          </w:tcPr>
          <w:p w:rsidR="00BD6817" w:rsidRPr="00006BE9" w:rsidRDefault="00BD6817" w:rsidP="00905421">
            <w:pPr>
              <w:pStyle w:val="TableTextEntries"/>
              <w:rPr>
                <w:color w:val="000000"/>
              </w:rPr>
            </w:pPr>
          </w:p>
        </w:tc>
        <w:tc>
          <w:tcPr>
            <w:tcW w:w="2869" w:type="dxa"/>
            <w:tcMar>
              <w:left w:w="57" w:type="dxa"/>
              <w:right w:w="57" w:type="dxa"/>
            </w:tcMar>
          </w:tcPr>
          <w:p w:rsidR="00BD6817" w:rsidRPr="00006BE9" w:rsidRDefault="00BD6817" w:rsidP="007A788C">
            <w:pPr>
              <w:pStyle w:val="TableTextEntries"/>
              <w:rPr>
                <w:color w:val="000000"/>
              </w:rPr>
            </w:pPr>
            <w:r w:rsidRPr="00006BE9">
              <w:rPr>
                <w:color w:val="000000"/>
              </w:rPr>
              <w:t>Improved allocation of funding for information, education and communication, and sanitation but overall government budget lower than planned</w:t>
            </w:r>
          </w:p>
        </w:tc>
        <w:tc>
          <w:tcPr>
            <w:tcW w:w="1206" w:type="dxa"/>
            <w:tcMar>
              <w:left w:w="57" w:type="dxa"/>
              <w:right w:w="57" w:type="dxa"/>
            </w:tcMar>
          </w:tcPr>
          <w:p w:rsidR="00BD6817" w:rsidRPr="00006BE9" w:rsidRDefault="00BD6817" w:rsidP="00905421">
            <w:pPr>
              <w:pStyle w:val="TableTextEntries"/>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7A788C">
            <w:pPr>
              <w:pStyle w:val="TableTextEntries"/>
              <w:rPr>
                <w:color w:val="000000"/>
              </w:rPr>
            </w:pPr>
          </w:p>
        </w:tc>
        <w:tc>
          <w:tcPr>
            <w:tcW w:w="4505" w:type="dxa"/>
            <w:tcMar>
              <w:left w:w="57" w:type="dxa"/>
              <w:right w:w="57" w:type="dxa"/>
            </w:tcMar>
          </w:tcPr>
          <w:p w:rsidR="00BD6817" w:rsidRPr="00006BE9" w:rsidRDefault="00BD6817" w:rsidP="007A788C">
            <w:pPr>
              <w:pStyle w:val="TableTextEntries"/>
              <w:rPr>
                <w:color w:val="000000"/>
                <w:lang w:val="en-GB"/>
              </w:rPr>
            </w:pPr>
            <w:r w:rsidRPr="00006BE9">
              <w:rPr>
                <w:color w:val="000000"/>
                <w:lang w:val="en-GB"/>
              </w:rPr>
              <w:t>Improved practices in the Department of Agriculture and Rural Development, the Department of Health and the Department of Education and Training related to cost norms, subsidy practices, facility sustainability, integrated planning and monitoring</w:t>
            </w:r>
          </w:p>
        </w:tc>
        <w:tc>
          <w:tcPr>
            <w:tcW w:w="1798" w:type="dxa"/>
            <w:tcMar>
              <w:left w:w="57" w:type="dxa"/>
              <w:right w:w="57" w:type="dxa"/>
            </w:tcMar>
          </w:tcPr>
          <w:p w:rsidR="00BD6817" w:rsidRPr="00006BE9" w:rsidRDefault="00BD6817" w:rsidP="00905421">
            <w:pPr>
              <w:pStyle w:val="TableTextEntries"/>
              <w:rPr>
                <w:color w:val="000000"/>
              </w:rPr>
            </w:pPr>
          </w:p>
        </w:tc>
        <w:tc>
          <w:tcPr>
            <w:tcW w:w="2869" w:type="dxa"/>
            <w:tcMar>
              <w:left w:w="57" w:type="dxa"/>
              <w:right w:w="57" w:type="dxa"/>
            </w:tcMar>
          </w:tcPr>
          <w:p w:rsidR="00BD6817" w:rsidRPr="00006BE9" w:rsidRDefault="00BD6817" w:rsidP="007A788C">
            <w:pPr>
              <w:pStyle w:val="TableTextEntries"/>
              <w:rPr>
                <w:color w:val="000000"/>
              </w:rPr>
            </w:pPr>
            <w:r w:rsidRPr="00006BE9">
              <w:rPr>
                <w:color w:val="000000"/>
              </w:rPr>
              <w:t>Various regulations and circulars approved or being developed but yet to be implemented</w:t>
            </w:r>
          </w:p>
        </w:tc>
        <w:tc>
          <w:tcPr>
            <w:tcW w:w="1206" w:type="dxa"/>
            <w:tcMar>
              <w:left w:w="57" w:type="dxa"/>
              <w:right w:w="57" w:type="dxa"/>
            </w:tcMar>
          </w:tcPr>
          <w:p w:rsidR="00BD6817" w:rsidRPr="00006BE9" w:rsidRDefault="00BD6817" w:rsidP="00905421">
            <w:pPr>
              <w:pStyle w:val="TableTextEntries"/>
              <w:ind w:left="170"/>
              <w:rPr>
                <w:color w:val="000000"/>
              </w:rPr>
            </w:pPr>
          </w:p>
        </w:tc>
      </w:tr>
      <w:tr w:rsidR="00BD6817" w:rsidRPr="00006BE9" w:rsidTr="007A45B0">
        <w:trPr>
          <w:cantSplit/>
        </w:trPr>
        <w:tc>
          <w:tcPr>
            <w:tcW w:w="3230" w:type="dxa"/>
            <w:tcMar>
              <w:left w:w="57" w:type="dxa"/>
              <w:right w:w="57" w:type="dxa"/>
            </w:tcMar>
          </w:tcPr>
          <w:p w:rsidR="00BD6817" w:rsidRPr="00006BE9" w:rsidRDefault="00BD6817" w:rsidP="00905421">
            <w:pPr>
              <w:pStyle w:val="TableTextEntries"/>
              <w:tabs>
                <w:tab w:val="left" w:pos="270"/>
              </w:tabs>
              <w:ind w:left="270" w:hanging="270"/>
              <w:rPr>
                <w:color w:val="000000"/>
              </w:rPr>
            </w:pPr>
            <w:r w:rsidRPr="00006BE9">
              <w:rPr>
                <w:color w:val="000000"/>
              </w:rPr>
              <w:t>2.1</w:t>
            </w:r>
            <w:r w:rsidRPr="00006BE9">
              <w:rPr>
                <w:color w:val="000000"/>
              </w:rPr>
              <w:tab/>
              <w:t>Increased coverage of water supply among the poor (people)</w:t>
            </w:r>
          </w:p>
        </w:tc>
        <w:tc>
          <w:tcPr>
            <w:tcW w:w="4505" w:type="dxa"/>
            <w:tcMar>
              <w:left w:w="57" w:type="dxa"/>
              <w:right w:w="57" w:type="dxa"/>
            </w:tcMar>
          </w:tcPr>
          <w:p w:rsidR="00BD6817" w:rsidRPr="00006BE9" w:rsidRDefault="00BD6817" w:rsidP="007A788C">
            <w:pPr>
              <w:pStyle w:val="TableTextEntries"/>
              <w:rPr>
                <w:color w:val="000000"/>
              </w:rPr>
            </w:pPr>
            <w:r w:rsidRPr="00006BE9">
              <w:rPr>
                <w:color w:val="000000"/>
              </w:rPr>
              <w:t>Number of people with increased access to clean water</w:t>
            </w:r>
          </w:p>
        </w:tc>
        <w:tc>
          <w:tcPr>
            <w:tcW w:w="1798" w:type="dxa"/>
            <w:tcMar>
              <w:left w:w="57" w:type="dxa"/>
              <w:right w:w="57" w:type="dxa"/>
            </w:tcMar>
          </w:tcPr>
          <w:p w:rsidR="00BD6817" w:rsidRPr="00006BE9" w:rsidRDefault="00BD6817" w:rsidP="00905421">
            <w:pPr>
              <w:pStyle w:val="TableTextEntries"/>
              <w:rPr>
                <w:color w:val="000000"/>
              </w:rPr>
            </w:pPr>
            <w:r w:rsidRPr="00006BE9">
              <w:rPr>
                <w:color w:val="000000"/>
              </w:rPr>
              <w:t>795 000</w:t>
            </w:r>
          </w:p>
        </w:tc>
        <w:tc>
          <w:tcPr>
            <w:tcW w:w="2869" w:type="dxa"/>
            <w:tcMar>
              <w:left w:w="57" w:type="dxa"/>
              <w:right w:w="57" w:type="dxa"/>
            </w:tcMar>
          </w:tcPr>
          <w:p w:rsidR="00BD6817" w:rsidRPr="00006BE9" w:rsidRDefault="00BD6817" w:rsidP="007A788C">
            <w:pPr>
              <w:pStyle w:val="TableTextEntries"/>
              <w:rPr>
                <w:color w:val="000000"/>
              </w:rPr>
            </w:pPr>
            <w:r w:rsidRPr="00006BE9">
              <w:rPr>
                <w:color w:val="000000"/>
              </w:rPr>
              <w:t>232 000</w:t>
            </w:r>
          </w:p>
        </w:tc>
        <w:tc>
          <w:tcPr>
            <w:tcW w:w="1206" w:type="dxa"/>
            <w:tcMar>
              <w:left w:w="57" w:type="dxa"/>
              <w:right w:w="57" w:type="dxa"/>
            </w:tcMar>
          </w:tcPr>
          <w:p w:rsidR="00BD6817" w:rsidRPr="00006BE9" w:rsidRDefault="00BD6817" w:rsidP="00905421">
            <w:pPr>
              <w:pStyle w:val="TableTextEntries"/>
              <w:ind w:left="170"/>
              <w:rPr>
                <w:color w:val="000000"/>
              </w:rPr>
            </w:pPr>
            <w:r w:rsidRPr="00006BE9">
              <w:rPr>
                <w:color w:val="000000"/>
              </w:rPr>
              <w:t>7 400 000</w:t>
            </w:r>
          </w:p>
        </w:tc>
      </w:tr>
      <w:tr w:rsidR="00BD6817" w:rsidRPr="00006BE9" w:rsidTr="007A45B0">
        <w:trPr>
          <w:cantSplit/>
        </w:trPr>
        <w:tc>
          <w:tcPr>
            <w:tcW w:w="3230" w:type="dxa"/>
            <w:tcMar>
              <w:left w:w="57" w:type="dxa"/>
              <w:right w:w="57" w:type="dxa"/>
            </w:tcMar>
          </w:tcPr>
          <w:p w:rsidR="00BD6817" w:rsidRPr="00006BE9" w:rsidRDefault="00BD6817" w:rsidP="00905421">
            <w:pPr>
              <w:pStyle w:val="TableTextEntries"/>
              <w:tabs>
                <w:tab w:val="left" w:pos="270"/>
              </w:tabs>
              <w:ind w:left="270" w:hanging="270"/>
              <w:rPr>
                <w:color w:val="000000"/>
              </w:rPr>
            </w:pPr>
            <w:r w:rsidRPr="00006BE9">
              <w:rPr>
                <w:color w:val="000000"/>
              </w:rPr>
              <w:lastRenderedPageBreak/>
              <w:t>2.2</w:t>
            </w:r>
            <w:r w:rsidRPr="00006BE9">
              <w:rPr>
                <w:color w:val="000000"/>
              </w:rPr>
              <w:tab/>
              <w:t>Increased coverage of sanitation facilities. (households)</w:t>
            </w:r>
          </w:p>
        </w:tc>
        <w:tc>
          <w:tcPr>
            <w:tcW w:w="4505" w:type="dxa"/>
            <w:tcMar>
              <w:left w:w="57" w:type="dxa"/>
              <w:right w:w="57" w:type="dxa"/>
            </w:tcMar>
          </w:tcPr>
          <w:p w:rsidR="00BD6817" w:rsidRPr="00006BE9" w:rsidRDefault="00BD6817" w:rsidP="007A788C">
            <w:pPr>
              <w:pStyle w:val="TableTextEntries"/>
              <w:rPr>
                <w:color w:val="000000"/>
              </w:rPr>
            </w:pPr>
            <w:r w:rsidRPr="00006BE9">
              <w:rPr>
                <w:color w:val="000000"/>
              </w:rPr>
              <w:t>Number of people with increased access to improved sanitation facilities</w:t>
            </w:r>
          </w:p>
        </w:tc>
        <w:tc>
          <w:tcPr>
            <w:tcW w:w="1798" w:type="dxa"/>
            <w:tcMar>
              <w:left w:w="57" w:type="dxa"/>
              <w:right w:w="57" w:type="dxa"/>
            </w:tcMar>
          </w:tcPr>
          <w:p w:rsidR="00BD6817" w:rsidRPr="00006BE9" w:rsidRDefault="00BD6817" w:rsidP="00905421">
            <w:pPr>
              <w:pStyle w:val="TableTextEntries"/>
              <w:rPr>
                <w:color w:val="000000"/>
              </w:rPr>
            </w:pPr>
            <w:r w:rsidRPr="00006BE9">
              <w:rPr>
                <w:color w:val="000000"/>
              </w:rPr>
              <w:t>140 000</w:t>
            </w:r>
          </w:p>
        </w:tc>
        <w:tc>
          <w:tcPr>
            <w:tcW w:w="2869" w:type="dxa"/>
            <w:tcMar>
              <w:left w:w="57" w:type="dxa"/>
              <w:right w:w="57" w:type="dxa"/>
            </w:tcMar>
          </w:tcPr>
          <w:p w:rsidR="00BD6817" w:rsidRPr="00006BE9" w:rsidRDefault="00BD6817" w:rsidP="007A788C">
            <w:pPr>
              <w:pStyle w:val="TableTextEntries"/>
              <w:rPr>
                <w:color w:val="000000"/>
              </w:rPr>
            </w:pPr>
            <w:r w:rsidRPr="00006BE9">
              <w:rPr>
                <w:color w:val="000000"/>
              </w:rPr>
              <w:t>11 000</w:t>
            </w:r>
          </w:p>
        </w:tc>
        <w:tc>
          <w:tcPr>
            <w:tcW w:w="1206" w:type="dxa"/>
            <w:tcMar>
              <w:left w:w="57" w:type="dxa"/>
              <w:right w:w="57" w:type="dxa"/>
            </w:tcMar>
          </w:tcPr>
          <w:p w:rsidR="00BD6817" w:rsidRPr="00006BE9" w:rsidRDefault="00BD6817" w:rsidP="00905421">
            <w:pPr>
              <w:pStyle w:val="TableTextEntries"/>
              <w:ind w:left="170"/>
              <w:rPr>
                <w:color w:val="000000"/>
              </w:rPr>
            </w:pPr>
            <w:r w:rsidRPr="00006BE9">
              <w:rPr>
                <w:color w:val="000000"/>
              </w:rPr>
              <w:t>1 300 000</w:t>
            </w:r>
          </w:p>
        </w:tc>
      </w:tr>
      <w:tr w:rsidR="00BD6817" w:rsidRPr="00006BE9" w:rsidTr="007A45B0">
        <w:trPr>
          <w:cantSplit/>
        </w:trPr>
        <w:tc>
          <w:tcPr>
            <w:tcW w:w="3230" w:type="dxa"/>
            <w:tcMar>
              <w:left w:w="57" w:type="dxa"/>
              <w:right w:w="57" w:type="dxa"/>
            </w:tcMar>
          </w:tcPr>
          <w:p w:rsidR="00BD6817" w:rsidRPr="00006BE9" w:rsidRDefault="00BD6817" w:rsidP="00211493">
            <w:pPr>
              <w:pStyle w:val="TableTextEntries"/>
              <w:tabs>
                <w:tab w:val="left" w:pos="270"/>
              </w:tabs>
              <w:ind w:left="270" w:hanging="270"/>
              <w:rPr>
                <w:color w:val="000000"/>
              </w:rPr>
            </w:pPr>
            <w:r w:rsidRPr="00006BE9">
              <w:rPr>
                <w:color w:val="000000"/>
              </w:rPr>
              <w:t>2.3</w:t>
            </w:r>
            <w:r w:rsidRPr="00006BE9">
              <w:rPr>
                <w:color w:val="000000"/>
              </w:rPr>
              <w:tab/>
            </w:r>
            <w:r w:rsidRPr="00006BE9">
              <w:rPr>
                <w:color w:val="000000"/>
                <w:spacing w:val="-2"/>
              </w:rPr>
              <w:t>Additional schools and institutions having clean water and hygienic latrines</w:t>
            </w:r>
          </w:p>
        </w:tc>
        <w:tc>
          <w:tcPr>
            <w:tcW w:w="4505" w:type="dxa"/>
            <w:tcMar>
              <w:left w:w="57" w:type="dxa"/>
              <w:right w:w="57" w:type="dxa"/>
            </w:tcMar>
          </w:tcPr>
          <w:p w:rsidR="00BD6817" w:rsidRPr="00006BE9" w:rsidRDefault="00BD6817" w:rsidP="00211493">
            <w:pPr>
              <w:pStyle w:val="TableTextEntries"/>
              <w:rPr>
                <w:color w:val="000000"/>
              </w:rPr>
            </w:pPr>
            <w:r w:rsidRPr="00006BE9">
              <w:rPr>
                <w:color w:val="000000"/>
              </w:rPr>
              <w:t>Number of schools and institutions having clean water and hygienic latrines</w:t>
            </w:r>
          </w:p>
        </w:tc>
        <w:tc>
          <w:tcPr>
            <w:tcW w:w="1798" w:type="dxa"/>
            <w:tcMar>
              <w:left w:w="57" w:type="dxa"/>
              <w:right w:w="57" w:type="dxa"/>
            </w:tcMar>
          </w:tcPr>
          <w:p w:rsidR="00BD6817" w:rsidRPr="00006BE9" w:rsidRDefault="00BD6817" w:rsidP="00211493">
            <w:pPr>
              <w:pStyle w:val="TableTextEntries"/>
              <w:rPr>
                <w:color w:val="000000"/>
              </w:rPr>
            </w:pPr>
            <w:r w:rsidRPr="00006BE9">
              <w:rPr>
                <w:color w:val="000000"/>
              </w:rPr>
              <w:t>1100</w:t>
            </w:r>
          </w:p>
        </w:tc>
        <w:tc>
          <w:tcPr>
            <w:tcW w:w="2869" w:type="dxa"/>
            <w:tcMar>
              <w:left w:w="57" w:type="dxa"/>
              <w:right w:w="57" w:type="dxa"/>
            </w:tcMar>
          </w:tcPr>
          <w:p w:rsidR="00BD6817" w:rsidRPr="00006BE9" w:rsidRDefault="00BD6817" w:rsidP="00211493">
            <w:pPr>
              <w:pStyle w:val="TableTextEntries"/>
              <w:rPr>
                <w:color w:val="000000"/>
              </w:rPr>
            </w:pPr>
            <w:r w:rsidRPr="00006BE9">
              <w:rPr>
                <w:color w:val="000000"/>
              </w:rPr>
              <w:t>No data</w:t>
            </w:r>
          </w:p>
        </w:tc>
        <w:tc>
          <w:tcPr>
            <w:tcW w:w="1206" w:type="dxa"/>
            <w:tcMar>
              <w:left w:w="57" w:type="dxa"/>
              <w:right w:w="57" w:type="dxa"/>
            </w:tcMar>
          </w:tcPr>
          <w:p w:rsidR="00BD6817" w:rsidRPr="00006BE9" w:rsidRDefault="00BD6817" w:rsidP="00211493">
            <w:pPr>
              <w:pStyle w:val="TableTextEntries"/>
              <w:ind w:left="170"/>
              <w:rPr>
                <w:color w:val="000000"/>
              </w:rPr>
            </w:pPr>
            <w:r w:rsidRPr="00006BE9">
              <w:rPr>
                <w:color w:val="000000"/>
              </w:rPr>
              <w:t>10 400</w:t>
            </w:r>
          </w:p>
        </w:tc>
      </w:tr>
      <w:tr w:rsidR="00BD6817" w:rsidRPr="00006BE9" w:rsidTr="007A45B0">
        <w:trPr>
          <w:cantSplit/>
        </w:trPr>
        <w:tc>
          <w:tcPr>
            <w:tcW w:w="3230" w:type="dxa"/>
            <w:tcBorders>
              <w:bottom w:val="single" w:sz="12" w:space="0" w:color="auto"/>
            </w:tcBorders>
            <w:tcMar>
              <w:left w:w="57" w:type="dxa"/>
              <w:right w:w="57" w:type="dxa"/>
            </w:tcMar>
          </w:tcPr>
          <w:p w:rsidR="00BD6817" w:rsidRPr="00006BE9" w:rsidRDefault="00BD6817" w:rsidP="00C31D0D">
            <w:pPr>
              <w:pStyle w:val="TableTextEntries"/>
              <w:tabs>
                <w:tab w:val="left" w:pos="270"/>
              </w:tabs>
              <w:ind w:left="270" w:hanging="270"/>
              <w:rPr>
                <w:color w:val="000000"/>
              </w:rPr>
            </w:pPr>
            <w:r w:rsidRPr="00006BE9">
              <w:rPr>
                <w:color w:val="000000"/>
              </w:rPr>
              <w:t>2.4</w:t>
            </w:r>
            <w:r w:rsidRPr="00006BE9">
              <w:rPr>
                <w:color w:val="000000"/>
              </w:rPr>
              <w:tab/>
              <w:t>People with improved hygiene practices</w:t>
            </w:r>
          </w:p>
        </w:tc>
        <w:tc>
          <w:tcPr>
            <w:tcW w:w="4505" w:type="dxa"/>
            <w:tcBorders>
              <w:bottom w:val="single" w:sz="12" w:space="0" w:color="auto"/>
            </w:tcBorders>
            <w:tcMar>
              <w:left w:w="57" w:type="dxa"/>
              <w:right w:w="57" w:type="dxa"/>
            </w:tcMar>
          </w:tcPr>
          <w:p w:rsidR="00BD6817" w:rsidRPr="00006BE9" w:rsidRDefault="00BD6817" w:rsidP="00C31D0D">
            <w:pPr>
              <w:pStyle w:val="TableTextEntries"/>
              <w:rPr>
                <w:color w:val="000000"/>
              </w:rPr>
            </w:pPr>
            <w:r w:rsidRPr="00006BE9">
              <w:rPr>
                <w:color w:val="000000"/>
              </w:rPr>
              <w:t>Number of people with improved hygiene practices</w:t>
            </w:r>
          </w:p>
        </w:tc>
        <w:tc>
          <w:tcPr>
            <w:tcW w:w="1798" w:type="dxa"/>
            <w:tcBorders>
              <w:bottom w:val="single" w:sz="12" w:space="0" w:color="auto"/>
            </w:tcBorders>
            <w:tcMar>
              <w:left w:w="57" w:type="dxa"/>
              <w:right w:w="57" w:type="dxa"/>
            </w:tcMar>
          </w:tcPr>
          <w:p w:rsidR="00BD6817" w:rsidRPr="00006BE9" w:rsidRDefault="00BD6817" w:rsidP="00C31D0D">
            <w:pPr>
              <w:pStyle w:val="TableTextEntries"/>
              <w:rPr>
                <w:color w:val="000000"/>
              </w:rPr>
            </w:pPr>
            <w:r w:rsidRPr="00006BE9">
              <w:rPr>
                <w:color w:val="000000"/>
              </w:rPr>
              <w:t>No data available</w:t>
            </w:r>
          </w:p>
        </w:tc>
        <w:tc>
          <w:tcPr>
            <w:tcW w:w="2869" w:type="dxa"/>
            <w:tcBorders>
              <w:bottom w:val="single" w:sz="12" w:space="0" w:color="auto"/>
            </w:tcBorders>
            <w:tcMar>
              <w:left w:w="57" w:type="dxa"/>
              <w:right w:w="57" w:type="dxa"/>
            </w:tcMar>
          </w:tcPr>
          <w:p w:rsidR="00BD6817" w:rsidRPr="00006BE9" w:rsidRDefault="00BD6817" w:rsidP="00C31D0D">
            <w:pPr>
              <w:pStyle w:val="TableTextEntries"/>
              <w:rPr>
                <w:color w:val="000000"/>
              </w:rPr>
            </w:pPr>
          </w:p>
        </w:tc>
        <w:tc>
          <w:tcPr>
            <w:tcW w:w="1206" w:type="dxa"/>
            <w:tcBorders>
              <w:bottom w:val="single" w:sz="12" w:space="0" w:color="auto"/>
            </w:tcBorders>
            <w:tcMar>
              <w:left w:w="57" w:type="dxa"/>
              <w:right w:w="57" w:type="dxa"/>
            </w:tcMar>
          </w:tcPr>
          <w:p w:rsidR="00BD6817" w:rsidRPr="00006BE9" w:rsidRDefault="00BD6817" w:rsidP="00C31D0D">
            <w:pPr>
              <w:pStyle w:val="TableTextEntries"/>
              <w:ind w:left="170"/>
              <w:rPr>
                <w:color w:val="000000"/>
              </w:rPr>
            </w:pPr>
            <w:r w:rsidRPr="00006BE9">
              <w:rPr>
                <w:color w:val="000000"/>
              </w:rPr>
              <w:t>&gt;7 400 000</w:t>
            </w:r>
          </w:p>
        </w:tc>
      </w:tr>
    </w:tbl>
    <w:p w:rsidR="00E764F0" w:rsidRPr="00006BE9" w:rsidRDefault="00E764F0" w:rsidP="007A788C">
      <w:pPr>
        <w:rPr>
          <w:color w:val="000000"/>
        </w:rPr>
        <w:sectPr w:rsidR="00E764F0" w:rsidRPr="00006BE9" w:rsidSect="007A788C">
          <w:headerReference w:type="even" r:id="rId15"/>
          <w:headerReference w:type="default" r:id="rId16"/>
          <w:footerReference w:type="even" r:id="rId17"/>
          <w:footerReference w:type="default" r:id="rId18"/>
          <w:pgSz w:w="16840" w:h="11907" w:orient="landscape" w:code="9"/>
          <w:pgMar w:top="1985" w:right="2381" w:bottom="1985" w:left="851" w:header="851" w:footer="340" w:gutter="0"/>
          <w:cols w:space="720"/>
        </w:sectPr>
      </w:pPr>
    </w:p>
    <w:p w:rsidR="006D4CC9" w:rsidRPr="00006BE9" w:rsidRDefault="006D4CC9" w:rsidP="006D4CC9">
      <w:pPr>
        <w:pStyle w:val="Heading2unnumbered"/>
        <w:tabs>
          <w:tab w:val="clear" w:pos="709"/>
        </w:tabs>
        <w:spacing w:before="0"/>
        <w:rPr>
          <w:color w:val="000000"/>
        </w:rPr>
      </w:pPr>
      <w:bookmarkStart w:id="29" w:name="_Toc217894560"/>
      <w:r w:rsidRPr="00006BE9">
        <w:rPr>
          <w:color w:val="000000"/>
        </w:rPr>
        <w:lastRenderedPageBreak/>
        <w:t>Challenges</w:t>
      </w:r>
      <w:bookmarkEnd w:id="29"/>
    </w:p>
    <w:p w:rsidR="00915B09" w:rsidRPr="00006BE9" w:rsidRDefault="005F4014" w:rsidP="006D4CC9">
      <w:pPr>
        <w:pStyle w:val="BodyText"/>
        <w:rPr>
          <w:color w:val="000000"/>
        </w:rPr>
      </w:pPr>
      <w:smartTag w:uri="urn:schemas-microsoft-com:office:smarttags" w:element="country-region">
        <w:r w:rsidRPr="00006BE9">
          <w:rPr>
            <w:color w:val="000000"/>
          </w:rPr>
          <w:t>Australia</w:t>
        </w:r>
      </w:smartTag>
      <w:r w:rsidRPr="00006BE9">
        <w:rPr>
          <w:color w:val="000000"/>
        </w:rPr>
        <w:t>’s</w:t>
      </w:r>
      <w:r w:rsidR="006D4CC9" w:rsidRPr="00006BE9">
        <w:rPr>
          <w:color w:val="000000"/>
        </w:rPr>
        <w:t xml:space="preserve"> support to </w:t>
      </w:r>
      <w:r w:rsidR="00915B09" w:rsidRPr="00006BE9">
        <w:rPr>
          <w:color w:val="000000"/>
        </w:rPr>
        <w:t xml:space="preserve">the </w:t>
      </w:r>
      <w:r w:rsidR="006D4CC9" w:rsidRPr="00006BE9">
        <w:rPr>
          <w:color w:val="000000"/>
        </w:rPr>
        <w:t xml:space="preserve">RWSS NTP2 represents a new way of donor engagement with the </w:t>
      </w:r>
      <w:r w:rsidRPr="00006BE9">
        <w:rPr>
          <w:color w:val="000000"/>
        </w:rPr>
        <w:t>G</w:t>
      </w:r>
      <w:r w:rsidR="006D4CC9" w:rsidRPr="00006BE9">
        <w:rPr>
          <w:color w:val="000000"/>
        </w:rPr>
        <w:t>overnment</w:t>
      </w:r>
      <w:r w:rsidRPr="00006BE9">
        <w:rPr>
          <w:color w:val="000000"/>
        </w:rPr>
        <w:t xml:space="preserve"> of Vietnam</w:t>
      </w:r>
      <w:r w:rsidR="006D4CC9" w:rsidRPr="00006BE9">
        <w:rPr>
          <w:color w:val="000000"/>
        </w:rPr>
        <w:t xml:space="preserve">. It will take time for all parties to adapt to this. The RWSS NTP2 also introduces significant changes to the way in which </w:t>
      </w:r>
      <w:r w:rsidR="00915B09" w:rsidRPr="00006BE9">
        <w:rPr>
          <w:color w:val="000000"/>
        </w:rPr>
        <w:t xml:space="preserve">the </w:t>
      </w:r>
      <w:r w:rsidR="006D4CC9" w:rsidRPr="00006BE9">
        <w:rPr>
          <w:color w:val="000000"/>
        </w:rPr>
        <w:t>government delivers its support for rural water supply and sanitation</w:t>
      </w:r>
      <w:r w:rsidR="00915B09" w:rsidRPr="00006BE9">
        <w:rPr>
          <w:color w:val="000000"/>
        </w:rPr>
        <w:t>,</w:t>
      </w:r>
      <w:r w:rsidR="006D4CC9" w:rsidRPr="00006BE9">
        <w:rPr>
          <w:color w:val="000000"/>
        </w:rPr>
        <w:t xml:space="preserve"> </w:t>
      </w:r>
      <w:r w:rsidR="00915B09" w:rsidRPr="00006BE9">
        <w:rPr>
          <w:color w:val="000000"/>
        </w:rPr>
        <w:t>m</w:t>
      </w:r>
      <w:r w:rsidR="006D4CC9" w:rsidRPr="00006BE9">
        <w:rPr>
          <w:color w:val="000000"/>
        </w:rPr>
        <w:t xml:space="preserve">ost notably: </w:t>
      </w:r>
    </w:p>
    <w:p w:rsidR="00915B09" w:rsidRPr="00006BE9" w:rsidRDefault="006D4CC9" w:rsidP="00915B09">
      <w:pPr>
        <w:pStyle w:val="ListBullet"/>
        <w:rPr>
          <w:color w:val="000000"/>
        </w:rPr>
      </w:pPr>
      <w:r w:rsidRPr="00006BE9">
        <w:rPr>
          <w:color w:val="000000"/>
        </w:rPr>
        <w:t>the introduction of beneficiary participation to a system that has operated through central control for several decades</w:t>
      </w:r>
    </w:p>
    <w:p w:rsidR="00F944D3" w:rsidRPr="00006BE9" w:rsidRDefault="006D4CC9" w:rsidP="00915B09">
      <w:pPr>
        <w:pStyle w:val="ListBullet"/>
        <w:rPr>
          <w:color w:val="000000"/>
        </w:rPr>
      </w:pPr>
      <w:r w:rsidRPr="00006BE9">
        <w:rPr>
          <w:color w:val="000000"/>
        </w:rPr>
        <w:t>up-front planning for operation and maintenance</w:t>
      </w:r>
    </w:p>
    <w:p w:rsidR="00915B09" w:rsidRPr="00006BE9" w:rsidRDefault="006D4CC9" w:rsidP="00915B09">
      <w:pPr>
        <w:pStyle w:val="ListBullet"/>
        <w:rPr>
          <w:color w:val="000000"/>
        </w:rPr>
      </w:pPr>
      <w:r w:rsidRPr="00006BE9">
        <w:rPr>
          <w:color w:val="000000"/>
        </w:rPr>
        <w:t>a move away from the previous unilateral focus on water supply to give sanitation equal status</w:t>
      </w:r>
    </w:p>
    <w:p w:rsidR="00915B09" w:rsidRPr="00006BE9" w:rsidRDefault="006D4CC9" w:rsidP="00915B09">
      <w:pPr>
        <w:pStyle w:val="ListBullet"/>
        <w:rPr>
          <w:color w:val="000000"/>
        </w:rPr>
      </w:pPr>
      <w:r w:rsidRPr="00006BE9">
        <w:rPr>
          <w:color w:val="000000"/>
        </w:rPr>
        <w:t xml:space="preserve">much greater emphasis on software aspects of </w:t>
      </w:r>
      <w:r w:rsidR="00F944D3" w:rsidRPr="00006BE9">
        <w:rPr>
          <w:color w:val="000000"/>
        </w:rPr>
        <w:t xml:space="preserve">providing </w:t>
      </w:r>
      <w:r w:rsidRPr="00006BE9">
        <w:rPr>
          <w:color w:val="000000"/>
        </w:rPr>
        <w:t>information, education and communication to foster better hygiene practices</w:t>
      </w:r>
    </w:p>
    <w:p w:rsidR="00915B09" w:rsidRPr="00006BE9" w:rsidRDefault="006D4CC9" w:rsidP="00915B09">
      <w:pPr>
        <w:pStyle w:val="ListBullet"/>
        <w:rPr>
          <w:color w:val="000000"/>
        </w:rPr>
      </w:pPr>
      <w:r w:rsidRPr="00006BE9">
        <w:rPr>
          <w:color w:val="000000"/>
        </w:rPr>
        <w:t>deeper collaboration</w:t>
      </w:r>
      <w:r w:rsidR="00F944D3" w:rsidRPr="00006BE9">
        <w:rPr>
          <w:color w:val="000000"/>
        </w:rPr>
        <w:t xml:space="preserve"> between ministries and between departments</w:t>
      </w:r>
      <w:r w:rsidRPr="00006BE9">
        <w:rPr>
          <w:color w:val="000000"/>
        </w:rPr>
        <w:t xml:space="preserve">. </w:t>
      </w:r>
    </w:p>
    <w:p w:rsidR="006D4CC9" w:rsidRPr="00006BE9" w:rsidRDefault="006D4CC9" w:rsidP="00915B09">
      <w:pPr>
        <w:pStyle w:val="BodyText"/>
        <w:spacing w:before="0"/>
        <w:rPr>
          <w:color w:val="000000"/>
        </w:rPr>
      </w:pPr>
      <w:r w:rsidRPr="00006BE9">
        <w:rPr>
          <w:color w:val="000000"/>
        </w:rPr>
        <w:t>All of these represent major changes to entrenched ways of operating. Established incentive mechanisms will also be affected. In addition to this</w:t>
      </w:r>
      <w:r w:rsidR="00932AE4" w:rsidRPr="00006BE9">
        <w:rPr>
          <w:color w:val="000000"/>
        </w:rPr>
        <w:t>,</w:t>
      </w:r>
      <w:r w:rsidRPr="00006BE9">
        <w:rPr>
          <w:color w:val="000000"/>
        </w:rPr>
        <w:t xml:space="preserve"> the scope of the program is ambitious.</w:t>
      </w:r>
    </w:p>
    <w:p w:rsidR="006D4CC9" w:rsidRPr="00006BE9" w:rsidRDefault="006D4CC9" w:rsidP="006D4CC9">
      <w:pPr>
        <w:pStyle w:val="BodyText"/>
        <w:rPr>
          <w:color w:val="000000"/>
        </w:rPr>
      </w:pPr>
      <w:r w:rsidRPr="00006BE9">
        <w:rPr>
          <w:color w:val="000000"/>
        </w:rPr>
        <w:t xml:space="preserve">The joint annual review carried out in July 2008 concluded that sufficient progress had been made towards achieving the predefined triggers and benchmarks to justify rolling out the </w:t>
      </w:r>
      <w:r w:rsidR="00D87CA4" w:rsidRPr="00006BE9">
        <w:rPr>
          <w:color w:val="000000"/>
        </w:rPr>
        <w:t>targeted program budget support</w:t>
      </w:r>
      <w:r w:rsidRPr="00006BE9">
        <w:rPr>
          <w:color w:val="000000"/>
        </w:rPr>
        <w:t xml:space="preserve"> to a further 21 provinces. However</w:t>
      </w:r>
      <w:r w:rsidR="00F944D3" w:rsidRPr="00006BE9">
        <w:rPr>
          <w:color w:val="000000"/>
        </w:rPr>
        <w:t>,</w:t>
      </w:r>
      <w:r w:rsidRPr="00006BE9">
        <w:rPr>
          <w:color w:val="000000"/>
        </w:rPr>
        <w:t xml:space="preserve"> given the extent of the changes being introduced by the RWSS NTP2, the limited capacity of the local government bodies responsible for implementation, the lower than expected allocation from the state budget, and </w:t>
      </w:r>
      <w:r w:rsidR="00F944D3" w:rsidRPr="00006BE9">
        <w:rPr>
          <w:color w:val="000000"/>
        </w:rPr>
        <w:t xml:space="preserve">the </w:t>
      </w:r>
      <w:r w:rsidRPr="00006BE9">
        <w:rPr>
          <w:color w:val="000000"/>
        </w:rPr>
        <w:t xml:space="preserve">implications </w:t>
      </w:r>
      <w:r w:rsidR="00F944D3" w:rsidRPr="00006BE9">
        <w:rPr>
          <w:color w:val="000000"/>
        </w:rPr>
        <w:t xml:space="preserve">for </w:t>
      </w:r>
      <w:r w:rsidRPr="00006BE9">
        <w:rPr>
          <w:color w:val="000000"/>
        </w:rPr>
        <w:t>coverage arising from cost inflation, it is recommended that a more cautious approach be adopted. International and local consultants (rural water and sanitation engineers and community</w:t>
      </w:r>
      <w:r w:rsidR="00F944D3" w:rsidRPr="00006BE9">
        <w:rPr>
          <w:color w:val="000000"/>
        </w:rPr>
        <w:t>-</w:t>
      </w:r>
      <w:r w:rsidRPr="00006BE9">
        <w:rPr>
          <w:color w:val="000000"/>
        </w:rPr>
        <w:t xml:space="preserve">based development specialists) who have had no prior involvement in the RWSS NTP2 should be hired as soon as possible to carry out a fully independent assessment of performance. </w:t>
      </w:r>
    </w:p>
    <w:p w:rsidR="006D4CC9" w:rsidRPr="00006BE9" w:rsidRDefault="006D4CC9" w:rsidP="006D4CC9">
      <w:pPr>
        <w:pStyle w:val="BodyText"/>
        <w:rPr>
          <w:color w:val="000000"/>
        </w:rPr>
      </w:pPr>
      <w:r w:rsidRPr="00006BE9">
        <w:rPr>
          <w:color w:val="000000"/>
        </w:rPr>
        <w:t>In addition, work has been done to ensure that performance measurement is gender sensitive. Many of the performance indicators could be made more gender sensitive and all data relating to people generated by the program will be sex disaggregated. Support will be provided to the Government of Vietnam to enable this</w:t>
      </w:r>
      <w:r w:rsidR="00F944D3" w:rsidRPr="00006BE9">
        <w:rPr>
          <w:color w:val="000000"/>
        </w:rPr>
        <w:t>,</w:t>
      </w:r>
      <w:r w:rsidRPr="00006BE9">
        <w:rPr>
          <w:color w:val="000000"/>
        </w:rPr>
        <w:t xml:space="preserve"> and the RWSS performance assessment framework will be amended to reflect these changes.</w:t>
      </w:r>
    </w:p>
    <w:p w:rsidR="00A02CFE" w:rsidRPr="00006BE9" w:rsidRDefault="00A02CFE" w:rsidP="007A45B0">
      <w:pPr>
        <w:pStyle w:val="Heading1unnumbered"/>
        <w:spacing w:after="1680"/>
        <w:rPr>
          <w:color w:val="000000"/>
        </w:rPr>
      </w:pPr>
      <w:bookmarkStart w:id="30" w:name="_Toc217894561"/>
      <w:r w:rsidRPr="00006BE9">
        <w:rPr>
          <w:color w:val="000000"/>
        </w:rPr>
        <w:lastRenderedPageBreak/>
        <w:t>Quality of infrastructure activities</w:t>
      </w:r>
      <w:bookmarkEnd w:id="30"/>
    </w:p>
    <w:p w:rsidR="00A02CFE" w:rsidRPr="00006BE9" w:rsidRDefault="00A02CFE" w:rsidP="004D232B">
      <w:pPr>
        <w:pStyle w:val="BodyText"/>
        <w:rPr>
          <w:color w:val="000000"/>
        </w:rPr>
      </w:pPr>
      <w:r w:rsidRPr="00006BE9">
        <w:rPr>
          <w:color w:val="000000"/>
        </w:rPr>
        <w:t>In general</w:t>
      </w:r>
      <w:r w:rsidR="00F944D3" w:rsidRPr="00006BE9">
        <w:rPr>
          <w:color w:val="000000"/>
        </w:rPr>
        <w:t>,</w:t>
      </w:r>
      <w:r w:rsidRPr="00006BE9">
        <w:rPr>
          <w:color w:val="000000"/>
        </w:rPr>
        <w:t xml:space="preserve"> the quality of the infrastructure portfolio is good.</w:t>
      </w:r>
      <w:r w:rsidR="00F21DB8" w:rsidRPr="00006BE9">
        <w:rPr>
          <w:color w:val="000000"/>
        </w:rPr>
        <w:t xml:space="preserve"> </w:t>
      </w:r>
      <w:r w:rsidR="00F944D3" w:rsidRPr="00006BE9">
        <w:rPr>
          <w:color w:val="000000"/>
        </w:rPr>
        <w:t>The</w:t>
      </w:r>
      <w:r w:rsidRPr="00006BE9">
        <w:rPr>
          <w:color w:val="000000"/>
        </w:rPr>
        <w:t xml:space="preserve"> </w:t>
      </w:r>
      <w:r w:rsidR="00F944D3" w:rsidRPr="00006BE9">
        <w:rPr>
          <w:color w:val="000000"/>
        </w:rPr>
        <w:t>quality-at-entry ratings</w:t>
      </w:r>
      <w:r w:rsidRPr="00006BE9">
        <w:rPr>
          <w:color w:val="000000"/>
        </w:rPr>
        <w:t xml:space="preserve"> for </w:t>
      </w:r>
      <w:r w:rsidR="00932AE4" w:rsidRPr="00006BE9">
        <w:rPr>
          <w:color w:val="000000"/>
        </w:rPr>
        <w:t xml:space="preserve">initiatives </w:t>
      </w:r>
      <w:r w:rsidRPr="00006BE9">
        <w:rPr>
          <w:color w:val="000000"/>
        </w:rPr>
        <w:t>designed during 2007 were high</w:t>
      </w:r>
      <w:r w:rsidR="00F944D3" w:rsidRPr="00006BE9">
        <w:rPr>
          <w:color w:val="000000"/>
        </w:rPr>
        <w:t>,</w:t>
      </w:r>
      <w:r w:rsidRPr="00006BE9">
        <w:rPr>
          <w:color w:val="000000"/>
        </w:rPr>
        <w:t xml:space="preserve"> with an overall average of 4.6</w:t>
      </w:r>
      <w:r w:rsidR="00401C93" w:rsidRPr="00006BE9">
        <w:rPr>
          <w:color w:val="000000"/>
        </w:rPr>
        <w:t xml:space="preserve"> (Table 8)</w:t>
      </w:r>
      <w:r w:rsidR="00F944D3" w:rsidRPr="00006BE9">
        <w:rPr>
          <w:color w:val="000000"/>
        </w:rPr>
        <w:t>.</w:t>
      </w:r>
      <w:r w:rsidRPr="00006BE9">
        <w:rPr>
          <w:color w:val="000000"/>
        </w:rPr>
        <w:t xml:space="preserve"> </w:t>
      </w:r>
      <w:r w:rsidR="00F944D3" w:rsidRPr="00006BE9">
        <w:rPr>
          <w:color w:val="000000"/>
        </w:rPr>
        <w:t>N</w:t>
      </w:r>
      <w:r w:rsidRPr="00006BE9">
        <w:rPr>
          <w:color w:val="000000"/>
        </w:rPr>
        <w:t xml:space="preserve">o </w:t>
      </w:r>
      <w:r w:rsidR="00F944D3" w:rsidRPr="00006BE9">
        <w:rPr>
          <w:color w:val="000000"/>
        </w:rPr>
        <w:t xml:space="preserve">rating was </w:t>
      </w:r>
      <w:r w:rsidRPr="00006BE9">
        <w:rPr>
          <w:color w:val="000000"/>
        </w:rPr>
        <w:t>lower than 4</w:t>
      </w:r>
      <w:r w:rsidR="00707CB5" w:rsidRPr="00006BE9">
        <w:rPr>
          <w:color w:val="000000"/>
        </w:rPr>
        <w:t xml:space="preserve"> (adequate quality, with some work required to improve quality)</w:t>
      </w:r>
      <w:r w:rsidRPr="00006BE9">
        <w:rPr>
          <w:color w:val="000000"/>
        </w:rPr>
        <w:t>.</w:t>
      </w:r>
      <w:r w:rsidR="00F21DB8" w:rsidRPr="00006BE9">
        <w:rPr>
          <w:color w:val="000000"/>
        </w:rPr>
        <w:t xml:space="preserve"> </w:t>
      </w:r>
      <w:r w:rsidRPr="00006BE9">
        <w:rPr>
          <w:color w:val="000000"/>
        </w:rPr>
        <w:t xml:space="preserve">In many cases initial drafts of </w:t>
      </w:r>
      <w:r w:rsidR="00F944D3" w:rsidRPr="00006BE9">
        <w:rPr>
          <w:color w:val="000000"/>
        </w:rPr>
        <w:t xml:space="preserve">the </w:t>
      </w:r>
      <w:r w:rsidRPr="00006BE9">
        <w:rPr>
          <w:color w:val="000000"/>
        </w:rPr>
        <w:t>design document</w:t>
      </w:r>
      <w:r w:rsidR="00F944D3" w:rsidRPr="00006BE9">
        <w:rPr>
          <w:color w:val="000000"/>
        </w:rPr>
        <w:t>s</w:t>
      </w:r>
      <w:r w:rsidRPr="00006BE9">
        <w:rPr>
          <w:color w:val="000000"/>
        </w:rPr>
        <w:t xml:space="preserve"> </w:t>
      </w:r>
      <w:r w:rsidR="00F944D3" w:rsidRPr="00006BE9">
        <w:rPr>
          <w:color w:val="000000"/>
        </w:rPr>
        <w:t>were rated</w:t>
      </w:r>
      <w:r w:rsidRPr="00006BE9">
        <w:rPr>
          <w:color w:val="000000"/>
        </w:rPr>
        <w:t xml:space="preserve"> lower </w:t>
      </w:r>
      <w:r w:rsidR="00F944D3" w:rsidRPr="00006BE9">
        <w:rPr>
          <w:color w:val="000000"/>
        </w:rPr>
        <w:t>but,</w:t>
      </w:r>
      <w:r w:rsidRPr="00006BE9">
        <w:rPr>
          <w:color w:val="000000"/>
        </w:rPr>
        <w:t xml:space="preserve"> after revisions </w:t>
      </w:r>
      <w:r w:rsidR="00F944D3" w:rsidRPr="00006BE9">
        <w:rPr>
          <w:color w:val="000000"/>
        </w:rPr>
        <w:t>were</w:t>
      </w:r>
      <w:r w:rsidRPr="00006BE9">
        <w:rPr>
          <w:color w:val="000000"/>
        </w:rPr>
        <w:t xml:space="preserve"> made to take account of advice given during the peer review</w:t>
      </w:r>
      <w:r w:rsidR="00F944D3" w:rsidRPr="00006BE9">
        <w:rPr>
          <w:color w:val="000000"/>
        </w:rPr>
        <w:t xml:space="preserve">, their ratings were </w:t>
      </w:r>
      <w:r w:rsidR="00025204" w:rsidRPr="00006BE9">
        <w:rPr>
          <w:color w:val="000000"/>
        </w:rPr>
        <w:t>increased</w:t>
      </w:r>
      <w:r w:rsidRPr="00006BE9">
        <w:rPr>
          <w:color w:val="000000"/>
        </w:rPr>
        <w:t>.</w:t>
      </w:r>
    </w:p>
    <w:p w:rsidR="00401C93" w:rsidRPr="00006BE9" w:rsidRDefault="00401C93" w:rsidP="00401C93">
      <w:pPr>
        <w:pStyle w:val="Caption"/>
        <w:rPr>
          <w:color w:val="000000"/>
        </w:rPr>
      </w:pPr>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8</w:t>
      </w:r>
      <w:r w:rsidRPr="00006BE9">
        <w:rPr>
          <w:color w:val="000000"/>
        </w:rPr>
        <w:fldChar w:fldCharType="end"/>
      </w:r>
      <w:r w:rsidRPr="00006BE9">
        <w:rPr>
          <w:color w:val="000000"/>
        </w:rPr>
        <w:t>: Infrastructure quality-at-entry ratings for 2007</w:t>
      </w:r>
    </w:p>
    <w:tbl>
      <w:tblPr>
        <w:tblW w:w="4938" w:type="pct"/>
        <w:tblInd w:w="57" w:type="dxa"/>
        <w:tblLayout w:type="fixed"/>
        <w:tblLook w:val="0000" w:firstRow="0" w:lastRow="0" w:firstColumn="0" w:lastColumn="0" w:noHBand="0" w:noVBand="0"/>
      </w:tblPr>
      <w:tblGrid>
        <w:gridCol w:w="921"/>
        <w:gridCol w:w="922"/>
        <w:gridCol w:w="1312"/>
        <w:gridCol w:w="1312"/>
        <w:gridCol w:w="1501"/>
        <w:gridCol w:w="1124"/>
        <w:gridCol w:w="859"/>
      </w:tblGrid>
      <w:tr w:rsidR="00401C93" w:rsidRPr="00006BE9" w:rsidTr="007A45B0">
        <w:trPr>
          <w:cantSplit/>
          <w:tblHeader/>
        </w:trPr>
        <w:tc>
          <w:tcPr>
            <w:tcW w:w="577" w:type="pct"/>
            <w:tcBorders>
              <w:bottom w:val="single" w:sz="12" w:space="0" w:color="auto"/>
            </w:tcBorders>
            <w:tcMar>
              <w:left w:w="57" w:type="dxa"/>
              <w:right w:w="57" w:type="dxa"/>
            </w:tcMar>
          </w:tcPr>
          <w:p w:rsidR="00401C93" w:rsidRPr="00006BE9" w:rsidRDefault="00401C93" w:rsidP="00401C93">
            <w:pPr>
              <w:pStyle w:val="TableDataColumnHeading"/>
              <w:jc w:val="left"/>
              <w:rPr>
                <w:color w:val="000000"/>
              </w:rPr>
            </w:pPr>
          </w:p>
        </w:tc>
        <w:tc>
          <w:tcPr>
            <w:tcW w:w="578"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Clear objectives</w:t>
            </w:r>
          </w:p>
        </w:tc>
        <w:tc>
          <w:tcPr>
            <w:tcW w:w="823"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Monitoring framework</w:t>
            </w:r>
          </w:p>
        </w:tc>
        <w:tc>
          <w:tcPr>
            <w:tcW w:w="823"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Sustainability</w:t>
            </w:r>
          </w:p>
        </w:tc>
        <w:tc>
          <w:tcPr>
            <w:tcW w:w="941"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Implementation &amp; risk management</w:t>
            </w:r>
          </w:p>
        </w:tc>
        <w:tc>
          <w:tcPr>
            <w:tcW w:w="705"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Analysis &amp; lessons</w:t>
            </w:r>
          </w:p>
        </w:tc>
        <w:tc>
          <w:tcPr>
            <w:tcW w:w="538" w:type="pct"/>
            <w:tcBorders>
              <w:bottom w:val="single" w:sz="12" w:space="0" w:color="auto"/>
            </w:tcBorders>
            <w:tcMar>
              <w:left w:w="57" w:type="dxa"/>
              <w:right w:w="57" w:type="dxa"/>
            </w:tcMar>
          </w:tcPr>
          <w:p w:rsidR="00401C93" w:rsidRPr="00006BE9" w:rsidRDefault="00401C93" w:rsidP="00401C93">
            <w:pPr>
              <w:pStyle w:val="TableDataColumnHeading"/>
              <w:rPr>
                <w:color w:val="000000"/>
              </w:rPr>
            </w:pPr>
            <w:r w:rsidRPr="00006BE9">
              <w:rPr>
                <w:color w:val="000000"/>
              </w:rPr>
              <w:t>Average</w:t>
            </w:r>
          </w:p>
        </w:tc>
      </w:tr>
      <w:tr w:rsidR="00401C93" w:rsidRPr="00006BE9" w:rsidTr="007A45B0">
        <w:trPr>
          <w:cantSplit/>
          <w:trHeight w:val="300"/>
        </w:trPr>
        <w:tc>
          <w:tcPr>
            <w:tcW w:w="577"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jc w:val="left"/>
              <w:rPr>
                <w:color w:val="000000"/>
              </w:rPr>
            </w:pPr>
            <w:r w:rsidRPr="00006BE9">
              <w:rPr>
                <w:color w:val="000000"/>
              </w:rPr>
              <w:t>Average</w:t>
            </w:r>
          </w:p>
        </w:tc>
        <w:tc>
          <w:tcPr>
            <w:tcW w:w="578"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color w:val="000000"/>
              </w:rPr>
            </w:pPr>
            <w:r w:rsidRPr="00006BE9">
              <w:rPr>
                <w:color w:val="000000"/>
              </w:rPr>
              <w:t>5</w:t>
            </w:r>
          </w:p>
        </w:tc>
        <w:tc>
          <w:tcPr>
            <w:tcW w:w="823"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color w:val="000000"/>
              </w:rPr>
            </w:pPr>
            <w:r w:rsidRPr="00006BE9">
              <w:rPr>
                <w:color w:val="000000"/>
              </w:rPr>
              <w:t>4.5</w:t>
            </w:r>
          </w:p>
        </w:tc>
        <w:tc>
          <w:tcPr>
            <w:tcW w:w="823"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color w:val="000000"/>
              </w:rPr>
            </w:pPr>
            <w:r w:rsidRPr="00006BE9">
              <w:rPr>
                <w:color w:val="000000"/>
              </w:rPr>
              <w:t>4.25</w:t>
            </w:r>
          </w:p>
        </w:tc>
        <w:tc>
          <w:tcPr>
            <w:tcW w:w="941"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color w:val="000000"/>
              </w:rPr>
            </w:pPr>
            <w:r w:rsidRPr="00006BE9">
              <w:rPr>
                <w:color w:val="000000"/>
              </w:rPr>
              <w:t>4.25</w:t>
            </w:r>
          </w:p>
        </w:tc>
        <w:tc>
          <w:tcPr>
            <w:tcW w:w="705"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color w:val="000000"/>
              </w:rPr>
            </w:pPr>
            <w:r w:rsidRPr="00006BE9">
              <w:rPr>
                <w:color w:val="000000"/>
              </w:rPr>
              <w:t>5</w:t>
            </w:r>
          </w:p>
        </w:tc>
        <w:tc>
          <w:tcPr>
            <w:tcW w:w="538" w:type="pct"/>
            <w:tcBorders>
              <w:top w:val="single" w:sz="12" w:space="0" w:color="auto"/>
              <w:bottom w:val="single" w:sz="12" w:space="0" w:color="auto"/>
            </w:tcBorders>
            <w:tcMar>
              <w:left w:w="57" w:type="dxa"/>
              <w:right w:w="57" w:type="dxa"/>
            </w:tcMar>
          </w:tcPr>
          <w:p w:rsidR="00401C93" w:rsidRPr="00006BE9" w:rsidRDefault="00401C93" w:rsidP="00401C93">
            <w:pPr>
              <w:pStyle w:val="TableDataEntries"/>
              <w:rPr>
                <w:rFonts w:ascii="Franklin Gothic Medium" w:hAnsi="Franklin Gothic Medium"/>
                <w:color w:val="000000"/>
              </w:rPr>
            </w:pPr>
            <w:r w:rsidRPr="00006BE9">
              <w:rPr>
                <w:rFonts w:ascii="Franklin Gothic Medium" w:hAnsi="Franklin Gothic Medium"/>
                <w:color w:val="000000"/>
              </w:rPr>
              <w:t>4.6</w:t>
            </w:r>
          </w:p>
        </w:tc>
      </w:tr>
    </w:tbl>
    <w:p w:rsidR="00733C33" w:rsidRPr="00006BE9" w:rsidRDefault="00733C33" w:rsidP="00733C33">
      <w:pPr>
        <w:pStyle w:val="Note"/>
        <w:rPr>
          <w:color w:val="000000"/>
        </w:rPr>
      </w:pPr>
      <w:r w:rsidRPr="00006BE9">
        <w:rPr>
          <w:color w:val="000000"/>
        </w:rPr>
        <w:t xml:space="preserve">Note: Rating of 4: Adequate quality. Rating of 5: Good quality </w:t>
      </w:r>
    </w:p>
    <w:p w:rsidR="00A02CFE" w:rsidRPr="00006BE9" w:rsidRDefault="009D2972" w:rsidP="004D232B">
      <w:pPr>
        <w:pStyle w:val="BodyText"/>
        <w:rPr>
          <w:color w:val="000000"/>
        </w:rPr>
      </w:pPr>
      <w:r w:rsidRPr="00006BE9">
        <w:rPr>
          <w:color w:val="000000"/>
          <w:spacing w:val="-2"/>
        </w:rPr>
        <w:t>O</w:t>
      </w:r>
      <w:r w:rsidR="00025204" w:rsidRPr="00006BE9">
        <w:rPr>
          <w:color w:val="000000"/>
          <w:spacing w:val="-2"/>
        </w:rPr>
        <w:t>f</w:t>
      </w:r>
      <w:r w:rsidR="00A02CFE" w:rsidRPr="00006BE9">
        <w:rPr>
          <w:color w:val="000000"/>
          <w:spacing w:val="-2"/>
        </w:rPr>
        <w:t xml:space="preserve"> </w:t>
      </w:r>
      <w:r w:rsidRPr="00006BE9">
        <w:rPr>
          <w:color w:val="000000"/>
          <w:spacing w:val="-2"/>
        </w:rPr>
        <w:t xml:space="preserve">the 16 completed assessments of </w:t>
      </w:r>
      <w:r w:rsidR="005B30A5" w:rsidRPr="00006BE9">
        <w:rPr>
          <w:color w:val="000000"/>
          <w:spacing w:val="-2"/>
        </w:rPr>
        <w:t xml:space="preserve">the </w:t>
      </w:r>
      <w:r w:rsidR="00025204" w:rsidRPr="00006BE9">
        <w:rPr>
          <w:color w:val="000000"/>
          <w:spacing w:val="-2"/>
        </w:rPr>
        <w:t xml:space="preserve">quality </w:t>
      </w:r>
      <w:r w:rsidR="005B30A5" w:rsidRPr="00006BE9">
        <w:rPr>
          <w:color w:val="000000"/>
          <w:spacing w:val="-2"/>
        </w:rPr>
        <w:t xml:space="preserve">of initiatives </w:t>
      </w:r>
      <w:r w:rsidR="00025204" w:rsidRPr="00006BE9">
        <w:rPr>
          <w:color w:val="000000"/>
          <w:spacing w:val="-2"/>
        </w:rPr>
        <w:t>at implementation</w:t>
      </w:r>
      <w:r w:rsidRPr="00006BE9">
        <w:rPr>
          <w:color w:val="000000"/>
          <w:spacing w:val="-2"/>
        </w:rPr>
        <w:t xml:space="preserve"> (one </w:t>
      </w:r>
      <w:r w:rsidR="005B30A5" w:rsidRPr="00006BE9">
        <w:rPr>
          <w:color w:val="000000"/>
          <w:spacing w:val="-2"/>
        </w:rPr>
        <w:t>assessment</w:t>
      </w:r>
      <w:r w:rsidR="005B30A5" w:rsidRPr="00006BE9">
        <w:rPr>
          <w:color w:val="000000"/>
        </w:rPr>
        <w:t xml:space="preserve"> </w:t>
      </w:r>
      <w:r w:rsidRPr="00006BE9">
        <w:rPr>
          <w:color w:val="000000"/>
        </w:rPr>
        <w:t>was outstanding)</w:t>
      </w:r>
      <w:r w:rsidR="00025204" w:rsidRPr="00006BE9">
        <w:rPr>
          <w:color w:val="000000"/>
        </w:rPr>
        <w:t xml:space="preserve">, </w:t>
      </w:r>
      <w:r w:rsidR="00C972E0" w:rsidRPr="00006BE9">
        <w:rPr>
          <w:color w:val="000000"/>
        </w:rPr>
        <w:t>at least 81 per cent</w:t>
      </w:r>
      <w:r w:rsidR="00A02CFE" w:rsidRPr="00006BE9">
        <w:rPr>
          <w:color w:val="000000"/>
        </w:rPr>
        <w:t xml:space="preserve"> </w:t>
      </w:r>
      <w:r w:rsidR="00C972E0" w:rsidRPr="00006BE9">
        <w:rPr>
          <w:color w:val="000000"/>
        </w:rPr>
        <w:t xml:space="preserve">were </w:t>
      </w:r>
      <w:r w:rsidRPr="00006BE9">
        <w:rPr>
          <w:color w:val="000000"/>
        </w:rPr>
        <w:t xml:space="preserve">rated </w:t>
      </w:r>
      <w:r w:rsidR="00A02CFE" w:rsidRPr="00006BE9">
        <w:rPr>
          <w:color w:val="000000"/>
        </w:rPr>
        <w:t>as satisfactory for implementation progress, achievement of objectives</w:t>
      </w:r>
      <w:r w:rsidR="00C972E0" w:rsidRPr="00006BE9">
        <w:rPr>
          <w:color w:val="000000"/>
        </w:rPr>
        <w:t>,</w:t>
      </w:r>
      <w:r w:rsidR="00A02CFE" w:rsidRPr="00006BE9">
        <w:rPr>
          <w:color w:val="000000"/>
        </w:rPr>
        <w:t xml:space="preserve"> and </w:t>
      </w:r>
      <w:r w:rsidR="00C972E0" w:rsidRPr="00006BE9">
        <w:rPr>
          <w:color w:val="000000"/>
        </w:rPr>
        <w:t>monitoring and evaluation</w:t>
      </w:r>
      <w:r w:rsidR="00480F1C" w:rsidRPr="00006BE9">
        <w:rPr>
          <w:color w:val="000000"/>
        </w:rPr>
        <w:t xml:space="preserve"> (Table 9)</w:t>
      </w:r>
      <w:r w:rsidR="00A02CFE" w:rsidRPr="00006BE9">
        <w:rPr>
          <w:color w:val="000000"/>
        </w:rPr>
        <w:t>.</w:t>
      </w:r>
      <w:r w:rsidR="00F21DB8" w:rsidRPr="00006BE9">
        <w:rPr>
          <w:color w:val="000000"/>
        </w:rPr>
        <w:t xml:space="preserve"> </w:t>
      </w:r>
      <w:r w:rsidR="005B30A5" w:rsidRPr="00006BE9">
        <w:rPr>
          <w:color w:val="000000"/>
        </w:rPr>
        <w:t>The s</w:t>
      </w:r>
      <w:r w:rsidR="005A0F30" w:rsidRPr="00006BE9">
        <w:rPr>
          <w:color w:val="000000"/>
        </w:rPr>
        <w:t xml:space="preserve">ustainability of outcomes was </w:t>
      </w:r>
      <w:r w:rsidR="005B30A5" w:rsidRPr="00006BE9">
        <w:rPr>
          <w:color w:val="000000"/>
        </w:rPr>
        <w:t xml:space="preserve">considered </w:t>
      </w:r>
      <w:r w:rsidR="005A0F30" w:rsidRPr="00006BE9">
        <w:rPr>
          <w:color w:val="000000"/>
        </w:rPr>
        <w:t xml:space="preserve">unsatisfactory for 31 per cent of initiatives. </w:t>
      </w:r>
      <w:r w:rsidR="00C972E0" w:rsidRPr="00006BE9">
        <w:rPr>
          <w:color w:val="000000"/>
        </w:rPr>
        <w:t>The</w:t>
      </w:r>
      <w:r w:rsidR="00A02CFE" w:rsidRPr="00006BE9">
        <w:rPr>
          <w:color w:val="000000"/>
        </w:rPr>
        <w:t xml:space="preserve"> </w:t>
      </w:r>
      <w:r w:rsidR="00C972E0" w:rsidRPr="00006BE9">
        <w:rPr>
          <w:color w:val="000000"/>
        </w:rPr>
        <w:t xml:space="preserve">proportion with satisfactory </w:t>
      </w:r>
      <w:r w:rsidR="00A02CFE" w:rsidRPr="00006BE9">
        <w:rPr>
          <w:color w:val="000000"/>
        </w:rPr>
        <w:t>monitoring and evaluation</w:t>
      </w:r>
      <w:r w:rsidR="00C972E0" w:rsidRPr="00006BE9">
        <w:rPr>
          <w:color w:val="000000"/>
        </w:rPr>
        <w:t xml:space="preserve"> had</w:t>
      </w:r>
      <w:r w:rsidR="00A02CFE" w:rsidRPr="00006BE9">
        <w:rPr>
          <w:color w:val="000000"/>
        </w:rPr>
        <w:t xml:space="preserve"> increas</w:t>
      </w:r>
      <w:r w:rsidR="00C972E0" w:rsidRPr="00006BE9">
        <w:rPr>
          <w:color w:val="000000"/>
        </w:rPr>
        <w:t>ed</w:t>
      </w:r>
      <w:r w:rsidR="00A02CFE" w:rsidRPr="00006BE9">
        <w:rPr>
          <w:color w:val="000000"/>
        </w:rPr>
        <w:t xml:space="preserve"> from 65</w:t>
      </w:r>
      <w:r w:rsidR="00F21DB8" w:rsidRPr="00006BE9">
        <w:rPr>
          <w:color w:val="000000"/>
        </w:rPr>
        <w:t> per cent</w:t>
      </w:r>
      <w:r w:rsidR="00A02CFE" w:rsidRPr="00006BE9">
        <w:rPr>
          <w:color w:val="000000"/>
        </w:rPr>
        <w:t xml:space="preserve"> in 2006</w:t>
      </w:r>
      <w:r w:rsidR="006449DC" w:rsidRPr="00006BE9">
        <w:rPr>
          <w:color w:val="000000"/>
        </w:rPr>
        <w:t>–</w:t>
      </w:r>
      <w:r w:rsidR="00A02CFE" w:rsidRPr="00006BE9">
        <w:rPr>
          <w:color w:val="000000"/>
        </w:rPr>
        <w:t>07.</w:t>
      </w:r>
      <w:r w:rsidR="00F21DB8" w:rsidRPr="00006BE9">
        <w:rPr>
          <w:color w:val="000000"/>
        </w:rPr>
        <w:t xml:space="preserve"> </w:t>
      </w:r>
      <w:r w:rsidRPr="00006BE9">
        <w:rPr>
          <w:color w:val="000000"/>
        </w:rPr>
        <w:t>Nevertheless,</w:t>
      </w:r>
      <w:r w:rsidR="00A02CFE" w:rsidRPr="00006BE9">
        <w:rPr>
          <w:color w:val="000000"/>
        </w:rPr>
        <w:t xml:space="preserve"> some 69</w:t>
      </w:r>
      <w:r w:rsidR="00F21DB8" w:rsidRPr="00006BE9">
        <w:rPr>
          <w:color w:val="000000"/>
        </w:rPr>
        <w:t> per cent</w:t>
      </w:r>
      <w:r w:rsidR="00A02CFE" w:rsidRPr="00006BE9">
        <w:rPr>
          <w:color w:val="000000"/>
        </w:rPr>
        <w:t xml:space="preserve"> of the </w:t>
      </w:r>
      <w:r w:rsidR="005A0F30" w:rsidRPr="00006BE9">
        <w:rPr>
          <w:color w:val="000000"/>
        </w:rPr>
        <w:t>initiatives</w:t>
      </w:r>
      <w:r w:rsidRPr="00006BE9">
        <w:rPr>
          <w:color w:val="000000"/>
        </w:rPr>
        <w:t xml:space="preserve"> were</w:t>
      </w:r>
      <w:r w:rsidR="00A02CFE" w:rsidRPr="00006BE9">
        <w:rPr>
          <w:color w:val="000000"/>
        </w:rPr>
        <w:t xml:space="preserve"> judged to require improvement </w:t>
      </w:r>
      <w:r w:rsidR="005A0F30" w:rsidRPr="00006BE9">
        <w:rPr>
          <w:color w:val="000000"/>
        </w:rPr>
        <w:t xml:space="preserve">in monitoring and evaluation </w:t>
      </w:r>
      <w:r w:rsidR="00A02CFE" w:rsidRPr="00006BE9">
        <w:rPr>
          <w:color w:val="000000"/>
        </w:rPr>
        <w:t>(</w:t>
      </w:r>
      <w:r w:rsidR="005A0F30" w:rsidRPr="00006BE9">
        <w:rPr>
          <w:color w:val="000000"/>
        </w:rPr>
        <w:t xml:space="preserve">were </w:t>
      </w:r>
      <w:r w:rsidR="00A02CFE" w:rsidRPr="00006BE9">
        <w:rPr>
          <w:color w:val="000000"/>
        </w:rPr>
        <w:t>rated 4 or lower).</w:t>
      </w:r>
      <w:r w:rsidR="00F21DB8" w:rsidRPr="00006BE9">
        <w:rPr>
          <w:color w:val="000000"/>
        </w:rPr>
        <w:t xml:space="preserve"> </w:t>
      </w:r>
      <w:r w:rsidR="00A02CFE" w:rsidRPr="00006BE9">
        <w:rPr>
          <w:color w:val="000000"/>
        </w:rPr>
        <w:t xml:space="preserve">Fortunately, as noted </w:t>
      </w:r>
      <w:r w:rsidR="00B061C3" w:rsidRPr="00006BE9">
        <w:rPr>
          <w:color w:val="000000"/>
        </w:rPr>
        <w:t>in ‘Overview of AusAID’s infrastructure program’</w:t>
      </w:r>
      <w:r w:rsidR="00A02CFE" w:rsidRPr="00006BE9">
        <w:rPr>
          <w:color w:val="000000"/>
        </w:rPr>
        <w:t>, country programs are addressing this matter</w:t>
      </w:r>
      <w:r w:rsidR="005A0F30" w:rsidRPr="00006BE9">
        <w:rPr>
          <w:color w:val="000000"/>
        </w:rPr>
        <w:t>.</w:t>
      </w:r>
      <w:r w:rsidR="00A02CFE" w:rsidRPr="00006BE9">
        <w:rPr>
          <w:color w:val="000000"/>
        </w:rPr>
        <w:t xml:space="preserve"> </w:t>
      </w:r>
      <w:r w:rsidR="005A0F30" w:rsidRPr="00006BE9">
        <w:rPr>
          <w:color w:val="000000"/>
        </w:rPr>
        <w:t>A</w:t>
      </w:r>
      <w:r w:rsidR="00A02CFE" w:rsidRPr="00006BE9">
        <w:rPr>
          <w:color w:val="000000"/>
        </w:rPr>
        <w:t xml:space="preserve"> major effort </w:t>
      </w:r>
      <w:r w:rsidR="005A0F30" w:rsidRPr="00006BE9">
        <w:rPr>
          <w:color w:val="000000"/>
        </w:rPr>
        <w:t>was</w:t>
      </w:r>
      <w:r w:rsidR="00A02CFE" w:rsidRPr="00006BE9">
        <w:rPr>
          <w:color w:val="000000"/>
        </w:rPr>
        <w:t xml:space="preserve"> made </w:t>
      </w:r>
      <w:r w:rsidR="005B30A5" w:rsidRPr="00006BE9">
        <w:rPr>
          <w:color w:val="000000"/>
        </w:rPr>
        <w:t xml:space="preserve">for </w:t>
      </w:r>
      <w:r w:rsidRPr="00006BE9">
        <w:rPr>
          <w:color w:val="000000"/>
        </w:rPr>
        <w:t xml:space="preserve">the </w:t>
      </w:r>
      <w:r w:rsidR="00A02CFE" w:rsidRPr="00006BE9">
        <w:rPr>
          <w:color w:val="000000"/>
        </w:rPr>
        <w:t>TSSP to develop a comprehensive performance framework and monitoring and evaluation arrangements</w:t>
      </w:r>
      <w:r w:rsidR="005B30A5" w:rsidRPr="00006BE9">
        <w:rPr>
          <w:color w:val="000000"/>
        </w:rPr>
        <w:t>,</w:t>
      </w:r>
      <w:r w:rsidR="00A02CFE" w:rsidRPr="00006BE9">
        <w:rPr>
          <w:color w:val="000000"/>
        </w:rPr>
        <w:t xml:space="preserve"> and similar efforts </w:t>
      </w:r>
      <w:r w:rsidR="00872574" w:rsidRPr="00006BE9">
        <w:rPr>
          <w:color w:val="000000"/>
        </w:rPr>
        <w:t xml:space="preserve">are going into </w:t>
      </w:r>
      <w:r w:rsidR="00A02CFE" w:rsidRPr="00006BE9">
        <w:rPr>
          <w:color w:val="000000"/>
        </w:rPr>
        <w:t>various co</w:t>
      </w:r>
      <w:r w:rsidR="00FC2E7F" w:rsidRPr="00006BE9">
        <w:rPr>
          <w:color w:val="000000"/>
        </w:rPr>
        <w:t>-</w:t>
      </w:r>
      <w:r w:rsidR="00A02CFE" w:rsidRPr="00006BE9">
        <w:rPr>
          <w:color w:val="000000"/>
        </w:rPr>
        <w:t xml:space="preserve">financed projects in the </w:t>
      </w:r>
      <w:smartTag w:uri="urn:schemas-microsoft-com:office:smarttags" w:element="country-region">
        <w:r w:rsidR="00A02CFE" w:rsidRPr="00006BE9">
          <w:rPr>
            <w:color w:val="000000"/>
          </w:rPr>
          <w:t>Mekong</w:t>
        </w:r>
      </w:smartTag>
      <w:r w:rsidR="00A02CFE" w:rsidRPr="00006BE9">
        <w:rPr>
          <w:color w:val="000000"/>
        </w:rPr>
        <w:t xml:space="preserve"> </w:t>
      </w:r>
      <w:r w:rsidR="005F3C45" w:rsidRPr="00006BE9">
        <w:rPr>
          <w:color w:val="000000"/>
        </w:rPr>
        <w:t>sub</w:t>
      </w:r>
      <w:r w:rsidR="00A02CFE" w:rsidRPr="00006BE9">
        <w:rPr>
          <w:color w:val="000000"/>
        </w:rPr>
        <w:t>region.</w:t>
      </w:r>
      <w:r w:rsidR="00F21DB8" w:rsidRPr="00006BE9">
        <w:rPr>
          <w:color w:val="000000"/>
        </w:rPr>
        <w:t xml:space="preserve"> </w:t>
      </w:r>
      <w:r w:rsidR="00A02CFE" w:rsidRPr="00006BE9">
        <w:rPr>
          <w:color w:val="000000"/>
        </w:rPr>
        <w:t xml:space="preserve">As noted </w:t>
      </w:r>
      <w:r w:rsidR="005B30A5" w:rsidRPr="00006BE9">
        <w:rPr>
          <w:color w:val="000000"/>
        </w:rPr>
        <w:t>previously</w:t>
      </w:r>
      <w:r w:rsidR="00A02CFE" w:rsidRPr="00006BE9">
        <w:rPr>
          <w:color w:val="000000"/>
        </w:rPr>
        <w:t>, gender equality will be given increased attention.</w:t>
      </w:r>
    </w:p>
    <w:p w:rsidR="00C972E0" w:rsidRPr="00006BE9" w:rsidRDefault="00C972E0" w:rsidP="00AB0CC6">
      <w:pPr>
        <w:pStyle w:val="Caption"/>
        <w:framePr w:hSpace="181" w:wrap="around" w:hAnchor="text" w:yAlign="bottom"/>
        <w:rPr>
          <w:color w:val="000000"/>
        </w:rPr>
      </w:pPr>
      <w:bookmarkStart w:id="31" w:name="_Toc201650409"/>
      <w:r w:rsidRPr="00006BE9">
        <w:rPr>
          <w:color w:val="000000"/>
        </w:rPr>
        <w:t xml:space="preserve">Table </w:t>
      </w:r>
      <w:r w:rsidRPr="00006BE9">
        <w:rPr>
          <w:color w:val="000000"/>
        </w:rPr>
        <w:fldChar w:fldCharType="begin"/>
      </w:r>
      <w:r w:rsidRPr="00006BE9">
        <w:rPr>
          <w:color w:val="000000"/>
        </w:rPr>
        <w:instrText xml:space="preserve"> SEQ Table \* MERGEFORMAT </w:instrText>
      </w:r>
      <w:r w:rsidRPr="00006BE9">
        <w:rPr>
          <w:color w:val="000000"/>
        </w:rPr>
        <w:fldChar w:fldCharType="separate"/>
      </w:r>
      <w:r w:rsidR="00FB5D3A" w:rsidRPr="00006BE9">
        <w:rPr>
          <w:noProof/>
          <w:color w:val="000000"/>
        </w:rPr>
        <w:t>9</w:t>
      </w:r>
      <w:r w:rsidRPr="00006BE9">
        <w:rPr>
          <w:color w:val="000000"/>
        </w:rPr>
        <w:fldChar w:fldCharType="end"/>
      </w:r>
      <w:r w:rsidRPr="00006BE9">
        <w:rPr>
          <w:color w:val="000000"/>
        </w:rPr>
        <w:t xml:space="preserve">: </w:t>
      </w:r>
      <w:bookmarkEnd w:id="31"/>
      <w:r w:rsidRPr="00006BE9">
        <w:rPr>
          <w:color w:val="000000"/>
        </w:rPr>
        <w:t>Summary of q</w:t>
      </w:r>
      <w:r w:rsidRPr="00006BE9">
        <w:rPr>
          <w:color w:val="000000"/>
          <w:spacing w:val="-2"/>
        </w:rPr>
        <w:t>uality-at-implementation ratings for 16 initiatives in 2007–08</w:t>
      </w:r>
    </w:p>
    <w:tbl>
      <w:tblPr>
        <w:tblStyle w:val="TableGrid"/>
        <w:tblW w:w="8009" w:type="dxa"/>
        <w:tblLook w:val="01E0" w:firstRow="1" w:lastRow="1" w:firstColumn="1" w:lastColumn="1" w:noHBand="0" w:noVBand="0"/>
        <w:tblCaption w:val="Table 9"/>
        <w:tblDescription w:val="Summary of quality-at-implementation ratings for 16 initiatives in 2007–08"/>
      </w:tblPr>
      <w:tblGrid>
        <w:gridCol w:w="3178"/>
        <w:gridCol w:w="1535"/>
        <w:gridCol w:w="1042"/>
        <w:gridCol w:w="1155"/>
        <w:gridCol w:w="1201"/>
      </w:tblGrid>
      <w:tr w:rsidR="00C972E0" w:rsidRPr="00006BE9" w:rsidTr="007A45B0">
        <w:trPr>
          <w:cantSplit/>
          <w:trHeight w:val="300"/>
          <w:tblHeader/>
        </w:trPr>
        <w:tc>
          <w:tcPr>
            <w:tcW w:w="3178" w:type="dxa"/>
            <w:noWrap/>
          </w:tcPr>
          <w:p w:rsidR="00C972E0" w:rsidRPr="00006BE9" w:rsidRDefault="00C972E0" w:rsidP="00AB0CC6">
            <w:pPr>
              <w:pStyle w:val="TableDataColumnHeading"/>
              <w:framePr w:hSpace="181" w:wrap="around" w:hAnchor="text" w:yAlign="bottom"/>
              <w:jc w:val="left"/>
              <w:rPr>
                <w:color w:val="000000"/>
                <w:lang w:val="en-US"/>
              </w:rPr>
            </w:pPr>
            <w:r w:rsidRPr="00006BE9">
              <w:rPr>
                <w:color w:val="000000"/>
                <w:lang w:val="en-US"/>
              </w:rPr>
              <w:t> </w:t>
            </w:r>
          </w:p>
        </w:tc>
        <w:tc>
          <w:tcPr>
            <w:tcW w:w="1535" w:type="dxa"/>
          </w:tcPr>
          <w:p w:rsidR="00C972E0" w:rsidRPr="00006BE9" w:rsidRDefault="00C972E0" w:rsidP="00AB0CC6">
            <w:pPr>
              <w:pStyle w:val="TableDataColumnHeading"/>
              <w:framePr w:hSpace="181" w:wrap="around" w:hAnchor="text" w:yAlign="bottom"/>
              <w:rPr>
                <w:color w:val="000000"/>
                <w:lang w:val="en-US"/>
              </w:rPr>
            </w:pPr>
            <w:r w:rsidRPr="00006BE9">
              <w:rPr>
                <w:color w:val="000000"/>
                <w:lang w:val="en-US"/>
              </w:rPr>
              <w:t>Implementation progress</w:t>
            </w:r>
          </w:p>
        </w:tc>
        <w:tc>
          <w:tcPr>
            <w:tcW w:w="1042" w:type="dxa"/>
            <w:noWrap/>
          </w:tcPr>
          <w:p w:rsidR="00C972E0" w:rsidRPr="00006BE9" w:rsidRDefault="00C972E0" w:rsidP="00AB0CC6">
            <w:pPr>
              <w:pStyle w:val="TableDataColumnHeading"/>
              <w:framePr w:hSpace="181" w:wrap="around" w:hAnchor="text" w:yAlign="bottom"/>
              <w:rPr>
                <w:color w:val="000000"/>
                <w:lang w:val="en-US"/>
              </w:rPr>
            </w:pPr>
            <w:r w:rsidRPr="00006BE9">
              <w:rPr>
                <w:color w:val="000000"/>
                <w:lang w:val="en-US"/>
              </w:rPr>
              <w:t>Achieving objectives</w:t>
            </w:r>
          </w:p>
        </w:tc>
        <w:tc>
          <w:tcPr>
            <w:tcW w:w="1155" w:type="dxa"/>
            <w:noWrap/>
          </w:tcPr>
          <w:p w:rsidR="00C972E0" w:rsidRPr="00006BE9" w:rsidRDefault="00C972E0" w:rsidP="00AB0CC6">
            <w:pPr>
              <w:pStyle w:val="TableDataColumnHeading"/>
              <w:framePr w:hSpace="181" w:wrap="around" w:hAnchor="text" w:yAlign="bottom"/>
              <w:rPr>
                <w:color w:val="000000"/>
                <w:lang w:val="en-US"/>
              </w:rPr>
            </w:pPr>
            <w:r w:rsidRPr="00006BE9">
              <w:rPr>
                <w:color w:val="000000"/>
                <w:lang w:val="en-US"/>
              </w:rPr>
              <w:t>Monitoring &amp; evaluation</w:t>
            </w:r>
          </w:p>
        </w:tc>
        <w:tc>
          <w:tcPr>
            <w:tcW w:w="1099" w:type="dxa"/>
            <w:noWrap/>
          </w:tcPr>
          <w:p w:rsidR="00C972E0" w:rsidRPr="00006BE9" w:rsidRDefault="00C972E0" w:rsidP="00AB0CC6">
            <w:pPr>
              <w:pStyle w:val="TableDataColumnHeading"/>
              <w:framePr w:hSpace="181" w:wrap="around" w:hAnchor="text" w:yAlign="bottom"/>
              <w:rPr>
                <w:color w:val="000000"/>
                <w:lang w:val="en-US"/>
              </w:rPr>
            </w:pPr>
            <w:r w:rsidRPr="00006BE9">
              <w:rPr>
                <w:color w:val="000000"/>
                <w:lang w:val="en-US"/>
              </w:rPr>
              <w:t>Sustainability</w:t>
            </w:r>
          </w:p>
        </w:tc>
      </w:tr>
      <w:tr w:rsidR="00C972E0" w:rsidRPr="00006BE9" w:rsidTr="007A4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178" w:type="dxa"/>
            <w:tcBorders>
              <w:top w:val="single" w:sz="12" w:space="0" w:color="auto"/>
            </w:tcBorders>
            <w:noWrap/>
            <w:tcMar>
              <w:left w:w="57" w:type="dxa"/>
              <w:right w:w="57" w:type="dxa"/>
            </w:tcMar>
          </w:tcPr>
          <w:p w:rsidR="00C972E0" w:rsidRPr="00006BE9" w:rsidRDefault="00C972E0" w:rsidP="00AB0CC6">
            <w:pPr>
              <w:pStyle w:val="TableUnit"/>
              <w:framePr w:hSpace="181" w:wrap="around" w:hAnchor="text" w:yAlign="bottom"/>
              <w:jc w:val="left"/>
              <w:rPr>
                <w:color w:val="000000"/>
                <w:lang w:val="en-US"/>
              </w:rPr>
            </w:pPr>
          </w:p>
        </w:tc>
        <w:tc>
          <w:tcPr>
            <w:tcW w:w="1535" w:type="dxa"/>
            <w:tcBorders>
              <w:top w:val="single" w:sz="12" w:space="0" w:color="auto"/>
            </w:tcBorders>
            <w:noWrap/>
            <w:tcMar>
              <w:left w:w="57" w:type="dxa"/>
              <w:right w:w="57" w:type="dxa"/>
            </w:tcMar>
          </w:tcPr>
          <w:p w:rsidR="00C972E0" w:rsidRPr="00006BE9" w:rsidRDefault="00C972E0" w:rsidP="00AB0CC6">
            <w:pPr>
              <w:pStyle w:val="TableUnit"/>
              <w:framePr w:hSpace="181" w:wrap="around" w:hAnchor="text" w:yAlign="bottom"/>
              <w:rPr>
                <w:color w:val="000000"/>
                <w:lang w:val="en-US"/>
              </w:rPr>
            </w:pPr>
            <w:r w:rsidRPr="00006BE9">
              <w:rPr>
                <w:color w:val="000000"/>
                <w:lang w:val="en-US"/>
              </w:rPr>
              <w:t>%</w:t>
            </w:r>
          </w:p>
        </w:tc>
        <w:tc>
          <w:tcPr>
            <w:tcW w:w="1042" w:type="dxa"/>
            <w:tcBorders>
              <w:top w:val="single" w:sz="12" w:space="0" w:color="auto"/>
            </w:tcBorders>
            <w:noWrap/>
            <w:tcMar>
              <w:left w:w="57" w:type="dxa"/>
              <w:right w:w="57" w:type="dxa"/>
            </w:tcMar>
          </w:tcPr>
          <w:p w:rsidR="00C972E0" w:rsidRPr="00006BE9" w:rsidRDefault="00C972E0" w:rsidP="00AB0CC6">
            <w:pPr>
              <w:pStyle w:val="TableUnit"/>
              <w:framePr w:hSpace="181" w:wrap="around" w:hAnchor="text" w:yAlign="bottom"/>
              <w:rPr>
                <w:color w:val="000000"/>
                <w:lang w:val="en-US"/>
              </w:rPr>
            </w:pPr>
            <w:r w:rsidRPr="00006BE9">
              <w:rPr>
                <w:color w:val="000000"/>
                <w:lang w:val="en-US"/>
              </w:rPr>
              <w:t>%</w:t>
            </w:r>
          </w:p>
        </w:tc>
        <w:tc>
          <w:tcPr>
            <w:tcW w:w="1155" w:type="dxa"/>
            <w:tcBorders>
              <w:top w:val="single" w:sz="12" w:space="0" w:color="auto"/>
            </w:tcBorders>
            <w:noWrap/>
            <w:tcMar>
              <w:left w:w="57" w:type="dxa"/>
              <w:right w:w="57" w:type="dxa"/>
            </w:tcMar>
          </w:tcPr>
          <w:p w:rsidR="00C972E0" w:rsidRPr="00006BE9" w:rsidRDefault="00C972E0" w:rsidP="00AB0CC6">
            <w:pPr>
              <w:pStyle w:val="TableUnit"/>
              <w:framePr w:hSpace="181" w:wrap="around" w:hAnchor="text" w:yAlign="bottom"/>
              <w:rPr>
                <w:color w:val="000000"/>
                <w:lang w:val="en-US"/>
              </w:rPr>
            </w:pPr>
            <w:r w:rsidRPr="00006BE9">
              <w:rPr>
                <w:color w:val="000000"/>
                <w:lang w:val="en-US"/>
              </w:rPr>
              <w:t>%</w:t>
            </w:r>
          </w:p>
        </w:tc>
        <w:tc>
          <w:tcPr>
            <w:tcW w:w="1099" w:type="dxa"/>
            <w:tcBorders>
              <w:top w:val="single" w:sz="12" w:space="0" w:color="auto"/>
            </w:tcBorders>
            <w:noWrap/>
            <w:tcMar>
              <w:left w:w="57" w:type="dxa"/>
              <w:right w:w="57" w:type="dxa"/>
            </w:tcMar>
          </w:tcPr>
          <w:p w:rsidR="00C972E0" w:rsidRPr="00006BE9" w:rsidRDefault="00C972E0" w:rsidP="00AB0CC6">
            <w:pPr>
              <w:pStyle w:val="TableUnit"/>
              <w:framePr w:hSpace="181" w:wrap="around" w:hAnchor="text" w:yAlign="bottom"/>
              <w:rPr>
                <w:color w:val="000000"/>
                <w:lang w:val="en-US"/>
              </w:rPr>
            </w:pPr>
            <w:r w:rsidRPr="00006BE9">
              <w:rPr>
                <w:color w:val="000000"/>
                <w:lang w:val="en-US"/>
              </w:rPr>
              <w:t>%</w:t>
            </w:r>
          </w:p>
        </w:tc>
      </w:tr>
      <w:tr w:rsidR="00C972E0" w:rsidRPr="00006BE9" w:rsidTr="007A4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178" w:type="dxa"/>
            <w:noWrap/>
            <w:tcMar>
              <w:left w:w="57" w:type="dxa"/>
              <w:right w:w="57" w:type="dxa"/>
            </w:tcMar>
          </w:tcPr>
          <w:p w:rsidR="00C972E0" w:rsidRPr="00006BE9" w:rsidRDefault="00C972E0" w:rsidP="00AB0CC6">
            <w:pPr>
              <w:pStyle w:val="TableDataEntries"/>
              <w:framePr w:hSpace="181" w:wrap="around" w:hAnchor="text" w:yAlign="bottom"/>
              <w:jc w:val="left"/>
              <w:rPr>
                <w:color w:val="000000"/>
                <w:lang w:val="en-US"/>
              </w:rPr>
            </w:pPr>
            <w:r w:rsidRPr="00006BE9">
              <w:rPr>
                <w:color w:val="000000"/>
                <w:lang w:val="en-US"/>
              </w:rPr>
              <w:t>Unsatisfactory (rated 1,2 or 3)</w:t>
            </w:r>
          </w:p>
        </w:tc>
        <w:tc>
          <w:tcPr>
            <w:tcW w:w="1535"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13</w:t>
            </w:r>
          </w:p>
        </w:tc>
        <w:tc>
          <w:tcPr>
            <w:tcW w:w="1042"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13</w:t>
            </w:r>
          </w:p>
        </w:tc>
        <w:tc>
          <w:tcPr>
            <w:tcW w:w="1155"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19</w:t>
            </w:r>
          </w:p>
        </w:tc>
        <w:tc>
          <w:tcPr>
            <w:tcW w:w="1099"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31</w:t>
            </w:r>
          </w:p>
        </w:tc>
      </w:tr>
      <w:tr w:rsidR="00C972E0" w:rsidRPr="00006BE9" w:rsidTr="007A4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178" w:type="dxa"/>
            <w:noWrap/>
            <w:tcMar>
              <w:left w:w="57" w:type="dxa"/>
              <w:right w:w="57" w:type="dxa"/>
            </w:tcMar>
          </w:tcPr>
          <w:p w:rsidR="00C972E0" w:rsidRPr="00006BE9" w:rsidRDefault="00C972E0" w:rsidP="00AB0CC6">
            <w:pPr>
              <w:pStyle w:val="TableDataEntries"/>
              <w:framePr w:hSpace="181" w:wrap="around" w:hAnchor="text" w:yAlign="bottom"/>
              <w:jc w:val="left"/>
              <w:rPr>
                <w:color w:val="000000"/>
                <w:lang w:val="en-US"/>
              </w:rPr>
            </w:pPr>
            <w:r w:rsidRPr="00006BE9">
              <w:rPr>
                <w:color w:val="000000"/>
                <w:lang w:val="en-US"/>
              </w:rPr>
              <w:t>Satisfactory (rated 4,5 or 6)</w:t>
            </w:r>
          </w:p>
        </w:tc>
        <w:tc>
          <w:tcPr>
            <w:tcW w:w="1535"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88</w:t>
            </w:r>
          </w:p>
        </w:tc>
        <w:tc>
          <w:tcPr>
            <w:tcW w:w="1042"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88</w:t>
            </w:r>
          </w:p>
        </w:tc>
        <w:tc>
          <w:tcPr>
            <w:tcW w:w="1155"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81</w:t>
            </w:r>
          </w:p>
        </w:tc>
        <w:tc>
          <w:tcPr>
            <w:tcW w:w="1099" w:type="dxa"/>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69</w:t>
            </w:r>
          </w:p>
        </w:tc>
      </w:tr>
      <w:tr w:rsidR="00C972E0" w:rsidRPr="00006BE9" w:rsidTr="007A4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178" w:type="dxa"/>
            <w:tcBorders>
              <w:bottom w:val="single" w:sz="12" w:space="0" w:color="auto"/>
            </w:tcBorders>
            <w:noWrap/>
            <w:tcMar>
              <w:left w:w="57" w:type="dxa"/>
              <w:right w:w="57" w:type="dxa"/>
            </w:tcMar>
          </w:tcPr>
          <w:p w:rsidR="00C972E0" w:rsidRPr="00006BE9" w:rsidRDefault="00C972E0" w:rsidP="00AB0CC6">
            <w:pPr>
              <w:pStyle w:val="TableDataEntries"/>
              <w:framePr w:hSpace="181" w:wrap="around" w:hAnchor="text" w:yAlign="bottom"/>
              <w:jc w:val="left"/>
              <w:rPr>
                <w:color w:val="000000"/>
                <w:lang w:val="en-US"/>
              </w:rPr>
            </w:pPr>
            <w:r w:rsidRPr="00006BE9">
              <w:rPr>
                <w:color w:val="000000"/>
                <w:lang w:val="en-US"/>
              </w:rPr>
              <w:t>Requires improvement (rated 1,2,3 or 4)</w:t>
            </w:r>
          </w:p>
        </w:tc>
        <w:tc>
          <w:tcPr>
            <w:tcW w:w="1535" w:type="dxa"/>
            <w:tcBorders>
              <w:bottom w:val="single" w:sz="12" w:space="0" w:color="auto"/>
            </w:tcBorders>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56</w:t>
            </w:r>
          </w:p>
        </w:tc>
        <w:tc>
          <w:tcPr>
            <w:tcW w:w="1042" w:type="dxa"/>
            <w:tcBorders>
              <w:bottom w:val="single" w:sz="12" w:space="0" w:color="auto"/>
            </w:tcBorders>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38</w:t>
            </w:r>
          </w:p>
        </w:tc>
        <w:tc>
          <w:tcPr>
            <w:tcW w:w="1155" w:type="dxa"/>
            <w:tcBorders>
              <w:bottom w:val="single" w:sz="12" w:space="0" w:color="auto"/>
            </w:tcBorders>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69</w:t>
            </w:r>
          </w:p>
        </w:tc>
        <w:tc>
          <w:tcPr>
            <w:tcW w:w="1099" w:type="dxa"/>
            <w:tcBorders>
              <w:bottom w:val="single" w:sz="12" w:space="0" w:color="auto"/>
            </w:tcBorders>
            <w:noWrap/>
            <w:tcMar>
              <w:left w:w="57" w:type="dxa"/>
              <w:right w:w="57" w:type="dxa"/>
            </w:tcMar>
          </w:tcPr>
          <w:p w:rsidR="00C972E0" w:rsidRPr="00006BE9" w:rsidRDefault="00C972E0" w:rsidP="00AB0CC6">
            <w:pPr>
              <w:pStyle w:val="TableDataEntries"/>
              <w:framePr w:hSpace="181" w:wrap="around" w:hAnchor="text" w:yAlign="bottom"/>
              <w:rPr>
                <w:color w:val="000000"/>
                <w:lang w:val="en-US"/>
              </w:rPr>
            </w:pPr>
            <w:r w:rsidRPr="00006BE9">
              <w:rPr>
                <w:color w:val="000000"/>
                <w:lang w:val="en-US"/>
              </w:rPr>
              <w:t>50</w:t>
            </w:r>
          </w:p>
        </w:tc>
      </w:tr>
    </w:tbl>
    <w:p w:rsidR="00733C33" w:rsidRPr="00006BE9" w:rsidRDefault="00733C33" w:rsidP="00AB0CC6">
      <w:pPr>
        <w:pStyle w:val="Source"/>
        <w:framePr w:hSpace="181" w:wrap="around" w:hAnchor="text" w:yAlign="bottom"/>
        <w:rPr>
          <w:color w:val="000000"/>
        </w:rPr>
      </w:pPr>
      <w:r w:rsidRPr="00006BE9">
        <w:rPr>
          <w:color w:val="000000"/>
        </w:rPr>
        <w:t xml:space="preserve">Note: Rating of 1: Very poor quality; needs major overhaul. Rating of 2: </w:t>
      </w:r>
      <w:r w:rsidR="00AB0CC6" w:rsidRPr="00006BE9">
        <w:rPr>
          <w:color w:val="000000"/>
        </w:rPr>
        <w:t>Poor quality; n</w:t>
      </w:r>
      <w:r w:rsidRPr="00006BE9">
        <w:rPr>
          <w:color w:val="000000"/>
        </w:rPr>
        <w:t>eeds major work to improve. Rating of 3: Less than adequate quality; needs significant work. Rating of 4: Adequate quality</w:t>
      </w:r>
      <w:r w:rsidR="00AB0CC6" w:rsidRPr="00006BE9">
        <w:rPr>
          <w:color w:val="000000"/>
        </w:rPr>
        <w:t>; some work to improve needed.</w:t>
      </w:r>
      <w:r w:rsidRPr="00006BE9">
        <w:rPr>
          <w:color w:val="000000"/>
        </w:rPr>
        <w:t xml:space="preserve"> Rating of 5: Good quality. Rating of 6: Very high quality.</w:t>
      </w:r>
    </w:p>
    <w:p w:rsidR="00A02CFE" w:rsidRPr="00006BE9" w:rsidRDefault="005A0F30" w:rsidP="004D232B">
      <w:pPr>
        <w:pStyle w:val="BodyText"/>
        <w:rPr>
          <w:color w:val="000000"/>
        </w:rPr>
      </w:pPr>
      <w:r w:rsidRPr="00006BE9">
        <w:rPr>
          <w:color w:val="000000"/>
        </w:rPr>
        <w:t>S</w:t>
      </w:r>
      <w:r w:rsidR="00A02CFE" w:rsidRPr="00006BE9">
        <w:rPr>
          <w:color w:val="000000"/>
        </w:rPr>
        <w:t xml:space="preserve">ustainability is the aspect </w:t>
      </w:r>
      <w:r w:rsidRPr="00006BE9">
        <w:rPr>
          <w:color w:val="000000"/>
        </w:rPr>
        <w:t xml:space="preserve">of transport in </w:t>
      </w:r>
      <w:smartTag w:uri="urn:schemas-microsoft-com:office:smarttags" w:element="country-region">
        <w:r w:rsidRPr="00006BE9">
          <w:rPr>
            <w:color w:val="000000"/>
          </w:rPr>
          <w:t>Papua New Guinea</w:t>
        </w:r>
      </w:smartTag>
      <w:r w:rsidRPr="00006BE9">
        <w:rPr>
          <w:color w:val="000000"/>
        </w:rPr>
        <w:t xml:space="preserve"> and </w:t>
      </w:r>
      <w:r w:rsidR="005B30A5" w:rsidRPr="00006BE9">
        <w:rPr>
          <w:color w:val="000000"/>
        </w:rPr>
        <w:t xml:space="preserve">water and </w:t>
      </w:r>
      <w:r w:rsidRPr="00006BE9">
        <w:rPr>
          <w:color w:val="000000"/>
        </w:rPr>
        <w:t xml:space="preserve">sanitation in </w:t>
      </w:r>
      <w:smartTag w:uri="urn:schemas-microsoft-com:office:smarttags" w:element="country-region">
        <w:r w:rsidRPr="00006BE9">
          <w:rPr>
            <w:color w:val="000000"/>
          </w:rPr>
          <w:lastRenderedPageBreak/>
          <w:t>Vietnam</w:t>
        </w:r>
      </w:smartTag>
      <w:r w:rsidRPr="00006BE9">
        <w:rPr>
          <w:color w:val="000000"/>
        </w:rPr>
        <w:t xml:space="preserve"> </w:t>
      </w:r>
      <w:r w:rsidR="00A02CFE" w:rsidRPr="00006BE9">
        <w:rPr>
          <w:color w:val="000000"/>
        </w:rPr>
        <w:t>most in need of attention.</w:t>
      </w:r>
      <w:r w:rsidR="00F21DB8" w:rsidRPr="00006BE9">
        <w:rPr>
          <w:color w:val="000000"/>
        </w:rPr>
        <w:t xml:space="preserve"> </w:t>
      </w:r>
      <w:r w:rsidRPr="00006BE9">
        <w:rPr>
          <w:color w:val="000000"/>
        </w:rPr>
        <w:t>T</w:t>
      </w:r>
      <w:r w:rsidR="00A02CFE" w:rsidRPr="00006BE9">
        <w:rPr>
          <w:color w:val="000000"/>
        </w:rPr>
        <w:t xml:space="preserve">he concern </w:t>
      </w:r>
      <w:r w:rsidRPr="00006BE9">
        <w:rPr>
          <w:color w:val="000000"/>
        </w:rPr>
        <w:t xml:space="preserve">about the </w:t>
      </w:r>
      <w:r w:rsidR="00A02CFE" w:rsidRPr="00006BE9">
        <w:rPr>
          <w:color w:val="000000"/>
        </w:rPr>
        <w:t xml:space="preserve">sustainability </w:t>
      </w:r>
      <w:r w:rsidRPr="00006BE9">
        <w:rPr>
          <w:color w:val="000000"/>
        </w:rPr>
        <w:t xml:space="preserve">of transport activities in </w:t>
      </w:r>
      <w:smartTag w:uri="urn:schemas-microsoft-com:office:smarttags" w:element="country-region">
        <w:r w:rsidRPr="00006BE9">
          <w:rPr>
            <w:color w:val="000000"/>
          </w:rPr>
          <w:t>Papua New Guinea</w:t>
        </w:r>
      </w:smartTag>
      <w:r w:rsidRPr="00006BE9">
        <w:rPr>
          <w:color w:val="000000"/>
        </w:rPr>
        <w:t xml:space="preserve"> </w:t>
      </w:r>
      <w:r w:rsidR="00A02CFE" w:rsidRPr="00006BE9">
        <w:rPr>
          <w:color w:val="000000"/>
        </w:rPr>
        <w:t>relates to the government agencies’ capacity to manage the increased funding that is being allocated, particularly for road rehabilitation and maintenance.</w:t>
      </w:r>
      <w:r w:rsidR="00F21DB8" w:rsidRPr="00006BE9">
        <w:rPr>
          <w:color w:val="000000"/>
        </w:rPr>
        <w:t xml:space="preserve"> </w:t>
      </w:r>
      <w:r w:rsidR="005B30A5" w:rsidRPr="00006BE9">
        <w:rPr>
          <w:color w:val="000000"/>
        </w:rPr>
        <w:t>R</w:t>
      </w:r>
      <w:r w:rsidR="00A02CFE" w:rsidRPr="00006BE9">
        <w:rPr>
          <w:color w:val="000000"/>
        </w:rPr>
        <w:t>oad maintenance also needs to remain</w:t>
      </w:r>
      <w:r w:rsidR="00707CB5" w:rsidRPr="00006BE9">
        <w:rPr>
          <w:color w:val="000000"/>
        </w:rPr>
        <w:t xml:space="preserve"> focus</w:t>
      </w:r>
      <w:r w:rsidR="00A02CFE" w:rsidRPr="00006BE9">
        <w:rPr>
          <w:color w:val="000000"/>
        </w:rPr>
        <w:t>ed on the agreed 16 priority roads identified in government’s National Transport Development Plan.</w:t>
      </w:r>
      <w:r w:rsidR="00F21DB8" w:rsidRPr="00006BE9">
        <w:rPr>
          <w:color w:val="000000"/>
        </w:rPr>
        <w:t xml:space="preserve"> </w:t>
      </w:r>
      <w:r w:rsidR="00A02CFE" w:rsidRPr="00006BE9">
        <w:rPr>
          <w:iCs/>
          <w:color w:val="000000"/>
        </w:rPr>
        <w:t>There has been a change in emphasis within government that has resulted in some erosion of the commitment to this priority.</w:t>
      </w:r>
      <w:r w:rsidR="00F21DB8" w:rsidRPr="00006BE9">
        <w:rPr>
          <w:iCs/>
          <w:color w:val="000000"/>
        </w:rPr>
        <w:t xml:space="preserve"> </w:t>
      </w:r>
      <w:r w:rsidR="00A02CFE" w:rsidRPr="00006BE9">
        <w:rPr>
          <w:color w:val="000000"/>
        </w:rPr>
        <w:t>The TSSP includes leverage, generally through the broad capacity</w:t>
      </w:r>
      <w:r w:rsidR="00480F1C" w:rsidRPr="00006BE9">
        <w:rPr>
          <w:color w:val="000000"/>
        </w:rPr>
        <w:t>-</w:t>
      </w:r>
      <w:r w:rsidR="00A02CFE" w:rsidRPr="00006BE9">
        <w:rPr>
          <w:color w:val="000000"/>
        </w:rPr>
        <w:t>building components and specifically through the performance grant mechanism</w:t>
      </w:r>
      <w:r w:rsidR="00A02CFE" w:rsidRPr="00006BE9">
        <w:rPr>
          <w:rStyle w:val="FootnoteReference"/>
          <w:color w:val="000000"/>
        </w:rPr>
        <w:footnoteReference w:id="15"/>
      </w:r>
      <w:r w:rsidR="00A02CFE" w:rsidRPr="00006BE9">
        <w:rPr>
          <w:color w:val="000000"/>
        </w:rPr>
        <w:t>, to encourage government to reverse this trend.</w:t>
      </w:r>
      <w:r w:rsidR="00F21DB8" w:rsidRPr="00006BE9">
        <w:rPr>
          <w:color w:val="000000"/>
        </w:rPr>
        <w:t xml:space="preserve"> </w:t>
      </w:r>
      <w:r w:rsidR="00A02CFE" w:rsidRPr="00006BE9">
        <w:rPr>
          <w:color w:val="000000"/>
        </w:rPr>
        <w:t>It will require close monitoring.</w:t>
      </w:r>
      <w:r w:rsidR="00F21DB8" w:rsidRPr="00006BE9">
        <w:rPr>
          <w:color w:val="000000"/>
        </w:rPr>
        <w:t xml:space="preserve"> </w:t>
      </w:r>
    </w:p>
    <w:p w:rsidR="00A02CFE" w:rsidRPr="00006BE9" w:rsidRDefault="00A02CFE" w:rsidP="004D232B">
      <w:pPr>
        <w:pStyle w:val="BodyText"/>
        <w:rPr>
          <w:color w:val="000000"/>
        </w:rPr>
      </w:pPr>
      <w:r w:rsidRPr="00006BE9">
        <w:rPr>
          <w:color w:val="000000"/>
        </w:rPr>
        <w:t>Monitoring and evaluation o</w:t>
      </w:r>
      <w:r w:rsidR="00970F48" w:rsidRPr="00006BE9">
        <w:rPr>
          <w:color w:val="000000"/>
        </w:rPr>
        <w:t>f</w:t>
      </w:r>
      <w:r w:rsidRPr="00006BE9">
        <w:rPr>
          <w:color w:val="000000"/>
        </w:rPr>
        <w:t xml:space="preserve"> the </w:t>
      </w:r>
      <w:r w:rsidR="00970F48" w:rsidRPr="00006BE9">
        <w:rPr>
          <w:color w:val="000000"/>
        </w:rPr>
        <w:t>PNG Key Roads for Growth Maintenance Project</w:t>
      </w:r>
      <w:r w:rsidRPr="00006BE9">
        <w:rPr>
          <w:color w:val="000000"/>
        </w:rPr>
        <w:t xml:space="preserve"> </w:t>
      </w:r>
      <w:r w:rsidR="004B6F07" w:rsidRPr="00006BE9">
        <w:rPr>
          <w:color w:val="000000"/>
        </w:rPr>
        <w:t xml:space="preserve">was </w:t>
      </w:r>
      <w:r w:rsidRPr="00006BE9">
        <w:rPr>
          <w:color w:val="000000"/>
        </w:rPr>
        <w:t>assessed as less than adequate and in need of significant work.</w:t>
      </w:r>
      <w:r w:rsidR="00F21DB8" w:rsidRPr="00006BE9">
        <w:rPr>
          <w:color w:val="000000"/>
        </w:rPr>
        <w:t xml:space="preserve"> </w:t>
      </w:r>
      <w:r w:rsidRPr="00006BE9">
        <w:rPr>
          <w:color w:val="000000"/>
        </w:rPr>
        <w:t>This was being addressed in June 2008 as part of the project</w:t>
      </w:r>
      <w:r w:rsidR="00B64177" w:rsidRPr="00006BE9">
        <w:rPr>
          <w:color w:val="000000"/>
        </w:rPr>
        <w:t>’s</w:t>
      </w:r>
      <w:r w:rsidRPr="00006BE9">
        <w:rPr>
          <w:color w:val="000000"/>
        </w:rPr>
        <w:t xml:space="preserve"> mid-term review.</w:t>
      </w:r>
      <w:r w:rsidR="00F21DB8" w:rsidRPr="00006BE9">
        <w:rPr>
          <w:color w:val="000000"/>
        </w:rPr>
        <w:t xml:space="preserve"> </w:t>
      </w:r>
      <w:r w:rsidRPr="00006BE9">
        <w:rPr>
          <w:color w:val="000000"/>
        </w:rPr>
        <w:t>The recommendations are to focus on fewer outcome measures rather than on the large volumes of input and output data and to pay greater attention to identifying outcome measures for the program management component of the project.</w:t>
      </w:r>
      <w:r w:rsidR="00F21DB8" w:rsidRPr="00006BE9">
        <w:rPr>
          <w:color w:val="000000"/>
        </w:rPr>
        <w:t xml:space="preserve"> </w:t>
      </w:r>
      <w:r w:rsidR="00FC2E7F" w:rsidRPr="00006BE9">
        <w:rPr>
          <w:color w:val="000000"/>
        </w:rPr>
        <w:t>In terms of measuring the socio</w:t>
      </w:r>
      <w:r w:rsidRPr="00006BE9">
        <w:rPr>
          <w:color w:val="000000"/>
        </w:rPr>
        <w:t>economic impact of the project</w:t>
      </w:r>
      <w:r w:rsidR="005B30A5" w:rsidRPr="00006BE9">
        <w:rPr>
          <w:color w:val="000000"/>
        </w:rPr>
        <w:t>,</w:t>
      </w:r>
      <w:r w:rsidRPr="00006BE9">
        <w:rPr>
          <w:color w:val="000000"/>
        </w:rPr>
        <w:t xml:space="preserve"> more effort will be made in collecting income, time use and economic activity from households living within the area influence</w:t>
      </w:r>
      <w:r w:rsidR="007248AD" w:rsidRPr="00006BE9">
        <w:rPr>
          <w:color w:val="000000"/>
        </w:rPr>
        <w:t>d</w:t>
      </w:r>
      <w:r w:rsidRPr="00006BE9">
        <w:rPr>
          <w:color w:val="000000"/>
        </w:rPr>
        <w:t xml:space="preserve"> </w:t>
      </w:r>
      <w:r w:rsidR="007248AD" w:rsidRPr="00006BE9">
        <w:rPr>
          <w:color w:val="000000"/>
        </w:rPr>
        <w:t xml:space="preserve">by </w:t>
      </w:r>
      <w:r w:rsidRPr="00006BE9">
        <w:rPr>
          <w:color w:val="000000"/>
        </w:rPr>
        <w:t>project roads.</w:t>
      </w:r>
      <w:r w:rsidR="00F21DB8" w:rsidRPr="00006BE9">
        <w:rPr>
          <w:color w:val="000000"/>
        </w:rPr>
        <w:t xml:space="preserve"> </w:t>
      </w:r>
      <w:r w:rsidRPr="00006BE9">
        <w:rPr>
          <w:color w:val="000000"/>
        </w:rPr>
        <w:t xml:space="preserve">With this in mind and in view of the experience gained with the similar monitoring described in </w:t>
      </w:r>
      <w:r w:rsidR="00FC2E7F" w:rsidRPr="00006BE9">
        <w:rPr>
          <w:color w:val="000000"/>
        </w:rPr>
        <w:t>‘</w:t>
      </w:r>
      <w:r w:rsidR="00B64177" w:rsidRPr="00006BE9">
        <w:rPr>
          <w:noProof/>
          <w:color w:val="000000"/>
        </w:rPr>
        <w:t xml:space="preserve">Results of support </w:t>
      </w:r>
      <w:r w:rsidR="005B30A5" w:rsidRPr="00006BE9">
        <w:rPr>
          <w:noProof/>
          <w:color w:val="000000"/>
        </w:rPr>
        <w:t>for</w:t>
      </w:r>
      <w:r w:rsidR="00B64177" w:rsidRPr="00006BE9">
        <w:rPr>
          <w:noProof/>
          <w:color w:val="000000"/>
        </w:rPr>
        <w:t xml:space="preserve"> transport </w:t>
      </w:r>
      <w:r w:rsidR="005B30A5" w:rsidRPr="00006BE9">
        <w:rPr>
          <w:noProof/>
          <w:color w:val="000000"/>
        </w:rPr>
        <w:t>infrastructure</w:t>
      </w:r>
      <w:r w:rsidR="00B64177" w:rsidRPr="00006BE9">
        <w:rPr>
          <w:noProof/>
          <w:color w:val="000000"/>
        </w:rPr>
        <w:t xml:space="preserve"> in Papua New Guinea</w:t>
      </w:r>
      <w:r w:rsidR="00FC2E7F" w:rsidRPr="00006BE9">
        <w:rPr>
          <w:color w:val="000000"/>
        </w:rPr>
        <w:t>’</w:t>
      </w:r>
      <w:r w:rsidRPr="00006BE9">
        <w:rPr>
          <w:color w:val="000000"/>
        </w:rPr>
        <w:t>, the same consultants who carried out that work have been hired to extend coverage to a further 10 provinces.</w:t>
      </w:r>
      <w:r w:rsidR="00F21DB8" w:rsidRPr="00006BE9">
        <w:rPr>
          <w:color w:val="000000"/>
        </w:rPr>
        <w:t xml:space="preserve"> </w:t>
      </w:r>
      <w:r w:rsidRPr="00006BE9">
        <w:rPr>
          <w:color w:val="000000"/>
        </w:rPr>
        <w:t>Baseline surveys were carried out from April to June 2008.</w:t>
      </w:r>
    </w:p>
    <w:p w:rsidR="004C0797" w:rsidRPr="00006BE9" w:rsidRDefault="004C0797" w:rsidP="004C0797">
      <w:pPr>
        <w:pStyle w:val="BodyText"/>
        <w:rPr>
          <w:color w:val="000000"/>
        </w:rPr>
      </w:pPr>
      <w:r w:rsidRPr="00006BE9">
        <w:rPr>
          <w:color w:val="000000"/>
        </w:rPr>
        <w:t xml:space="preserve">Implementation of the water and sanitation projects/programs in </w:t>
      </w:r>
      <w:smartTag w:uri="urn:schemas-microsoft-com:office:smarttags" w:element="country-region">
        <w:r w:rsidRPr="00006BE9">
          <w:rPr>
            <w:color w:val="000000"/>
          </w:rPr>
          <w:t>Vietnam</w:t>
        </w:r>
      </w:smartTag>
      <w:r w:rsidRPr="00006BE9">
        <w:rPr>
          <w:color w:val="000000"/>
        </w:rPr>
        <w:t xml:space="preserve"> </w:t>
      </w:r>
      <w:r w:rsidR="005B30A5" w:rsidRPr="00006BE9">
        <w:rPr>
          <w:color w:val="000000"/>
        </w:rPr>
        <w:t xml:space="preserve">was </w:t>
      </w:r>
      <w:r w:rsidRPr="00006BE9">
        <w:rPr>
          <w:color w:val="000000"/>
        </w:rPr>
        <w:t>assessed as satisfactory except</w:t>
      </w:r>
      <w:r w:rsidR="00B64177" w:rsidRPr="00006BE9">
        <w:rPr>
          <w:color w:val="000000"/>
        </w:rPr>
        <w:t xml:space="preserve"> for</w:t>
      </w:r>
      <w:r w:rsidRPr="00006BE9">
        <w:rPr>
          <w:color w:val="000000"/>
        </w:rPr>
        <w:t xml:space="preserve"> two relatively small projects. The</w:t>
      </w:r>
      <w:r w:rsidR="00B64177" w:rsidRPr="00006BE9">
        <w:rPr>
          <w:color w:val="000000"/>
        </w:rPr>
        <w:t>ir</w:t>
      </w:r>
      <w:r w:rsidRPr="00006BE9">
        <w:rPr>
          <w:color w:val="000000"/>
        </w:rPr>
        <w:t xml:space="preserve"> problems appear to relate to staffing (high turnover and vacant positions) and insufficient coordination with government counterparts. A review will be carried out to identify measures to address any ongoing issues.</w:t>
      </w:r>
    </w:p>
    <w:p w:rsidR="00FC4A3C" w:rsidRPr="00006BE9" w:rsidRDefault="004C0797" w:rsidP="004C0797">
      <w:pPr>
        <w:pStyle w:val="BodyText"/>
        <w:rPr>
          <w:color w:val="000000"/>
        </w:rPr>
      </w:pPr>
      <w:r w:rsidRPr="00006BE9">
        <w:rPr>
          <w:color w:val="000000"/>
        </w:rPr>
        <w:t>Gender equality is an overarching principle of the development assistance program. Infrastructure has significant benefits for gender equality but</w:t>
      </w:r>
      <w:r w:rsidR="00B64177" w:rsidRPr="00006BE9">
        <w:rPr>
          <w:color w:val="000000"/>
        </w:rPr>
        <w:t>,</w:t>
      </w:r>
      <w:r w:rsidRPr="00006BE9">
        <w:rPr>
          <w:color w:val="000000"/>
        </w:rPr>
        <w:t xml:space="preserve"> as noted above, it is difficult for the sector to measure gender equality results. The commitments noted above will assist in measuring results in future reports.</w:t>
      </w:r>
    </w:p>
    <w:sectPr w:rsidR="00FC4A3C" w:rsidRPr="00006BE9" w:rsidSect="007A788C">
      <w:headerReference w:type="even" r:id="rId19"/>
      <w:headerReference w:type="default" r:id="rId20"/>
      <w:footerReference w:type="even" r:id="rId21"/>
      <w:footerReference w:type="default" r:id="rId22"/>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BE" w:rsidRDefault="000016BE">
      <w:r>
        <w:separator/>
      </w:r>
    </w:p>
  </w:endnote>
  <w:endnote w:type="continuationSeparator" w:id="0">
    <w:p w:rsidR="000016BE" w:rsidRDefault="0000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Malgun Gothic"/>
    <w:panose1 w:val="00000000000000000000"/>
    <w:charset w:val="00"/>
    <w:family w:val="swiss"/>
    <w:notTrueType/>
    <w:pitch w:val="variable"/>
    <w:sig w:usb0="00000003" w:usb1="00000000" w:usb2="00000000" w:usb3="00000000" w:csb0="00000001"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Arial Unicode MS"/>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AD612A" w:rsidRDefault="00976BA8">
    <w:pPr>
      <w:pStyle w:val="Footer"/>
    </w:pPr>
    <w:r>
      <w:rPr>
        <w:rStyle w:val="PageNumber"/>
      </w:rPr>
      <w:fldChar w:fldCharType="begin"/>
    </w:r>
    <w:r>
      <w:rPr>
        <w:rStyle w:val="PageNumber"/>
      </w:rPr>
      <w:instrText xml:space="preserve"> PAGE </w:instrText>
    </w:r>
    <w:r>
      <w:rPr>
        <w:rStyle w:val="PageNumber"/>
      </w:rPr>
      <w:fldChar w:fldCharType="separate"/>
    </w:r>
    <w:r w:rsidR="00D82B20">
      <w:rPr>
        <w:rStyle w:val="PageNumber"/>
        <w:noProof/>
      </w:rPr>
      <w:t>16</w:t>
    </w:r>
    <w:r>
      <w:rPr>
        <w:rStyle w:val="PageNumber"/>
      </w:rPr>
      <w:fldChar w:fldCharType="end"/>
    </w:r>
    <w:r w:rsidRPr="007C1ECE">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D82B20">
      <w:rPr>
        <w:rFonts w:cs="Arial"/>
        <w:noProof/>
      </w:rPr>
      <w:t>Infrastructure annual thematic performance report 2007–08</w:t>
    </w:r>
    <w:r w:rsidRPr="00366135">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1260C2" w:rsidRDefault="00976BA8" w:rsidP="007A788C">
    <w:pPr>
      <w:pStyle w:val="Footer"/>
    </w:pPr>
    <w:r>
      <w:tab/>
    </w: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413E00">
      <w:rPr>
        <w:rFonts w:cs="Arial"/>
        <w:noProof/>
      </w:rPr>
      <w:t>Infrastructure annual thematic performance report 2007–08</w:t>
    </w:r>
    <w:r w:rsidRPr="00366135">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413E00">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AD612A" w:rsidRDefault="007A45B0">
    <w:pPr>
      <w:pStyle w:val="Footer"/>
    </w:pPr>
    <w:r>
      <w:rPr>
        <w:noProof/>
        <w:lang w:val="en-US" w:eastAsia="en-US"/>
      </w:rPr>
      <mc:AlternateContent>
        <mc:Choice Requires="wps">
          <w:drawing>
            <wp:anchor distT="0" distB="0" distL="114300" distR="114300" simplePos="0" relativeHeight="251661312" behindDoc="0" locked="0" layoutInCell="1" allowOverlap="1">
              <wp:simplePos x="0" y="0"/>
              <wp:positionH relativeFrom="page">
                <wp:posOffset>144145</wp:posOffset>
              </wp:positionH>
              <wp:positionV relativeFrom="page">
                <wp:posOffset>900430</wp:posOffset>
              </wp:positionV>
              <wp:extent cx="179705" cy="540004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BA8" w:rsidRDefault="00976BA8">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D82B20">
                            <w:rPr>
                              <w:rStyle w:val="PageNumber"/>
                              <w:caps/>
                              <w:noProof/>
                            </w:rPr>
                            <w:t>24</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D82B20">
                            <w:rPr>
                              <w:rFonts w:cs="Arial"/>
                              <w:noProof/>
                            </w:rPr>
                            <w:t>Infrastructure annual thematic performance report 2007–08</w:t>
                          </w:r>
                          <w:r w:rsidRPr="00366135">
                            <w:rPr>
                              <w:rFonts w:cs="Arial"/>
                            </w:rPr>
                            <w:fldChar w:fldCharType="end"/>
                          </w:r>
                          <w:r>
                            <w:rPr>
                              <w:rFonts w:cs="Arial"/>
                            </w:rPr>
                            <w:tab/>
                          </w:r>
                          <w:r w:rsidRPr="007A2D4A">
                            <w:rPr>
                              <w:color w:val="99988B"/>
                            </w:rPr>
                            <w:t>www.ausaid.gov.au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35pt;margin-top:70.9pt;width:14.15pt;height:42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" filled="f" stroked="f">
              <v:textbox style="layout-flow:vertical" inset="0,0,0,0">
                <w:txbxContent>
                  <w:p w:rsidR="00976BA8" w:rsidRDefault="00976BA8">
                    <w:pPr>
                      <w:pStyle w:val="Footer"/>
                      <w:tabs>
                        <w:tab w:val="clear" w:pos="0"/>
                        <w:tab w:val="clear" w:pos="7938"/>
                        <w:tab w:val="left" w:pos="567"/>
                      </w:tabs>
                      <w:ind w:left="0" w:right="0"/>
                    </w:pPr>
                    <w:r>
                      <w:rPr>
                        <w:rStyle w:val="PageNumber"/>
                        <w:caps/>
                      </w:rPr>
                      <w:fldChar w:fldCharType="begin"/>
                    </w:r>
                    <w:r>
                      <w:rPr>
                        <w:rStyle w:val="PageNumber"/>
                        <w:caps/>
                      </w:rPr>
                      <w:instrText xml:space="preserve"> PAGE </w:instrText>
                    </w:r>
                    <w:r>
                      <w:rPr>
                        <w:rStyle w:val="PageNumber"/>
                        <w:caps/>
                      </w:rPr>
                      <w:fldChar w:fldCharType="separate"/>
                    </w:r>
                    <w:r w:rsidR="00D82B20">
                      <w:rPr>
                        <w:rStyle w:val="PageNumber"/>
                        <w:caps/>
                        <w:noProof/>
                      </w:rPr>
                      <w:t>24</w:t>
                    </w:r>
                    <w:r>
                      <w:rPr>
                        <w:rStyle w:val="PageNumber"/>
                        <w:caps/>
                      </w:rPr>
                      <w:fldChar w:fldCharType="end"/>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D82B20">
                      <w:rPr>
                        <w:rFonts w:cs="Arial"/>
                        <w:noProof/>
                      </w:rPr>
                      <w:t>Infrastructure annual thematic performance report 2007–08</w:t>
                    </w:r>
                    <w:r w:rsidRPr="00366135">
                      <w:rPr>
                        <w:rFonts w:cs="Arial"/>
                      </w:rPr>
                      <w:fldChar w:fldCharType="end"/>
                    </w:r>
                    <w:r>
                      <w:rPr>
                        <w:rFonts w:cs="Arial"/>
                      </w:rPr>
                      <w:tab/>
                    </w:r>
                    <w:r w:rsidRPr="007A2D4A">
                      <w:rPr>
                        <w:color w:val="99988B"/>
                      </w:rPr>
                      <w:t>www.ausaid.gov.au</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366135" w:rsidRDefault="00976BA8" w:rsidP="007A78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AD612A" w:rsidRDefault="00976BA8">
    <w:pPr>
      <w:pStyle w:val="Footer"/>
    </w:pPr>
    <w:r>
      <w:rPr>
        <w:rStyle w:val="PageNumber"/>
      </w:rPr>
      <w:fldChar w:fldCharType="begin"/>
    </w:r>
    <w:r>
      <w:rPr>
        <w:rStyle w:val="PageNumber"/>
      </w:rPr>
      <w:instrText xml:space="preserve"> PAGE </w:instrText>
    </w:r>
    <w:r>
      <w:rPr>
        <w:rStyle w:val="PageNumber"/>
      </w:rPr>
      <w:fldChar w:fldCharType="separate"/>
    </w:r>
    <w:r w:rsidR="00D82B20">
      <w:rPr>
        <w:rStyle w:val="PageNumber"/>
        <w:noProof/>
      </w:rPr>
      <w:t>28</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D82B20">
      <w:rPr>
        <w:rFonts w:cs="Arial"/>
        <w:noProof/>
      </w:rPr>
      <w:t>Infrastructure annual thematic performance report 2007–08</w:t>
    </w:r>
    <w:r w:rsidRPr="00592A83">
      <w:rPr>
        <w:rFonts w:cs="Arial"/>
      </w:rPr>
      <w:fldChar w:fldCharType="end"/>
    </w:r>
    <w:r>
      <w:tab/>
    </w:r>
    <w:r w:rsidRPr="007A2D4A">
      <w:rPr>
        <w:color w:val="99988B"/>
      </w:rPr>
      <w:t>www.ausaid.gov.au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Pr="001260C2" w:rsidRDefault="00976BA8"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D82B20">
      <w:rPr>
        <w:rFonts w:cs="Arial"/>
        <w:noProof/>
      </w:rPr>
      <w:t>Infrastructure annual thematic performance report 2007–08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D82B20">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BE" w:rsidRDefault="000016BE" w:rsidP="00D62AA4">
      <w:pPr>
        <w:spacing w:before="60" w:after="40" w:line="180" w:lineRule="exact"/>
      </w:pPr>
      <w:r>
        <w:continuationSeparator/>
      </w:r>
    </w:p>
  </w:footnote>
  <w:footnote w:type="continuationSeparator" w:id="0">
    <w:p w:rsidR="000016BE" w:rsidRDefault="000016BE">
      <w:r>
        <w:continuationSeparator/>
      </w:r>
    </w:p>
  </w:footnote>
  <w:footnote w:type="continuationNotice" w:id="1">
    <w:p w:rsidR="000016BE" w:rsidRDefault="000016BE"/>
  </w:footnote>
  <w:footnote w:id="2">
    <w:p w:rsidR="00000000" w:rsidRDefault="00976BA8" w:rsidP="0005352A">
      <w:pPr>
        <w:pStyle w:val="FootnoteText"/>
      </w:pPr>
      <w:r w:rsidRPr="0005352A">
        <w:rPr>
          <w:rStyle w:val="FootnoteReference"/>
        </w:rPr>
        <w:footnoteRef/>
      </w:r>
      <w:r w:rsidRPr="00AC4FD9">
        <w:rPr>
          <w:sz w:val="18"/>
          <w:szCs w:val="18"/>
        </w:rPr>
        <w:t xml:space="preserve"> </w:t>
      </w:r>
      <w:r>
        <w:rPr>
          <w:sz w:val="18"/>
          <w:szCs w:val="18"/>
        </w:rPr>
        <w:tab/>
      </w:r>
      <w:r w:rsidRPr="00B64B69">
        <w:t xml:space="preserve">The term </w:t>
      </w:r>
      <w:r>
        <w:t>‘</w:t>
      </w:r>
      <w:r w:rsidRPr="00B64B69">
        <w:t>infrastructure</w:t>
      </w:r>
      <w:r>
        <w:t>’</w:t>
      </w:r>
      <w:r w:rsidRPr="00B64B69">
        <w:t xml:space="preserve"> can be used very broadly to cover </w:t>
      </w:r>
      <w:r w:rsidRPr="00276E46">
        <w:t>public works</w:t>
      </w:r>
      <w:r w:rsidRPr="00B64B69">
        <w:t xml:space="preserve"> (roads, other transport modes, water and sanitation, electricity generation and transmission, solid waste management</w:t>
      </w:r>
      <w:r>
        <w:t>,</w:t>
      </w:r>
      <w:r w:rsidRPr="00B64B69">
        <w:t xml:space="preserve"> etc</w:t>
      </w:r>
      <w:r>
        <w:t>.</w:t>
      </w:r>
      <w:r w:rsidRPr="00B64B69">
        <w:t xml:space="preserve">) and </w:t>
      </w:r>
      <w:r w:rsidRPr="00276E46">
        <w:t>public buildings</w:t>
      </w:r>
      <w:r w:rsidRPr="00B64B69">
        <w:t xml:space="preserve"> (schools, hospitals and clinics, law and order </w:t>
      </w:r>
      <w:r>
        <w:t xml:space="preserve">offices, </w:t>
      </w:r>
      <w:r w:rsidRPr="00B64B69">
        <w:t>etc</w:t>
      </w:r>
      <w:r>
        <w:t>.</w:t>
      </w:r>
      <w:r w:rsidRPr="00B64B69">
        <w:t>).</w:t>
      </w:r>
      <w:r>
        <w:t xml:space="preserve"> </w:t>
      </w:r>
      <w:r w:rsidRPr="00B64B69">
        <w:t xml:space="preserve">This report focuses on </w:t>
      </w:r>
      <w:r w:rsidRPr="00276E46">
        <w:t>public works infrastructure</w:t>
      </w:r>
      <w:r w:rsidRPr="00B64B69">
        <w:t>.</w:t>
      </w:r>
      <w:r>
        <w:t xml:space="preserve"> P</w:t>
      </w:r>
      <w:r w:rsidRPr="00276E46">
        <w:t>ublic building</w:t>
      </w:r>
      <w:r>
        <w:t>s</w:t>
      </w:r>
      <w:r w:rsidRPr="00276E46">
        <w:t xml:space="preserve"> infrastructure</w:t>
      </w:r>
      <w:r>
        <w:t>,</w:t>
      </w:r>
      <w:r w:rsidRPr="00B64B69">
        <w:t xml:space="preserve"> </w:t>
      </w:r>
      <w:r>
        <w:t xml:space="preserve">which </w:t>
      </w:r>
      <w:r w:rsidRPr="00B64B69">
        <w:t>forms a significant part of AusAID’s health, education and</w:t>
      </w:r>
      <w:r>
        <w:t xml:space="preserve"> governance programs, is deemed </w:t>
      </w:r>
      <w:r w:rsidRPr="00B64B69">
        <w:t xml:space="preserve">to be addressed in the respective </w:t>
      </w:r>
      <w:r>
        <w:t>thematic performance reports</w:t>
      </w:r>
      <w:r w:rsidRPr="00B64B69">
        <w:t xml:space="preserve"> for those sectors</w:t>
      </w:r>
      <w:r w:rsidRPr="00AC4FD9">
        <w:rPr>
          <w:sz w:val="18"/>
          <w:szCs w:val="18"/>
        </w:rPr>
        <w:t>.</w:t>
      </w:r>
    </w:p>
  </w:footnote>
  <w:footnote w:id="3">
    <w:p w:rsidR="00000000" w:rsidRDefault="00976BA8" w:rsidP="0005352A">
      <w:pPr>
        <w:pStyle w:val="FootnoteText"/>
      </w:pPr>
      <w:r>
        <w:rPr>
          <w:rStyle w:val="FootnoteReference"/>
        </w:rPr>
        <w:footnoteRef/>
      </w:r>
      <w:r>
        <w:t xml:space="preserve"> </w:t>
      </w:r>
      <w:r>
        <w:tab/>
        <w:t xml:space="preserve">Part of the </w:t>
      </w:r>
      <w:smartTag w:uri="urn:schemas-microsoft-com:office:smarttags" w:element="place">
        <w:smartTag w:uri="urn:schemas-microsoft-com:office:smarttags" w:element="country-region">
          <w:r>
            <w:t>Vietnam</w:t>
          </w:r>
        </w:smartTag>
      </w:smartTag>
      <w:r>
        <w:t xml:space="preserve"> water and sanitation program is being implemented in partnership with two other bilateral donors, with all three donors sharing responsibility for preparation and program management.</w:t>
      </w:r>
    </w:p>
  </w:footnote>
  <w:footnote w:id="4">
    <w:p w:rsidR="00000000" w:rsidRDefault="00976BA8">
      <w:pPr>
        <w:pStyle w:val="FootnoteText"/>
      </w:pPr>
      <w:r>
        <w:rPr>
          <w:rStyle w:val="FootnoteReference"/>
        </w:rPr>
        <w:footnoteRef/>
      </w:r>
      <w:r>
        <w:t xml:space="preserve"> </w:t>
      </w:r>
      <w:r>
        <w:tab/>
        <w:t xml:space="preserve">Australian Government, </w:t>
      </w:r>
      <w:r w:rsidRPr="00334F39">
        <w:t>Australian aid: promoting growth and stability</w:t>
      </w:r>
      <w:r>
        <w:t>—</w:t>
      </w:r>
      <w:r w:rsidRPr="00334F39">
        <w:t>a white paper on the Australian Government’s overseas aid program</w:t>
      </w:r>
      <w:r>
        <w:t xml:space="preserve">, Australian Agency for International Development, </w:t>
      </w:r>
      <w:smartTag w:uri="urn:schemas-microsoft-com:office:smarttags" w:element="City">
        <w:smartTag w:uri="urn:schemas-microsoft-com:office:smarttags" w:element="place">
          <w:r>
            <w:t>Canberra</w:t>
          </w:r>
        </w:smartTag>
      </w:smartTag>
      <w:r>
        <w:t>, 2006.</w:t>
      </w:r>
    </w:p>
  </w:footnote>
  <w:footnote w:id="5">
    <w:p w:rsidR="00000000" w:rsidRDefault="00976BA8" w:rsidP="0005352A">
      <w:pPr>
        <w:pStyle w:val="FootnoteText"/>
      </w:pPr>
      <w:r>
        <w:rPr>
          <w:rStyle w:val="FootnoteReference"/>
        </w:rPr>
        <w:footnoteRef/>
      </w:r>
      <w:r>
        <w:t xml:space="preserve"> </w:t>
      </w:r>
      <w:r>
        <w:tab/>
        <w:t xml:space="preserve">Other partners in the </w:t>
      </w:r>
      <w:r w:rsidRPr="0005352A">
        <w:t xml:space="preserve">Pacific Region Infrastructure Facility </w:t>
      </w:r>
      <w:r>
        <w:t xml:space="preserve">are the Asian Development Bank, </w:t>
      </w:r>
      <w:smartTag w:uri="urn:schemas-microsoft-com:office:smarttags" w:element="country-region">
        <w:smartTag w:uri="urn:schemas-microsoft-com:office:smarttags" w:element="place">
          <w:r>
            <w:t>New Zealand</w:t>
          </w:r>
        </w:smartTag>
      </w:smartTag>
      <w:r>
        <w:t>’s International Aid &amp; Development Agency and the World Bank.</w:t>
      </w:r>
    </w:p>
  </w:footnote>
  <w:footnote w:id="6">
    <w:p w:rsidR="00000000" w:rsidRDefault="00976BA8" w:rsidP="0005352A">
      <w:pPr>
        <w:pStyle w:val="FootnoteText"/>
      </w:pPr>
      <w:r>
        <w:rPr>
          <w:rStyle w:val="FootnoteReference"/>
        </w:rPr>
        <w:footnoteRef/>
      </w:r>
      <w:r>
        <w:t xml:space="preserve"> </w:t>
      </w:r>
      <w:r>
        <w:tab/>
      </w:r>
      <w:r w:rsidRPr="008C1815">
        <w:t>Multi-donor trust funds supported include the Public Private Infrastructure Advisory Facility</w:t>
      </w:r>
      <w:r>
        <w:t>,</w:t>
      </w:r>
      <w:r w:rsidRPr="008C1815">
        <w:t xml:space="preserve"> the Global Partnership for Output Based Aid</w:t>
      </w:r>
      <w:r>
        <w:t>,</w:t>
      </w:r>
      <w:r w:rsidRPr="008C1815">
        <w:t xml:space="preserve"> the Global Road Safety Partnership</w:t>
      </w:r>
      <w:r>
        <w:t>, the</w:t>
      </w:r>
      <w:r w:rsidRPr="008C1815">
        <w:t xml:space="preserve"> Energy Sector Management Assistance Program</w:t>
      </w:r>
      <w:r>
        <w:t>,</w:t>
      </w:r>
      <w:r w:rsidRPr="008C1815">
        <w:t xml:space="preserve"> the Water Financing Partnership Facility and the Clean Energy Financing Partnership Facility.</w:t>
      </w:r>
      <w:r>
        <w:t xml:space="preserve"> </w:t>
      </w:r>
      <w:r w:rsidRPr="008C1815">
        <w:t xml:space="preserve">There are also two bilateral trust funds, both with </w:t>
      </w:r>
      <w:r>
        <w:t>the World Bank—</w:t>
      </w:r>
      <w:r w:rsidRPr="008C1815">
        <w:t xml:space="preserve">the </w:t>
      </w:r>
      <w:smartTag w:uri="urn:schemas-microsoft-com:office:smarttags" w:element="place">
        <w:r w:rsidRPr="008C1815">
          <w:t>East Asia</w:t>
        </w:r>
      </w:smartTag>
      <w:r w:rsidRPr="008C1815">
        <w:t xml:space="preserve"> and Pacific Trust Fund and the South Asia Trust Fund.</w:t>
      </w:r>
    </w:p>
  </w:footnote>
  <w:footnote w:id="7">
    <w:p w:rsidR="00000000" w:rsidRDefault="00976BA8" w:rsidP="00D641D4">
      <w:pPr>
        <w:pStyle w:val="FootnoteText"/>
      </w:pPr>
      <w:r>
        <w:rPr>
          <w:rStyle w:val="FootnoteReference"/>
        </w:rPr>
        <w:footnoteRef/>
      </w:r>
      <w:r>
        <w:t xml:space="preserve"> </w:t>
      </w:r>
      <w:r>
        <w:tab/>
        <w:t>This includes all of the $30 million incentive allocation for the year.</w:t>
      </w:r>
    </w:p>
  </w:footnote>
  <w:footnote w:id="8">
    <w:p w:rsidR="00000000" w:rsidRDefault="00976BA8">
      <w:pPr>
        <w:pStyle w:val="FootnoteText"/>
      </w:pPr>
      <w:r>
        <w:rPr>
          <w:rStyle w:val="FootnoteReference"/>
        </w:rPr>
        <w:footnoteRef/>
      </w:r>
      <w:r>
        <w:t xml:space="preserve"> </w:t>
      </w:r>
      <w:r>
        <w:tab/>
        <w:t xml:space="preserve">AusAID, </w:t>
      </w:r>
      <w:r w:rsidRPr="00860DFC">
        <w:rPr>
          <w:i/>
        </w:rPr>
        <w:t>Papua New Guinea</w:t>
      </w:r>
      <w:r w:rsidRPr="00860DFC">
        <w:rPr>
          <w:rFonts w:ascii="Arial" w:hAnsi="Arial" w:cs="Arial"/>
          <w:i/>
          <w:sz w:val="12"/>
          <w:szCs w:val="12"/>
        </w:rPr>
        <w:t> </w:t>
      </w:r>
      <w:r w:rsidRPr="00860DFC">
        <w:rPr>
          <w:i/>
        </w:rPr>
        <w:t>–</w:t>
      </w:r>
      <w:r w:rsidRPr="00860DFC">
        <w:rPr>
          <w:rFonts w:ascii="Arial" w:hAnsi="Arial" w:cs="Arial"/>
          <w:i/>
          <w:sz w:val="12"/>
          <w:szCs w:val="12"/>
        </w:rPr>
        <w:t> </w:t>
      </w:r>
      <w:r w:rsidRPr="00860DFC">
        <w:rPr>
          <w:i/>
        </w:rPr>
        <w:t>Australia development cooperation strategy 2006–2010</w:t>
      </w:r>
      <w:r>
        <w:t>, Australian Agency for International Development, Canberra, 2007, p. 1.</w:t>
      </w:r>
    </w:p>
  </w:footnote>
  <w:footnote w:id="9">
    <w:p w:rsidR="00000000" w:rsidRDefault="00976BA8" w:rsidP="00D641D4">
      <w:pPr>
        <w:pStyle w:val="FootnoteText"/>
      </w:pPr>
      <w:r>
        <w:rPr>
          <w:rStyle w:val="FootnoteReference"/>
        </w:rPr>
        <w:footnoteRef/>
      </w:r>
      <w:r>
        <w:t xml:space="preserve"> </w:t>
      </w:r>
      <w:r>
        <w:tab/>
        <w:t xml:space="preserve">S Jusi, W Asigau and N Laatunen, ‘Social impact benefits of road rehabilitation projects in six provinces in </w:t>
      </w:r>
      <w:smartTag w:uri="urn:schemas-microsoft-com:office:smarttags" w:element="country-region">
        <w:smartTag w:uri="urn:schemas-microsoft-com:office:smarttags" w:element="place">
          <w:r>
            <w:t>Papua New Guinea</w:t>
          </w:r>
        </w:smartTag>
      </w:smartTag>
      <w:r>
        <w:t>, South Pacific’. The study involved household surveys of around 1200 households in 24 villages (half of which were controls) in six provinces.</w:t>
      </w:r>
    </w:p>
  </w:footnote>
  <w:footnote w:id="10">
    <w:p w:rsidR="00000000" w:rsidRDefault="00976BA8" w:rsidP="00B858B5">
      <w:pPr>
        <w:pStyle w:val="FootnoteText"/>
      </w:pPr>
      <w:r>
        <w:rPr>
          <w:rStyle w:val="FootnoteReference"/>
        </w:rPr>
        <w:footnoteRef/>
      </w:r>
      <w:r>
        <w:t xml:space="preserve"> </w:t>
      </w:r>
      <w:r>
        <w:tab/>
        <w:t xml:space="preserve">The </w:t>
      </w:r>
      <w:r w:rsidRPr="00B64B69">
        <w:t xml:space="preserve">Government </w:t>
      </w:r>
      <w:r>
        <w:t xml:space="preserve">of Vietnam </w:t>
      </w:r>
      <w:r w:rsidRPr="00B64B69">
        <w:t xml:space="preserve">has established several national target </w:t>
      </w:r>
      <w:r>
        <w:t>program</w:t>
      </w:r>
      <w:r w:rsidRPr="00B64B69">
        <w:t>s as a strategy to better target development assistan</w:t>
      </w:r>
      <w:r>
        <w:t>ce to the poor and vulnerable.</w:t>
      </w:r>
    </w:p>
  </w:footnote>
  <w:footnote w:id="11">
    <w:p w:rsidR="00000000" w:rsidRDefault="00976BA8" w:rsidP="00072718">
      <w:pPr>
        <w:pStyle w:val="FootnoteText"/>
      </w:pPr>
      <w:r>
        <w:rPr>
          <w:rStyle w:val="FootnoteReference"/>
        </w:rPr>
        <w:footnoteRef/>
      </w:r>
      <w:r>
        <w:t xml:space="preserve"> </w:t>
      </w:r>
      <w:r>
        <w:tab/>
        <w:t>From Tables 4.7 and 4.8 of the program design document, June 2008. This is based on a projected budget of VND10 823 billion at an exchange rate of VND15 780 = US$1. The Government of Vietnam’s budget is VND22 600 billion (Table 4.6 of the program design document) but this appears to have been based on overoptimistic assumptions.</w:t>
      </w:r>
    </w:p>
  </w:footnote>
  <w:footnote w:id="12">
    <w:p w:rsidR="00000000" w:rsidRDefault="00976BA8">
      <w:pPr>
        <w:pStyle w:val="FootnoteText"/>
      </w:pPr>
      <w:r>
        <w:rPr>
          <w:rStyle w:val="FootnoteReference"/>
        </w:rPr>
        <w:footnoteRef/>
      </w:r>
      <w:r>
        <w:t xml:space="preserve"> </w:t>
      </w:r>
      <w:r>
        <w:tab/>
        <w:t xml:space="preserve">AusAID, </w:t>
      </w:r>
      <w:r>
        <w:rPr>
          <w:i/>
        </w:rPr>
        <w:t>Viet Nam Australia development cooperation strategy 2003–2007</w:t>
      </w:r>
      <w:r>
        <w:t>, Australian Agency for International Development, Canberra, 2003.</w:t>
      </w:r>
    </w:p>
  </w:footnote>
  <w:footnote w:id="13">
    <w:p w:rsidR="00000000" w:rsidRDefault="00976BA8" w:rsidP="00072718">
      <w:pPr>
        <w:pStyle w:val="FootnoteText"/>
      </w:pPr>
      <w:r>
        <w:rPr>
          <w:rStyle w:val="FootnoteReference"/>
        </w:rPr>
        <w:footnoteRef/>
      </w:r>
      <w:r>
        <w:t xml:space="preserve"> </w:t>
      </w:r>
      <w:r>
        <w:tab/>
        <w:t>Table 4.4 of the project design document.</w:t>
      </w:r>
    </w:p>
  </w:footnote>
  <w:footnote w:id="14">
    <w:p w:rsidR="00000000" w:rsidRDefault="00976BA8" w:rsidP="00072718">
      <w:pPr>
        <w:pStyle w:val="FootnoteText"/>
      </w:pPr>
      <w:r>
        <w:rPr>
          <w:rStyle w:val="FootnoteReference"/>
        </w:rPr>
        <w:footnoteRef/>
      </w:r>
      <w:r>
        <w:t xml:space="preserve"> </w:t>
      </w:r>
      <w:r>
        <w:tab/>
        <w:t>It appears that the coverage figures are derived by dividing the expenditure achieved by average unit costs. It is expected that more accurate reporting will become available after the M&amp;E procedures are disseminated.</w:t>
      </w:r>
    </w:p>
  </w:footnote>
  <w:footnote w:id="15">
    <w:p w:rsidR="00000000" w:rsidRDefault="00976BA8" w:rsidP="00A02CFE">
      <w:pPr>
        <w:pStyle w:val="FootnoteText"/>
      </w:pPr>
      <w:r>
        <w:rPr>
          <w:rStyle w:val="FootnoteReference"/>
        </w:rPr>
        <w:footnoteRef/>
      </w:r>
      <w:r>
        <w:t xml:space="preserve"> </w:t>
      </w:r>
      <w:r>
        <w:tab/>
        <w:t>The performance grant mechanism is a program-wide incentive mechanism whereby an additional amount equivalent to 10 per cent of AusAID’s annual planned expenditure can be allocated if mutually agreed triggers are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Default="00976BA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Default="00976BA8" w:rsidP="007A788C">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Default="007A45B0">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page">
                <wp:posOffset>144145</wp:posOffset>
              </wp:positionH>
              <wp:positionV relativeFrom="page">
                <wp:posOffset>1260475</wp:posOffset>
              </wp:positionV>
              <wp:extent cx="179705" cy="5400040"/>
              <wp:effectExtent l="127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40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BA8" w:rsidRDefault="00976BA8" w:rsidP="007A788C">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D82B20">
                            <w:rPr>
                              <w:rFonts w:cs="Arial"/>
                              <w:noProof/>
                            </w:rPr>
                            <w:t>Infrastructure annual thematic performance report 2007–08</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D82B20">
                            <w:rPr>
                              <w:rStyle w:val="PageNumber"/>
                              <w:caps/>
                              <w:noProof/>
                            </w:rPr>
                            <w:t>25</w:t>
                          </w:r>
                          <w:r>
                            <w:rPr>
                              <w:rStyle w:val="PageNumber"/>
                              <w:cap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35pt;margin-top:99.25pt;width:14.15pt;height:4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" filled="f" stroked="f">
              <v:textbox style="layout-flow:vertical" inset="0,0,0,0">
                <w:txbxContent>
                  <w:p w:rsidR="00976BA8" w:rsidRDefault="00976BA8" w:rsidP="007A788C">
                    <w:pPr>
                      <w:pStyle w:val="Footer"/>
                      <w:tabs>
                        <w:tab w:val="clear" w:pos="0"/>
                        <w:tab w:val="left" w:pos="567"/>
                      </w:tabs>
                      <w:ind w:left="0" w:right="0"/>
                    </w:pPr>
                    <w:r w:rsidRPr="007A2D4A">
                      <w:rPr>
                        <w:color w:val="99988B"/>
                      </w:rPr>
                      <w:t>www.ausaid.gov.au</w:t>
                    </w:r>
                    <w:r>
                      <w:tab/>
                    </w:r>
                    <w:r w:rsidRPr="00366135">
                      <w:rPr>
                        <w:rFonts w:cs="Arial"/>
                      </w:rPr>
                      <w:fldChar w:fldCharType="begin"/>
                    </w:r>
                    <w:r w:rsidRPr="00366135">
                      <w:rPr>
                        <w:rFonts w:cs="Arial"/>
                      </w:rPr>
                      <w:instrText xml:space="preserve"> STYLEREF  Title </w:instrText>
                    </w:r>
                    <w:r w:rsidRPr="00366135">
                      <w:rPr>
                        <w:rFonts w:cs="Arial"/>
                      </w:rPr>
                      <w:fldChar w:fldCharType="separate"/>
                    </w:r>
                    <w:r w:rsidR="00D82B20">
                      <w:rPr>
                        <w:rFonts w:cs="Arial"/>
                        <w:noProof/>
                      </w:rPr>
                      <w:t>Infrastructure annual thematic performance report 2007–08</w:t>
                    </w:r>
                    <w:r w:rsidRPr="00366135">
                      <w:rPr>
                        <w:rFonts w:cs="Arial"/>
                      </w:rPr>
                      <w:fldChar w:fldCharType="end"/>
                    </w:r>
                    <w:r>
                      <w:tab/>
                    </w:r>
                    <w:r>
                      <w:rPr>
                        <w:rStyle w:val="PageNumber"/>
                        <w:caps/>
                      </w:rPr>
                      <w:fldChar w:fldCharType="begin"/>
                    </w:r>
                    <w:r>
                      <w:rPr>
                        <w:rStyle w:val="PageNumber"/>
                        <w:caps/>
                      </w:rPr>
                      <w:instrText xml:space="preserve"> PAGE </w:instrText>
                    </w:r>
                    <w:r>
                      <w:rPr>
                        <w:rStyle w:val="PageNumber"/>
                        <w:caps/>
                      </w:rPr>
                      <w:fldChar w:fldCharType="separate"/>
                    </w:r>
                    <w:r w:rsidR="00D82B20">
                      <w:rPr>
                        <w:rStyle w:val="PageNumber"/>
                        <w:caps/>
                        <w:noProof/>
                      </w:rPr>
                      <w:t>25</w:t>
                    </w:r>
                    <w:r>
                      <w:rPr>
                        <w:rStyle w:val="PageNumber"/>
                        <w:cap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Default="00976BA8" w:rsidP="00B7603F">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A8" w:rsidRDefault="00976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6B6F76C"/>
    <w:lvl w:ilvl="0">
      <w:start w:val="1"/>
      <w:numFmt w:val="decimal"/>
      <w:lvlText w:val="%1."/>
      <w:lvlJc w:val="left"/>
      <w:pPr>
        <w:tabs>
          <w:tab w:val="num" w:pos="360"/>
        </w:tabs>
        <w:ind w:left="360" w:hanging="360"/>
      </w:pPr>
      <w:rPr>
        <w:rFonts w:cs="Times New Roman"/>
      </w:rPr>
    </w:lvl>
  </w:abstractNum>
  <w:abstractNum w:abstractNumId="1">
    <w:nsid w:val="07F75263"/>
    <w:multiLevelType w:val="hybridMultilevel"/>
    <w:tmpl w:val="183033F4"/>
    <w:lvl w:ilvl="0" w:tplc="FAF88740">
      <w:start w:val="1"/>
      <w:numFmt w:val="bullet"/>
      <w:pStyle w:val="ListBullet"/>
      <w:lvlText w:val="&gt;"/>
      <w:lvlJc w:val="left"/>
      <w:pPr>
        <w:tabs>
          <w:tab w:val="num" w:pos="284"/>
        </w:tabs>
        <w:ind w:left="284" w:hanging="284"/>
      </w:pPr>
      <w:rPr>
        <w:rFonts w:hint="default"/>
        <w:b w:val="0"/>
        <w:i w:val="0"/>
        <w:color w:val="auto"/>
        <w:position w:val="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21CE7"/>
    <w:multiLevelType w:val="hybridMultilevel"/>
    <w:tmpl w:val="C548E4FA"/>
    <w:lvl w:ilvl="0" w:tplc="ACFA6F56">
      <w:start w:val="1"/>
      <w:numFmt w:val="bullet"/>
      <w:pStyle w:val="TableListBullet2"/>
      <w:lvlText w:val="–"/>
      <w:lvlJc w:val="left"/>
      <w:pPr>
        <w:tabs>
          <w:tab w:val="num" w:pos="454"/>
        </w:tabs>
        <w:ind w:left="454" w:hanging="227"/>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80665BC"/>
    <w:multiLevelType w:val="hybridMultilevel"/>
    <w:tmpl w:val="7A98B1B0"/>
    <w:lvl w:ilvl="0" w:tplc="5D98112C">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9B02A7"/>
    <w:multiLevelType w:val="singleLevel"/>
    <w:tmpl w:val="38C655C0"/>
    <w:lvl w:ilvl="0">
      <w:start w:val="1"/>
      <w:numFmt w:val="bullet"/>
      <w:lvlText w:val="–"/>
      <w:lvlJc w:val="left"/>
      <w:pPr>
        <w:tabs>
          <w:tab w:val="num" w:pos="567"/>
        </w:tabs>
        <w:ind w:left="567" w:hanging="283"/>
      </w:pPr>
      <w:rPr>
        <w:rFonts w:hint="default"/>
        <w:color w:val="auto"/>
        <w:sz w:val="21"/>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9233F6B"/>
    <w:multiLevelType w:val="hybridMultilevel"/>
    <w:tmpl w:val="53929CB2"/>
    <w:lvl w:ilvl="0" w:tplc="FFFFFFFF">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8A5214"/>
    <w:multiLevelType w:val="hybridMultilevel"/>
    <w:tmpl w:val="0B5AC610"/>
    <w:lvl w:ilvl="0" w:tplc="FFFFFFFF">
      <w:start w:val="1"/>
      <w:numFmt w:val="decimal"/>
      <w:pStyle w:val="TableListNumber"/>
      <w:lvlText w:val="%1."/>
      <w:lvlJc w:val="left"/>
      <w:pPr>
        <w:tabs>
          <w:tab w:val="num" w:pos="227"/>
        </w:tabs>
        <w:ind w:left="227"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12">
    <w:nsid w:val="66C55035"/>
    <w:multiLevelType w:val="hybridMultilevel"/>
    <w:tmpl w:val="0B46E7C6"/>
    <w:lvl w:ilvl="0" w:tplc="D3782208">
      <w:start w:val="1"/>
      <w:numFmt w:val="bullet"/>
      <w:pStyle w:val="TableListBullet"/>
      <w:lvlText w:val="&gt;"/>
      <w:lvlJc w:val="left"/>
      <w:pPr>
        <w:tabs>
          <w:tab w:val="num" w:pos="227"/>
        </w:tabs>
        <w:ind w:left="227" w:hanging="227"/>
      </w:pPr>
      <w:rPr>
        <w:rFonts w:ascii="Franklin Gothic Medium" w:hAnsi="Franklin Gothic Medium"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4437058"/>
    <w:multiLevelType w:val="multilevel"/>
    <w:tmpl w:val="60AC05B0"/>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num w:numId="1">
    <w:abstractNumId w:val="0"/>
  </w:num>
  <w:num w:numId="2">
    <w:abstractNumId w:val="10"/>
  </w:num>
  <w:num w:numId="3">
    <w:abstractNumId w:val="12"/>
  </w:num>
  <w:num w:numId="4">
    <w:abstractNumId w:val="3"/>
  </w:num>
  <w:num w:numId="5">
    <w:abstractNumId w:val="5"/>
  </w:num>
  <w:num w:numId="6">
    <w:abstractNumId w:val="7"/>
  </w:num>
  <w:num w:numId="7">
    <w:abstractNumId w:val="9"/>
  </w:num>
  <w:num w:numId="8">
    <w:abstractNumId w:val="8"/>
  </w:num>
  <w:num w:numId="9">
    <w:abstractNumId w:val="1"/>
  </w:num>
  <w:num w:numId="10">
    <w:abstractNumId w:val="2"/>
  </w:num>
  <w:num w:numId="11">
    <w:abstractNumId w:val="6"/>
  </w:num>
  <w:num w:numId="12">
    <w:abstractNumId w:val="4"/>
  </w:num>
  <w:num w:numId="13">
    <w:abstractNumId w:val="11"/>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D1"/>
    <w:rsid w:val="000016BE"/>
    <w:rsid w:val="00002939"/>
    <w:rsid w:val="00004368"/>
    <w:rsid w:val="00006BE9"/>
    <w:rsid w:val="00011550"/>
    <w:rsid w:val="0001170C"/>
    <w:rsid w:val="0001356A"/>
    <w:rsid w:val="00015DBC"/>
    <w:rsid w:val="00016771"/>
    <w:rsid w:val="00017D33"/>
    <w:rsid w:val="0002235F"/>
    <w:rsid w:val="00022D41"/>
    <w:rsid w:val="00025204"/>
    <w:rsid w:val="00030588"/>
    <w:rsid w:val="00034B41"/>
    <w:rsid w:val="00034E45"/>
    <w:rsid w:val="00035E2A"/>
    <w:rsid w:val="00037673"/>
    <w:rsid w:val="000433AB"/>
    <w:rsid w:val="00044EDD"/>
    <w:rsid w:val="000452A6"/>
    <w:rsid w:val="0004636D"/>
    <w:rsid w:val="00046974"/>
    <w:rsid w:val="000513B2"/>
    <w:rsid w:val="0005352A"/>
    <w:rsid w:val="00053D8A"/>
    <w:rsid w:val="00060A32"/>
    <w:rsid w:val="00061389"/>
    <w:rsid w:val="00063C90"/>
    <w:rsid w:val="00064A26"/>
    <w:rsid w:val="000655EB"/>
    <w:rsid w:val="00065C12"/>
    <w:rsid w:val="00065D69"/>
    <w:rsid w:val="00067F6E"/>
    <w:rsid w:val="00070BAE"/>
    <w:rsid w:val="00070F05"/>
    <w:rsid w:val="000722A1"/>
    <w:rsid w:val="00072718"/>
    <w:rsid w:val="00074C9B"/>
    <w:rsid w:val="00075C1B"/>
    <w:rsid w:val="00075E37"/>
    <w:rsid w:val="000766F0"/>
    <w:rsid w:val="00076D7A"/>
    <w:rsid w:val="00081F23"/>
    <w:rsid w:val="00082E97"/>
    <w:rsid w:val="00085585"/>
    <w:rsid w:val="00085E50"/>
    <w:rsid w:val="00086164"/>
    <w:rsid w:val="000863C3"/>
    <w:rsid w:val="00090C8C"/>
    <w:rsid w:val="00092F37"/>
    <w:rsid w:val="00097A76"/>
    <w:rsid w:val="000A0794"/>
    <w:rsid w:val="000A3437"/>
    <w:rsid w:val="000A4433"/>
    <w:rsid w:val="000A5BCC"/>
    <w:rsid w:val="000A7400"/>
    <w:rsid w:val="000A7708"/>
    <w:rsid w:val="000B0232"/>
    <w:rsid w:val="000B13AB"/>
    <w:rsid w:val="000B146D"/>
    <w:rsid w:val="000B4054"/>
    <w:rsid w:val="000B56CF"/>
    <w:rsid w:val="000B5B55"/>
    <w:rsid w:val="000B6330"/>
    <w:rsid w:val="000B7FF7"/>
    <w:rsid w:val="000C0125"/>
    <w:rsid w:val="000C0807"/>
    <w:rsid w:val="000C0D83"/>
    <w:rsid w:val="000D074E"/>
    <w:rsid w:val="000D32D5"/>
    <w:rsid w:val="000E0333"/>
    <w:rsid w:val="000E2E8A"/>
    <w:rsid w:val="000E595E"/>
    <w:rsid w:val="000E5C21"/>
    <w:rsid w:val="000F7DB9"/>
    <w:rsid w:val="000F7EBB"/>
    <w:rsid w:val="001020A5"/>
    <w:rsid w:val="00104CCC"/>
    <w:rsid w:val="00115A8C"/>
    <w:rsid w:val="00115D91"/>
    <w:rsid w:val="00116FB3"/>
    <w:rsid w:val="001204E2"/>
    <w:rsid w:val="001250BF"/>
    <w:rsid w:val="001260C2"/>
    <w:rsid w:val="00127B7F"/>
    <w:rsid w:val="001303EA"/>
    <w:rsid w:val="00130A02"/>
    <w:rsid w:val="00132E41"/>
    <w:rsid w:val="001360A4"/>
    <w:rsid w:val="00136E47"/>
    <w:rsid w:val="00136FF9"/>
    <w:rsid w:val="00137BA1"/>
    <w:rsid w:val="0014049B"/>
    <w:rsid w:val="00143525"/>
    <w:rsid w:val="001436A7"/>
    <w:rsid w:val="00144611"/>
    <w:rsid w:val="0014787F"/>
    <w:rsid w:val="00152D98"/>
    <w:rsid w:val="001564B4"/>
    <w:rsid w:val="00156521"/>
    <w:rsid w:val="001644AA"/>
    <w:rsid w:val="00165C4D"/>
    <w:rsid w:val="00166BE1"/>
    <w:rsid w:val="001702D7"/>
    <w:rsid w:val="001707ED"/>
    <w:rsid w:val="00170B04"/>
    <w:rsid w:val="00172093"/>
    <w:rsid w:val="001756DD"/>
    <w:rsid w:val="00175CFE"/>
    <w:rsid w:val="00176846"/>
    <w:rsid w:val="001772C7"/>
    <w:rsid w:val="00177AE1"/>
    <w:rsid w:val="00180E63"/>
    <w:rsid w:val="00180EC6"/>
    <w:rsid w:val="00182E7D"/>
    <w:rsid w:val="00183FF7"/>
    <w:rsid w:val="001840DC"/>
    <w:rsid w:val="00184C6E"/>
    <w:rsid w:val="00187D56"/>
    <w:rsid w:val="00193384"/>
    <w:rsid w:val="001957F2"/>
    <w:rsid w:val="0019627A"/>
    <w:rsid w:val="0019702B"/>
    <w:rsid w:val="001A157D"/>
    <w:rsid w:val="001A4314"/>
    <w:rsid w:val="001A4CB0"/>
    <w:rsid w:val="001A4F3D"/>
    <w:rsid w:val="001A64D6"/>
    <w:rsid w:val="001A676A"/>
    <w:rsid w:val="001A76CD"/>
    <w:rsid w:val="001A7A00"/>
    <w:rsid w:val="001A7F74"/>
    <w:rsid w:val="001B0A42"/>
    <w:rsid w:val="001B0BC3"/>
    <w:rsid w:val="001B1559"/>
    <w:rsid w:val="001B3A25"/>
    <w:rsid w:val="001B40B6"/>
    <w:rsid w:val="001B7441"/>
    <w:rsid w:val="001B7990"/>
    <w:rsid w:val="001B7D36"/>
    <w:rsid w:val="001C1650"/>
    <w:rsid w:val="001C18A5"/>
    <w:rsid w:val="001C54D5"/>
    <w:rsid w:val="001C557B"/>
    <w:rsid w:val="001C68A6"/>
    <w:rsid w:val="001C6E25"/>
    <w:rsid w:val="001D0D54"/>
    <w:rsid w:val="001D0D75"/>
    <w:rsid w:val="001D24B1"/>
    <w:rsid w:val="001D2D04"/>
    <w:rsid w:val="001D45E8"/>
    <w:rsid w:val="001D65A4"/>
    <w:rsid w:val="001E024A"/>
    <w:rsid w:val="001E521E"/>
    <w:rsid w:val="001E5458"/>
    <w:rsid w:val="001E61C0"/>
    <w:rsid w:val="001E77A7"/>
    <w:rsid w:val="001F0E53"/>
    <w:rsid w:val="001F0E62"/>
    <w:rsid w:val="001F1365"/>
    <w:rsid w:val="001F353B"/>
    <w:rsid w:val="001F39C9"/>
    <w:rsid w:val="001F4CD3"/>
    <w:rsid w:val="001F4E51"/>
    <w:rsid w:val="001F5AA9"/>
    <w:rsid w:val="00203160"/>
    <w:rsid w:val="0021017E"/>
    <w:rsid w:val="00211493"/>
    <w:rsid w:val="00213176"/>
    <w:rsid w:val="00216531"/>
    <w:rsid w:val="002178C9"/>
    <w:rsid w:val="00221F09"/>
    <w:rsid w:val="00222138"/>
    <w:rsid w:val="00226029"/>
    <w:rsid w:val="0022688E"/>
    <w:rsid w:val="002274D0"/>
    <w:rsid w:val="00227D6B"/>
    <w:rsid w:val="00230F10"/>
    <w:rsid w:val="00231CB6"/>
    <w:rsid w:val="00232097"/>
    <w:rsid w:val="00233570"/>
    <w:rsid w:val="00233D7A"/>
    <w:rsid w:val="00234583"/>
    <w:rsid w:val="00234D37"/>
    <w:rsid w:val="00237451"/>
    <w:rsid w:val="00243468"/>
    <w:rsid w:val="0024348E"/>
    <w:rsid w:val="00244818"/>
    <w:rsid w:val="00244F96"/>
    <w:rsid w:val="0024542D"/>
    <w:rsid w:val="0024630C"/>
    <w:rsid w:val="002505BE"/>
    <w:rsid w:val="00250D70"/>
    <w:rsid w:val="002515F6"/>
    <w:rsid w:val="00254E51"/>
    <w:rsid w:val="00257199"/>
    <w:rsid w:val="002600C7"/>
    <w:rsid w:val="00260CE2"/>
    <w:rsid w:val="0026347A"/>
    <w:rsid w:val="00263B78"/>
    <w:rsid w:val="00266A89"/>
    <w:rsid w:val="00266B56"/>
    <w:rsid w:val="002702DD"/>
    <w:rsid w:val="00272699"/>
    <w:rsid w:val="0027441E"/>
    <w:rsid w:val="0027483C"/>
    <w:rsid w:val="00276E46"/>
    <w:rsid w:val="00281D52"/>
    <w:rsid w:val="00286E03"/>
    <w:rsid w:val="00287F57"/>
    <w:rsid w:val="00291B3A"/>
    <w:rsid w:val="00292656"/>
    <w:rsid w:val="00292C3C"/>
    <w:rsid w:val="00294AA6"/>
    <w:rsid w:val="00294D4C"/>
    <w:rsid w:val="00296270"/>
    <w:rsid w:val="00297DF9"/>
    <w:rsid w:val="002A1D2F"/>
    <w:rsid w:val="002A2305"/>
    <w:rsid w:val="002A477C"/>
    <w:rsid w:val="002A4BB1"/>
    <w:rsid w:val="002A561C"/>
    <w:rsid w:val="002A68E7"/>
    <w:rsid w:val="002A6CE4"/>
    <w:rsid w:val="002B02EA"/>
    <w:rsid w:val="002B3053"/>
    <w:rsid w:val="002B33AD"/>
    <w:rsid w:val="002B3E15"/>
    <w:rsid w:val="002C018F"/>
    <w:rsid w:val="002C0F44"/>
    <w:rsid w:val="002C159E"/>
    <w:rsid w:val="002C23D1"/>
    <w:rsid w:val="002C257C"/>
    <w:rsid w:val="002C7822"/>
    <w:rsid w:val="002D468F"/>
    <w:rsid w:val="002D5DED"/>
    <w:rsid w:val="002D657C"/>
    <w:rsid w:val="002D6E19"/>
    <w:rsid w:val="002D7A0A"/>
    <w:rsid w:val="002E000E"/>
    <w:rsid w:val="002E1AC2"/>
    <w:rsid w:val="002E2CDD"/>
    <w:rsid w:val="002E7F6A"/>
    <w:rsid w:val="002F056E"/>
    <w:rsid w:val="002F36D2"/>
    <w:rsid w:val="002F3C1A"/>
    <w:rsid w:val="002F3E97"/>
    <w:rsid w:val="002F489A"/>
    <w:rsid w:val="003023FD"/>
    <w:rsid w:val="0030414F"/>
    <w:rsid w:val="00305213"/>
    <w:rsid w:val="0031131B"/>
    <w:rsid w:val="00312E50"/>
    <w:rsid w:val="003147DD"/>
    <w:rsid w:val="00315D84"/>
    <w:rsid w:val="00321C81"/>
    <w:rsid w:val="003225AB"/>
    <w:rsid w:val="00323965"/>
    <w:rsid w:val="00330A76"/>
    <w:rsid w:val="00330D74"/>
    <w:rsid w:val="00332945"/>
    <w:rsid w:val="00333127"/>
    <w:rsid w:val="00334F39"/>
    <w:rsid w:val="003360B5"/>
    <w:rsid w:val="003368B5"/>
    <w:rsid w:val="003369D5"/>
    <w:rsid w:val="00336FAC"/>
    <w:rsid w:val="00337AAE"/>
    <w:rsid w:val="003405D1"/>
    <w:rsid w:val="00345C2F"/>
    <w:rsid w:val="00347E04"/>
    <w:rsid w:val="003522B0"/>
    <w:rsid w:val="00352A66"/>
    <w:rsid w:val="003557A9"/>
    <w:rsid w:val="00355CB3"/>
    <w:rsid w:val="0035655A"/>
    <w:rsid w:val="0035659C"/>
    <w:rsid w:val="00357879"/>
    <w:rsid w:val="0036152B"/>
    <w:rsid w:val="00362945"/>
    <w:rsid w:val="00363DA6"/>
    <w:rsid w:val="003642E2"/>
    <w:rsid w:val="00364555"/>
    <w:rsid w:val="0036493C"/>
    <w:rsid w:val="00365BED"/>
    <w:rsid w:val="00365ECE"/>
    <w:rsid w:val="00366135"/>
    <w:rsid w:val="0037000D"/>
    <w:rsid w:val="00373509"/>
    <w:rsid w:val="003813B0"/>
    <w:rsid w:val="00381894"/>
    <w:rsid w:val="003852FD"/>
    <w:rsid w:val="003864C0"/>
    <w:rsid w:val="00386714"/>
    <w:rsid w:val="00386D59"/>
    <w:rsid w:val="003908F2"/>
    <w:rsid w:val="00393C49"/>
    <w:rsid w:val="00395037"/>
    <w:rsid w:val="003950F3"/>
    <w:rsid w:val="00396AAB"/>
    <w:rsid w:val="00396E51"/>
    <w:rsid w:val="00396FEE"/>
    <w:rsid w:val="00397842"/>
    <w:rsid w:val="003A12E4"/>
    <w:rsid w:val="003A1A4E"/>
    <w:rsid w:val="003A1A50"/>
    <w:rsid w:val="003A2AFB"/>
    <w:rsid w:val="003A3E3B"/>
    <w:rsid w:val="003A437D"/>
    <w:rsid w:val="003A5F6E"/>
    <w:rsid w:val="003A664B"/>
    <w:rsid w:val="003B0602"/>
    <w:rsid w:val="003B1058"/>
    <w:rsid w:val="003B3833"/>
    <w:rsid w:val="003B5B3A"/>
    <w:rsid w:val="003B669E"/>
    <w:rsid w:val="003D277A"/>
    <w:rsid w:val="003D3401"/>
    <w:rsid w:val="003D4CAA"/>
    <w:rsid w:val="003D7C66"/>
    <w:rsid w:val="003E15BE"/>
    <w:rsid w:val="003E4703"/>
    <w:rsid w:val="003E4E42"/>
    <w:rsid w:val="003E74A4"/>
    <w:rsid w:val="003F0648"/>
    <w:rsid w:val="003F159A"/>
    <w:rsid w:val="003F23B0"/>
    <w:rsid w:val="003F291D"/>
    <w:rsid w:val="003F3987"/>
    <w:rsid w:val="003F4406"/>
    <w:rsid w:val="003F7DFD"/>
    <w:rsid w:val="00401C93"/>
    <w:rsid w:val="00403EC1"/>
    <w:rsid w:val="00404981"/>
    <w:rsid w:val="00404EA8"/>
    <w:rsid w:val="004069E3"/>
    <w:rsid w:val="00407CFC"/>
    <w:rsid w:val="00410D4E"/>
    <w:rsid w:val="00411191"/>
    <w:rsid w:val="00412989"/>
    <w:rsid w:val="004131F2"/>
    <w:rsid w:val="00413E00"/>
    <w:rsid w:val="00414418"/>
    <w:rsid w:val="004146C9"/>
    <w:rsid w:val="00416765"/>
    <w:rsid w:val="00420072"/>
    <w:rsid w:val="00422662"/>
    <w:rsid w:val="004229B0"/>
    <w:rsid w:val="00427DB3"/>
    <w:rsid w:val="0043018B"/>
    <w:rsid w:val="00433FEB"/>
    <w:rsid w:val="004341AB"/>
    <w:rsid w:val="00435528"/>
    <w:rsid w:val="0043622D"/>
    <w:rsid w:val="00442BE6"/>
    <w:rsid w:val="0044452B"/>
    <w:rsid w:val="00445908"/>
    <w:rsid w:val="00446BFE"/>
    <w:rsid w:val="00447F42"/>
    <w:rsid w:val="0045116A"/>
    <w:rsid w:val="00451E60"/>
    <w:rsid w:val="00452E9D"/>
    <w:rsid w:val="004530AC"/>
    <w:rsid w:val="00453EB3"/>
    <w:rsid w:val="00454368"/>
    <w:rsid w:val="004547C0"/>
    <w:rsid w:val="00454AE8"/>
    <w:rsid w:val="00456D32"/>
    <w:rsid w:val="0045720E"/>
    <w:rsid w:val="00457853"/>
    <w:rsid w:val="00457902"/>
    <w:rsid w:val="00460B25"/>
    <w:rsid w:val="00461AD2"/>
    <w:rsid w:val="00462797"/>
    <w:rsid w:val="00464228"/>
    <w:rsid w:val="00467537"/>
    <w:rsid w:val="00471026"/>
    <w:rsid w:val="004732C0"/>
    <w:rsid w:val="004744D3"/>
    <w:rsid w:val="00475EFF"/>
    <w:rsid w:val="0047786B"/>
    <w:rsid w:val="00480F1C"/>
    <w:rsid w:val="004822A1"/>
    <w:rsid w:val="00483DD5"/>
    <w:rsid w:val="004845F1"/>
    <w:rsid w:val="00484BC2"/>
    <w:rsid w:val="00486E8C"/>
    <w:rsid w:val="004872E3"/>
    <w:rsid w:val="00487630"/>
    <w:rsid w:val="004900C1"/>
    <w:rsid w:val="00490743"/>
    <w:rsid w:val="00491178"/>
    <w:rsid w:val="00492FC4"/>
    <w:rsid w:val="00494CD3"/>
    <w:rsid w:val="00494FB3"/>
    <w:rsid w:val="00496B11"/>
    <w:rsid w:val="00496DF9"/>
    <w:rsid w:val="00497240"/>
    <w:rsid w:val="004A154E"/>
    <w:rsid w:val="004A2EFC"/>
    <w:rsid w:val="004A472E"/>
    <w:rsid w:val="004B0361"/>
    <w:rsid w:val="004B3904"/>
    <w:rsid w:val="004B6F07"/>
    <w:rsid w:val="004B7492"/>
    <w:rsid w:val="004B7C61"/>
    <w:rsid w:val="004C0797"/>
    <w:rsid w:val="004C0E63"/>
    <w:rsid w:val="004C3546"/>
    <w:rsid w:val="004C3568"/>
    <w:rsid w:val="004C4638"/>
    <w:rsid w:val="004D139F"/>
    <w:rsid w:val="004D18D0"/>
    <w:rsid w:val="004D232B"/>
    <w:rsid w:val="004D5771"/>
    <w:rsid w:val="004D79AD"/>
    <w:rsid w:val="004E493E"/>
    <w:rsid w:val="004E63CC"/>
    <w:rsid w:val="004F096E"/>
    <w:rsid w:val="004F0BE2"/>
    <w:rsid w:val="004F256B"/>
    <w:rsid w:val="004F285E"/>
    <w:rsid w:val="004F2B24"/>
    <w:rsid w:val="004F75A1"/>
    <w:rsid w:val="004F79BD"/>
    <w:rsid w:val="00502E98"/>
    <w:rsid w:val="005031B6"/>
    <w:rsid w:val="00506BC4"/>
    <w:rsid w:val="00507A63"/>
    <w:rsid w:val="00507D05"/>
    <w:rsid w:val="00513602"/>
    <w:rsid w:val="005157A6"/>
    <w:rsid w:val="00531479"/>
    <w:rsid w:val="005343DE"/>
    <w:rsid w:val="005348EF"/>
    <w:rsid w:val="005351E9"/>
    <w:rsid w:val="005353FE"/>
    <w:rsid w:val="005363D4"/>
    <w:rsid w:val="005374AC"/>
    <w:rsid w:val="00545090"/>
    <w:rsid w:val="005510FE"/>
    <w:rsid w:val="00556B35"/>
    <w:rsid w:val="00561EE2"/>
    <w:rsid w:val="005631AD"/>
    <w:rsid w:val="005639EA"/>
    <w:rsid w:val="005667D5"/>
    <w:rsid w:val="005722A1"/>
    <w:rsid w:val="00572319"/>
    <w:rsid w:val="00572841"/>
    <w:rsid w:val="0057377B"/>
    <w:rsid w:val="00575350"/>
    <w:rsid w:val="00580DC4"/>
    <w:rsid w:val="00585433"/>
    <w:rsid w:val="005879C7"/>
    <w:rsid w:val="005910A3"/>
    <w:rsid w:val="00591DD6"/>
    <w:rsid w:val="005925E4"/>
    <w:rsid w:val="00592A83"/>
    <w:rsid w:val="00593B07"/>
    <w:rsid w:val="00593E3E"/>
    <w:rsid w:val="005942EA"/>
    <w:rsid w:val="005943A7"/>
    <w:rsid w:val="00596832"/>
    <w:rsid w:val="005A0F30"/>
    <w:rsid w:val="005A1052"/>
    <w:rsid w:val="005A2B35"/>
    <w:rsid w:val="005A341D"/>
    <w:rsid w:val="005B2981"/>
    <w:rsid w:val="005B30A5"/>
    <w:rsid w:val="005B7710"/>
    <w:rsid w:val="005C206D"/>
    <w:rsid w:val="005C2C17"/>
    <w:rsid w:val="005C349D"/>
    <w:rsid w:val="005C4005"/>
    <w:rsid w:val="005C4BD3"/>
    <w:rsid w:val="005C4DF5"/>
    <w:rsid w:val="005C6FD6"/>
    <w:rsid w:val="005D0AF9"/>
    <w:rsid w:val="005D1E18"/>
    <w:rsid w:val="005D244B"/>
    <w:rsid w:val="005D2B37"/>
    <w:rsid w:val="005D4715"/>
    <w:rsid w:val="005E0A0B"/>
    <w:rsid w:val="005E1812"/>
    <w:rsid w:val="005E1AF2"/>
    <w:rsid w:val="005E1D7A"/>
    <w:rsid w:val="005E2411"/>
    <w:rsid w:val="005E344F"/>
    <w:rsid w:val="005E3CEF"/>
    <w:rsid w:val="005E725C"/>
    <w:rsid w:val="005E7BF3"/>
    <w:rsid w:val="005F168A"/>
    <w:rsid w:val="005F177B"/>
    <w:rsid w:val="005F1840"/>
    <w:rsid w:val="005F218A"/>
    <w:rsid w:val="005F2F06"/>
    <w:rsid w:val="005F3C45"/>
    <w:rsid w:val="005F4014"/>
    <w:rsid w:val="005F49BA"/>
    <w:rsid w:val="005F5193"/>
    <w:rsid w:val="005F5C10"/>
    <w:rsid w:val="005F710E"/>
    <w:rsid w:val="005F7879"/>
    <w:rsid w:val="006007F6"/>
    <w:rsid w:val="00600A18"/>
    <w:rsid w:val="00601D94"/>
    <w:rsid w:val="00602D21"/>
    <w:rsid w:val="00604147"/>
    <w:rsid w:val="00605815"/>
    <w:rsid w:val="0060617B"/>
    <w:rsid w:val="00614A27"/>
    <w:rsid w:val="006155FC"/>
    <w:rsid w:val="00615695"/>
    <w:rsid w:val="006203BD"/>
    <w:rsid w:val="0062059B"/>
    <w:rsid w:val="0062290A"/>
    <w:rsid w:val="00623698"/>
    <w:rsid w:val="00624C5C"/>
    <w:rsid w:val="00627E76"/>
    <w:rsid w:val="00631FFA"/>
    <w:rsid w:val="006323A6"/>
    <w:rsid w:val="00635A99"/>
    <w:rsid w:val="00636A86"/>
    <w:rsid w:val="00643D6D"/>
    <w:rsid w:val="006449DC"/>
    <w:rsid w:val="00645987"/>
    <w:rsid w:val="0065046E"/>
    <w:rsid w:val="006504EE"/>
    <w:rsid w:val="00650B00"/>
    <w:rsid w:val="0065259E"/>
    <w:rsid w:val="0065282A"/>
    <w:rsid w:val="006536A9"/>
    <w:rsid w:val="00657C61"/>
    <w:rsid w:val="00657CB6"/>
    <w:rsid w:val="00657E00"/>
    <w:rsid w:val="006625B4"/>
    <w:rsid w:val="006640A2"/>
    <w:rsid w:val="006640FE"/>
    <w:rsid w:val="00667237"/>
    <w:rsid w:val="00671255"/>
    <w:rsid w:val="00672BEE"/>
    <w:rsid w:val="0067448D"/>
    <w:rsid w:val="006813C8"/>
    <w:rsid w:val="00681A3E"/>
    <w:rsid w:val="00682A07"/>
    <w:rsid w:val="00683B97"/>
    <w:rsid w:val="00683CCF"/>
    <w:rsid w:val="00683DC7"/>
    <w:rsid w:val="00683E06"/>
    <w:rsid w:val="0068568E"/>
    <w:rsid w:val="00685B51"/>
    <w:rsid w:val="0069068B"/>
    <w:rsid w:val="006931D5"/>
    <w:rsid w:val="00694103"/>
    <w:rsid w:val="006974FC"/>
    <w:rsid w:val="006A0482"/>
    <w:rsid w:val="006A13BF"/>
    <w:rsid w:val="006A53F6"/>
    <w:rsid w:val="006B7127"/>
    <w:rsid w:val="006B7C24"/>
    <w:rsid w:val="006B7CF9"/>
    <w:rsid w:val="006C0139"/>
    <w:rsid w:val="006C111C"/>
    <w:rsid w:val="006C1AEE"/>
    <w:rsid w:val="006C27E2"/>
    <w:rsid w:val="006C3927"/>
    <w:rsid w:val="006C51F7"/>
    <w:rsid w:val="006C6761"/>
    <w:rsid w:val="006D0368"/>
    <w:rsid w:val="006D2333"/>
    <w:rsid w:val="006D4CC9"/>
    <w:rsid w:val="006D6CC7"/>
    <w:rsid w:val="006D7C85"/>
    <w:rsid w:val="006E2C81"/>
    <w:rsid w:val="006E343F"/>
    <w:rsid w:val="006E42F5"/>
    <w:rsid w:val="006E4AA9"/>
    <w:rsid w:val="006E6DB3"/>
    <w:rsid w:val="006E7CC1"/>
    <w:rsid w:val="006F0B6B"/>
    <w:rsid w:val="006F47C8"/>
    <w:rsid w:val="006F51F9"/>
    <w:rsid w:val="006F715C"/>
    <w:rsid w:val="006F7A23"/>
    <w:rsid w:val="0070010D"/>
    <w:rsid w:val="007004DA"/>
    <w:rsid w:val="00701726"/>
    <w:rsid w:val="007031E2"/>
    <w:rsid w:val="00707CB5"/>
    <w:rsid w:val="00711B43"/>
    <w:rsid w:val="007122CC"/>
    <w:rsid w:val="00712AAD"/>
    <w:rsid w:val="00716799"/>
    <w:rsid w:val="00721152"/>
    <w:rsid w:val="007248AD"/>
    <w:rsid w:val="007339FC"/>
    <w:rsid w:val="00733C33"/>
    <w:rsid w:val="0073548A"/>
    <w:rsid w:val="007375CF"/>
    <w:rsid w:val="00737F14"/>
    <w:rsid w:val="00740BD4"/>
    <w:rsid w:val="00742F5B"/>
    <w:rsid w:val="0074328B"/>
    <w:rsid w:val="00751A18"/>
    <w:rsid w:val="007532F1"/>
    <w:rsid w:val="0075426C"/>
    <w:rsid w:val="00754B6C"/>
    <w:rsid w:val="007609DE"/>
    <w:rsid w:val="00760D7B"/>
    <w:rsid w:val="00762176"/>
    <w:rsid w:val="0076283F"/>
    <w:rsid w:val="00773ADD"/>
    <w:rsid w:val="00774FA0"/>
    <w:rsid w:val="00777A11"/>
    <w:rsid w:val="0078013B"/>
    <w:rsid w:val="00780E9B"/>
    <w:rsid w:val="007848F3"/>
    <w:rsid w:val="00784C7B"/>
    <w:rsid w:val="007864C1"/>
    <w:rsid w:val="00786718"/>
    <w:rsid w:val="0079518B"/>
    <w:rsid w:val="00797008"/>
    <w:rsid w:val="00797D46"/>
    <w:rsid w:val="007A01CC"/>
    <w:rsid w:val="007A0524"/>
    <w:rsid w:val="007A2597"/>
    <w:rsid w:val="007A2D4A"/>
    <w:rsid w:val="007A45B0"/>
    <w:rsid w:val="007A4C9D"/>
    <w:rsid w:val="007A5DFF"/>
    <w:rsid w:val="007A788C"/>
    <w:rsid w:val="007B149E"/>
    <w:rsid w:val="007B1D16"/>
    <w:rsid w:val="007B2DB4"/>
    <w:rsid w:val="007B4675"/>
    <w:rsid w:val="007B4677"/>
    <w:rsid w:val="007B497F"/>
    <w:rsid w:val="007B4ED1"/>
    <w:rsid w:val="007B794B"/>
    <w:rsid w:val="007C0DEC"/>
    <w:rsid w:val="007C1ECE"/>
    <w:rsid w:val="007C3820"/>
    <w:rsid w:val="007D1A32"/>
    <w:rsid w:val="007D3FA4"/>
    <w:rsid w:val="007D59EB"/>
    <w:rsid w:val="007D620F"/>
    <w:rsid w:val="007E14BD"/>
    <w:rsid w:val="007E31EA"/>
    <w:rsid w:val="007E3B25"/>
    <w:rsid w:val="007E3B7D"/>
    <w:rsid w:val="007E5A22"/>
    <w:rsid w:val="007E5B0F"/>
    <w:rsid w:val="007E7710"/>
    <w:rsid w:val="007F2008"/>
    <w:rsid w:val="007F22AC"/>
    <w:rsid w:val="007F2CE1"/>
    <w:rsid w:val="007F42E3"/>
    <w:rsid w:val="007F4388"/>
    <w:rsid w:val="007F4788"/>
    <w:rsid w:val="007F618A"/>
    <w:rsid w:val="00801432"/>
    <w:rsid w:val="00802290"/>
    <w:rsid w:val="00803305"/>
    <w:rsid w:val="0080375B"/>
    <w:rsid w:val="00804F53"/>
    <w:rsid w:val="0081042F"/>
    <w:rsid w:val="008120AF"/>
    <w:rsid w:val="008125B6"/>
    <w:rsid w:val="00812625"/>
    <w:rsid w:val="00813F5C"/>
    <w:rsid w:val="00817C8F"/>
    <w:rsid w:val="00820982"/>
    <w:rsid w:val="0082170D"/>
    <w:rsid w:val="0082187A"/>
    <w:rsid w:val="00822223"/>
    <w:rsid w:val="00822802"/>
    <w:rsid w:val="00831989"/>
    <w:rsid w:val="00831EBD"/>
    <w:rsid w:val="00836BE4"/>
    <w:rsid w:val="008378B4"/>
    <w:rsid w:val="00840A1A"/>
    <w:rsid w:val="00840D02"/>
    <w:rsid w:val="008431E0"/>
    <w:rsid w:val="00844665"/>
    <w:rsid w:val="00845E4B"/>
    <w:rsid w:val="00846735"/>
    <w:rsid w:val="00846E42"/>
    <w:rsid w:val="00850601"/>
    <w:rsid w:val="00852698"/>
    <w:rsid w:val="00852948"/>
    <w:rsid w:val="00853065"/>
    <w:rsid w:val="00854598"/>
    <w:rsid w:val="00856BDC"/>
    <w:rsid w:val="00860DFC"/>
    <w:rsid w:val="00861C4F"/>
    <w:rsid w:val="008642DF"/>
    <w:rsid w:val="0086434F"/>
    <w:rsid w:val="00865AD8"/>
    <w:rsid w:val="00866CE0"/>
    <w:rsid w:val="008721CC"/>
    <w:rsid w:val="00872226"/>
    <w:rsid w:val="0087239F"/>
    <w:rsid w:val="00872574"/>
    <w:rsid w:val="00872B47"/>
    <w:rsid w:val="00875F84"/>
    <w:rsid w:val="00876827"/>
    <w:rsid w:val="008773C3"/>
    <w:rsid w:val="00877623"/>
    <w:rsid w:val="008824EE"/>
    <w:rsid w:val="00882B7E"/>
    <w:rsid w:val="00882D96"/>
    <w:rsid w:val="00883EFA"/>
    <w:rsid w:val="00885A80"/>
    <w:rsid w:val="00887818"/>
    <w:rsid w:val="00893260"/>
    <w:rsid w:val="008952E6"/>
    <w:rsid w:val="008A063A"/>
    <w:rsid w:val="008A146D"/>
    <w:rsid w:val="008A37E3"/>
    <w:rsid w:val="008A6398"/>
    <w:rsid w:val="008A73CB"/>
    <w:rsid w:val="008A7FE6"/>
    <w:rsid w:val="008B02D1"/>
    <w:rsid w:val="008B1A8D"/>
    <w:rsid w:val="008B31F8"/>
    <w:rsid w:val="008B47FC"/>
    <w:rsid w:val="008B7A52"/>
    <w:rsid w:val="008B7F12"/>
    <w:rsid w:val="008C00EC"/>
    <w:rsid w:val="008C0773"/>
    <w:rsid w:val="008C0CE5"/>
    <w:rsid w:val="008C1815"/>
    <w:rsid w:val="008C1F78"/>
    <w:rsid w:val="008C5ABC"/>
    <w:rsid w:val="008C5C88"/>
    <w:rsid w:val="008D095A"/>
    <w:rsid w:val="008D26A4"/>
    <w:rsid w:val="008D75EB"/>
    <w:rsid w:val="008E0A75"/>
    <w:rsid w:val="008E0EAF"/>
    <w:rsid w:val="008E1805"/>
    <w:rsid w:val="008E2F4B"/>
    <w:rsid w:val="008E6453"/>
    <w:rsid w:val="009027ED"/>
    <w:rsid w:val="0090525F"/>
    <w:rsid w:val="00905421"/>
    <w:rsid w:val="00907EDC"/>
    <w:rsid w:val="00915B09"/>
    <w:rsid w:val="00917927"/>
    <w:rsid w:val="00920B05"/>
    <w:rsid w:val="00924453"/>
    <w:rsid w:val="009254FA"/>
    <w:rsid w:val="00927AB0"/>
    <w:rsid w:val="00932AE4"/>
    <w:rsid w:val="00932EB4"/>
    <w:rsid w:val="009340B2"/>
    <w:rsid w:val="00936BC3"/>
    <w:rsid w:val="009374CE"/>
    <w:rsid w:val="00940671"/>
    <w:rsid w:val="00941A6A"/>
    <w:rsid w:val="00941C25"/>
    <w:rsid w:val="0094415E"/>
    <w:rsid w:val="0094416B"/>
    <w:rsid w:val="00951733"/>
    <w:rsid w:val="009519FC"/>
    <w:rsid w:val="00952317"/>
    <w:rsid w:val="00953A8D"/>
    <w:rsid w:val="0095692A"/>
    <w:rsid w:val="00957D8E"/>
    <w:rsid w:val="0096040D"/>
    <w:rsid w:val="009606C6"/>
    <w:rsid w:val="00960D9D"/>
    <w:rsid w:val="009622C7"/>
    <w:rsid w:val="009663D4"/>
    <w:rsid w:val="00970F48"/>
    <w:rsid w:val="0097190C"/>
    <w:rsid w:val="009765DD"/>
    <w:rsid w:val="00976BA8"/>
    <w:rsid w:val="009775E7"/>
    <w:rsid w:val="0098097B"/>
    <w:rsid w:val="00981906"/>
    <w:rsid w:val="00982E10"/>
    <w:rsid w:val="00984CAB"/>
    <w:rsid w:val="00985129"/>
    <w:rsid w:val="00985BC6"/>
    <w:rsid w:val="00990CCF"/>
    <w:rsid w:val="009918D7"/>
    <w:rsid w:val="009919C7"/>
    <w:rsid w:val="009932CC"/>
    <w:rsid w:val="0099432E"/>
    <w:rsid w:val="0099453D"/>
    <w:rsid w:val="009951C5"/>
    <w:rsid w:val="00996D23"/>
    <w:rsid w:val="00997A92"/>
    <w:rsid w:val="009A0A11"/>
    <w:rsid w:val="009A1864"/>
    <w:rsid w:val="009A1C69"/>
    <w:rsid w:val="009A28D5"/>
    <w:rsid w:val="009A32DF"/>
    <w:rsid w:val="009A3393"/>
    <w:rsid w:val="009A7A34"/>
    <w:rsid w:val="009B0288"/>
    <w:rsid w:val="009B077D"/>
    <w:rsid w:val="009B4C1F"/>
    <w:rsid w:val="009B5599"/>
    <w:rsid w:val="009C0FD7"/>
    <w:rsid w:val="009C3C8C"/>
    <w:rsid w:val="009C4C54"/>
    <w:rsid w:val="009C4FD2"/>
    <w:rsid w:val="009C7161"/>
    <w:rsid w:val="009C76C1"/>
    <w:rsid w:val="009C7EC4"/>
    <w:rsid w:val="009D05EC"/>
    <w:rsid w:val="009D2491"/>
    <w:rsid w:val="009D2972"/>
    <w:rsid w:val="009D3AF6"/>
    <w:rsid w:val="009D4019"/>
    <w:rsid w:val="009D6A5D"/>
    <w:rsid w:val="009E11BA"/>
    <w:rsid w:val="009E141B"/>
    <w:rsid w:val="009E2D6C"/>
    <w:rsid w:val="009E660D"/>
    <w:rsid w:val="009E6640"/>
    <w:rsid w:val="009F50D8"/>
    <w:rsid w:val="009F68D1"/>
    <w:rsid w:val="009F7E80"/>
    <w:rsid w:val="00A02CFE"/>
    <w:rsid w:val="00A03535"/>
    <w:rsid w:val="00A045A2"/>
    <w:rsid w:val="00A04B6D"/>
    <w:rsid w:val="00A06DD7"/>
    <w:rsid w:val="00A12BCC"/>
    <w:rsid w:val="00A14318"/>
    <w:rsid w:val="00A14F4E"/>
    <w:rsid w:val="00A167FB"/>
    <w:rsid w:val="00A20E1D"/>
    <w:rsid w:val="00A241E3"/>
    <w:rsid w:val="00A32095"/>
    <w:rsid w:val="00A33E33"/>
    <w:rsid w:val="00A34D08"/>
    <w:rsid w:val="00A44D85"/>
    <w:rsid w:val="00A45025"/>
    <w:rsid w:val="00A45844"/>
    <w:rsid w:val="00A51077"/>
    <w:rsid w:val="00A5433B"/>
    <w:rsid w:val="00A54C60"/>
    <w:rsid w:val="00A54E1A"/>
    <w:rsid w:val="00A56BD1"/>
    <w:rsid w:val="00A60B48"/>
    <w:rsid w:val="00A614D0"/>
    <w:rsid w:val="00A62BFB"/>
    <w:rsid w:val="00A65FDE"/>
    <w:rsid w:val="00A6602B"/>
    <w:rsid w:val="00A71943"/>
    <w:rsid w:val="00A730EF"/>
    <w:rsid w:val="00A7361D"/>
    <w:rsid w:val="00A7456C"/>
    <w:rsid w:val="00A75588"/>
    <w:rsid w:val="00A772B5"/>
    <w:rsid w:val="00A77D5D"/>
    <w:rsid w:val="00A82118"/>
    <w:rsid w:val="00A82EA9"/>
    <w:rsid w:val="00A87BD4"/>
    <w:rsid w:val="00A91E7F"/>
    <w:rsid w:val="00A95C14"/>
    <w:rsid w:val="00A95FAA"/>
    <w:rsid w:val="00A97BA6"/>
    <w:rsid w:val="00AA0797"/>
    <w:rsid w:val="00AA4BFF"/>
    <w:rsid w:val="00AB0069"/>
    <w:rsid w:val="00AB0CC6"/>
    <w:rsid w:val="00AB18A3"/>
    <w:rsid w:val="00AB24E1"/>
    <w:rsid w:val="00AB2AB3"/>
    <w:rsid w:val="00AB3D71"/>
    <w:rsid w:val="00AB6EAC"/>
    <w:rsid w:val="00AC4FD9"/>
    <w:rsid w:val="00AC67A5"/>
    <w:rsid w:val="00AD1F3F"/>
    <w:rsid w:val="00AD2944"/>
    <w:rsid w:val="00AD35EF"/>
    <w:rsid w:val="00AD4A4D"/>
    <w:rsid w:val="00AD57B1"/>
    <w:rsid w:val="00AD612A"/>
    <w:rsid w:val="00AD7A2D"/>
    <w:rsid w:val="00AE2F42"/>
    <w:rsid w:val="00AE33A9"/>
    <w:rsid w:val="00AE4666"/>
    <w:rsid w:val="00AE5255"/>
    <w:rsid w:val="00AF18BD"/>
    <w:rsid w:val="00AF1F7E"/>
    <w:rsid w:val="00AF2CDB"/>
    <w:rsid w:val="00AF33FA"/>
    <w:rsid w:val="00AF4251"/>
    <w:rsid w:val="00AF4AEB"/>
    <w:rsid w:val="00AF5A5E"/>
    <w:rsid w:val="00AF7241"/>
    <w:rsid w:val="00B0153A"/>
    <w:rsid w:val="00B03CE1"/>
    <w:rsid w:val="00B045F0"/>
    <w:rsid w:val="00B04889"/>
    <w:rsid w:val="00B04DC4"/>
    <w:rsid w:val="00B06013"/>
    <w:rsid w:val="00B061C3"/>
    <w:rsid w:val="00B06CAC"/>
    <w:rsid w:val="00B07049"/>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65C8"/>
    <w:rsid w:val="00B37E3B"/>
    <w:rsid w:val="00B41994"/>
    <w:rsid w:val="00B42655"/>
    <w:rsid w:val="00B44BDA"/>
    <w:rsid w:val="00B453F2"/>
    <w:rsid w:val="00B46027"/>
    <w:rsid w:val="00B462E6"/>
    <w:rsid w:val="00B46EBD"/>
    <w:rsid w:val="00B51489"/>
    <w:rsid w:val="00B5163B"/>
    <w:rsid w:val="00B51651"/>
    <w:rsid w:val="00B52DCF"/>
    <w:rsid w:val="00B562C4"/>
    <w:rsid w:val="00B571D5"/>
    <w:rsid w:val="00B57273"/>
    <w:rsid w:val="00B57605"/>
    <w:rsid w:val="00B6012E"/>
    <w:rsid w:val="00B61C6C"/>
    <w:rsid w:val="00B622E7"/>
    <w:rsid w:val="00B62C96"/>
    <w:rsid w:val="00B6380C"/>
    <w:rsid w:val="00B64177"/>
    <w:rsid w:val="00B641A3"/>
    <w:rsid w:val="00B64B69"/>
    <w:rsid w:val="00B6545B"/>
    <w:rsid w:val="00B664D4"/>
    <w:rsid w:val="00B6734D"/>
    <w:rsid w:val="00B72B76"/>
    <w:rsid w:val="00B72F4B"/>
    <w:rsid w:val="00B73DAC"/>
    <w:rsid w:val="00B7597A"/>
    <w:rsid w:val="00B75E8C"/>
    <w:rsid w:val="00B7603F"/>
    <w:rsid w:val="00B76A89"/>
    <w:rsid w:val="00B76F11"/>
    <w:rsid w:val="00B77EF4"/>
    <w:rsid w:val="00B815E2"/>
    <w:rsid w:val="00B83D6B"/>
    <w:rsid w:val="00B84A71"/>
    <w:rsid w:val="00B858B5"/>
    <w:rsid w:val="00B87B22"/>
    <w:rsid w:val="00B906FF"/>
    <w:rsid w:val="00B9211C"/>
    <w:rsid w:val="00B92EEC"/>
    <w:rsid w:val="00B950A5"/>
    <w:rsid w:val="00B97541"/>
    <w:rsid w:val="00BA1CA0"/>
    <w:rsid w:val="00BA455A"/>
    <w:rsid w:val="00BA5528"/>
    <w:rsid w:val="00BA688E"/>
    <w:rsid w:val="00BA792D"/>
    <w:rsid w:val="00BB0742"/>
    <w:rsid w:val="00BB6818"/>
    <w:rsid w:val="00BB73B0"/>
    <w:rsid w:val="00BC013C"/>
    <w:rsid w:val="00BC0541"/>
    <w:rsid w:val="00BC0C96"/>
    <w:rsid w:val="00BC328D"/>
    <w:rsid w:val="00BC45BA"/>
    <w:rsid w:val="00BC5F4E"/>
    <w:rsid w:val="00BC5FDE"/>
    <w:rsid w:val="00BC7297"/>
    <w:rsid w:val="00BD0240"/>
    <w:rsid w:val="00BD0822"/>
    <w:rsid w:val="00BD15EC"/>
    <w:rsid w:val="00BD2C19"/>
    <w:rsid w:val="00BD6817"/>
    <w:rsid w:val="00BD799F"/>
    <w:rsid w:val="00BE0125"/>
    <w:rsid w:val="00BE26F4"/>
    <w:rsid w:val="00BE5FB6"/>
    <w:rsid w:val="00BE6114"/>
    <w:rsid w:val="00BE79DB"/>
    <w:rsid w:val="00BF11D7"/>
    <w:rsid w:val="00BF467C"/>
    <w:rsid w:val="00BF7D62"/>
    <w:rsid w:val="00C000AA"/>
    <w:rsid w:val="00C0130E"/>
    <w:rsid w:val="00C0362F"/>
    <w:rsid w:val="00C04D36"/>
    <w:rsid w:val="00C05BE1"/>
    <w:rsid w:val="00C05EB3"/>
    <w:rsid w:val="00C06FCE"/>
    <w:rsid w:val="00C0767B"/>
    <w:rsid w:val="00C07C03"/>
    <w:rsid w:val="00C10747"/>
    <w:rsid w:val="00C10EB5"/>
    <w:rsid w:val="00C12025"/>
    <w:rsid w:val="00C133C8"/>
    <w:rsid w:val="00C1447E"/>
    <w:rsid w:val="00C15F7E"/>
    <w:rsid w:val="00C21159"/>
    <w:rsid w:val="00C21650"/>
    <w:rsid w:val="00C265C0"/>
    <w:rsid w:val="00C27482"/>
    <w:rsid w:val="00C30595"/>
    <w:rsid w:val="00C30AAD"/>
    <w:rsid w:val="00C311B3"/>
    <w:rsid w:val="00C31D0D"/>
    <w:rsid w:val="00C33D9D"/>
    <w:rsid w:val="00C36AC4"/>
    <w:rsid w:val="00C418FA"/>
    <w:rsid w:val="00C472A4"/>
    <w:rsid w:val="00C62EDF"/>
    <w:rsid w:val="00C654F4"/>
    <w:rsid w:val="00C66654"/>
    <w:rsid w:val="00C71F95"/>
    <w:rsid w:val="00C72C64"/>
    <w:rsid w:val="00C73585"/>
    <w:rsid w:val="00C73C0D"/>
    <w:rsid w:val="00C7586A"/>
    <w:rsid w:val="00C76480"/>
    <w:rsid w:val="00C77547"/>
    <w:rsid w:val="00C778E6"/>
    <w:rsid w:val="00C81E07"/>
    <w:rsid w:val="00C8388D"/>
    <w:rsid w:val="00C85D6A"/>
    <w:rsid w:val="00C874E9"/>
    <w:rsid w:val="00C9040A"/>
    <w:rsid w:val="00C90AFC"/>
    <w:rsid w:val="00C94693"/>
    <w:rsid w:val="00C94898"/>
    <w:rsid w:val="00C95494"/>
    <w:rsid w:val="00C972E0"/>
    <w:rsid w:val="00CA2D32"/>
    <w:rsid w:val="00CA3FE6"/>
    <w:rsid w:val="00CB3CAB"/>
    <w:rsid w:val="00CC0083"/>
    <w:rsid w:val="00CC3562"/>
    <w:rsid w:val="00CC5E5B"/>
    <w:rsid w:val="00CC772A"/>
    <w:rsid w:val="00CD14DB"/>
    <w:rsid w:val="00CD1A22"/>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749A"/>
    <w:rsid w:val="00D0089A"/>
    <w:rsid w:val="00D014C7"/>
    <w:rsid w:val="00D01548"/>
    <w:rsid w:val="00D04D5F"/>
    <w:rsid w:val="00D04DFA"/>
    <w:rsid w:val="00D04E66"/>
    <w:rsid w:val="00D05F35"/>
    <w:rsid w:val="00D06393"/>
    <w:rsid w:val="00D06E5E"/>
    <w:rsid w:val="00D06F79"/>
    <w:rsid w:val="00D10597"/>
    <w:rsid w:val="00D120A3"/>
    <w:rsid w:val="00D1584B"/>
    <w:rsid w:val="00D219E9"/>
    <w:rsid w:val="00D2205B"/>
    <w:rsid w:val="00D23418"/>
    <w:rsid w:val="00D24606"/>
    <w:rsid w:val="00D2620A"/>
    <w:rsid w:val="00D3056A"/>
    <w:rsid w:val="00D30F84"/>
    <w:rsid w:val="00D31091"/>
    <w:rsid w:val="00D33CFE"/>
    <w:rsid w:val="00D33DDE"/>
    <w:rsid w:val="00D34DA4"/>
    <w:rsid w:val="00D3752F"/>
    <w:rsid w:val="00D40DDE"/>
    <w:rsid w:val="00D43970"/>
    <w:rsid w:val="00D43A6C"/>
    <w:rsid w:val="00D43CA5"/>
    <w:rsid w:val="00D44CA5"/>
    <w:rsid w:val="00D46E12"/>
    <w:rsid w:val="00D50734"/>
    <w:rsid w:val="00D507C0"/>
    <w:rsid w:val="00D513CC"/>
    <w:rsid w:val="00D54749"/>
    <w:rsid w:val="00D54BD8"/>
    <w:rsid w:val="00D60B64"/>
    <w:rsid w:val="00D62AA4"/>
    <w:rsid w:val="00D6318F"/>
    <w:rsid w:val="00D641D4"/>
    <w:rsid w:val="00D650BB"/>
    <w:rsid w:val="00D6540A"/>
    <w:rsid w:val="00D70438"/>
    <w:rsid w:val="00D717AD"/>
    <w:rsid w:val="00D720AD"/>
    <w:rsid w:val="00D74A18"/>
    <w:rsid w:val="00D74D3E"/>
    <w:rsid w:val="00D757C6"/>
    <w:rsid w:val="00D75C41"/>
    <w:rsid w:val="00D80529"/>
    <w:rsid w:val="00D80F78"/>
    <w:rsid w:val="00D81AC3"/>
    <w:rsid w:val="00D81C59"/>
    <w:rsid w:val="00D82A5B"/>
    <w:rsid w:val="00D82B20"/>
    <w:rsid w:val="00D84637"/>
    <w:rsid w:val="00D8473B"/>
    <w:rsid w:val="00D85780"/>
    <w:rsid w:val="00D87CA4"/>
    <w:rsid w:val="00D925AA"/>
    <w:rsid w:val="00D9283D"/>
    <w:rsid w:val="00D930DD"/>
    <w:rsid w:val="00D9341C"/>
    <w:rsid w:val="00D94B7D"/>
    <w:rsid w:val="00DA1560"/>
    <w:rsid w:val="00DA4C44"/>
    <w:rsid w:val="00DA4C48"/>
    <w:rsid w:val="00DA4E21"/>
    <w:rsid w:val="00DA71EF"/>
    <w:rsid w:val="00DA7A18"/>
    <w:rsid w:val="00DB1347"/>
    <w:rsid w:val="00DB28CE"/>
    <w:rsid w:val="00DB29BC"/>
    <w:rsid w:val="00DB2A2A"/>
    <w:rsid w:val="00DB3946"/>
    <w:rsid w:val="00DB479F"/>
    <w:rsid w:val="00DB55B6"/>
    <w:rsid w:val="00DB5F21"/>
    <w:rsid w:val="00DB6D7C"/>
    <w:rsid w:val="00DC090A"/>
    <w:rsid w:val="00DC0E7E"/>
    <w:rsid w:val="00DC30EA"/>
    <w:rsid w:val="00DC4FE9"/>
    <w:rsid w:val="00DC5918"/>
    <w:rsid w:val="00DC6C8D"/>
    <w:rsid w:val="00DC73A5"/>
    <w:rsid w:val="00DD0236"/>
    <w:rsid w:val="00DD30A2"/>
    <w:rsid w:val="00DD76A4"/>
    <w:rsid w:val="00DD7C65"/>
    <w:rsid w:val="00DE03E4"/>
    <w:rsid w:val="00DE1134"/>
    <w:rsid w:val="00DE1AEB"/>
    <w:rsid w:val="00DE6668"/>
    <w:rsid w:val="00E0080A"/>
    <w:rsid w:val="00E00F31"/>
    <w:rsid w:val="00E02242"/>
    <w:rsid w:val="00E0300E"/>
    <w:rsid w:val="00E04AE0"/>
    <w:rsid w:val="00E05912"/>
    <w:rsid w:val="00E070D0"/>
    <w:rsid w:val="00E109CB"/>
    <w:rsid w:val="00E11517"/>
    <w:rsid w:val="00E13727"/>
    <w:rsid w:val="00E13B58"/>
    <w:rsid w:val="00E157CA"/>
    <w:rsid w:val="00E20254"/>
    <w:rsid w:val="00E219EB"/>
    <w:rsid w:val="00E22C13"/>
    <w:rsid w:val="00E25045"/>
    <w:rsid w:val="00E2677C"/>
    <w:rsid w:val="00E26D83"/>
    <w:rsid w:val="00E27A1E"/>
    <w:rsid w:val="00E306E9"/>
    <w:rsid w:val="00E307DC"/>
    <w:rsid w:val="00E334B9"/>
    <w:rsid w:val="00E33905"/>
    <w:rsid w:val="00E342D1"/>
    <w:rsid w:val="00E34B96"/>
    <w:rsid w:val="00E353AF"/>
    <w:rsid w:val="00E37502"/>
    <w:rsid w:val="00E40E94"/>
    <w:rsid w:val="00E43074"/>
    <w:rsid w:val="00E431C8"/>
    <w:rsid w:val="00E44926"/>
    <w:rsid w:val="00E44E09"/>
    <w:rsid w:val="00E45D53"/>
    <w:rsid w:val="00E46DBD"/>
    <w:rsid w:val="00E51708"/>
    <w:rsid w:val="00E53139"/>
    <w:rsid w:val="00E53A8F"/>
    <w:rsid w:val="00E5435E"/>
    <w:rsid w:val="00E55A81"/>
    <w:rsid w:val="00E56DA8"/>
    <w:rsid w:val="00E60ACC"/>
    <w:rsid w:val="00E60C4B"/>
    <w:rsid w:val="00E60E21"/>
    <w:rsid w:val="00E66638"/>
    <w:rsid w:val="00E6706E"/>
    <w:rsid w:val="00E7211D"/>
    <w:rsid w:val="00E757CA"/>
    <w:rsid w:val="00E75D48"/>
    <w:rsid w:val="00E764F0"/>
    <w:rsid w:val="00E773CD"/>
    <w:rsid w:val="00E774C9"/>
    <w:rsid w:val="00E80964"/>
    <w:rsid w:val="00E841A6"/>
    <w:rsid w:val="00E84BCB"/>
    <w:rsid w:val="00E85905"/>
    <w:rsid w:val="00E869E9"/>
    <w:rsid w:val="00E90DC4"/>
    <w:rsid w:val="00E9163F"/>
    <w:rsid w:val="00E91CB7"/>
    <w:rsid w:val="00E956E8"/>
    <w:rsid w:val="00E96E0A"/>
    <w:rsid w:val="00EA022D"/>
    <w:rsid w:val="00EA0F2C"/>
    <w:rsid w:val="00EA19CB"/>
    <w:rsid w:val="00EA2C8F"/>
    <w:rsid w:val="00EA5D64"/>
    <w:rsid w:val="00EA613A"/>
    <w:rsid w:val="00EA6A8C"/>
    <w:rsid w:val="00EB2634"/>
    <w:rsid w:val="00EB3067"/>
    <w:rsid w:val="00EB353E"/>
    <w:rsid w:val="00EB529D"/>
    <w:rsid w:val="00EB56E0"/>
    <w:rsid w:val="00EB5DDF"/>
    <w:rsid w:val="00EB6E66"/>
    <w:rsid w:val="00EC3CEC"/>
    <w:rsid w:val="00EC4625"/>
    <w:rsid w:val="00ED139E"/>
    <w:rsid w:val="00ED1759"/>
    <w:rsid w:val="00ED27A5"/>
    <w:rsid w:val="00ED445D"/>
    <w:rsid w:val="00ED461C"/>
    <w:rsid w:val="00EE171C"/>
    <w:rsid w:val="00EE2B61"/>
    <w:rsid w:val="00EE37A2"/>
    <w:rsid w:val="00EE3B12"/>
    <w:rsid w:val="00EE5AF3"/>
    <w:rsid w:val="00EE5E91"/>
    <w:rsid w:val="00EE5F8C"/>
    <w:rsid w:val="00EE73BC"/>
    <w:rsid w:val="00EF00AA"/>
    <w:rsid w:val="00EF5EEF"/>
    <w:rsid w:val="00EF7EFB"/>
    <w:rsid w:val="00F0026A"/>
    <w:rsid w:val="00F021E7"/>
    <w:rsid w:val="00F026C1"/>
    <w:rsid w:val="00F039D1"/>
    <w:rsid w:val="00F05BEC"/>
    <w:rsid w:val="00F05D0F"/>
    <w:rsid w:val="00F05DB4"/>
    <w:rsid w:val="00F13180"/>
    <w:rsid w:val="00F13358"/>
    <w:rsid w:val="00F1456D"/>
    <w:rsid w:val="00F15387"/>
    <w:rsid w:val="00F15D8B"/>
    <w:rsid w:val="00F17D58"/>
    <w:rsid w:val="00F21DB8"/>
    <w:rsid w:val="00F228F5"/>
    <w:rsid w:val="00F24143"/>
    <w:rsid w:val="00F241BE"/>
    <w:rsid w:val="00F24962"/>
    <w:rsid w:val="00F25038"/>
    <w:rsid w:val="00F3124A"/>
    <w:rsid w:val="00F31650"/>
    <w:rsid w:val="00F31D41"/>
    <w:rsid w:val="00F344BA"/>
    <w:rsid w:val="00F34539"/>
    <w:rsid w:val="00F35005"/>
    <w:rsid w:val="00F364CB"/>
    <w:rsid w:val="00F37362"/>
    <w:rsid w:val="00F37601"/>
    <w:rsid w:val="00F4220F"/>
    <w:rsid w:val="00F423B8"/>
    <w:rsid w:val="00F43F58"/>
    <w:rsid w:val="00F45507"/>
    <w:rsid w:val="00F46014"/>
    <w:rsid w:val="00F47670"/>
    <w:rsid w:val="00F51371"/>
    <w:rsid w:val="00F51AF6"/>
    <w:rsid w:val="00F56113"/>
    <w:rsid w:val="00F5640F"/>
    <w:rsid w:val="00F56735"/>
    <w:rsid w:val="00F615F9"/>
    <w:rsid w:val="00F62055"/>
    <w:rsid w:val="00F620BE"/>
    <w:rsid w:val="00F64DC5"/>
    <w:rsid w:val="00F73938"/>
    <w:rsid w:val="00F73E87"/>
    <w:rsid w:val="00F74224"/>
    <w:rsid w:val="00F747A9"/>
    <w:rsid w:val="00F76696"/>
    <w:rsid w:val="00F77A84"/>
    <w:rsid w:val="00F87905"/>
    <w:rsid w:val="00F9229E"/>
    <w:rsid w:val="00F92724"/>
    <w:rsid w:val="00F92A12"/>
    <w:rsid w:val="00F944D3"/>
    <w:rsid w:val="00F9523B"/>
    <w:rsid w:val="00F9560B"/>
    <w:rsid w:val="00F95755"/>
    <w:rsid w:val="00F96E67"/>
    <w:rsid w:val="00F96E92"/>
    <w:rsid w:val="00FA13CB"/>
    <w:rsid w:val="00FA2BE9"/>
    <w:rsid w:val="00FA31AE"/>
    <w:rsid w:val="00FA4FCD"/>
    <w:rsid w:val="00FB1DA4"/>
    <w:rsid w:val="00FB1FCE"/>
    <w:rsid w:val="00FB2973"/>
    <w:rsid w:val="00FB42CF"/>
    <w:rsid w:val="00FB5D3A"/>
    <w:rsid w:val="00FB7B5E"/>
    <w:rsid w:val="00FC07DD"/>
    <w:rsid w:val="00FC2B86"/>
    <w:rsid w:val="00FC2E7F"/>
    <w:rsid w:val="00FC48B5"/>
    <w:rsid w:val="00FC4A3C"/>
    <w:rsid w:val="00FC4CA2"/>
    <w:rsid w:val="00FC7629"/>
    <w:rsid w:val="00FC7B2A"/>
    <w:rsid w:val="00FD3D67"/>
    <w:rsid w:val="00FD536A"/>
    <w:rsid w:val="00FE4145"/>
    <w:rsid w:val="00FE5F2D"/>
    <w:rsid w:val="00FE743E"/>
    <w:rsid w:val="00FF0810"/>
    <w:rsid w:val="00FF11E6"/>
    <w:rsid w:val="00F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74"/>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86434F"/>
    <w:pPr>
      <w:keepNext/>
      <w:pageBreakBefore/>
      <w:numPr>
        <w:numId w:val="13"/>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86434F"/>
    <w:pPr>
      <w:pageBreakBefore w:val="0"/>
      <w:numPr>
        <w:ilvl w:val="1"/>
      </w:numPr>
      <w:tabs>
        <w:tab w:val="num" w:pos="17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86434F"/>
    <w:pPr>
      <w:numPr>
        <w:ilvl w:val="2"/>
      </w:numPr>
      <w:tabs>
        <w:tab w:val="num" w:pos="17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B7597A"/>
    <w:pPr>
      <w:numPr>
        <w:ilvl w:val="3"/>
      </w:numPr>
      <w:spacing w:before="300" w:line="260" w:lineRule="atLeast"/>
      <w:outlineLvl w:val="3"/>
    </w:pPr>
    <w:rPr>
      <w:color w:val="5A9A98"/>
      <w:sz w:val="22"/>
      <w:szCs w:val="22"/>
    </w:rPr>
  </w:style>
  <w:style w:type="paragraph" w:styleId="Heading5">
    <w:name w:val="heading 5"/>
    <w:basedOn w:val="BodyText"/>
    <w:next w:val="BodyText"/>
    <w:link w:val="Heading5Char"/>
    <w:uiPriority w:val="99"/>
    <w:qFormat/>
    <w:rsid w:val="0086434F"/>
    <w:pPr>
      <w:keepNext/>
      <w:numPr>
        <w:ilvl w:val="4"/>
        <w:numId w:val="13"/>
      </w:numPr>
      <w:spacing w:before="320" w:after="0"/>
      <w:outlineLvl w:val="4"/>
    </w:pPr>
    <w:rPr>
      <w:b/>
      <w:color w:val="54534A"/>
    </w:rPr>
  </w:style>
  <w:style w:type="paragraph" w:styleId="Heading6">
    <w:name w:val="heading 6"/>
    <w:basedOn w:val="Heading1"/>
    <w:next w:val="BodyText"/>
    <w:link w:val="Heading6Char"/>
    <w:uiPriority w:val="99"/>
    <w:qFormat/>
    <w:rsid w:val="0086434F"/>
    <w:pPr>
      <w:numPr>
        <w:ilvl w:val="5"/>
      </w:numPr>
      <w:tabs>
        <w:tab w:val="num" w:pos="170"/>
      </w:tabs>
      <w:ind w:firstLine="0"/>
      <w:outlineLvl w:val="5"/>
    </w:pPr>
    <w:rPr>
      <w:bCs/>
    </w:rPr>
  </w:style>
  <w:style w:type="paragraph" w:styleId="Heading7">
    <w:name w:val="heading 7"/>
    <w:basedOn w:val="Heading2"/>
    <w:next w:val="BodyText"/>
    <w:link w:val="Heading7Char"/>
    <w:uiPriority w:val="99"/>
    <w:qFormat/>
    <w:rsid w:val="0086434F"/>
    <w:pPr>
      <w:numPr>
        <w:ilvl w:val="6"/>
      </w:numPr>
      <w:tabs>
        <w:tab w:val="num" w:pos="170"/>
      </w:tabs>
      <w:ind w:left="0" w:firstLine="0"/>
      <w:outlineLvl w:val="6"/>
    </w:pPr>
  </w:style>
  <w:style w:type="paragraph" w:styleId="Heading8">
    <w:name w:val="heading 8"/>
    <w:basedOn w:val="Heading3"/>
    <w:next w:val="BodyText"/>
    <w:link w:val="Heading8Char"/>
    <w:uiPriority w:val="99"/>
    <w:qFormat/>
    <w:rsid w:val="0086434F"/>
    <w:pPr>
      <w:numPr>
        <w:ilvl w:val="7"/>
      </w:numPr>
      <w:tabs>
        <w:tab w:val="num" w:pos="170"/>
      </w:tabs>
      <w:outlineLvl w:val="7"/>
    </w:pPr>
  </w:style>
  <w:style w:type="paragraph" w:styleId="Heading9">
    <w:name w:val="heading 9"/>
    <w:basedOn w:val="Heading4"/>
    <w:next w:val="BodyText"/>
    <w:link w:val="Heading9Char"/>
    <w:uiPriority w:val="99"/>
    <w:qFormat/>
    <w:rsid w:val="0086434F"/>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6449D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ListBullet">
    <w:name w:val="List Bullet"/>
    <w:basedOn w:val="BodyText"/>
    <w:uiPriority w:val="99"/>
    <w:rsid w:val="00C10747"/>
    <w:pPr>
      <w:numPr>
        <w:numId w:val="9"/>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style>
  <w:style w:type="paragraph" w:styleId="ListNumber2">
    <w:name w:val="List Number 2"/>
    <w:basedOn w:val="ListNumber"/>
    <w:uiPriority w:val="99"/>
    <w:rsid w:val="00B84A71"/>
    <w:pPr>
      <w:numPr>
        <w:numId w:val="1"/>
      </w:numPr>
      <w:tabs>
        <w:tab w:val="clear" w:pos="360"/>
        <w:tab w:val="num" w:pos="567"/>
      </w:tabs>
      <w:ind w:left="567" w:hanging="283"/>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F62055"/>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8"/>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link w:val="TableTextEntriesChar"/>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11517"/>
    <w:pPr>
      <w:spacing w:after="6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3"/>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link w:val="TableHeading1Char"/>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0"/>
      </w:numPr>
      <w:tabs>
        <w:tab w:val="num" w:pos="567"/>
      </w:tabs>
      <w:ind w:hanging="283"/>
    </w:pPr>
  </w:style>
  <w:style w:type="paragraph" w:customStyle="1" w:styleId="TableListNumber">
    <w:name w:val="Table List Number"/>
    <w:basedOn w:val="TableTextEntries"/>
    <w:uiPriority w:val="99"/>
    <w:rsid w:val="008C0773"/>
    <w:pPr>
      <w:numPr>
        <w:numId w:val="2"/>
      </w:numPr>
    </w:pPr>
  </w:style>
  <w:style w:type="paragraph" w:customStyle="1" w:styleId="TableListNumber2">
    <w:name w:val="Table List Number 2"/>
    <w:basedOn w:val="TableListNumber"/>
    <w:uiPriority w:val="99"/>
    <w:rsid w:val="00396E51"/>
    <w:pPr>
      <w:numPr>
        <w:numId w:val="4"/>
      </w:numPr>
      <w:tabs>
        <w:tab w:val="num" w:pos="720"/>
      </w:tabs>
      <w:ind w:hanging="360"/>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9F7E80"/>
    <w:pPr>
      <w:numPr>
        <w:numId w:val="14"/>
      </w:numPr>
      <w:tabs>
        <w:tab w:val="num" w:pos="720"/>
      </w:tabs>
      <w:spacing w:after="0" w:line="180" w:lineRule="atLeast"/>
      <w:ind w:left="720" w:hanging="360"/>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7"/>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1"/>
      </w:numPr>
      <w:spacing w:before="0"/>
    </w:pPr>
  </w:style>
  <w:style w:type="paragraph" w:customStyle="1" w:styleId="BoxListNumber2">
    <w:name w:val="Box List Number 2"/>
    <w:basedOn w:val="BoxListNumber"/>
    <w:uiPriority w:val="99"/>
    <w:rsid w:val="006C6761"/>
    <w:pPr>
      <w:numPr>
        <w:numId w:val="6"/>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9F7E80"/>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449D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customStyle="1" w:styleId="TableTextEntriesChar">
    <w:name w:val="Table Text Entries Char"/>
    <w:basedOn w:val="DefaultParagraphFont"/>
    <w:link w:val="TableTextEntries"/>
    <w:uiPriority w:val="99"/>
    <w:locked/>
    <w:rsid w:val="00E40E94"/>
    <w:rPr>
      <w:rFonts w:ascii="Franklin Gothic Book" w:hAnsi="Franklin Gothic Book" w:cs="Times New Roman"/>
      <w:sz w:val="17"/>
      <w:szCs w:val="17"/>
      <w:lang w:val="en-AU" w:eastAsia="en-US" w:bidi="ar-SA"/>
    </w:rPr>
  </w:style>
  <w:style w:type="character" w:customStyle="1" w:styleId="TableHeading1Char">
    <w:name w:val="Table Heading 1 Char"/>
    <w:basedOn w:val="TableTextEntriesChar"/>
    <w:link w:val="TableHeading1"/>
    <w:uiPriority w:val="99"/>
    <w:locked/>
    <w:rsid w:val="00E40E94"/>
    <w:rPr>
      <w:rFonts w:ascii="Franklin Gothic Medium" w:hAnsi="Franklin Gothic Medium" w:cs="Times New Roman"/>
      <w:sz w:val="17"/>
      <w:szCs w:val="17"/>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74"/>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86434F"/>
    <w:pPr>
      <w:keepNext/>
      <w:pageBreakBefore/>
      <w:numPr>
        <w:numId w:val="13"/>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86434F"/>
    <w:pPr>
      <w:pageBreakBefore w:val="0"/>
      <w:numPr>
        <w:ilvl w:val="1"/>
      </w:numPr>
      <w:tabs>
        <w:tab w:val="num" w:pos="170"/>
      </w:tabs>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86434F"/>
    <w:pPr>
      <w:numPr>
        <w:ilvl w:val="2"/>
      </w:numPr>
      <w:tabs>
        <w:tab w:val="num" w:pos="170"/>
      </w:tabs>
      <w:spacing w:before="380" w:after="0" w:line="280" w:lineRule="atLeast"/>
      <w:ind w:left="0" w:firstLine="0"/>
      <w:outlineLvl w:val="2"/>
    </w:pPr>
    <w:rPr>
      <w:rFonts w:ascii="Franklin Gothic Medium" w:hAnsi="Franklin Gothic Medium"/>
      <w:sz w:val="24"/>
      <w:szCs w:val="24"/>
    </w:rPr>
  </w:style>
  <w:style w:type="paragraph" w:styleId="Heading4">
    <w:name w:val="heading 4"/>
    <w:basedOn w:val="Heading3"/>
    <w:next w:val="BodyText"/>
    <w:link w:val="Heading4Char"/>
    <w:uiPriority w:val="99"/>
    <w:qFormat/>
    <w:rsid w:val="00B7597A"/>
    <w:pPr>
      <w:numPr>
        <w:ilvl w:val="3"/>
      </w:numPr>
      <w:spacing w:before="300" w:line="260" w:lineRule="atLeast"/>
      <w:outlineLvl w:val="3"/>
    </w:pPr>
    <w:rPr>
      <w:color w:val="5A9A98"/>
      <w:sz w:val="22"/>
      <w:szCs w:val="22"/>
    </w:rPr>
  </w:style>
  <w:style w:type="paragraph" w:styleId="Heading5">
    <w:name w:val="heading 5"/>
    <w:basedOn w:val="BodyText"/>
    <w:next w:val="BodyText"/>
    <w:link w:val="Heading5Char"/>
    <w:uiPriority w:val="99"/>
    <w:qFormat/>
    <w:rsid w:val="0086434F"/>
    <w:pPr>
      <w:keepNext/>
      <w:numPr>
        <w:ilvl w:val="4"/>
        <w:numId w:val="13"/>
      </w:numPr>
      <w:spacing w:before="320" w:after="0"/>
      <w:outlineLvl w:val="4"/>
    </w:pPr>
    <w:rPr>
      <w:b/>
      <w:color w:val="54534A"/>
    </w:rPr>
  </w:style>
  <w:style w:type="paragraph" w:styleId="Heading6">
    <w:name w:val="heading 6"/>
    <w:basedOn w:val="Heading1"/>
    <w:next w:val="BodyText"/>
    <w:link w:val="Heading6Char"/>
    <w:uiPriority w:val="99"/>
    <w:qFormat/>
    <w:rsid w:val="0086434F"/>
    <w:pPr>
      <w:numPr>
        <w:ilvl w:val="5"/>
      </w:numPr>
      <w:tabs>
        <w:tab w:val="num" w:pos="170"/>
      </w:tabs>
      <w:ind w:firstLine="0"/>
      <w:outlineLvl w:val="5"/>
    </w:pPr>
    <w:rPr>
      <w:bCs/>
    </w:rPr>
  </w:style>
  <w:style w:type="paragraph" w:styleId="Heading7">
    <w:name w:val="heading 7"/>
    <w:basedOn w:val="Heading2"/>
    <w:next w:val="BodyText"/>
    <w:link w:val="Heading7Char"/>
    <w:uiPriority w:val="99"/>
    <w:qFormat/>
    <w:rsid w:val="0086434F"/>
    <w:pPr>
      <w:numPr>
        <w:ilvl w:val="6"/>
      </w:numPr>
      <w:tabs>
        <w:tab w:val="num" w:pos="170"/>
      </w:tabs>
      <w:ind w:left="0" w:firstLine="0"/>
      <w:outlineLvl w:val="6"/>
    </w:pPr>
  </w:style>
  <w:style w:type="paragraph" w:styleId="Heading8">
    <w:name w:val="heading 8"/>
    <w:basedOn w:val="Heading3"/>
    <w:next w:val="BodyText"/>
    <w:link w:val="Heading8Char"/>
    <w:uiPriority w:val="99"/>
    <w:qFormat/>
    <w:rsid w:val="0086434F"/>
    <w:pPr>
      <w:numPr>
        <w:ilvl w:val="7"/>
      </w:numPr>
      <w:tabs>
        <w:tab w:val="num" w:pos="170"/>
      </w:tabs>
      <w:outlineLvl w:val="7"/>
    </w:pPr>
  </w:style>
  <w:style w:type="paragraph" w:styleId="Heading9">
    <w:name w:val="heading 9"/>
    <w:basedOn w:val="Heading4"/>
    <w:next w:val="BodyText"/>
    <w:link w:val="Heading9Char"/>
    <w:uiPriority w:val="99"/>
    <w:qFormat/>
    <w:rsid w:val="0086434F"/>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Franklin Gothic Book" w:hAnsi="Franklin Gothic Book"/>
      <w:color w:val="AD495D"/>
      <w:spacing w:val="-10"/>
      <w:kern w:val="28"/>
      <w:sz w:val="50"/>
      <w:szCs w:val="50"/>
      <w:lang w:val="en-AU" w:eastAsia="en-AU"/>
    </w:rPr>
  </w:style>
  <w:style w:type="character" w:customStyle="1" w:styleId="Heading2Char">
    <w:name w:val="Heading 2 Char"/>
    <w:basedOn w:val="DefaultParagraphFont"/>
    <w:link w:val="Heading2"/>
    <w:uiPriority w:val="99"/>
    <w:locked/>
    <w:rPr>
      <w:rFonts w:ascii="Franklin Gothic Demi" w:hAnsi="Franklin Gothic Demi"/>
      <w:color w:val="AD495D"/>
      <w:kern w:val="28"/>
      <w:sz w:val="28"/>
      <w:szCs w:val="28"/>
      <w:lang w:val="en-AU" w:eastAsia="en-AU"/>
    </w:rPr>
  </w:style>
  <w:style w:type="character" w:customStyle="1" w:styleId="Heading3Char">
    <w:name w:val="Heading 3 Char"/>
    <w:basedOn w:val="DefaultParagraphFont"/>
    <w:link w:val="Heading3"/>
    <w:uiPriority w:val="99"/>
    <w:locked/>
    <w:rPr>
      <w:rFonts w:ascii="Franklin Gothic Medium" w:hAnsi="Franklin Gothic Medium"/>
      <w:color w:val="AD495D"/>
      <w:kern w:val="28"/>
      <w:sz w:val="24"/>
      <w:szCs w:val="24"/>
      <w:lang w:val="en-AU" w:eastAsia="en-AU"/>
    </w:rPr>
  </w:style>
  <w:style w:type="character" w:customStyle="1" w:styleId="Heading4Char">
    <w:name w:val="Heading 4 Char"/>
    <w:basedOn w:val="DefaultParagraphFont"/>
    <w:link w:val="Heading4"/>
    <w:uiPriority w:val="99"/>
    <w:locked/>
    <w:rPr>
      <w:rFonts w:ascii="Franklin Gothic Medium" w:hAnsi="Franklin Gothic Medium"/>
      <w:color w:val="5A9A98"/>
      <w:kern w:val="28"/>
      <w:lang w:val="en-AU" w:eastAsia="en-AU"/>
    </w:rPr>
  </w:style>
  <w:style w:type="character" w:customStyle="1" w:styleId="Heading5Char">
    <w:name w:val="Heading 5 Char"/>
    <w:basedOn w:val="DefaultParagraphFont"/>
    <w:link w:val="Heading5"/>
    <w:uiPriority w:val="99"/>
    <w:locked/>
    <w:rPr>
      <w:rFonts w:ascii="Georgia" w:hAnsi="Georgia"/>
      <w:b/>
      <w:color w:val="54534A"/>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color w:val="AD495D"/>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color w:val="5A9A98"/>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917927"/>
    <w:pPr>
      <w:numPr>
        <w:numId w:val="0"/>
      </w:numPr>
    </w:pPr>
  </w:style>
  <w:style w:type="paragraph" w:customStyle="1" w:styleId="Heading2unnumbered">
    <w:name w:val="Heading 2 unnumbered"/>
    <w:basedOn w:val="Heading2"/>
    <w:next w:val="BodyText"/>
    <w:uiPriority w:val="99"/>
    <w:rsid w:val="001C557B"/>
    <w:pPr>
      <w:numPr>
        <w:ilvl w:val="0"/>
        <w:numId w:val="0"/>
      </w:numPr>
    </w:pPr>
  </w:style>
  <w:style w:type="paragraph" w:styleId="CommentText">
    <w:name w:val="annotation text"/>
    <w:basedOn w:val="BodyText"/>
    <w:link w:val="CommentTextChar"/>
    <w:uiPriority w:val="99"/>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6449D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ListBullet">
    <w:name w:val="List Bullet"/>
    <w:basedOn w:val="BodyText"/>
    <w:uiPriority w:val="99"/>
    <w:rsid w:val="00C10747"/>
    <w:pPr>
      <w:numPr>
        <w:numId w:val="9"/>
      </w:numPr>
      <w:spacing w:before="0"/>
    </w:pPr>
  </w:style>
  <w:style w:type="paragraph" w:styleId="ListBullet2">
    <w:name w:val="List Bullet 2"/>
    <w:basedOn w:val="ListBullet"/>
    <w:uiPriority w:val="99"/>
    <w:rsid w:val="002E7F6A"/>
    <w:pPr>
      <w:tabs>
        <w:tab w:val="clear" w:pos="284"/>
        <w:tab w:val="num" w:pos="567"/>
      </w:tabs>
      <w:ind w:left="567" w:hanging="283"/>
    </w:pPr>
  </w:style>
  <w:style w:type="paragraph" w:styleId="ListNumber">
    <w:name w:val="List Number"/>
    <w:basedOn w:val="ListBullet"/>
    <w:uiPriority w:val="99"/>
    <w:rsid w:val="000B146D"/>
  </w:style>
  <w:style w:type="paragraph" w:styleId="ListNumber2">
    <w:name w:val="List Number 2"/>
    <w:basedOn w:val="ListNumber"/>
    <w:uiPriority w:val="99"/>
    <w:rsid w:val="00B84A71"/>
    <w:pPr>
      <w:numPr>
        <w:numId w:val="1"/>
      </w:numPr>
      <w:tabs>
        <w:tab w:val="clear" w:pos="360"/>
        <w:tab w:val="num" w:pos="567"/>
      </w:tabs>
      <w:ind w:left="567" w:hanging="283"/>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rsid w:val="007A2D4A"/>
    <w:rPr>
      <w:rFonts w:ascii="Franklin Gothic Medium" w:hAnsi="Franklin Gothic Medium" w:cs="Times New Roman"/>
      <w:color w:val="54534A"/>
      <w:sz w:val="14"/>
      <w:szCs w:val="14"/>
    </w:rPr>
  </w:style>
  <w:style w:type="paragraph" w:styleId="TOC1">
    <w:name w:val="toc 1"/>
    <w:basedOn w:val="BodyText"/>
    <w:next w:val="BodyText"/>
    <w:uiPriority w:val="99"/>
    <w:rsid w:val="00F62055"/>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99"/>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502E98"/>
    <w:pPr>
      <w:keepNext/>
      <w:spacing w:before="360" w:after="80" w:line="230" w:lineRule="exact"/>
    </w:pPr>
    <w:rPr>
      <w:rFonts w:ascii="Franklin Gothic Demi" w:hAnsi="Franklin Gothic Demi"/>
      <w:color w:val="7E6D5F"/>
      <w:sz w:val="19"/>
      <w:szCs w:val="19"/>
    </w:rPr>
  </w:style>
  <w:style w:type="paragraph" w:customStyle="1" w:styleId="BoxListBullet">
    <w:name w:val="Box List Bullet"/>
    <w:basedOn w:val="BoxText"/>
    <w:uiPriority w:val="99"/>
    <w:rsid w:val="006C6761"/>
    <w:pPr>
      <w:keepLines/>
      <w:numPr>
        <w:numId w:val="8"/>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link w:val="TableTextEntriesChar"/>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uiPriority w:val="99"/>
    <w:rsid w:val="00E11517"/>
    <w:pPr>
      <w:spacing w:after="60"/>
    </w:pPr>
  </w:style>
  <w:style w:type="paragraph" w:customStyle="1" w:styleId="BoxHeading1">
    <w:name w:val="Box Heading 1"/>
    <w:basedOn w:val="BoxText"/>
    <w:next w:val="BoxText"/>
    <w:uiPriority w:val="99"/>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3"/>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rsid w:val="00671255"/>
    <w:pPr>
      <w:tabs>
        <w:tab w:val="left" w:pos="284"/>
        <w:tab w:val="right" w:pos="8222"/>
      </w:tabs>
      <w:ind w:left="284" w:right="567" w:hanging="284"/>
    </w:pPr>
  </w:style>
  <w:style w:type="character" w:styleId="CommentReference">
    <w:name w:val="annotation reference"/>
    <w:basedOn w:val="DefaultParagraphFont"/>
    <w:uiPriority w:val="99"/>
    <w:rsid w:val="007A2D4A"/>
    <w:rPr>
      <w:rFonts w:ascii="Franklin Gothic Medium" w:hAnsi="Franklin Gothic Medium" w:cs="Times New Roman"/>
      <w:vanish/>
      <w:color w:val="FF00FF"/>
      <w:sz w:val="16"/>
      <w:szCs w:val="16"/>
    </w:rPr>
  </w:style>
  <w:style w:type="character" w:styleId="FootnoteReference">
    <w:name w:val="footnote reference"/>
    <w:basedOn w:val="DefaultParagraphFont"/>
    <w:uiPriority w:val="99"/>
    <w:rsid w:val="00FB1DA4"/>
    <w:rPr>
      <w:rFonts w:ascii="Franklin Gothic Book" w:hAnsi="Franklin Gothic Book" w:cs="Times New Roman"/>
      <w:w w:val="100"/>
      <w:position w:val="6"/>
      <w:sz w:val="12"/>
      <w:szCs w:val="12"/>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rsid w:val="0097190C"/>
    <w:pPr>
      <w:tabs>
        <w:tab w:val="left" w:pos="1418"/>
      </w:tabs>
      <w:ind w:left="1418" w:hanging="1418"/>
    </w:pPr>
  </w:style>
  <w:style w:type="paragraph" w:customStyle="1" w:styleId="Author">
    <w:name w:val="Author"/>
    <w:basedOn w:val="Date"/>
    <w:link w:val="AuthorCharChar"/>
    <w:uiPriority w:val="99"/>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link w:val="TableHeading1Char"/>
    <w:uiPriority w:val="99"/>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0"/>
      </w:numPr>
      <w:tabs>
        <w:tab w:val="num" w:pos="567"/>
      </w:tabs>
      <w:ind w:hanging="283"/>
    </w:pPr>
  </w:style>
  <w:style w:type="paragraph" w:customStyle="1" w:styleId="TableListNumber">
    <w:name w:val="Table List Number"/>
    <w:basedOn w:val="TableTextEntries"/>
    <w:uiPriority w:val="99"/>
    <w:rsid w:val="008C0773"/>
    <w:pPr>
      <w:numPr>
        <w:numId w:val="2"/>
      </w:numPr>
    </w:pPr>
  </w:style>
  <w:style w:type="paragraph" w:customStyle="1" w:styleId="TableListNumber2">
    <w:name w:val="Table List Number 2"/>
    <w:basedOn w:val="TableListNumber"/>
    <w:uiPriority w:val="99"/>
    <w:rsid w:val="00396E51"/>
    <w:pPr>
      <w:numPr>
        <w:numId w:val="4"/>
      </w:numPr>
      <w:tabs>
        <w:tab w:val="num" w:pos="720"/>
      </w:tabs>
      <w:ind w:hanging="360"/>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uiPriority w:val="99"/>
    <w:rsid w:val="008E6453"/>
    <w:pPr>
      <w:keepNext/>
    </w:pPr>
    <w:rPr>
      <w:rFonts w:ascii="Franklin Gothic Book" w:hAnsi="Franklin Gothic Book"/>
    </w:rPr>
  </w:style>
  <w:style w:type="paragraph" w:customStyle="1" w:styleId="NoteNumber">
    <w:name w:val="Note Number"/>
    <w:basedOn w:val="TableTextEntries"/>
    <w:link w:val="NoteNumberCharChar"/>
    <w:uiPriority w:val="99"/>
    <w:rsid w:val="009F7E80"/>
    <w:pPr>
      <w:numPr>
        <w:numId w:val="14"/>
      </w:numPr>
      <w:tabs>
        <w:tab w:val="num" w:pos="720"/>
      </w:tabs>
      <w:spacing w:after="0" w:line="180" w:lineRule="atLeast"/>
      <w:ind w:left="720" w:hanging="360"/>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rsid w:val="0075426C"/>
    <w:pPr>
      <w:spacing w:before="180" w:after="0" w:line="280" w:lineRule="atLeast"/>
    </w:pPr>
    <w:rPr>
      <w:color w:val="FFFFFF"/>
    </w:rPr>
  </w:style>
  <w:style w:type="paragraph" w:customStyle="1" w:styleId="Figure">
    <w:name w:val="Figure"/>
    <w:basedOn w:val="BodyText"/>
    <w:next w:val="BodyText"/>
    <w:uiPriority w:val="99"/>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7"/>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1"/>
      </w:numPr>
      <w:spacing w:before="0"/>
    </w:pPr>
  </w:style>
  <w:style w:type="paragraph" w:customStyle="1" w:styleId="BoxListNumber2">
    <w:name w:val="Box List Number 2"/>
    <w:basedOn w:val="BoxListNumber"/>
    <w:uiPriority w:val="99"/>
    <w:rsid w:val="006C6761"/>
    <w:pPr>
      <w:numPr>
        <w:numId w:val="6"/>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8D75EB"/>
    <w:rPr>
      <w:rFonts w:ascii="Franklin Gothic Book" w:hAnsi="Franklin Gothic Book"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9F7E80"/>
    <w:rPr>
      <w:rFonts w:ascii="Franklin Gothic Book" w:hAnsi="Franklin Gothic Book"/>
      <w:sz w:val="14"/>
      <w:szCs w:val="14"/>
      <w:lang w:val="en-AU"/>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449D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customStyle="1" w:styleId="TableTextEntriesChar">
    <w:name w:val="Table Text Entries Char"/>
    <w:basedOn w:val="DefaultParagraphFont"/>
    <w:link w:val="TableTextEntries"/>
    <w:uiPriority w:val="99"/>
    <w:locked/>
    <w:rsid w:val="00E40E94"/>
    <w:rPr>
      <w:rFonts w:ascii="Franklin Gothic Book" w:hAnsi="Franklin Gothic Book" w:cs="Times New Roman"/>
      <w:sz w:val="17"/>
      <w:szCs w:val="17"/>
      <w:lang w:val="en-AU" w:eastAsia="en-US" w:bidi="ar-SA"/>
    </w:rPr>
  </w:style>
  <w:style w:type="character" w:customStyle="1" w:styleId="TableHeading1Char">
    <w:name w:val="Table Heading 1 Char"/>
    <w:basedOn w:val="TableTextEntriesChar"/>
    <w:link w:val="TableHeading1"/>
    <w:uiPriority w:val="99"/>
    <w:locked/>
    <w:rsid w:val="00E40E94"/>
    <w:rPr>
      <w:rFonts w:ascii="Franklin Gothic Medium" w:hAnsi="Franklin Gothic Medium" w:cs="Times New Roman"/>
      <w:sz w:val="17"/>
      <w:szCs w:val="17"/>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537052">
      <w:marLeft w:val="0"/>
      <w:marRight w:val="0"/>
      <w:marTop w:val="0"/>
      <w:marBottom w:val="0"/>
      <w:divBdr>
        <w:top w:val="none" w:sz="0" w:space="0" w:color="auto"/>
        <w:left w:val="none" w:sz="0" w:space="0" w:color="auto"/>
        <w:bottom w:val="none" w:sz="0" w:space="0" w:color="auto"/>
        <w:right w:val="none" w:sz="0" w:space="0" w:color="auto"/>
      </w:divBdr>
    </w:div>
    <w:div w:id="1964537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ausaid.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usaid.gov.au/publication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1%20Report%20(by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B3F51-56B3-4188-83BE-A867CE84F90E}"/>
</file>

<file path=customXml/itemProps2.xml><?xml version="1.0" encoding="utf-8"?>
<ds:datastoreItem xmlns:ds="http://schemas.openxmlformats.org/officeDocument/2006/customXml" ds:itemID="{1B1003F8-5B0E-4FE0-84EB-CCCE39666FC4}"/>
</file>

<file path=customXml/itemProps3.xml><?xml version="1.0" encoding="utf-8"?>
<ds:datastoreItem xmlns:ds="http://schemas.openxmlformats.org/officeDocument/2006/customXml" ds:itemID="{2037FB8B-B7E7-4247-87EC-BC6981C7092D}"/>
</file>

<file path=docProps/app.xml><?xml version="1.0" encoding="utf-8"?>
<Properties xmlns="http://schemas.openxmlformats.org/officeDocument/2006/extended-properties" xmlns:vt="http://schemas.openxmlformats.org/officeDocument/2006/docPropsVTypes">
  <Template>1 Report (byWord)</Template>
  <TotalTime>8</TotalTime>
  <Pages>28</Pages>
  <Words>7802</Words>
  <Characters>44475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MKhattab</cp:lastModifiedBy>
  <cp:revision>3</cp:revision>
  <cp:lastPrinted>2009-01-09T14:36:00Z</cp:lastPrinted>
  <dcterms:created xsi:type="dcterms:W3CDTF">2013-07-09T12:10:00Z</dcterms:created>
  <dcterms:modified xsi:type="dcterms:W3CDTF">2013-07-09T12:18:00Z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304800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