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93" w:rsidRPr="004E570B" w:rsidRDefault="00F814A7" w:rsidP="004E570B">
      <w:pPr>
        <w:pStyle w:val="Title"/>
        <w:rPr>
          <w:noProof/>
          <w:color w:val="auto"/>
        </w:rPr>
      </w:pPr>
      <w:r w:rsidRPr="004E570B">
        <w:rPr>
          <w:color w:val="auto"/>
          <w:spacing w:val="-4"/>
        </w:rPr>
        <w:t>Health</w:t>
      </w:r>
      <w:r w:rsidR="003C6E93" w:rsidRPr="004E570B">
        <w:rPr>
          <w:color w:val="auto"/>
          <w:spacing w:val="-4"/>
        </w:rPr>
        <w:t xml:space="preserve"> annual thematic performance report 2007–08</w:t>
      </w:r>
    </w:p>
    <w:p w:rsidR="003C6E93" w:rsidRPr="004E570B" w:rsidRDefault="00092D69" w:rsidP="00092D69">
      <w:pPr>
        <w:pStyle w:val="Date"/>
        <w:spacing w:before="600" w:after="480"/>
        <w:rPr>
          <w:rFonts w:ascii="Franklin Gothic Medium" w:hAnsi="Franklin Gothic Medium"/>
          <w:color w:val="auto"/>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-8255</wp:posOffset>
                </wp:positionH>
                <wp:positionV relativeFrom="paragraph">
                  <wp:posOffset>6235700</wp:posOffset>
                </wp:positionV>
                <wp:extent cx="7560310" cy="385445"/>
                <wp:effectExtent l="1270" t="3175" r="1270" b="1905"/>
                <wp:wrapNone/>
                <wp:docPr id="7" name="Rectangle 2"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 style="position:absolute;margin-left:-.65pt;margin-top:491pt;width:595.3pt;height:3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" stroked="f">
                <w10:wrap anchorx="page"/>
              </v:rect>
            </w:pict>
          </mc:Fallback>
        </mc:AlternateContent>
      </w:r>
      <w:r w:rsidR="00C10F73" w:rsidRPr="004E570B">
        <w:rPr>
          <w:rFonts w:ascii="Franklin Gothic Medium" w:hAnsi="Franklin Gothic Medium"/>
          <w:noProof/>
          <w:color w:val="auto"/>
          <w:lang w:eastAsia="en-US"/>
        </w:rPr>
        <w:t>December</w:t>
      </w:r>
      <w:r w:rsidR="003C6E93" w:rsidRPr="004E570B">
        <w:rPr>
          <w:rFonts w:ascii="Franklin Gothic Medium" w:hAnsi="Franklin Gothic Medium"/>
          <w:color w:val="auto"/>
        </w:rPr>
        <w:t xml:space="preserve"> 2008</w:t>
      </w:r>
    </w:p>
    <w:p w:rsidR="008B175F" w:rsidRPr="004E570B" w:rsidRDefault="008B175F" w:rsidP="00092D69">
      <w:pPr>
        <w:pStyle w:val="Author"/>
        <w:spacing w:before="480"/>
        <w:rPr>
          <w:color w:val="auto"/>
        </w:rPr>
      </w:pPr>
      <w:r w:rsidRPr="004E570B">
        <w:rPr>
          <w:color w:val="auto"/>
        </w:rPr>
        <w:t xml:space="preserve">Australian Government - </w:t>
      </w:r>
      <w:proofErr w:type="spellStart"/>
      <w:r w:rsidRPr="004E570B">
        <w:rPr>
          <w:color w:val="auto"/>
        </w:rPr>
        <w:t>AusAID</w:t>
      </w:r>
      <w:proofErr w:type="spellEnd"/>
    </w:p>
    <w:p w:rsidR="003C6E93" w:rsidRPr="004E570B" w:rsidRDefault="003C6E93" w:rsidP="004E570B">
      <w:pPr>
        <w:pStyle w:val="BoxText"/>
        <w:pageBreakBefore/>
        <w:spacing w:before="300"/>
        <w:ind w:right="1134"/>
      </w:pPr>
      <w:r w:rsidRPr="004E570B">
        <w:lastRenderedPageBreak/>
        <w:t>© Commonwealth of Australia 2008</w:t>
      </w:r>
    </w:p>
    <w:p w:rsidR="003C6E93" w:rsidRPr="004E570B" w:rsidRDefault="003C6E93" w:rsidP="004E570B">
      <w:pPr>
        <w:pStyle w:val="BoxText"/>
        <w:ind w:right="1134"/>
      </w:pPr>
      <w:r w:rsidRPr="004E570B">
        <w:t xml:space="preserve">This work is copyright. You may download, display, print and reproduce this material in unaltered form only (retaining this notice) for your personal, non-commercial use or use within your organisation. Apart from any use as permitted under the </w:t>
      </w:r>
      <w:r w:rsidRPr="004E570B">
        <w:rPr>
          <w:i/>
        </w:rPr>
        <w:t>Copyright Act 1968</w:t>
      </w:r>
      <w:r w:rsidRPr="004E570B">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8" w:history="1">
        <w:r w:rsidRPr="004E570B">
          <w:t>http://www.ag.gov.au/cca</w:t>
        </w:r>
      </w:hyperlink>
    </w:p>
    <w:p w:rsidR="003C6E93" w:rsidRPr="004E570B" w:rsidRDefault="003C6E93" w:rsidP="004E570B">
      <w:pPr>
        <w:pStyle w:val="BoxText"/>
        <w:spacing w:before="400" w:after="0"/>
        <w:ind w:right="1134"/>
      </w:pPr>
      <w:r w:rsidRPr="004E570B">
        <w:t>ISBN 978 1 921285 67 7</w:t>
      </w:r>
    </w:p>
    <w:p w:rsidR="003C6E93" w:rsidRPr="004E570B" w:rsidRDefault="003C6E93" w:rsidP="004E570B">
      <w:pPr>
        <w:pStyle w:val="BoxText"/>
        <w:spacing w:before="400"/>
        <w:ind w:right="1134"/>
      </w:pPr>
      <w:r w:rsidRPr="004E570B">
        <w:t>Published by the Australian Agency for International Development (</w:t>
      </w:r>
      <w:proofErr w:type="spellStart"/>
      <w:r w:rsidRPr="004E570B">
        <w:t>AusAID</w:t>
      </w:r>
      <w:proofErr w:type="spellEnd"/>
      <w:r w:rsidRPr="004E570B">
        <w:t xml:space="preserve">), Canberra, </w:t>
      </w:r>
      <w:proofErr w:type="gramStart"/>
      <w:r w:rsidR="00C10F73" w:rsidRPr="004E570B">
        <w:t>December</w:t>
      </w:r>
      <w:proofErr w:type="gramEnd"/>
      <w:r w:rsidRPr="004E570B">
        <w:t xml:space="preserve"> 2008.</w:t>
      </w:r>
    </w:p>
    <w:p w:rsidR="003C6E93" w:rsidRPr="004E570B" w:rsidRDefault="003C6E93" w:rsidP="004E570B">
      <w:pPr>
        <w:pStyle w:val="BoxText"/>
        <w:ind w:right="1134"/>
      </w:pPr>
      <w:r w:rsidRPr="004E570B">
        <w:t xml:space="preserve">This document is online at </w:t>
      </w:r>
      <w:hyperlink r:id="rId9" w:history="1">
        <w:r w:rsidRPr="004E570B">
          <w:t>www.ausaid.gov.au/publications</w:t>
        </w:r>
      </w:hyperlink>
    </w:p>
    <w:p w:rsidR="003C6E93" w:rsidRPr="004E570B" w:rsidRDefault="003C6E93" w:rsidP="004E570B">
      <w:pPr>
        <w:pStyle w:val="BoxText"/>
        <w:spacing w:before="400" w:after="400"/>
        <w:ind w:right="1134"/>
      </w:pPr>
      <w:r w:rsidRPr="004E570B">
        <w:t xml:space="preserve">Annual Thematic Performance Reports are prepared in accordance with </w:t>
      </w:r>
      <w:proofErr w:type="spellStart"/>
      <w:r w:rsidRPr="004E570B">
        <w:t>AusAID’s</w:t>
      </w:r>
      <w:proofErr w:type="spellEnd"/>
      <w:r w:rsidRPr="004E570B">
        <w:t xml:space="preserve"> Performance Assessment and Evaluation Policy. The reports are self-assessments and represent the views of thematic areas.</w:t>
      </w:r>
    </w:p>
    <w:p w:rsidR="003C6E93" w:rsidRPr="004E570B" w:rsidRDefault="003C6E93" w:rsidP="004E570B">
      <w:pPr>
        <w:pStyle w:val="BoxText"/>
        <w:ind w:right="2418"/>
      </w:pPr>
      <w:r w:rsidRPr="004E570B">
        <w:t>For further information about the Austra</w:t>
      </w:r>
      <w:r w:rsidR="00B33206" w:rsidRPr="004E570B">
        <w:t xml:space="preserve">lian Government’s </w:t>
      </w:r>
      <w:r w:rsidR="00CA5ED1" w:rsidRPr="004E570B">
        <w:t>international development</w:t>
      </w:r>
      <w:r w:rsidRPr="004E570B">
        <w:t xml:space="preserve"> program, contact:</w:t>
      </w:r>
    </w:p>
    <w:p w:rsidR="003C6E93" w:rsidRPr="004E570B" w:rsidRDefault="003C6E93" w:rsidP="004E570B">
      <w:pPr>
        <w:pStyle w:val="BoxText"/>
        <w:spacing w:after="0"/>
        <w:ind w:right="1134"/>
      </w:pPr>
      <w:r w:rsidRPr="004E570B">
        <w:t>Communications Section</w:t>
      </w:r>
    </w:p>
    <w:p w:rsidR="003C6E93" w:rsidRPr="004E570B" w:rsidRDefault="003C6E93" w:rsidP="004E570B">
      <w:pPr>
        <w:pStyle w:val="BoxText"/>
        <w:spacing w:before="0" w:after="0"/>
        <w:ind w:right="1134"/>
      </w:pPr>
      <w:proofErr w:type="spellStart"/>
      <w:r w:rsidRPr="004E570B">
        <w:t>AusAID</w:t>
      </w:r>
      <w:proofErr w:type="spellEnd"/>
    </w:p>
    <w:p w:rsidR="003C6E93" w:rsidRPr="004E570B" w:rsidRDefault="003C6E93" w:rsidP="004E570B">
      <w:pPr>
        <w:pStyle w:val="BoxText"/>
        <w:spacing w:before="0" w:after="0"/>
        <w:ind w:right="1134"/>
      </w:pPr>
      <w:r w:rsidRPr="004E570B">
        <w:t>GPO Box 887</w:t>
      </w:r>
    </w:p>
    <w:p w:rsidR="003C6E93" w:rsidRPr="004E570B" w:rsidRDefault="003C6E93" w:rsidP="004E570B">
      <w:pPr>
        <w:pStyle w:val="BoxText"/>
        <w:spacing w:before="0"/>
        <w:ind w:right="1134"/>
      </w:pPr>
      <w:r w:rsidRPr="004E570B">
        <w:t>Canberra ACT 2601</w:t>
      </w:r>
    </w:p>
    <w:p w:rsidR="003C6E93" w:rsidRPr="004E570B" w:rsidRDefault="003C6E93" w:rsidP="004E570B">
      <w:pPr>
        <w:pStyle w:val="BoxText"/>
        <w:spacing w:after="0"/>
        <w:ind w:right="1134"/>
      </w:pPr>
      <w:proofErr w:type="gramStart"/>
      <w:r w:rsidRPr="004E570B">
        <w:t>Phone</w:t>
      </w:r>
      <w:proofErr w:type="gramEnd"/>
      <w:r w:rsidRPr="004E570B">
        <w:rPr>
          <w:rFonts w:ascii="Arial Unicode MS" w:eastAsia="Arial Unicode MS" w:hAnsi="Arial Unicode MS" w:cs="Arial Unicode MS" w:hint="eastAsia"/>
        </w:rPr>
        <w:t> </w:t>
      </w:r>
      <w:r w:rsidRPr="004E570B">
        <w:t>(02) 6206 4000</w:t>
      </w:r>
    </w:p>
    <w:p w:rsidR="003C6E93" w:rsidRPr="004E570B" w:rsidRDefault="003C6E93" w:rsidP="004E570B">
      <w:pPr>
        <w:pStyle w:val="BoxText"/>
        <w:spacing w:before="0" w:after="0"/>
        <w:ind w:right="1134"/>
      </w:pPr>
      <w:proofErr w:type="gramStart"/>
      <w:r w:rsidRPr="004E570B">
        <w:t>Facsimile</w:t>
      </w:r>
      <w:proofErr w:type="gramEnd"/>
      <w:r w:rsidRPr="004E570B">
        <w:rPr>
          <w:rFonts w:ascii="Arial Unicode MS" w:eastAsia="Arial Unicode MS" w:hAnsi="Arial Unicode MS" w:cs="Arial Unicode MS" w:hint="eastAsia"/>
        </w:rPr>
        <w:t> </w:t>
      </w:r>
      <w:r w:rsidRPr="004E570B">
        <w:t>(02) 6206 4880</w:t>
      </w:r>
    </w:p>
    <w:p w:rsidR="003C6E93" w:rsidRPr="004E570B" w:rsidRDefault="00092D69" w:rsidP="004E570B">
      <w:pPr>
        <w:pStyle w:val="BoxText"/>
        <w:spacing w:before="0"/>
        <w:ind w:right="1134"/>
      </w:pPr>
      <w:r>
        <w:rPr>
          <w:noProof/>
          <w:lang w:val="en-US" w:eastAsia="en-US"/>
        </w:rPr>
        <mc:AlternateContent>
          <mc:Choice Requires="wps">
            <w:drawing>
              <wp:anchor distT="0" distB="0" distL="114300" distR="114300" simplePos="0" relativeHeight="251659264" behindDoc="0" locked="0" layoutInCell="1" allowOverlap="1">
                <wp:simplePos x="0" y="0"/>
                <wp:positionH relativeFrom="page">
                  <wp:posOffset>-3175</wp:posOffset>
                </wp:positionH>
                <wp:positionV relativeFrom="paragraph">
                  <wp:posOffset>2078990</wp:posOffset>
                </wp:positionV>
                <wp:extent cx="7560310" cy="385445"/>
                <wp:effectExtent l="0" t="0" r="0" b="0"/>
                <wp:wrapNone/>
                <wp:docPr id="2" name="Rectangle 3"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 style="position:absolute;margin-left:-.25pt;margin-top:163.7pt;width:595.3pt;height:3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" stroked="f">
                <w10:wrap anchorx="page"/>
              </v:rect>
            </w:pict>
          </mc:Fallback>
        </mc:AlternateContent>
      </w:r>
      <w:r w:rsidR="003C6E93" w:rsidRPr="004E570B">
        <w:t>Internet</w:t>
      </w:r>
      <w:r w:rsidR="003C6E93" w:rsidRPr="004E570B">
        <w:rPr>
          <w:rFonts w:ascii="Arial Unicode MS" w:eastAsia="Arial Unicode MS" w:hAnsi="Arial Unicode MS" w:cs="Arial Unicode MS" w:hint="eastAsia"/>
        </w:rPr>
        <w:t> </w:t>
      </w:r>
      <w:hyperlink r:id="rId10" w:history="1">
        <w:r w:rsidR="003C6E93" w:rsidRPr="004E570B">
          <w:t>www.</w:t>
        </w:r>
        <w:bookmarkStart w:id="0" w:name="_Hlt536343294"/>
        <w:r w:rsidR="003C6E93" w:rsidRPr="004E570B">
          <w:t>a</w:t>
        </w:r>
        <w:bookmarkEnd w:id="0"/>
        <w:r w:rsidR="003C6E93" w:rsidRPr="004E570B">
          <w:t>u</w:t>
        </w:r>
        <w:bookmarkStart w:id="1" w:name="_Hlt536343388"/>
        <w:r w:rsidR="003C6E93" w:rsidRPr="004E570B">
          <w:t>s</w:t>
        </w:r>
        <w:bookmarkStart w:id="2" w:name="_Hlt536343250"/>
        <w:bookmarkEnd w:id="1"/>
        <w:r w:rsidR="003C6E93" w:rsidRPr="004E570B">
          <w:t>a</w:t>
        </w:r>
        <w:bookmarkStart w:id="3" w:name="_Hlt536343212"/>
        <w:bookmarkEnd w:id="2"/>
        <w:r w:rsidR="003C6E93" w:rsidRPr="004E570B">
          <w:t>i</w:t>
        </w:r>
        <w:bookmarkStart w:id="4" w:name="_Hlt536343325"/>
        <w:bookmarkEnd w:id="3"/>
        <w:r w:rsidR="003C6E93" w:rsidRPr="004E570B">
          <w:t>d</w:t>
        </w:r>
        <w:bookmarkEnd w:id="4"/>
        <w:r w:rsidR="003C6E93" w:rsidRPr="004E570B">
          <w:t>.go</w:t>
        </w:r>
        <w:bookmarkStart w:id="5" w:name="_Hlt86200017"/>
        <w:r w:rsidR="003C6E93" w:rsidRPr="004E570B">
          <w:t>v</w:t>
        </w:r>
        <w:bookmarkEnd w:id="5"/>
        <w:r w:rsidR="003C6E93" w:rsidRPr="004E570B">
          <w:t>.au</w:t>
        </w:r>
      </w:hyperlink>
    </w:p>
    <w:p w:rsidR="00092D69" w:rsidRPr="00092D69" w:rsidRDefault="00882BE6" w:rsidP="00092D69">
      <w:pPr>
        <w:pStyle w:val="H1"/>
      </w:pPr>
      <w:r w:rsidRPr="00092D69">
        <w:lastRenderedPageBreak/>
        <w:t>Contents</w:t>
      </w:r>
    </w:p>
    <w:p w:rsidR="00B33206" w:rsidRPr="004E570B" w:rsidRDefault="00651EFB" w:rsidP="004E570B">
      <w:pPr>
        <w:pStyle w:val="TOC1"/>
        <w:rPr>
          <w:rFonts w:ascii="Times New Roman" w:hAnsi="Times New Roman"/>
          <w:noProof/>
          <w:color w:val="auto"/>
          <w:lang w:val="en-US" w:eastAsia="en-US"/>
        </w:rPr>
      </w:pPr>
      <w:r w:rsidRPr="004E570B">
        <w:rPr>
          <w:color w:val="auto"/>
        </w:rPr>
        <w:fldChar w:fldCharType="begin"/>
      </w:r>
      <w:r w:rsidRPr="004E570B">
        <w:rPr>
          <w:color w:val="auto"/>
        </w:rPr>
        <w:instrText xml:space="preserve"> TOC \o "1-2</w:instrText>
      </w:r>
      <w:r w:rsidR="00882BE6" w:rsidRPr="004E570B">
        <w:rPr>
          <w:color w:val="auto"/>
        </w:rPr>
        <w:instrText xml:space="preserve">" \t </w:instrText>
      </w:r>
      <w:r w:rsidRPr="004E570B">
        <w:rPr>
          <w:color w:val="auto"/>
        </w:rPr>
        <w:fldChar w:fldCharType="separate"/>
      </w:r>
      <w:r w:rsidR="00B33206" w:rsidRPr="004E570B">
        <w:rPr>
          <w:noProof/>
          <w:color w:val="auto"/>
        </w:rPr>
        <w:t xml:space="preserve">Abbreviations </w:t>
      </w:r>
      <w:r w:rsidR="00B33206" w:rsidRPr="004E570B">
        <w:rPr>
          <w:noProof/>
          <w:color w:val="auto"/>
        </w:rPr>
        <w:tab/>
      </w:r>
      <w:r w:rsidR="00B33206" w:rsidRPr="004E570B">
        <w:rPr>
          <w:noProof/>
          <w:color w:val="auto"/>
        </w:rPr>
        <w:fldChar w:fldCharType="begin"/>
      </w:r>
      <w:r w:rsidR="00B33206" w:rsidRPr="004E570B">
        <w:rPr>
          <w:noProof/>
          <w:color w:val="auto"/>
        </w:rPr>
        <w:instrText xml:space="preserve"> PAGEREF _Toc217896614 \h </w:instrText>
      </w:r>
      <w:r w:rsidR="009608F6" w:rsidRPr="004E570B">
        <w:rPr>
          <w:noProof/>
          <w:color w:val="auto"/>
        </w:rPr>
      </w:r>
      <w:r w:rsidR="00B33206" w:rsidRPr="004E570B">
        <w:rPr>
          <w:noProof/>
          <w:color w:val="auto"/>
        </w:rPr>
        <w:fldChar w:fldCharType="separate"/>
      </w:r>
      <w:r w:rsidR="00B33206" w:rsidRPr="004E570B">
        <w:rPr>
          <w:noProof/>
          <w:color w:val="auto"/>
        </w:rPr>
        <w:t>4</w:t>
      </w:r>
      <w:r w:rsidR="00B33206" w:rsidRPr="004E570B">
        <w:rPr>
          <w:noProof/>
          <w:color w:val="auto"/>
        </w:rPr>
        <w:fldChar w:fldCharType="end"/>
      </w:r>
    </w:p>
    <w:p w:rsidR="00B33206" w:rsidRPr="004E570B" w:rsidRDefault="00B33206" w:rsidP="004E570B">
      <w:pPr>
        <w:pStyle w:val="TOC1"/>
        <w:rPr>
          <w:rFonts w:ascii="Times New Roman" w:hAnsi="Times New Roman"/>
          <w:noProof/>
          <w:color w:val="auto"/>
          <w:lang w:val="en-US" w:eastAsia="en-US"/>
        </w:rPr>
      </w:pPr>
      <w:r w:rsidRPr="004E570B">
        <w:rPr>
          <w:noProof/>
          <w:color w:val="auto"/>
        </w:rPr>
        <w:t xml:space="preserve">Introduction </w:t>
      </w:r>
      <w:r w:rsidRPr="004E570B">
        <w:rPr>
          <w:noProof/>
          <w:color w:val="auto"/>
        </w:rPr>
        <w:tab/>
      </w:r>
      <w:r w:rsidRPr="004E570B">
        <w:rPr>
          <w:noProof/>
          <w:color w:val="auto"/>
        </w:rPr>
        <w:fldChar w:fldCharType="begin"/>
      </w:r>
      <w:r w:rsidRPr="004E570B">
        <w:rPr>
          <w:noProof/>
          <w:color w:val="auto"/>
        </w:rPr>
        <w:instrText xml:space="preserve"> PAGEREF _Toc217896615 \h </w:instrText>
      </w:r>
      <w:r w:rsidR="009608F6" w:rsidRPr="004E570B">
        <w:rPr>
          <w:noProof/>
          <w:color w:val="auto"/>
        </w:rPr>
      </w:r>
      <w:r w:rsidRPr="004E570B">
        <w:rPr>
          <w:noProof/>
          <w:color w:val="auto"/>
        </w:rPr>
        <w:fldChar w:fldCharType="separate"/>
      </w:r>
      <w:r w:rsidRPr="004E570B">
        <w:rPr>
          <w:noProof/>
          <w:color w:val="auto"/>
        </w:rPr>
        <w:t>5</w:t>
      </w:r>
      <w:r w:rsidRPr="004E570B">
        <w:rPr>
          <w:noProof/>
          <w:color w:val="auto"/>
        </w:rPr>
        <w:fldChar w:fldCharType="end"/>
      </w:r>
    </w:p>
    <w:p w:rsidR="00B33206" w:rsidRPr="004E570B" w:rsidRDefault="00B33206" w:rsidP="004E570B">
      <w:pPr>
        <w:pStyle w:val="TOC1"/>
        <w:rPr>
          <w:rFonts w:ascii="Times New Roman" w:hAnsi="Times New Roman"/>
          <w:noProof/>
          <w:color w:val="auto"/>
          <w:lang w:val="en-US" w:eastAsia="en-US"/>
        </w:rPr>
      </w:pPr>
      <w:r w:rsidRPr="004E570B">
        <w:rPr>
          <w:noProof/>
          <w:color w:val="auto"/>
        </w:rPr>
        <w:t>Progress towards MDGs 4 and 5 in the Asia-Pacific region</w:t>
      </w:r>
      <w:r w:rsidRPr="004E570B">
        <w:rPr>
          <w:noProof/>
          <w:color w:val="auto"/>
        </w:rPr>
        <w:tab/>
      </w:r>
      <w:r w:rsidRPr="004E570B">
        <w:rPr>
          <w:noProof/>
          <w:color w:val="auto"/>
        </w:rPr>
        <w:fldChar w:fldCharType="begin"/>
      </w:r>
      <w:r w:rsidRPr="004E570B">
        <w:rPr>
          <w:noProof/>
          <w:color w:val="auto"/>
        </w:rPr>
        <w:instrText xml:space="preserve"> PAGEREF _Toc217896616 \h </w:instrText>
      </w:r>
      <w:r w:rsidR="009608F6" w:rsidRPr="004E570B">
        <w:rPr>
          <w:noProof/>
          <w:color w:val="auto"/>
        </w:rPr>
      </w:r>
      <w:r w:rsidRPr="004E570B">
        <w:rPr>
          <w:noProof/>
          <w:color w:val="auto"/>
        </w:rPr>
        <w:fldChar w:fldCharType="separate"/>
      </w:r>
      <w:r w:rsidRPr="004E570B">
        <w:rPr>
          <w:noProof/>
          <w:color w:val="auto"/>
        </w:rPr>
        <w:t>6</w:t>
      </w:r>
      <w:r w:rsidRPr="004E570B">
        <w:rPr>
          <w:noProof/>
          <w:color w:val="auto"/>
        </w:rPr>
        <w:fldChar w:fldCharType="end"/>
      </w:r>
    </w:p>
    <w:p w:rsidR="00B33206" w:rsidRPr="004E570B" w:rsidRDefault="00B33206" w:rsidP="004E570B">
      <w:pPr>
        <w:pStyle w:val="TOC2"/>
        <w:rPr>
          <w:rFonts w:ascii="Times New Roman" w:hAnsi="Times New Roman"/>
          <w:noProof/>
          <w:color w:val="auto"/>
          <w:sz w:val="24"/>
          <w:szCs w:val="24"/>
          <w:lang w:val="en-US" w:eastAsia="en-US"/>
        </w:rPr>
      </w:pPr>
      <w:r w:rsidRPr="004E570B">
        <w:rPr>
          <w:noProof/>
          <w:color w:val="auto"/>
        </w:rPr>
        <w:t>Progress towards MDG 4</w:t>
      </w:r>
      <w:r w:rsidRPr="004E570B">
        <w:rPr>
          <w:noProof/>
          <w:color w:val="auto"/>
        </w:rPr>
        <w:tab/>
      </w:r>
      <w:r w:rsidRPr="004E570B">
        <w:rPr>
          <w:noProof/>
          <w:color w:val="auto"/>
        </w:rPr>
        <w:fldChar w:fldCharType="begin"/>
      </w:r>
      <w:r w:rsidRPr="004E570B">
        <w:rPr>
          <w:noProof/>
          <w:color w:val="auto"/>
        </w:rPr>
        <w:instrText xml:space="preserve"> PAGEREF _Toc217896617 \h </w:instrText>
      </w:r>
      <w:r w:rsidR="009608F6" w:rsidRPr="004E570B">
        <w:rPr>
          <w:noProof/>
          <w:color w:val="auto"/>
        </w:rPr>
      </w:r>
      <w:r w:rsidRPr="004E570B">
        <w:rPr>
          <w:noProof/>
          <w:color w:val="auto"/>
        </w:rPr>
        <w:fldChar w:fldCharType="separate"/>
      </w:r>
      <w:r w:rsidRPr="004E570B">
        <w:rPr>
          <w:noProof/>
          <w:color w:val="auto"/>
        </w:rPr>
        <w:t>6</w:t>
      </w:r>
      <w:r w:rsidRPr="004E570B">
        <w:rPr>
          <w:noProof/>
          <w:color w:val="auto"/>
        </w:rPr>
        <w:fldChar w:fldCharType="end"/>
      </w:r>
    </w:p>
    <w:p w:rsidR="00B33206" w:rsidRPr="004E570B" w:rsidRDefault="00B33206" w:rsidP="004E570B">
      <w:pPr>
        <w:pStyle w:val="TOC2"/>
        <w:rPr>
          <w:rFonts w:ascii="Times New Roman" w:hAnsi="Times New Roman"/>
          <w:noProof/>
          <w:color w:val="auto"/>
          <w:sz w:val="24"/>
          <w:szCs w:val="24"/>
          <w:lang w:val="en-US" w:eastAsia="en-US"/>
        </w:rPr>
      </w:pPr>
      <w:r w:rsidRPr="004E570B">
        <w:rPr>
          <w:noProof/>
          <w:color w:val="auto"/>
        </w:rPr>
        <w:t>Progress towards MDG 5</w:t>
      </w:r>
      <w:r w:rsidRPr="004E570B">
        <w:rPr>
          <w:noProof/>
          <w:color w:val="auto"/>
        </w:rPr>
        <w:tab/>
      </w:r>
      <w:r w:rsidRPr="004E570B">
        <w:rPr>
          <w:noProof/>
          <w:color w:val="auto"/>
        </w:rPr>
        <w:fldChar w:fldCharType="begin"/>
      </w:r>
      <w:r w:rsidRPr="004E570B">
        <w:rPr>
          <w:noProof/>
          <w:color w:val="auto"/>
        </w:rPr>
        <w:instrText xml:space="preserve"> PAGEREF _Toc217896618 \h </w:instrText>
      </w:r>
      <w:r w:rsidR="009608F6" w:rsidRPr="004E570B">
        <w:rPr>
          <w:noProof/>
          <w:color w:val="auto"/>
        </w:rPr>
      </w:r>
      <w:r w:rsidRPr="004E570B">
        <w:rPr>
          <w:noProof/>
          <w:color w:val="auto"/>
        </w:rPr>
        <w:fldChar w:fldCharType="separate"/>
      </w:r>
      <w:r w:rsidRPr="004E570B">
        <w:rPr>
          <w:noProof/>
          <w:color w:val="auto"/>
        </w:rPr>
        <w:t>8</w:t>
      </w:r>
      <w:r w:rsidRPr="004E570B">
        <w:rPr>
          <w:noProof/>
          <w:color w:val="auto"/>
        </w:rPr>
        <w:fldChar w:fldCharType="end"/>
      </w:r>
    </w:p>
    <w:p w:rsidR="00B33206" w:rsidRPr="004E570B" w:rsidRDefault="00B33206" w:rsidP="004E570B">
      <w:pPr>
        <w:pStyle w:val="TOC2"/>
        <w:rPr>
          <w:rFonts w:ascii="Times New Roman" w:hAnsi="Times New Roman"/>
          <w:noProof/>
          <w:color w:val="auto"/>
          <w:sz w:val="24"/>
          <w:szCs w:val="24"/>
          <w:lang w:val="en-US" w:eastAsia="en-US"/>
        </w:rPr>
      </w:pPr>
      <w:r w:rsidRPr="004E570B">
        <w:rPr>
          <w:noProof/>
          <w:color w:val="auto"/>
        </w:rPr>
        <w:t>Inequity in service coverage</w:t>
      </w:r>
      <w:r w:rsidRPr="004E570B">
        <w:rPr>
          <w:noProof/>
          <w:color w:val="auto"/>
        </w:rPr>
        <w:tab/>
      </w:r>
      <w:r w:rsidRPr="004E570B">
        <w:rPr>
          <w:noProof/>
          <w:color w:val="auto"/>
        </w:rPr>
        <w:fldChar w:fldCharType="begin"/>
      </w:r>
      <w:r w:rsidRPr="004E570B">
        <w:rPr>
          <w:noProof/>
          <w:color w:val="auto"/>
        </w:rPr>
        <w:instrText xml:space="preserve"> PAGEREF _Toc217896619 \h </w:instrText>
      </w:r>
      <w:r w:rsidR="009608F6" w:rsidRPr="004E570B">
        <w:rPr>
          <w:noProof/>
          <w:color w:val="auto"/>
        </w:rPr>
      </w:r>
      <w:r w:rsidRPr="004E570B">
        <w:rPr>
          <w:noProof/>
          <w:color w:val="auto"/>
        </w:rPr>
        <w:fldChar w:fldCharType="separate"/>
      </w:r>
      <w:r w:rsidRPr="004E570B">
        <w:rPr>
          <w:noProof/>
          <w:color w:val="auto"/>
        </w:rPr>
        <w:t>10</w:t>
      </w:r>
      <w:r w:rsidRPr="004E570B">
        <w:rPr>
          <w:noProof/>
          <w:color w:val="auto"/>
        </w:rPr>
        <w:fldChar w:fldCharType="end"/>
      </w:r>
    </w:p>
    <w:p w:rsidR="00B33206" w:rsidRPr="004E570B" w:rsidRDefault="00B33206" w:rsidP="004E570B">
      <w:pPr>
        <w:pStyle w:val="TOC2"/>
        <w:rPr>
          <w:rFonts w:ascii="Times New Roman" w:hAnsi="Times New Roman"/>
          <w:noProof/>
          <w:color w:val="auto"/>
          <w:sz w:val="24"/>
          <w:szCs w:val="24"/>
          <w:lang w:val="en-US" w:eastAsia="en-US"/>
        </w:rPr>
      </w:pPr>
      <w:r w:rsidRPr="004E570B">
        <w:rPr>
          <w:noProof/>
          <w:color w:val="auto"/>
        </w:rPr>
        <w:t>Why is progress on MDGs 4 and 5 inadequate?</w:t>
      </w:r>
      <w:r w:rsidRPr="004E570B">
        <w:rPr>
          <w:noProof/>
          <w:color w:val="auto"/>
        </w:rPr>
        <w:tab/>
      </w:r>
      <w:r w:rsidRPr="004E570B">
        <w:rPr>
          <w:noProof/>
          <w:color w:val="auto"/>
        </w:rPr>
        <w:fldChar w:fldCharType="begin"/>
      </w:r>
      <w:r w:rsidRPr="004E570B">
        <w:rPr>
          <w:noProof/>
          <w:color w:val="auto"/>
        </w:rPr>
        <w:instrText xml:space="preserve"> PAGEREF _Toc217896620 \h </w:instrText>
      </w:r>
      <w:r w:rsidR="009608F6" w:rsidRPr="004E570B">
        <w:rPr>
          <w:noProof/>
          <w:color w:val="auto"/>
        </w:rPr>
      </w:r>
      <w:r w:rsidRPr="004E570B">
        <w:rPr>
          <w:noProof/>
          <w:color w:val="auto"/>
        </w:rPr>
        <w:fldChar w:fldCharType="separate"/>
      </w:r>
      <w:r w:rsidRPr="004E570B">
        <w:rPr>
          <w:noProof/>
          <w:color w:val="auto"/>
        </w:rPr>
        <w:t>11</w:t>
      </w:r>
      <w:r w:rsidRPr="004E570B">
        <w:rPr>
          <w:noProof/>
          <w:color w:val="auto"/>
        </w:rPr>
        <w:fldChar w:fldCharType="end"/>
      </w:r>
    </w:p>
    <w:p w:rsidR="00B33206" w:rsidRPr="004E570B" w:rsidRDefault="00B33206" w:rsidP="004E570B">
      <w:pPr>
        <w:pStyle w:val="TOC1"/>
        <w:rPr>
          <w:rFonts w:ascii="Times New Roman" w:hAnsi="Times New Roman"/>
          <w:noProof/>
          <w:color w:val="auto"/>
          <w:lang w:val="en-US" w:eastAsia="en-US"/>
        </w:rPr>
      </w:pPr>
      <w:r w:rsidRPr="004E570B">
        <w:rPr>
          <w:noProof/>
          <w:color w:val="auto"/>
          <w:spacing w:val="-12"/>
        </w:rPr>
        <w:t>The Australian aid program’s contribution to achieving MDGs 4 and 5</w:t>
      </w:r>
      <w:r w:rsidRPr="004E570B">
        <w:rPr>
          <w:noProof/>
          <w:color w:val="auto"/>
        </w:rPr>
        <w:tab/>
      </w:r>
      <w:r w:rsidRPr="004E570B">
        <w:rPr>
          <w:noProof/>
          <w:color w:val="auto"/>
        </w:rPr>
        <w:fldChar w:fldCharType="begin"/>
      </w:r>
      <w:r w:rsidRPr="004E570B">
        <w:rPr>
          <w:noProof/>
          <w:color w:val="auto"/>
        </w:rPr>
        <w:instrText xml:space="preserve"> PAGEREF _Toc217896621 \h </w:instrText>
      </w:r>
      <w:r w:rsidR="009608F6" w:rsidRPr="004E570B">
        <w:rPr>
          <w:noProof/>
          <w:color w:val="auto"/>
        </w:rPr>
      </w:r>
      <w:r w:rsidRPr="004E570B">
        <w:rPr>
          <w:noProof/>
          <w:color w:val="auto"/>
        </w:rPr>
        <w:fldChar w:fldCharType="separate"/>
      </w:r>
      <w:r w:rsidRPr="004E570B">
        <w:rPr>
          <w:noProof/>
          <w:color w:val="auto"/>
        </w:rPr>
        <w:t>15</w:t>
      </w:r>
      <w:r w:rsidRPr="004E570B">
        <w:rPr>
          <w:noProof/>
          <w:color w:val="auto"/>
        </w:rPr>
        <w:fldChar w:fldCharType="end"/>
      </w:r>
    </w:p>
    <w:p w:rsidR="00B33206" w:rsidRPr="004E570B" w:rsidRDefault="00B33206" w:rsidP="004E570B">
      <w:pPr>
        <w:pStyle w:val="TOC2"/>
        <w:rPr>
          <w:rFonts w:ascii="Times New Roman" w:hAnsi="Times New Roman"/>
          <w:noProof/>
          <w:color w:val="auto"/>
          <w:sz w:val="24"/>
          <w:szCs w:val="24"/>
          <w:lang w:val="en-US" w:eastAsia="en-US"/>
        </w:rPr>
      </w:pPr>
      <w:r w:rsidRPr="004E570B">
        <w:rPr>
          <w:noProof/>
          <w:color w:val="auto"/>
        </w:rPr>
        <w:t>Differentiated approaches to countries</w:t>
      </w:r>
      <w:r w:rsidRPr="004E570B">
        <w:rPr>
          <w:noProof/>
          <w:color w:val="auto"/>
        </w:rPr>
        <w:tab/>
      </w:r>
      <w:r w:rsidRPr="004E570B">
        <w:rPr>
          <w:noProof/>
          <w:color w:val="auto"/>
        </w:rPr>
        <w:fldChar w:fldCharType="begin"/>
      </w:r>
      <w:r w:rsidRPr="004E570B">
        <w:rPr>
          <w:noProof/>
          <w:color w:val="auto"/>
        </w:rPr>
        <w:instrText xml:space="preserve"> PAGEREF _Toc217896622 \h </w:instrText>
      </w:r>
      <w:r w:rsidR="009608F6" w:rsidRPr="004E570B">
        <w:rPr>
          <w:noProof/>
          <w:color w:val="auto"/>
        </w:rPr>
      </w:r>
      <w:r w:rsidRPr="004E570B">
        <w:rPr>
          <w:noProof/>
          <w:color w:val="auto"/>
        </w:rPr>
        <w:fldChar w:fldCharType="separate"/>
      </w:r>
      <w:r w:rsidRPr="004E570B">
        <w:rPr>
          <w:noProof/>
          <w:color w:val="auto"/>
        </w:rPr>
        <w:t>15</w:t>
      </w:r>
      <w:r w:rsidRPr="004E570B">
        <w:rPr>
          <w:noProof/>
          <w:color w:val="auto"/>
        </w:rPr>
        <w:fldChar w:fldCharType="end"/>
      </w:r>
    </w:p>
    <w:p w:rsidR="00B33206" w:rsidRPr="004E570B" w:rsidRDefault="00B33206" w:rsidP="004E570B">
      <w:pPr>
        <w:pStyle w:val="TOC2"/>
        <w:rPr>
          <w:rFonts w:ascii="Times New Roman" w:hAnsi="Times New Roman"/>
          <w:noProof/>
          <w:color w:val="auto"/>
          <w:sz w:val="24"/>
          <w:szCs w:val="24"/>
          <w:lang w:val="en-US" w:eastAsia="en-US"/>
        </w:rPr>
      </w:pPr>
      <w:r w:rsidRPr="004E570B">
        <w:rPr>
          <w:noProof/>
          <w:color w:val="auto"/>
        </w:rPr>
        <w:t>Achievements</w:t>
      </w:r>
      <w:r w:rsidRPr="004E570B">
        <w:rPr>
          <w:noProof/>
          <w:color w:val="auto"/>
        </w:rPr>
        <w:tab/>
      </w:r>
      <w:r w:rsidRPr="004E570B">
        <w:rPr>
          <w:noProof/>
          <w:color w:val="auto"/>
        </w:rPr>
        <w:fldChar w:fldCharType="begin"/>
      </w:r>
      <w:r w:rsidRPr="004E570B">
        <w:rPr>
          <w:noProof/>
          <w:color w:val="auto"/>
        </w:rPr>
        <w:instrText xml:space="preserve"> PAGEREF _Toc217896623 \h </w:instrText>
      </w:r>
      <w:r w:rsidR="009608F6" w:rsidRPr="004E570B">
        <w:rPr>
          <w:noProof/>
          <w:color w:val="auto"/>
        </w:rPr>
      </w:r>
      <w:r w:rsidRPr="004E570B">
        <w:rPr>
          <w:noProof/>
          <w:color w:val="auto"/>
        </w:rPr>
        <w:fldChar w:fldCharType="separate"/>
      </w:r>
      <w:r w:rsidRPr="004E570B">
        <w:rPr>
          <w:noProof/>
          <w:color w:val="auto"/>
        </w:rPr>
        <w:t>16</w:t>
      </w:r>
      <w:r w:rsidRPr="004E570B">
        <w:rPr>
          <w:noProof/>
          <w:color w:val="auto"/>
        </w:rPr>
        <w:fldChar w:fldCharType="end"/>
      </w:r>
    </w:p>
    <w:p w:rsidR="00B33206" w:rsidRPr="004E570B" w:rsidRDefault="00B33206" w:rsidP="004E570B">
      <w:pPr>
        <w:pStyle w:val="TOC2"/>
        <w:rPr>
          <w:rFonts w:ascii="Times New Roman" w:hAnsi="Times New Roman"/>
          <w:noProof/>
          <w:color w:val="auto"/>
          <w:sz w:val="24"/>
          <w:szCs w:val="24"/>
          <w:lang w:val="en-US" w:eastAsia="en-US"/>
        </w:rPr>
      </w:pPr>
      <w:r w:rsidRPr="004E570B">
        <w:rPr>
          <w:noProof/>
          <w:color w:val="auto"/>
        </w:rPr>
        <w:t>Australian support to international organisations</w:t>
      </w:r>
      <w:r w:rsidRPr="004E570B">
        <w:rPr>
          <w:noProof/>
          <w:color w:val="auto"/>
        </w:rPr>
        <w:tab/>
      </w:r>
      <w:r w:rsidRPr="004E570B">
        <w:rPr>
          <w:noProof/>
          <w:color w:val="auto"/>
        </w:rPr>
        <w:fldChar w:fldCharType="begin"/>
      </w:r>
      <w:r w:rsidRPr="004E570B">
        <w:rPr>
          <w:noProof/>
          <w:color w:val="auto"/>
        </w:rPr>
        <w:instrText xml:space="preserve"> PAGEREF _Toc217896624 \h </w:instrText>
      </w:r>
      <w:r w:rsidR="009608F6" w:rsidRPr="004E570B">
        <w:rPr>
          <w:noProof/>
          <w:color w:val="auto"/>
        </w:rPr>
      </w:r>
      <w:r w:rsidRPr="004E570B">
        <w:rPr>
          <w:noProof/>
          <w:color w:val="auto"/>
        </w:rPr>
        <w:fldChar w:fldCharType="separate"/>
      </w:r>
      <w:r w:rsidRPr="004E570B">
        <w:rPr>
          <w:noProof/>
          <w:color w:val="auto"/>
        </w:rPr>
        <w:t>18</w:t>
      </w:r>
      <w:r w:rsidRPr="004E570B">
        <w:rPr>
          <w:noProof/>
          <w:color w:val="auto"/>
        </w:rPr>
        <w:fldChar w:fldCharType="end"/>
      </w:r>
    </w:p>
    <w:p w:rsidR="00B33206" w:rsidRPr="004E570B" w:rsidRDefault="00B33206" w:rsidP="004E570B">
      <w:pPr>
        <w:pStyle w:val="TOC2"/>
        <w:rPr>
          <w:rFonts w:ascii="Times New Roman" w:hAnsi="Times New Roman"/>
          <w:noProof/>
          <w:color w:val="auto"/>
          <w:sz w:val="24"/>
          <w:szCs w:val="24"/>
          <w:lang w:val="en-US" w:eastAsia="en-US"/>
        </w:rPr>
      </w:pPr>
      <w:r w:rsidRPr="004E570B">
        <w:rPr>
          <w:noProof/>
          <w:color w:val="auto"/>
        </w:rPr>
        <w:t>Quality assessments of the aid program’s initiatives</w:t>
      </w:r>
      <w:r w:rsidRPr="004E570B">
        <w:rPr>
          <w:noProof/>
          <w:color w:val="auto"/>
        </w:rPr>
        <w:tab/>
      </w:r>
      <w:r w:rsidRPr="004E570B">
        <w:rPr>
          <w:noProof/>
          <w:color w:val="auto"/>
        </w:rPr>
        <w:fldChar w:fldCharType="begin"/>
      </w:r>
      <w:r w:rsidRPr="004E570B">
        <w:rPr>
          <w:noProof/>
          <w:color w:val="auto"/>
        </w:rPr>
        <w:instrText xml:space="preserve"> PAGEREF _Toc217896625 \h </w:instrText>
      </w:r>
      <w:r w:rsidR="009608F6" w:rsidRPr="004E570B">
        <w:rPr>
          <w:noProof/>
          <w:color w:val="auto"/>
        </w:rPr>
      </w:r>
      <w:r w:rsidRPr="004E570B">
        <w:rPr>
          <w:noProof/>
          <w:color w:val="auto"/>
        </w:rPr>
        <w:fldChar w:fldCharType="separate"/>
      </w:r>
      <w:r w:rsidRPr="004E570B">
        <w:rPr>
          <w:noProof/>
          <w:color w:val="auto"/>
        </w:rPr>
        <w:t>19</w:t>
      </w:r>
      <w:r w:rsidRPr="004E570B">
        <w:rPr>
          <w:noProof/>
          <w:color w:val="auto"/>
        </w:rPr>
        <w:fldChar w:fldCharType="end"/>
      </w:r>
    </w:p>
    <w:p w:rsidR="00B33206" w:rsidRPr="004E570B" w:rsidRDefault="00B33206" w:rsidP="004E570B">
      <w:pPr>
        <w:pStyle w:val="TOC1"/>
        <w:rPr>
          <w:rFonts w:ascii="Times New Roman" w:hAnsi="Times New Roman"/>
          <w:noProof/>
          <w:color w:val="auto"/>
          <w:lang w:val="en-US" w:eastAsia="en-US"/>
        </w:rPr>
      </w:pPr>
      <w:r w:rsidRPr="004E570B">
        <w:rPr>
          <w:noProof/>
          <w:color w:val="auto"/>
        </w:rPr>
        <w:t>Challenges and implications for the aid program</w:t>
      </w:r>
      <w:r w:rsidRPr="004E570B">
        <w:rPr>
          <w:noProof/>
          <w:color w:val="auto"/>
        </w:rPr>
        <w:tab/>
      </w:r>
      <w:r w:rsidRPr="004E570B">
        <w:rPr>
          <w:noProof/>
          <w:color w:val="auto"/>
        </w:rPr>
        <w:fldChar w:fldCharType="begin"/>
      </w:r>
      <w:r w:rsidRPr="004E570B">
        <w:rPr>
          <w:noProof/>
          <w:color w:val="auto"/>
        </w:rPr>
        <w:instrText xml:space="preserve"> PAGEREF _Toc217896626 \h </w:instrText>
      </w:r>
      <w:r w:rsidR="009608F6" w:rsidRPr="004E570B">
        <w:rPr>
          <w:noProof/>
          <w:color w:val="auto"/>
        </w:rPr>
      </w:r>
      <w:r w:rsidRPr="004E570B">
        <w:rPr>
          <w:noProof/>
          <w:color w:val="auto"/>
        </w:rPr>
        <w:fldChar w:fldCharType="separate"/>
      </w:r>
      <w:r w:rsidRPr="004E570B">
        <w:rPr>
          <w:noProof/>
          <w:color w:val="auto"/>
        </w:rPr>
        <w:t>20</w:t>
      </w:r>
      <w:r w:rsidRPr="004E570B">
        <w:rPr>
          <w:noProof/>
          <w:color w:val="auto"/>
        </w:rPr>
        <w:fldChar w:fldCharType="end"/>
      </w:r>
    </w:p>
    <w:p w:rsidR="00B33206" w:rsidRPr="004E570B" w:rsidRDefault="00B33206" w:rsidP="004E570B">
      <w:pPr>
        <w:pStyle w:val="TOC2"/>
        <w:rPr>
          <w:rFonts w:ascii="Times New Roman" w:hAnsi="Times New Roman"/>
          <w:noProof/>
          <w:color w:val="auto"/>
          <w:sz w:val="24"/>
          <w:szCs w:val="24"/>
          <w:lang w:val="en-US" w:eastAsia="en-US"/>
        </w:rPr>
      </w:pPr>
      <w:r w:rsidRPr="004E570B">
        <w:rPr>
          <w:noProof/>
          <w:color w:val="auto"/>
        </w:rPr>
        <w:t>Global health priorities and funding</w:t>
      </w:r>
      <w:r w:rsidRPr="004E570B">
        <w:rPr>
          <w:noProof/>
          <w:color w:val="auto"/>
        </w:rPr>
        <w:tab/>
      </w:r>
      <w:r w:rsidRPr="004E570B">
        <w:rPr>
          <w:noProof/>
          <w:color w:val="auto"/>
        </w:rPr>
        <w:fldChar w:fldCharType="begin"/>
      </w:r>
      <w:r w:rsidRPr="004E570B">
        <w:rPr>
          <w:noProof/>
          <w:color w:val="auto"/>
        </w:rPr>
        <w:instrText xml:space="preserve"> PAGEREF _Toc217896627 \h </w:instrText>
      </w:r>
      <w:r w:rsidR="009608F6" w:rsidRPr="004E570B">
        <w:rPr>
          <w:noProof/>
          <w:color w:val="auto"/>
        </w:rPr>
      </w:r>
      <w:r w:rsidRPr="004E570B">
        <w:rPr>
          <w:noProof/>
          <w:color w:val="auto"/>
        </w:rPr>
        <w:fldChar w:fldCharType="separate"/>
      </w:r>
      <w:r w:rsidRPr="004E570B">
        <w:rPr>
          <w:noProof/>
          <w:color w:val="auto"/>
        </w:rPr>
        <w:t>20</w:t>
      </w:r>
      <w:r w:rsidRPr="004E570B">
        <w:rPr>
          <w:noProof/>
          <w:color w:val="auto"/>
        </w:rPr>
        <w:fldChar w:fldCharType="end"/>
      </w:r>
    </w:p>
    <w:p w:rsidR="00B33206" w:rsidRPr="004E570B" w:rsidRDefault="00B33206" w:rsidP="004E570B">
      <w:pPr>
        <w:pStyle w:val="TOC2"/>
        <w:rPr>
          <w:rFonts w:ascii="Times New Roman" w:hAnsi="Times New Roman"/>
          <w:noProof/>
          <w:color w:val="auto"/>
          <w:sz w:val="24"/>
          <w:szCs w:val="24"/>
          <w:lang w:val="en-US" w:eastAsia="en-US"/>
        </w:rPr>
      </w:pPr>
      <w:r w:rsidRPr="004E570B">
        <w:rPr>
          <w:noProof/>
          <w:color w:val="auto"/>
        </w:rPr>
        <w:t>Health system issues</w:t>
      </w:r>
      <w:r w:rsidRPr="004E570B">
        <w:rPr>
          <w:noProof/>
          <w:color w:val="auto"/>
        </w:rPr>
        <w:tab/>
      </w:r>
      <w:r w:rsidRPr="004E570B">
        <w:rPr>
          <w:noProof/>
          <w:color w:val="auto"/>
        </w:rPr>
        <w:fldChar w:fldCharType="begin"/>
      </w:r>
      <w:r w:rsidRPr="004E570B">
        <w:rPr>
          <w:noProof/>
          <w:color w:val="auto"/>
        </w:rPr>
        <w:instrText xml:space="preserve"> PAGEREF _Toc217896628 \h </w:instrText>
      </w:r>
      <w:r w:rsidR="009608F6" w:rsidRPr="004E570B">
        <w:rPr>
          <w:noProof/>
          <w:color w:val="auto"/>
        </w:rPr>
      </w:r>
      <w:r w:rsidRPr="004E570B">
        <w:rPr>
          <w:noProof/>
          <w:color w:val="auto"/>
        </w:rPr>
        <w:fldChar w:fldCharType="separate"/>
      </w:r>
      <w:r w:rsidRPr="004E570B">
        <w:rPr>
          <w:noProof/>
          <w:color w:val="auto"/>
        </w:rPr>
        <w:t>21</w:t>
      </w:r>
      <w:r w:rsidRPr="004E570B">
        <w:rPr>
          <w:noProof/>
          <w:color w:val="auto"/>
        </w:rPr>
        <w:fldChar w:fldCharType="end"/>
      </w:r>
    </w:p>
    <w:p w:rsidR="00B33206" w:rsidRPr="004E570B" w:rsidRDefault="00B33206" w:rsidP="004E570B">
      <w:pPr>
        <w:pStyle w:val="TOC2"/>
        <w:rPr>
          <w:rFonts w:ascii="Times New Roman" w:hAnsi="Times New Roman"/>
          <w:noProof/>
          <w:color w:val="auto"/>
          <w:sz w:val="24"/>
          <w:szCs w:val="24"/>
          <w:lang w:val="en-US" w:eastAsia="en-US"/>
        </w:rPr>
      </w:pPr>
      <w:r w:rsidRPr="004E570B">
        <w:rPr>
          <w:noProof/>
          <w:color w:val="auto"/>
        </w:rPr>
        <w:t>Beyond the health sector</w:t>
      </w:r>
      <w:r w:rsidRPr="004E570B">
        <w:rPr>
          <w:noProof/>
          <w:color w:val="auto"/>
        </w:rPr>
        <w:tab/>
      </w:r>
      <w:r w:rsidRPr="004E570B">
        <w:rPr>
          <w:noProof/>
          <w:color w:val="auto"/>
        </w:rPr>
        <w:fldChar w:fldCharType="begin"/>
      </w:r>
      <w:r w:rsidRPr="004E570B">
        <w:rPr>
          <w:noProof/>
          <w:color w:val="auto"/>
        </w:rPr>
        <w:instrText xml:space="preserve"> PAGEREF _Toc217896629 \h </w:instrText>
      </w:r>
      <w:r w:rsidR="009608F6" w:rsidRPr="004E570B">
        <w:rPr>
          <w:noProof/>
          <w:color w:val="auto"/>
        </w:rPr>
      </w:r>
      <w:r w:rsidRPr="004E570B">
        <w:rPr>
          <w:noProof/>
          <w:color w:val="auto"/>
        </w:rPr>
        <w:fldChar w:fldCharType="separate"/>
      </w:r>
      <w:r w:rsidRPr="004E570B">
        <w:rPr>
          <w:noProof/>
          <w:color w:val="auto"/>
        </w:rPr>
        <w:t>22</w:t>
      </w:r>
      <w:r w:rsidRPr="004E570B">
        <w:rPr>
          <w:noProof/>
          <w:color w:val="auto"/>
        </w:rPr>
        <w:fldChar w:fldCharType="end"/>
      </w:r>
    </w:p>
    <w:p w:rsidR="00B33206" w:rsidRPr="004E570B" w:rsidRDefault="00B33206" w:rsidP="004E570B">
      <w:pPr>
        <w:pStyle w:val="TOC2"/>
        <w:rPr>
          <w:rFonts w:ascii="Times New Roman" w:hAnsi="Times New Roman"/>
          <w:noProof/>
          <w:color w:val="auto"/>
          <w:sz w:val="24"/>
          <w:szCs w:val="24"/>
          <w:lang w:val="en-US" w:eastAsia="en-US"/>
        </w:rPr>
      </w:pPr>
      <w:r w:rsidRPr="004E570B">
        <w:rPr>
          <w:noProof/>
          <w:color w:val="auto"/>
        </w:rPr>
        <w:t>Conclusions</w:t>
      </w:r>
      <w:r w:rsidRPr="004E570B">
        <w:rPr>
          <w:noProof/>
          <w:color w:val="auto"/>
        </w:rPr>
        <w:tab/>
      </w:r>
      <w:r w:rsidRPr="004E570B">
        <w:rPr>
          <w:noProof/>
          <w:color w:val="auto"/>
        </w:rPr>
        <w:fldChar w:fldCharType="begin"/>
      </w:r>
      <w:r w:rsidRPr="004E570B">
        <w:rPr>
          <w:noProof/>
          <w:color w:val="auto"/>
        </w:rPr>
        <w:instrText xml:space="preserve"> PAGEREF _Toc217896630 \h </w:instrText>
      </w:r>
      <w:r w:rsidR="009608F6" w:rsidRPr="004E570B">
        <w:rPr>
          <w:noProof/>
          <w:color w:val="auto"/>
        </w:rPr>
      </w:r>
      <w:r w:rsidRPr="004E570B">
        <w:rPr>
          <w:noProof/>
          <w:color w:val="auto"/>
        </w:rPr>
        <w:fldChar w:fldCharType="separate"/>
      </w:r>
      <w:r w:rsidRPr="004E570B">
        <w:rPr>
          <w:noProof/>
          <w:color w:val="auto"/>
        </w:rPr>
        <w:t>22</w:t>
      </w:r>
      <w:r w:rsidRPr="004E570B">
        <w:rPr>
          <w:noProof/>
          <w:color w:val="auto"/>
        </w:rPr>
        <w:fldChar w:fldCharType="end"/>
      </w:r>
    </w:p>
    <w:p w:rsidR="00882BE6" w:rsidRPr="004E570B" w:rsidRDefault="00651EFB" w:rsidP="004E570B">
      <w:pPr>
        <w:pStyle w:val="TOC2"/>
        <w:rPr>
          <w:color w:val="auto"/>
        </w:rPr>
      </w:pPr>
      <w:r w:rsidRPr="004E570B">
        <w:rPr>
          <w:color w:val="auto"/>
        </w:rPr>
        <w:fldChar w:fldCharType="end"/>
      </w:r>
    </w:p>
    <w:p w:rsidR="00A85251" w:rsidRPr="004E570B" w:rsidRDefault="00A85251" w:rsidP="00092D69">
      <w:pPr>
        <w:pStyle w:val="Heading1unnumbered"/>
        <w:spacing w:after="1680"/>
        <w:rPr>
          <w:noProof/>
          <w:color w:val="auto"/>
        </w:rPr>
      </w:pPr>
      <w:bookmarkStart w:id="6" w:name="_Toc211920497"/>
      <w:bookmarkStart w:id="7" w:name="_Toc217896614"/>
      <w:r w:rsidRPr="004E570B">
        <w:rPr>
          <w:color w:val="auto"/>
        </w:rPr>
        <w:lastRenderedPageBreak/>
        <w:t>Abbreviations</w:t>
      </w:r>
      <w:bookmarkEnd w:id="6"/>
      <w:bookmarkEnd w:id="7"/>
    </w:p>
    <w:p w:rsidR="007F7CE4" w:rsidRPr="004E570B" w:rsidRDefault="007F7CE4" w:rsidP="004E570B">
      <w:pPr>
        <w:pStyle w:val="BodyText"/>
        <w:tabs>
          <w:tab w:val="left" w:pos="1418"/>
        </w:tabs>
      </w:pPr>
      <w:r w:rsidRPr="004E570B">
        <w:t>ADB</w:t>
      </w:r>
      <w:r w:rsidRPr="004E570B">
        <w:tab/>
        <w:t>Asian Development Bank</w:t>
      </w:r>
    </w:p>
    <w:p w:rsidR="00CB3CD7" w:rsidRPr="004E570B" w:rsidRDefault="00CB3CD7" w:rsidP="004E570B">
      <w:pPr>
        <w:pStyle w:val="BodyText"/>
        <w:tabs>
          <w:tab w:val="left" w:pos="1418"/>
        </w:tabs>
      </w:pPr>
      <w:r w:rsidRPr="004E570B">
        <w:t>AIDS</w:t>
      </w:r>
      <w:r w:rsidRPr="004E570B">
        <w:tab/>
      </w:r>
      <w:r w:rsidR="00CA1BEA" w:rsidRPr="004E570B">
        <w:t>Acquired Immune Deficiency Syndrome</w:t>
      </w:r>
    </w:p>
    <w:p w:rsidR="00CA1BEA" w:rsidRPr="004E570B" w:rsidRDefault="00CA1BEA" w:rsidP="004E570B">
      <w:pPr>
        <w:pStyle w:val="BodyText"/>
        <w:tabs>
          <w:tab w:val="left" w:pos="1418"/>
        </w:tabs>
      </w:pPr>
      <w:r w:rsidRPr="004E570B">
        <w:t>CIDA</w:t>
      </w:r>
      <w:r w:rsidRPr="004E570B">
        <w:tab/>
      </w:r>
      <w:r w:rsidR="002F454B" w:rsidRPr="004E570B">
        <w:t>Canadian International Development Agency</w:t>
      </w:r>
    </w:p>
    <w:p w:rsidR="0096145E" w:rsidRPr="004E570B" w:rsidRDefault="0096145E" w:rsidP="004E570B">
      <w:pPr>
        <w:pStyle w:val="BodyText"/>
        <w:tabs>
          <w:tab w:val="left" w:pos="1418"/>
        </w:tabs>
      </w:pPr>
      <w:r w:rsidRPr="004E570B">
        <w:t>DFID</w:t>
      </w:r>
      <w:r w:rsidRPr="004E570B">
        <w:tab/>
        <w:t>United Kingdom’s Department for International Development</w:t>
      </w:r>
    </w:p>
    <w:p w:rsidR="005F36F0" w:rsidRPr="004E570B" w:rsidRDefault="005F36F0" w:rsidP="004E570B">
      <w:pPr>
        <w:pStyle w:val="BodyText"/>
        <w:tabs>
          <w:tab w:val="left" w:pos="1418"/>
        </w:tabs>
      </w:pPr>
      <w:r w:rsidRPr="004E570B">
        <w:t>GAVI</w:t>
      </w:r>
      <w:r w:rsidRPr="004E570B">
        <w:tab/>
      </w:r>
      <w:proofErr w:type="spellStart"/>
      <w:r w:rsidR="00F7407A" w:rsidRPr="004E570B">
        <w:t>GAVI</w:t>
      </w:r>
      <w:proofErr w:type="spellEnd"/>
      <w:r w:rsidR="00F7407A" w:rsidRPr="004E570B">
        <w:t xml:space="preserve"> Alliance, formerly the Global Alliance for Vaccines and Immunization</w:t>
      </w:r>
    </w:p>
    <w:p w:rsidR="00A85251" w:rsidRPr="004E570B" w:rsidRDefault="00A85251" w:rsidP="004E570B">
      <w:pPr>
        <w:pStyle w:val="BodyText"/>
        <w:tabs>
          <w:tab w:val="left" w:pos="1418"/>
        </w:tabs>
      </w:pPr>
      <w:r w:rsidRPr="004E570B">
        <w:t>MDG</w:t>
      </w:r>
      <w:r w:rsidRPr="004E570B">
        <w:tab/>
        <w:t>Millennium Development Goal</w:t>
      </w:r>
    </w:p>
    <w:p w:rsidR="0096145E" w:rsidRPr="004E570B" w:rsidRDefault="0096145E" w:rsidP="004E570B">
      <w:pPr>
        <w:pStyle w:val="BodyText"/>
        <w:tabs>
          <w:tab w:val="left" w:pos="1418"/>
        </w:tabs>
      </w:pPr>
      <w:r w:rsidRPr="004E570B">
        <w:t>NZAID</w:t>
      </w:r>
      <w:r w:rsidRPr="004E570B">
        <w:tab/>
      </w:r>
      <w:r w:rsidR="00C77F55" w:rsidRPr="004E570B">
        <w:t>New Zealand’s International Aid and Development Agency</w:t>
      </w:r>
    </w:p>
    <w:p w:rsidR="005F36F0" w:rsidRPr="004E570B" w:rsidRDefault="005F36F0" w:rsidP="004E570B">
      <w:pPr>
        <w:pStyle w:val="BodyText"/>
        <w:tabs>
          <w:tab w:val="left" w:pos="1418"/>
        </w:tabs>
      </w:pPr>
      <w:r w:rsidRPr="004E570B">
        <w:t>IPPF</w:t>
      </w:r>
      <w:r w:rsidRPr="004E570B">
        <w:tab/>
      </w:r>
      <w:r w:rsidR="00C77F55" w:rsidRPr="004E570B">
        <w:t>International Planned Parenthood Federation</w:t>
      </w:r>
    </w:p>
    <w:p w:rsidR="005F36F0" w:rsidRPr="004E570B" w:rsidRDefault="005F36F0" w:rsidP="004E570B">
      <w:pPr>
        <w:pStyle w:val="BodyText"/>
        <w:tabs>
          <w:tab w:val="left" w:pos="1418"/>
        </w:tabs>
      </w:pPr>
      <w:r w:rsidRPr="004E570B">
        <w:t>PMNCH</w:t>
      </w:r>
      <w:r w:rsidRPr="004E570B">
        <w:tab/>
      </w:r>
      <w:r w:rsidR="00C77F55" w:rsidRPr="004E570B">
        <w:t>Partnership for Maternal, Newborn and Child Health</w:t>
      </w:r>
    </w:p>
    <w:p w:rsidR="005A41DF" w:rsidRPr="004E570B" w:rsidRDefault="005A41DF" w:rsidP="004E570B">
      <w:pPr>
        <w:pStyle w:val="BodyText"/>
        <w:tabs>
          <w:tab w:val="left" w:pos="1418"/>
        </w:tabs>
        <w:rPr>
          <w:b/>
          <w:bCs/>
        </w:rPr>
      </w:pPr>
      <w:r w:rsidRPr="004E570B">
        <w:t>PNG</w:t>
      </w:r>
      <w:r w:rsidRPr="004E570B">
        <w:tab/>
        <w:t>Papua New Guinea</w:t>
      </w:r>
    </w:p>
    <w:p w:rsidR="004A4BAA" w:rsidRPr="004E570B" w:rsidRDefault="004A4BAA" w:rsidP="004E570B">
      <w:pPr>
        <w:pStyle w:val="BodyText"/>
        <w:tabs>
          <w:tab w:val="left" w:pos="1418"/>
        </w:tabs>
      </w:pPr>
      <w:r w:rsidRPr="004E570B">
        <w:t>UNFPA</w:t>
      </w:r>
      <w:r w:rsidRPr="004E570B">
        <w:tab/>
      </w:r>
      <w:r w:rsidR="005F36F0" w:rsidRPr="004E570B">
        <w:t>United Nations Population Fund</w:t>
      </w:r>
    </w:p>
    <w:p w:rsidR="005F36F0" w:rsidRPr="004E570B" w:rsidRDefault="005F36F0" w:rsidP="004E570B">
      <w:pPr>
        <w:pStyle w:val="BodyText"/>
        <w:tabs>
          <w:tab w:val="left" w:pos="1418"/>
        </w:tabs>
      </w:pPr>
      <w:r w:rsidRPr="004E570B">
        <w:t>UNICEF</w:t>
      </w:r>
      <w:r w:rsidRPr="004E570B">
        <w:tab/>
        <w:t>United Nations Children’s Fund</w:t>
      </w:r>
    </w:p>
    <w:p w:rsidR="00CA1BEA" w:rsidRPr="004E570B" w:rsidRDefault="00CA1BEA" w:rsidP="004E570B">
      <w:pPr>
        <w:pStyle w:val="BodyText"/>
        <w:tabs>
          <w:tab w:val="left" w:pos="1418"/>
        </w:tabs>
      </w:pPr>
      <w:r w:rsidRPr="004E570B">
        <w:t>USAID</w:t>
      </w:r>
      <w:r w:rsidRPr="004E570B">
        <w:tab/>
        <w:t>United States Agency for International Development</w:t>
      </w:r>
    </w:p>
    <w:p w:rsidR="00A85251" w:rsidRPr="004E570B" w:rsidRDefault="00A85251" w:rsidP="004E570B">
      <w:pPr>
        <w:pStyle w:val="BodyText"/>
        <w:tabs>
          <w:tab w:val="left" w:pos="1418"/>
        </w:tabs>
      </w:pPr>
      <w:proofErr w:type="gramStart"/>
      <w:r w:rsidRPr="004E570B">
        <w:t>WHO</w:t>
      </w:r>
      <w:proofErr w:type="gramEnd"/>
      <w:r w:rsidRPr="004E570B">
        <w:tab/>
        <w:t>World Health Organization</w:t>
      </w:r>
    </w:p>
    <w:p w:rsidR="00882BE6" w:rsidRPr="004E570B" w:rsidRDefault="000D4D76" w:rsidP="00092D69">
      <w:pPr>
        <w:pStyle w:val="Heading1unnumbered"/>
        <w:spacing w:after="1800"/>
        <w:rPr>
          <w:noProof/>
          <w:color w:val="auto"/>
        </w:rPr>
      </w:pPr>
      <w:bookmarkStart w:id="8" w:name="_Toc217896615"/>
      <w:r w:rsidRPr="004E570B">
        <w:rPr>
          <w:color w:val="auto"/>
        </w:rPr>
        <w:lastRenderedPageBreak/>
        <w:t>Introduction</w:t>
      </w:r>
      <w:bookmarkEnd w:id="8"/>
    </w:p>
    <w:p w:rsidR="000D4D76" w:rsidRPr="004E570B" w:rsidRDefault="000D4D76" w:rsidP="004E570B">
      <w:pPr>
        <w:pStyle w:val="BodyText"/>
      </w:pPr>
      <w:r w:rsidRPr="004E570B">
        <w:t xml:space="preserve">This </w:t>
      </w:r>
      <w:r w:rsidR="00C34EF5" w:rsidRPr="004E570B">
        <w:t>report</w:t>
      </w:r>
      <w:r w:rsidRPr="004E570B">
        <w:t xml:space="preserve"> deliberately responds to the </w:t>
      </w:r>
      <w:r w:rsidR="00C34EF5" w:rsidRPr="004E570B">
        <w:t xml:space="preserve">Australian </w:t>
      </w:r>
      <w:r w:rsidRPr="004E570B">
        <w:t xml:space="preserve">Government’s strong commitment to do more to contribute to the achievement of </w:t>
      </w:r>
      <w:r w:rsidR="004E40E6" w:rsidRPr="004E570B">
        <w:t>Millennium Development Goals (MDGs)</w:t>
      </w:r>
      <w:r w:rsidRPr="004E570B">
        <w:t xml:space="preserve"> 4 and 5 (reducing child mortality and improving maternal health, respectively) in the Asia</w:t>
      </w:r>
      <w:r w:rsidR="00C34EF5" w:rsidRPr="004E570B">
        <w:t>-</w:t>
      </w:r>
      <w:r w:rsidRPr="004E570B">
        <w:t xml:space="preserve">Pacific region. It does not attempt to review progress in the aid program across the whole </w:t>
      </w:r>
      <w:r w:rsidR="00CF2862" w:rsidRPr="004E570B">
        <w:t xml:space="preserve">health </w:t>
      </w:r>
      <w:r w:rsidRPr="004E570B">
        <w:t>sector.</w:t>
      </w:r>
      <w:r w:rsidR="00CF2862" w:rsidRPr="004E570B">
        <w:t xml:space="preserve"> </w:t>
      </w:r>
      <w:r w:rsidRPr="004E570B">
        <w:t xml:space="preserve">It reviews progress </w:t>
      </w:r>
      <w:r w:rsidR="002115F0" w:rsidRPr="004E570B">
        <w:t>towards</w:t>
      </w:r>
      <w:r w:rsidR="007C4CDF" w:rsidRPr="004E570B">
        <w:t xml:space="preserve"> </w:t>
      </w:r>
      <w:r w:rsidRPr="004E570B">
        <w:t>these two MDGs, highlighting the issue of inequity, and examines underlying causes of inadequate progress</w:t>
      </w:r>
      <w:r w:rsidR="00CF2862" w:rsidRPr="004E570B">
        <w:t>—</w:t>
      </w:r>
      <w:r w:rsidRPr="004E570B">
        <w:t>in particular, the financing and human resource challenges facing the health system in many countries. It looks at what the Australian aid program is doing to support MDGs 4 and 5 and points out that most of the initiatives in this a</w:t>
      </w:r>
      <w:r w:rsidR="00EE4785" w:rsidRPr="004E570B">
        <w:t>rea started only in 2007–</w:t>
      </w:r>
      <w:r w:rsidRPr="004E570B">
        <w:t>08. It provides a summary of quality</w:t>
      </w:r>
      <w:r w:rsidR="007C4CDF" w:rsidRPr="004E570B">
        <w:t>-at-</w:t>
      </w:r>
      <w:r w:rsidRPr="004E570B">
        <w:t>implementation ratings for the aid program</w:t>
      </w:r>
      <w:r w:rsidR="00442B2D" w:rsidRPr="004E570B">
        <w:t>’s</w:t>
      </w:r>
      <w:r w:rsidRPr="004E570B">
        <w:t xml:space="preserve"> initiatives most directly related to MDGs 4 and 5. And it concludes with a summary of challenges and implications for the aid program.</w:t>
      </w:r>
    </w:p>
    <w:p w:rsidR="000D4D76" w:rsidRPr="004E570B" w:rsidRDefault="000D4D76" w:rsidP="004E570B">
      <w:pPr>
        <w:pStyle w:val="BodyText"/>
      </w:pPr>
      <w:r w:rsidRPr="004E570B">
        <w:t>To examine progress the report uses data from 23 countries</w:t>
      </w:r>
      <w:r w:rsidRPr="004E570B">
        <w:rPr>
          <w:rStyle w:val="FootnoteReference"/>
          <w:sz w:val="12"/>
        </w:rPr>
        <w:footnoteReference w:id="2"/>
      </w:r>
      <w:r w:rsidRPr="004E570B">
        <w:t xml:space="preserve"> across the region where </w:t>
      </w:r>
      <w:proofErr w:type="spellStart"/>
      <w:r w:rsidRPr="004E570B">
        <w:t>AusAID</w:t>
      </w:r>
      <w:proofErr w:type="spellEnd"/>
      <w:r w:rsidRPr="004E570B">
        <w:t xml:space="preserve"> funding is used for health activities through </w:t>
      </w:r>
      <w:r w:rsidR="00964B5A" w:rsidRPr="004E570B">
        <w:t xml:space="preserve">either </w:t>
      </w:r>
      <w:r w:rsidRPr="004E570B">
        <w:t xml:space="preserve">bilateral or regional programs. The magnitude of </w:t>
      </w:r>
      <w:proofErr w:type="spellStart"/>
      <w:r w:rsidRPr="004E570B">
        <w:t>AusAID</w:t>
      </w:r>
      <w:proofErr w:type="spellEnd"/>
      <w:r w:rsidRPr="004E570B">
        <w:t xml:space="preserve"> spending and engagement in the health sector varies considerably from country to country. In the reporting on </w:t>
      </w:r>
      <w:proofErr w:type="spellStart"/>
      <w:r w:rsidRPr="004E570B">
        <w:t>AusAID</w:t>
      </w:r>
      <w:proofErr w:type="spellEnd"/>
      <w:r w:rsidRPr="004E570B">
        <w:t xml:space="preserve"> initiatives more emphasis is given to the countries where Australia is a significant contributor to the sector.</w:t>
      </w:r>
    </w:p>
    <w:p w:rsidR="000D4D76" w:rsidRPr="004E570B" w:rsidRDefault="000D4D76" w:rsidP="004E570B">
      <w:pPr>
        <w:pStyle w:val="BodyText"/>
      </w:pPr>
      <w:r w:rsidRPr="004E570B">
        <w:t xml:space="preserve">Many of the initiatives specifically addressing MDGs 4 and 5, and many of the broader sectoral support programs in which maternal and child health are an integral part, are in their early stages. </w:t>
      </w:r>
      <w:r w:rsidR="00964B5A" w:rsidRPr="004E570B">
        <w:t>This report</w:t>
      </w:r>
      <w:r w:rsidRPr="004E570B">
        <w:t xml:space="preserve">, therefore, provides an overview of the current status and the way forward rather than providing an in depth assessment of the performance of the program in </w:t>
      </w:r>
      <w:r w:rsidR="00964B5A" w:rsidRPr="004E570B">
        <w:t>2007–08</w:t>
      </w:r>
      <w:r w:rsidRPr="004E570B">
        <w:t>.</w:t>
      </w:r>
    </w:p>
    <w:p w:rsidR="000D4D76" w:rsidRPr="004E570B" w:rsidRDefault="000D4D76" w:rsidP="004E570B">
      <w:pPr>
        <w:pStyle w:val="Heading1unnumbered"/>
        <w:rPr>
          <w:color w:val="auto"/>
        </w:rPr>
      </w:pPr>
      <w:bookmarkStart w:id="9" w:name="_Toc217896616"/>
      <w:r w:rsidRPr="004E570B">
        <w:rPr>
          <w:color w:val="auto"/>
        </w:rPr>
        <w:lastRenderedPageBreak/>
        <w:t>Progress t</w:t>
      </w:r>
      <w:r w:rsidR="001D3BBA" w:rsidRPr="004E570B">
        <w:rPr>
          <w:color w:val="auto"/>
        </w:rPr>
        <w:t>owards MDGs 4 and 5 in the Asia-</w:t>
      </w:r>
      <w:r w:rsidRPr="004E570B">
        <w:rPr>
          <w:color w:val="auto"/>
        </w:rPr>
        <w:t>Pacific region</w:t>
      </w:r>
      <w:bookmarkEnd w:id="9"/>
    </w:p>
    <w:p w:rsidR="001D3BBA" w:rsidRPr="004E570B" w:rsidRDefault="001D3BBA" w:rsidP="004E570B">
      <w:pPr>
        <w:pStyle w:val="Heading2unnumbered"/>
        <w:spacing w:before="120"/>
        <w:rPr>
          <w:color w:val="auto"/>
        </w:rPr>
      </w:pPr>
      <w:bookmarkStart w:id="10" w:name="_Toc217896617"/>
      <w:r w:rsidRPr="004E570B">
        <w:rPr>
          <w:color w:val="auto"/>
        </w:rPr>
        <w:t xml:space="preserve">Progress towards </w:t>
      </w:r>
      <w:r w:rsidR="008B1872" w:rsidRPr="004E570B">
        <w:rPr>
          <w:color w:val="auto"/>
        </w:rPr>
        <w:t>MDG </w:t>
      </w:r>
      <w:r w:rsidRPr="004E570B">
        <w:rPr>
          <w:color w:val="auto"/>
        </w:rPr>
        <w:t>4</w:t>
      </w:r>
      <w:bookmarkEnd w:id="10"/>
    </w:p>
    <w:p w:rsidR="001D3BBA" w:rsidRPr="004E570B" w:rsidRDefault="001D3BBA" w:rsidP="004E570B">
      <w:pPr>
        <w:pStyle w:val="BodyText"/>
        <w:spacing w:line="276" w:lineRule="atLeast"/>
        <w:rPr>
          <w:spacing w:val="-1"/>
        </w:rPr>
      </w:pPr>
      <w:r w:rsidRPr="004E570B">
        <w:rPr>
          <w:spacing w:val="-1"/>
        </w:rPr>
        <w:t xml:space="preserve">Although the countries of Asia and the Pacific do not have the high rates of child mortality seen in Sub-Saharan Africa </w:t>
      </w:r>
      <w:r w:rsidR="0018735C" w:rsidRPr="004E570B">
        <w:rPr>
          <w:spacing w:val="-1"/>
        </w:rPr>
        <w:t>those rate</w:t>
      </w:r>
      <w:r w:rsidR="00AB6C84" w:rsidRPr="004E570B">
        <w:rPr>
          <w:spacing w:val="-1"/>
        </w:rPr>
        <w:t>s</w:t>
      </w:r>
      <w:r w:rsidR="0018735C" w:rsidRPr="004E570B">
        <w:rPr>
          <w:spacing w:val="-1"/>
        </w:rPr>
        <w:t xml:space="preserve"> </w:t>
      </w:r>
      <w:r w:rsidRPr="004E570B">
        <w:rPr>
          <w:spacing w:val="-1"/>
        </w:rPr>
        <w:t>are still unacceptably high in some countries and in parts of others. As shown in Figure 1, overall, child mortality is much higher in Asia than in the Pacific. In seven Asian countries and four Pacific countries one in every twenty children will not survive to the age of five years (</w:t>
      </w:r>
      <w:r w:rsidR="005E5405" w:rsidRPr="004E570B">
        <w:rPr>
          <w:spacing w:val="-1"/>
        </w:rPr>
        <w:t>that is,</w:t>
      </w:r>
      <w:r w:rsidRPr="004E570B">
        <w:rPr>
          <w:spacing w:val="-1"/>
        </w:rPr>
        <w:t xml:space="preserve"> the under-five mortality rate is greater than 50 per 1000 live births). The figure also shows that in all countries the majority of child deaths are in the first year of life. As mortality falls from very high to lower levels an increasing proportion of deaths are in the first weeks, or even, days of life. This underlines the importance of a combined package of antenatal, delivery and newborn care to reduce deaths in women </w:t>
      </w:r>
      <w:r w:rsidRPr="004E570B">
        <w:t>and</w:t>
      </w:r>
      <w:r w:rsidRPr="004E570B">
        <w:rPr>
          <w:spacing w:val="-1"/>
        </w:rPr>
        <w:t xml:space="preserve"> children.</w:t>
      </w:r>
    </w:p>
    <w:p w:rsidR="001D3BBA" w:rsidRPr="004E570B" w:rsidRDefault="001D3BBA" w:rsidP="004E570B">
      <w:pPr>
        <w:pStyle w:val="BodyText"/>
        <w:spacing w:line="276" w:lineRule="atLeast"/>
      </w:pPr>
      <w:r w:rsidRPr="004E570B">
        <w:t>As a comparison</w:t>
      </w:r>
      <w:r w:rsidR="00EE4785" w:rsidRPr="004E570B">
        <w:t xml:space="preserve"> with the rates shown in Figure </w:t>
      </w:r>
      <w:r w:rsidRPr="004E570B">
        <w:t>1 the under-five and infant mortality rates in Australia are 6 and 5 per 1000 live births, respectively.</w:t>
      </w:r>
    </w:p>
    <w:p w:rsidR="001D3BBA" w:rsidRPr="004E570B" w:rsidRDefault="001D3BBA" w:rsidP="004E570B">
      <w:pPr>
        <w:pStyle w:val="Caption"/>
        <w:framePr w:hSpace="181" w:wrap="around" w:hAnchor="text" w:yAlign="bottom"/>
        <w:spacing w:before="180"/>
        <w:rPr>
          <w:color w:val="auto"/>
        </w:rPr>
      </w:pPr>
      <w:r w:rsidRPr="004E570B">
        <w:rPr>
          <w:color w:val="auto"/>
        </w:rPr>
        <w:t xml:space="preserve">Figure </w:t>
      </w:r>
      <w:r w:rsidRPr="004E570B">
        <w:rPr>
          <w:color w:val="auto"/>
        </w:rPr>
        <w:fldChar w:fldCharType="begin"/>
      </w:r>
      <w:r w:rsidRPr="004E570B">
        <w:rPr>
          <w:color w:val="auto"/>
        </w:rPr>
        <w:instrText xml:space="preserve"> SEQ Figure \* ARABIC </w:instrText>
      </w:r>
      <w:r w:rsidRPr="004E570B">
        <w:rPr>
          <w:color w:val="auto"/>
        </w:rPr>
        <w:fldChar w:fldCharType="separate"/>
      </w:r>
      <w:r w:rsidR="00B33206" w:rsidRPr="004E570B">
        <w:rPr>
          <w:noProof/>
          <w:color w:val="auto"/>
        </w:rPr>
        <w:t>1</w:t>
      </w:r>
      <w:r w:rsidRPr="004E570B">
        <w:rPr>
          <w:color w:val="auto"/>
        </w:rPr>
        <w:fldChar w:fldCharType="end"/>
      </w:r>
      <w:r w:rsidRPr="004E570B">
        <w:rPr>
          <w:color w:val="auto"/>
        </w:rPr>
        <w:t>: Under-five and infant mortality rates in Asia and the Pacific</w:t>
      </w:r>
    </w:p>
    <w:tbl>
      <w:tblPr>
        <w:tblW w:w="793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938"/>
      </w:tblGrid>
      <w:tr w:rsidR="001D3BBA" w:rsidRPr="004E570B">
        <w:tblPrEx>
          <w:tblCellMar>
            <w:top w:w="0" w:type="dxa"/>
            <w:left w:w="0" w:type="dxa"/>
            <w:bottom w:w="0" w:type="dxa"/>
            <w:right w:w="0" w:type="dxa"/>
          </w:tblCellMar>
        </w:tblPrEx>
        <w:tc>
          <w:tcPr>
            <w:tcW w:w="8505" w:type="dxa"/>
            <w:tcBorders>
              <w:top w:val="single" w:sz="12" w:space="0" w:color="auto"/>
              <w:bottom w:val="single" w:sz="12" w:space="0" w:color="auto"/>
            </w:tcBorders>
          </w:tcPr>
          <w:p w:rsidR="001D3BBA" w:rsidRPr="004E570B" w:rsidRDefault="00092D69" w:rsidP="004E570B">
            <w:pPr>
              <w:framePr w:hSpace="181" w:wrap="around" w:hAnchor="text" w:yAlign="bottom"/>
              <w:rPr>
                <w:rFonts w:ascii="Arial" w:hAnsi="Arial"/>
                <w:sz w:val="22"/>
              </w:rPr>
            </w:pPr>
            <w:r>
              <w:rPr>
                <w:rFonts w:ascii="Arial" w:hAnsi="Arial"/>
                <w:noProof/>
                <w:sz w:val="22"/>
                <w:lang w:val="en-US" w:eastAsia="en-US"/>
              </w:rPr>
              <w:drawing>
                <wp:inline distT="0" distB="0" distL="0" distR="0">
                  <wp:extent cx="5019675" cy="278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3722"/>
                          <a:stretch>
                            <a:fillRect/>
                          </a:stretch>
                        </pic:blipFill>
                        <pic:spPr bwMode="auto">
                          <a:xfrm>
                            <a:off x="0" y="0"/>
                            <a:ext cx="5019675" cy="2781300"/>
                          </a:xfrm>
                          <a:prstGeom prst="rect">
                            <a:avLst/>
                          </a:prstGeom>
                          <a:noFill/>
                          <a:ln>
                            <a:noFill/>
                          </a:ln>
                        </pic:spPr>
                      </pic:pic>
                    </a:graphicData>
                  </a:graphic>
                </wp:inline>
              </w:drawing>
            </w:r>
          </w:p>
        </w:tc>
      </w:tr>
    </w:tbl>
    <w:p w:rsidR="001D3BBA" w:rsidRPr="004E570B" w:rsidRDefault="001D3BBA" w:rsidP="004E570B">
      <w:pPr>
        <w:pStyle w:val="Source"/>
        <w:framePr w:hSpace="181" w:wrap="around" w:hAnchor="text" w:yAlign="bottom"/>
        <w:spacing w:after="800"/>
      </w:pPr>
      <w:r w:rsidRPr="004E570B">
        <w:t xml:space="preserve">Data sources: </w:t>
      </w:r>
      <w:r w:rsidR="00575DB6" w:rsidRPr="004E570B">
        <w:t xml:space="preserve">Countdown to 2015, </w:t>
      </w:r>
      <w:r w:rsidR="00575DB6" w:rsidRPr="004E570B">
        <w:rPr>
          <w:i/>
        </w:rPr>
        <w:t>Tracking progress in maternal, newborn and child survival: the 2008 report</w:t>
      </w:r>
      <w:r w:rsidR="00575DB6" w:rsidRPr="004E570B">
        <w:t>, Geneva, 2008</w:t>
      </w:r>
      <w:r w:rsidR="00081CA3" w:rsidRPr="004E570B">
        <w:t xml:space="preserve">; </w:t>
      </w:r>
      <w:r w:rsidR="000E1901" w:rsidRPr="004E570B">
        <w:t>WHO,</w:t>
      </w:r>
      <w:r w:rsidR="00575DB6" w:rsidRPr="004E570B">
        <w:t> </w:t>
      </w:r>
      <w:r w:rsidRPr="004E570B">
        <w:rPr>
          <w:i/>
        </w:rPr>
        <w:t xml:space="preserve">World </w:t>
      </w:r>
      <w:r w:rsidR="000E1901" w:rsidRPr="004E570B">
        <w:rPr>
          <w:i/>
        </w:rPr>
        <w:t xml:space="preserve">health statistics </w:t>
      </w:r>
      <w:r w:rsidRPr="004E570B">
        <w:rPr>
          <w:i/>
        </w:rPr>
        <w:t>2008</w:t>
      </w:r>
      <w:r w:rsidRPr="004E570B">
        <w:t xml:space="preserve">, </w:t>
      </w:r>
      <w:r w:rsidR="000E1901" w:rsidRPr="004E570B">
        <w:t>World Health Organization, Geneva, 2008</w:t>
      </w:r>
      <w:r w:rsidRPr="004E570B">
        <w:t>.</w:t>
      </w:r>
    </w:p>
    <w:p w:rsidR="001D3BBA" w:rsidRPr="004E570B" w:rsidRDefault="001D3BBA" w:rsidP="004E570B">
      <w:pPr>
        <w:pStyle w:val="BodyText"/>
        <w:spacing w:line="276" w:lineRule="atLeast"/>
      </w:pPr>
      <w:proofErr w:type="gramStart"/>
      <w:r w:rsidRPr="004E570B">
        <w:t>Based on figures</w:t>
      </w:r>
      <w:r w:rsidR="00382543" w:rsidRPr="004E570B">
        <w:t xml:space="preserve"> from the World Health Organization (WHO)</w:t>
      </w:r>
      <w:r w:rsidRPr="004E570B">
        <w:t xml:space="preserve">, </w:t>
      </w:r>
      <w:r w:rsidR="00AB6C84" w:rsidRPr="004E570B">
        <w:t xml:space="preserve">13 </w:t>
      </w:r>
      <w:r w:rsidRPr="004E570B">
        <w:t xml:space="preserve">Asian countries along with </w:t>
      </w:r>
      <w:r w:rsidR="00AB6C84" w:rsidRPr="004E570B">
        <w:lastRenderedPageBreak/>
        <w:t xml:space="preserve">Papua New Guinea </w:t>
      </w:r>
      <w:r w:rsidRPr="004E570B">
        <w:t>and East Timor account for 53</w:t>
      </w:r>
      <w:r w:rsidR="00651EFB" w:rsidRPr="004E570B">
        <w:t> per cent</w:t>
      </w:r>
      <w:r w:rsidRPr="004E570B">
        <w:t xml:space="preserve"> of the global total of neonatal deaths.</w:t>
      </w:r>
      <w:proofErr w:type="gramEnd"/>
      <w:r w:rsidRPr="004E570B">
        <w:rPr>
          <w:rStyle w:val="FootnoteReference"/>
          <w:sz w:val="12"/>
        </w:rPr>
        <w:footnoteReference w:id="3"/>
      </w:r>
      <w:r w:rsidRPr="004E570B">
        <w:t xml:space="preserve"> In these countries neonatal causes account for 26</w:t>
      </w:r>
      <w:r w:rsidR="00EE4785" w:rsidRPr="004E570B">
        <w:t>–</w:t>
      </w:r>
      <w:r w:rsidRPr="004E570B">
        <w:t>56</w:t>
      </w:r>
      <w:r w:rsidR="00651EFB" w:rsidRPr="004E570B">
        <w:t> per cent</w:t>
      </w:r>
      <w:r w:rsidRPr="004E570B">
        <w:t xml:space="preserve"> of deaths and pneumonia and diarrhoea together </w:t>
      </w:r>
      <w:r w:rsidR="00AB6C84" w:rsidRPr="004E570B">
        <w:t xml:space="preserve">account for </w:t>
      </w:r>
      <w:r w:rsidRPr="004E570B">
        <w:t>25</w:t>
      </w:r>
      <w:r w:rsidR="00EE4785" w:rsidRPr="004E570B">
        <w:t>–</w:t>
      </w:r>
      <w:r w:rsidRPr="004E570B">
        <w:t>43</w:t>
      </w:r>
      <w:r w:rsidR="00651EFB" w:rsidRPr="004E570B">
        <w:t> per cent</w:t>
      </w:r>
      <w:r w:rsidRPr="004E570B">
        <w:t>. Malnutrition underlies at least one-third of all childhood deaths</w:t>
      </w:r>
      <w:r w:rsidR="00AB6C84" w:rsidRPr="004E570B">
        <w:t>,</w:t>
      </w:r>
      <w:r w:rsidRPr="004E570B">
        <w:t xml:space="preserve"> with Asia being the part of the world with the highest proportions and numbers of malnourished children. Most childhood deaths can be prevented by well-proven affordable interventions. </w:t>
      </w:r>
    </w:p>
    <w:p w:rsidR="001D3BBA" w:rsidRPr="004E570B" w:rsidRDefault="001D3BBA" w:rsidP="004E570B">
      <w:pPr>
        <w:pStyle w:val="BodyText"/>
      </w:pPr>
      <w:r w:rsidRPr="004E570B">
        <w:t xml:space="preserve">Figure 2 shows </w:t>
      </w:r>
      <w:r w:rsidR="00651EFB" w:rsidRPr="004E570B">
        <w:t xml:space="preserve">the under-five mortality rates </w:t>
      </w:r>
      <w:r w:rsidRPr="004E570B">
        <w:t>in 1990 and 2006 for 23 Asia</w:t>
      </w:r>
      <w:r w:rsidR="00AB6C84" w:rsidRPr="004E570B">
        <w:t>-</w:t>
      </w:r>
      <w:r w:rsidRPr="004E570B">
        <w:t xml:space="preserve">Pacific countries and compares the average annual rates of decline needed between 2007 and 2015 to reach the </w:t>
      </w:r>
      <w:r w:rsidR="008B1872" w:rsidRPr="004E570B">
        <w:t>MDG</w:t>
      </w:r>
      <w:r w:rsidR="007C4CDF" w:rsidRPr="004E570B">
        <w:t xml:space="preserve"> 4 </w:t>
      </w:r>
      <w:r w:rsidRPr="004E570B">
        <w:t xml:space="preserve">target with those achieved from 1990 to 2006. </w:t>
      </w:r>
    </w:p>
    <w:p w:rsidR="001D3BBA" w:rsidRPr="004E570B" w:rsidRDefault="001D3BBA" w:rsidP="004E570B">
      <w:pPr>
        <w:pStyle w:val="BodyText"/>
      </w:pPr>
      <w:r w:rsidRPr="004E570B">
        <w:t>Only 9 of 23 countries</w:t>
      </w:r>
      <w:r w:rsidR="00081CA3" w:rsidRPr="004E570B">
        <w:t>—</w:t>
      </w:r>
      <w:r w:rsidRPr="004E570B">
        <w:t xml:space="preserve">Bangladesh, China, Indonesia, Laos, Nepal, Palau, </w:t>
      </w:r>
      <w:r w:rsidR="00081CA3" w:rsidRPr="004E570B">
        <w:t xml:space="preserve">the </w:t>
      </w:r>
      <w:r w:rsidRPr="004E570B">
        <w:t xml:space="preserve">Philippines, </w:t>
      </w:r>
      <w:r w:rsidR="004E40E6" w:rsidRPr="004E570B">
        <w:t xml:space="preserve">East </w:t>
      </w:r>
      <w:r w:rsidRPr="004E570B">
        <w:t>Timor and Vietnam</w:t>
      </w:r>
      <w:r w:rsidR="00081CA3" w:rsidRPr="004E570B">
        <w:t>—</w:t>
      </w:r>
      <w:r w:rsidRPr="004E570B">
        <w:t xml:space="preserve">showed annual rates of decline in </w:t>
      </w:r>
      <w:r w:rsidR="00651EFB" w:rsidRPr="004E570B">
        <w:t>the under-five mortality rate</w:t>
      </w:r>
      <w:r w:rsidRPr="004E570B">
        <w:t xml:space="preserve"> from 1990 to 2006 </w:t>
      </w:r>
      <w:r w:rsidR="00442B2D" w:rsidRPr="004E570B">
        <w:t>(</w:t>
      </w:r>
      <w:r w:rsidRPr="004E570B">
        <w:t>with sustained progress during the years 2000 to 2006</w:t>
      </w:r>
      <w:r w:rsidR="00442B2D" w:rsidRPr="004E570B">
        <w:t>)</w:t>
      </w:r>
      <w:r w:rsidRPr="004E570B">
        <w:t xml:space="preserve"> that put them on track to meet the 2015 </w:t>
      </w:r>
      <w:r w:rsidR="008B1872" w:rsidRPr="004E570B">
        <w:t>MDG </w:t>
      </w:r>
      <w:r w:rsidRPr="004E570B">
        <w:t>4 target (assuming application of the global target of achieving a two-thirds reduction compared with the 1990 level)</w:t>
      </w:r>
      <w:r w:rsidR="00442B2D" w:rsidRPr="004E570B">
        <w:t>.</w:t>
      </w:r>
      <w:r w:rsidRPr="004E570B">
        <w:t xml:space="preserve"> Samoa, Solomon Islands and Vanuatu reduced their </w:t>
      </w:r>
      <w:r w:rsidR="00651EFB" w:rsidRPr="004E570B">
        <w:t>under-five mortality rate</w:t>
      </w:r>
      <w:r w:rsidRPr="004E570B">
        <w:t xml:space="preserve"> by more </w:t>
      </w:r>
      <w:proofErr w:type="spellStart"/>
      <w:r w:rsidRPr="004E570B">
        <w:t>that</w:t>
      </w:r>
      <w:proofErr w:type="spellEnd"/>
      <w:r w:rsidRPr="004E570B">
        <w:t xml:space="preserve"> 40</w:t>
      </w:r>
      <w:r w:rsidR="00651EFB" w:rsidRPr="004E570B">
        <w:t> per cent</w:t>
      </w:r>
      <w:r w:rsidRPr="004E570B">
        <w:t xml:space="preserve"> from 1990 to 2006 but are not yet on track to reach the MDG</w:t>
      </w:r>
      <w:r w:rsidR="00AB6C84" w:rsidRPr="004E570B">
        <w:t> </w:t>
      </w:r>
      <w:r w:rsidRPr="004E570B">
        <w:t xml:space="preserve">4 target. </w:t>
      </w:r>
    </w:p>
    <w:p w:rsidR="00092D69" w:rsidRPr="004E570B" w:rsidRDefault="00092D69" w:rsidP="00092D69">
      <w:pPr>
        <w:pStyle w:val="Caption"/>
        <w:framePr w:h="6151" w:hRule="exact" w:hSpace="181" w:wrap="around" w:vAnchor="page" w:hAnchor="page" w:x="1965" w:y="8941"/>
        <w:rPr>
          <w:color w:val="auto"/>
        </w:rPr>
      </w:pPr>
      <w:r w:rsidRPr="004E570B">
        <w:rPr>
          <w:color w:val="auto"/>
        </w:rPr>
        <w:t xml:space="preserve">Figure </w:t>
      </w:r>
      <w:r w:rsidRPr="004E570B">
        <w:rPr>
          <w:color w:val="auto"/>
        </w:rPr>
        <w:fldChar w:fldCharType="begin"/>
      </w:r>
      <w:r w:rsidRPr="004E570B">
        <w:rPr>
          <w:color w:val="auto"/>
        </w:rPr>
        <w:instrText xml:space="preserve"> SEQ Figure \* ARABIC </w:instrText>
      </w:r>
      <w:r w:rsidRPr="004E570B">
        <w:rPr>
          <w:color w:val="auto"/>
        </w:rPr>
        <w:fldChar w:fldCharType="separate"/>
      </w:r>
      <w:r w:rsidRPr="004E570B">
        <w:rPr>
          <w:noProof/>
          <w:color w:val="auto"/>
        </w:rPr>
        <w:t>2</w:t>
      </w:r>
      <w:r w:rsidRPr="004E570B">
        <w:rPr>
          <w:color w:val="auto"/>
        </w:rPr>
        <w:fldChar w:fldCharType="end"/>
      </w:r>
      <w:r w:rsidRPr="004E570B">
        <w:rPr>
          <w:color w:val="auto"/>
        </w:rPr>
        <w:t>: Progress towards the MDG 4 target for 2015</w:t>
      </w:r>
    </w:p>
    <w:tbl>
      <w:tblPr>
        <w:tblW w:w="793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938"/>
      </w:tblGrid>
      <w:tr w:rsidR="00092D69" w:rsidRPr="004E570B">
        <w:tblPrEx>
          <w:tblCellMar>
            <w:top w:w="0" w:type="dxa"/>
            <w:left w:w="0" w:type="dxa"/>
            <w:bottom w:w="0" w:type="dxa"/>
            <w:right w:w="0" w:type="dxa"/>
          </w:tblCellMar>
        </w:tblPrEx>
        <w:tc>
          <w:tcPr>
            <w:tcW w:w="8505" w:type="dxa"/>
            <w:tcBorders>
              <w:top w:val="single" w:sz="12" w:space="0" w:color="auto"/>
              <w:bottom w:val="single" w:sz="12" w:space="0" w:color="auto"/>
            </w:tcBorders>
          </w:tcPr>
          <w:p w:rsidR="00092D69" w:rsidRPr="004E570B" w:rsidRDefault="00092D69" w:rsidP="00092D69">
            <w:pPr>
              <w:framePr w:h="6151" w:hRule="exact" w:hSpace="181" w:wrap="around" w:vAnchor="page" w:hAnchor="page" w:x="1965" w:y="8941"/>
              <w:rPr>
                <w:rFonts w:ascii="Georgia" w:hAnsi="Georgia"/>
                <w:sz w:val="19"/>
                <w:szCs w:val="19"/>
              </w:rPr>
            </w:pPr>
            <w:r>
              <w:rPr>
                <w:rFonts w:ascii="Georgia" w:hAnsi="Georgia"/>
                <w:noProof/>
                <w:sz w:val="19"/>
                <w:szCs w:val="19"/>
                <w:lang w:val="en-US" w:eastAsia="en-US"/>
              </w:rPr>
              <w:drawing>
                <wp:inline distT="0" distB="0" distL="0" distR="0">
                  <wp:extent cx="4924425" cy="343852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l="3072" r="2997"/>
                          <a:stretch>
                            <a:fillRect/>
                          </a:stretch>
                        </pic:blipFill>
                        <pic:spPr bwMode="auto">
                          <a:xfrm>
                            <a:off x="0" y="0"/>
                            <a:ext cx="4924425" cy="3438525"/>
                          </a:xfrm>
                          <a:prstGeom prst="rect">
                            <a:avLst/>
                          </a:prstGeom>
                          <a:noFill/>
                          <a:ln>
                            <a:noFill/>
                          </a:ln>
                        </pic:spPr>
                      </pic:pic>
                    </a:graphicData>
                  </a:graphic>
                </wp:inline>
              </w:drawing>
            </w:r>
          </w:p>
        </w:tc>
      </w:tr>
    </w:tbl>
    <w:p w:rsidR="00092D69" w:rsidRPr="004E570B" w:rsidRDefault="00092D69" w:rsidP="00092D69">
      <w:pPr>
        <w:pStyle w:val="Source"/>
        <w:framePr w:h="6151" w:hRule="exact" w:hSpace="181" w:wrap="around" w:vAnchor="page" w:hAnchor="page" w:x="1965" w:y="8941"/>
        <w:spacing w:after="400"/>
      </w:pPr>
      <w:r w:rsidRPr="004E570B">
        <w:t xml:space="preserve">Data sources: Countdown to 2015, </w:t>
      </w:r>
      <w:r w:rsidRPr="004E570B">
        <w:rPr>
          <w:i/>
        </w:rPr>
        <w:t>Tracking progress in maternal, newborn and child survival: the 2008 report</w:t>
      </w:r>
      <w:r w:rsidRPr="004E570B">
        <w:t>, Geneva, 2008; UNICEF Statistics online.</w:t>
      </w:r>
    </w:p>
    <w:p w:rsidR="001D3BBA" w:rsidRPr="004E570B" w:rsidRDefault="001D3BBA" w:rsidP="004E570B">
      <w:pPr>
        <w:pStyle w:val="BodyText"/>
        <w:rPr>
          <w:spacing w:val="-1"/>
        </w:rPr>
      </w:pPr>
      <w:r w:rsidRPr="004E570B">
        <w:rPr>
          <w:spacing w:val="-1"/>
        </w:rPr>
        <w:t xml:space="preserve">In 13 of the 23 countries the average annual percentage decline in </w:t>
      </w:r>
      <w:r w:rsidR="00651EFB" w:rsidRPr="004E570B">
        <w:rPr>
          <w:spacing w:val="-1"/>
        </w:rPr>
        <w:t>the under-five mortality rate</w:t>
      </w:r>
      <w:r w:rsidRPr="004E570B">
        <w:rPr>
          <w:spacing w:val="-1"/>
        </w:rPr>
        <w:t xml:space="preserve"> from 2000 to 2006 slowed compared with the decade 1990 to 2000. On the positive si</w:t>
      </w:r>
      <w:r w:rsidR="00651EFB" w:rsidRPr="004E570B">
        <w:rPr>
          <w:spacing w:val="-1"/>
        </w:rPr>
        <w:t xml:space="preserve">de, of the countries not yet on </w:t>
      </w:r>
      <w:r w:rsidRPr="004E570B">
        <w:rPr>
          <w:spacing w:val="-1"/>
        </w:rPr>
        <w:t xml:space="preserve">track to the </w:t>
      </w:r>
      <w:r w:rsidR="008B1872" w:rsidRPr="004E570B">
        <w:rPr>
          <w:spacing w:val="-1"/>
        </w:rPr>
        <w:t>MDG </w:t>
      </w:r>
      <w:r w:rsidRPr="004E570B">
        <w:rPr>
          <w:spacing w:val="-1"/>
        </w:rPr>
        <w:t xml:space="preserve">target, Vanuatu and Cambodia </w:t>
      </w:r>
      <w:r w:rsidR="00442B2D" w:rsidRPr="004E570B">
        <w:rPr>
          <w:spacing w:val="-1"/>
        </w:rPr>
        <w:t xml:space="preserve">have </w:t>
      </w:r>
      <w:r w:rsidRPr="004E570B">
        <w:rPr>
          <w:spacing w:val="-1"/>
        </w:rPr>
        <w:t xml:space="preserve">showed encouraging acceleration in </w:t>
      </w:r>
      <w:r w:rsidR="00AB6C84" w:rsidRPr="004E570B">
        <w:rPr>
          <w:spacing w:val="-1"/>
        </w:rPr>
        <w:t>the percentage decline in</w:t>
      </w:r>
      <w:r w:rsidRPr="004E570B">
        <w:rPr>
          <w:spacing w:val="-1"/>
        </w:rPr>
        <w:t xml:space="preserve"> </w:t>
      </w:r>
      <w:r w:rsidR="00AB6C84" w:rsidRPr="004E570B">
        <w:rPr>
          <w:spacing w:val="-1"/>
        </w:rPr>
        <w:t>their under-five mortality rates since</w:t>
      </w:r>
      <w:r w:rsidRPr="004E570B">
        <w:rPr>
          <w:spacing w:val="-1"/>
        </w:rPr>
        <w:t xml:space="preserve"> 2000.</w:t>
      </w:r>
    </w:p>
    <w:p w:rsidR="001D3BBA" w:rsidRPr="004E570B" w:rsidRDefault="001D3BBA" w:rsidP="004E570B">
      <w:pPr>
        <w:pStyle w:val="BodyText"/>
      </w:pPr>
      <w:r w:rsidRPr="004E570B">
        <w:t xml:space="preserve">Although the picture is mixed, with some countries showing remarkable progress, it is clear that much more needs to be done if the majority of countries are to reach the MDG for child </w:t>
      </w:r>
      <w:r w:rsidRPr="004E570B">
        <w:lastRenderedPageBreak/>
        <w:t>mortality reduction.</w:t>
      </w:r>
    </w:p>
    <w:p w:rsidR="001D3BBA" w:rsidRPr="004E570B" w:rsidRDefault="001D3BBA" w:rsidP="004E570B">
      <w:pPr>
        <w:pStyle w:val="Heading2unnumbered"/>
        <w:rPr>
          <w:color w:val="auto"/>
        </w:rPr>
      </w:pPr>
      <w:bookmarkStart w:id="11" w:name="_Toc217896618"/>
      <w:r w:rsidRPr="004E570B">
        <w:rPr>
          <w:color w:val="auto"/>
        </w:rPr>
        <w:t xml:space="preserve">Progress towards </w:t>
      </w:r>
      <w:r w:rsidR="008B1872" w:rsidRPr="004E570B">
        <w:rPr>
          <w:color w:val="auto"/>
        </w:rPr>
        <w:t>MDG </w:t>
      </w:r>
      <w:r w:rsidRPr="004E570B">
        <w:rPr>
          <w:color w:val="auto"/>
        </w:rPr>
        <w:t>5</w:t>
      </w:r>
      <w:bookmarkEnd w:id="11"/>
    </w:p>
    <w:p w:rsidR="001D3BBA" w:rsidRPr="004E570B" w:rsidRDefault="001D3BBA" w:rsidP="004E570B">
      <w:pPr>
        <w:pStyle w:val="BodyText"/>
      </w:pPr>
      <w:r w:rsidRPr="004E570B">
        <w:t xml:space="preserve">In </w:t>
      </w:r>
      <w:r w:rsidR="00AB6C84" w:rsidRPr="004E570B">
        <w:t>Papua New Guinea</w:t>
      </w:r>
      <w:r w:rsidRPr="004E570B">
        <w:t>, Cambodia and Bangladesh one in every 50 women will die as a result of pregnancy or child birth, in Laos and Nepal one in every 30 and in Afghanistan one in every 8.</w:t>
      </w:r>
    </w:p>
    <w:p w:rsidR="001D3BBA" w:rsidRPr="004E570B" w:rsidRDefault="001D3BBA" w:rsidP="004E570B">
      <w:pPr>
        <w:pStyle w:val="BodyText"/>
      </w:pPr>
      <w:r w:rsidRPr="004E570B">
        <w:t xml:space="preserve">Based on WHO figures </w:t>
      </w:r>
      <w:r w:rsidR="00A70471" w:rsidRPr="004E570B">
        <w:t xml:space="preserve">13 </w:t>
      </w:r>
      <w:r w:rsidRPr="004E570B">
        <w:t xml:space="preserve">Asian countries along with </w:t>
      </w:r>
      <w:r w:rsidR="00A70471" w:rsidRPr="004E570B">
        <w:t xml:space="preserve">Papua New Guinea </w:t>
      </w:r>
      <w:r w:rsidRPr="004E570B">
        <w:t xml:space="preserve">and </w:t>
      </w:r>
      <w:r w:rsidR="00EE4785" w:rsidRPr="004E570B">
        <w:t xml:space="preserve">East </w:t>
      </w:r>
      <w:r w:rsidRPr="004E570B">
        <w:t>Timor account for 44</w:t>
      </w:r>
      <w:r w:rsidR="00651EFB" w:rsidRPr="004E570B">
        <w:t> per cent</w:t>
      </w:r>
      <w:r w:rsidRPr="004E570B">
        <w:t xml:space="preserve"> the global total of</w:t>
      </w:r>
      <w:r w:rsidR="00EE4785" w:rsidRPr="004E570B">
        <w:t xml:space="preserve"> maternal deaths, or almost 240</w:t>
      </w:r>
      <w:r w:rsidR="00D344AC" w:rsidRPr="004E570B">
        <w:t> </w:t>
      </w:r>
      <w:r w:rsidRPr="004E570B">
        <w:t>000</w:t>
      </w:r>
      <w:r w:rsidR="00D344AC" w:rsidRPr="004E570B">
        <w:t xml:space="preserve"> a year</w:t>
      </w:r>
      <w:r w:rsidR="00EE4785" w:rsidRPr="004E570B">
        <w:t>.</w:t>
      </w:r>
      <w:r w:rsidRPr="004E570B">
        <w:rPr>
          <w:rStyle w:val="FootnoteReference"/>
          <w:sz w:val="12"/>
        </w:rPr>
        <w:footnoteReference w:id="4"/>
      </w:r>
    </w:p>
    <w:p w:rsidR="001D3BBA" w:rsidRPr="004E570B" w:rsidRDefault="001D3BBA" w:rsidP="004E570B">
      <w:pPr>
        <w:pStyle w:val="BodyText"/>
      </w:pPr>
      <w:r w:rsidRPr="004E570B">
        <w:t>According to UN estimates haemorrhage is the leading cause of maternal mortality in Asian countries</w:t>
      </w:r>
      <w:r w:rsidR="00D344AC" w:rsidRPr="004E570B">
        <w:t>,</w:t>
      </w:r>
      <w:r w:rsidRPr="004E570B">
        <w:t xml:space="preserve"> accounting for </w:t>
      </w:r>
      <w:r w:rsidR="00D344AC" w:rsidRPr="004E570B">
        <w:t xml:space="preserve">a </w:t>
      </w:r>
      <w:r w:rsidRPr="004E570B">
        <w:t>third of all deaths</w:t>
      </w:r>
      <w:r w:rsidR="00D344AC" w:rsidRPr="004E570B">
        <w:t>.</w:t>
      </w:r>
      <w:r w:rsidRPr="004E570B">
        <w:rPr>
          <w:rStyle w:val="FootnoteReference"/>
          <w:sz w:val="12"/>
        </w:rPr>
        <w:footnoteReference w:id="5"/>
      </w:r>
      <w:r w:rsidRPr="004E570B">
        <w:t xml:space="preserve"> Other common causes include hypertensive disorders, sepsis and infections, obstructed labour, anaemia and abortion. Most of these causes could be prevented or treated through a combination of contraception, antenatal care, skilled attendance at birth and access to basic emergency obstetric care.</w:t>
      </w:r>
    </w:p>
    <w:p w:rsidR="001D3BBA" w:rsidRPr="004E570B" w:rsidRDefault="001D3BBA" w:rsidP="004E570B">
      <w:pPr>
        <w:pStyle w:val="BodyText"/>
        <w:tabs>
          <w:tab w:val="left" w:pos="3840"/>
        </w:tabs>
      </w:pPr>
      <w:r w:rsidRPr="004E570B">
        <w:t xml:space="preserve">Data on progress towards the </w:t>
      </w:r>
      <w:r w:rsidR="008B1872" w:rsidRPr="004E570B">
        <w:t>MDG </w:t>
      </w:r>
      <w:r w:rsidRPr="004E570B">
        <w:t>5 target for 2015 (reducing maternal mortality by three</w:t>
      </w:r>
      <w:r w:rsidR="00D344AC" w:rsidRPr="004E570B">
        <w:t>-</w:t>
      </w:r>
      <w:r w:rsidRPr="004E570B">
        <w:t xml:space="preserve">quarters compared </w:t>
      </w:r>
      <w:r w:rsidR="00D344AC" w:rsidRPr="004E570B">
        <w:t xml:space="preserve">with </w:t>
      </w:r>
      <w:r w:rsidRPr="004E570B">
        <w:t xml:space="preserve">the 1990 level) are not as readily available as for </w:t>
      </w:r>
      <w:r w:rsidR="008B1872" w:rsidRPr="004E570B">
        <w:t>MDG </w:t>
      </w:r>
      <w:r w:rsidRPr="004E570B">
        <w:t xml:space="preserve">4. This is in part because of the difficulty in measuring the maternal mortality ratio and </w:t>
      </w:r>
      <w:r w:rsidR="00D344AC" w:rsidRPr="004E570B">
        <w:t xml:space="preserve">the </w:t>
      </w:r>
      <w:r w:rsidRPr="004E570B">
        <w:t>lack of confidence in some of the estimates that do exist.</w:t>
      </w:r>
      <w:r w:rsidR="004E40E6" w:rsidRPr="004E570B">
        <w:t xml:space="preserve"> </w:t>
      </w:r>
      <w:r w:rsidR="00EE4785" w:rsidRPr="004E570B">
        <w:t>Table </w:t>
      </w:r>
      <w:r w:rsidR="003F7C05" w:rsidRPr="004E570B">
        <w:t>1</w:t>
      </w:r>
      <w:r w:rsidRPr="004E570B">
        <w:t xml:space="preserve"> shows </w:t>
      </w:r>
      <w:r w:rsidR="004E40E6" w:rsidRPr="004E570B">
        <w:t xml:space="preserve">maternal mortality ratios </w:t>
      </w:r>
      <w:r w:rsidRPr="004E570B">
        <w:t>for 1996 and 2007 for Australia</w:t>
      </w:r>
      <w:r w:rsidR="00D344AC" w:rsidRPr="004E570B">
        <w:t>, Papua New Guinea</w:t>
      </w:r>
      <w:r w:rsidRPr="004E570B">
        <w:t xml:space="preserve"> and </w:t>
      </w:r>
      <w:r w:rsidR="00D344AC" w:rsidRPr="004E570B">
        <w:t xml:space="preserve">nine </w:t>
      </w:r>
      <w:r w:rsidRPr="004E570B">
        <w:t xml:space="preserve">Asian countries as reported by </w:t>
      </w:r>
      <w:r w:rsidR="00382543" w:rsidRPr="004E570B">
        <w:t>the United Nations Population Fund (</w:t>
      </w:r>
      <w:r w:rsidRPr="004E570B">
        <w:t>UNFPA</w:t>
      </w:r>
      <w:r w:rsidR="00382543" w:rsidRPr="004E570B">
        <w:t>)</w:t>
      </w:r>
      <w:r w:rsidRPr="004E570B">
        <w:t xml:space="preserve">. Although </w:t>
      </w:r>
      <w:r w:rsidR="00442B2D" w:rsidRPr="004E570B">
        <w:t xml:space="preserve">4 </w:t>
      </w:r>
      <w:r w:rsidRPr="004E570B">
        <w:t xml:space="preserve">of the 10 developing countries reduced by half or more their </w:t>
      </w:r>
      <w:r w:rsidR="004E40E6" w:rsidRPr="004E570B">
        <w:t xml:space="preserve">maternal mortality ratios </w:t>
      </w:r>
      <w:r w:rsidRPr="004E570B">
        <w:t xml:space="preserve">in that period the ratios remain very high. In four other countries the reduction </w:t>
      </w:r>
      <w:r w:rsidR="00D344AC" w:rsidRPr="004E570B">
        <w:t>was</w:t>
      </w:r>
      <w:r w:rsidRPr="004E570B">
        <w:t xml:space="preserve"> minimal or there </w:t>
      </w:r>
      <w:r w:rsidR="00D344AC" w:rsidRPr="004E570B">
        <w:t xml:space="preserve">was </w:t>
      </w:r>
      <w:r w:rsidRPr="004E570B">
        <w:t xml:space="preserve">no change and in Pakistan and Afghanistan there was an increase. There are few reliable estimates of </w:t>
      </w:r>
      <w:r w:rsidR="004E40E6" w:rsidRPr="004E570B">
        <w:t xml:space="preserve">maternal mortality ratios </w:t>
      </w:r>
      <w:r w:rsidRPr="004E570B">
        <w:t>for Pacific countries.</w:t>
      </w:r>
    </w:p>
    <w:p w:rsidR="001D3BBA" w:rsidRPr="004E570B" w:rsidRDefault="001D3BBA" w:rsidP="004E570B">
      <w:pPr>
        <w:pStyle w:val="BodyText"/>
      </w:pPr>
      <w:r w:rsidRPr="004E570B">
        <w:t>High rates of death in pregnancy and childbirth continue to occur despite repeated assertions by developing countries and development agencies alike of the importance of reducing maternal mortality.</w:t>
      </w:r>
    </w:p>
    <w:p w:rsidR="001D3BBA" w:rsidRPr="004E570B" w:rsidRDefault="001D3BBA" w:rsidP="004E570B">
      <w:pPr>
        <w:pStyle w:val="Caption"/>
        <w:rPr>
          <w:color w:val="auto"/>
        </w:rPr>
      </w:pPr>
      <w:r w:rsidRPr="004E570B">
        <w:rPr>
          <w:color w:val="auto"/>
        </w:rPr>
        <w:t xml:space="preserve">Table </w:t>
      </w:r>
      <w:r w:rsidRPr="004E570B">
        <w:rPr>
          <w:color w:val="auto"/>
        </w:rPr>
        <w:fldChar w:fldCharType="begin"/>
      </w:r>
      <w:r w:rsidRPr="004E570B">
        <w:rPr>
          <w:color w:val="auto"/>
        </w:rPr>
        <w:instrText xml:space="preserve"> SEQ Table \* MERGEFORMAT </w:instrText>
      </w:r>
      <w:r w:rsidRPr="004E570B">
        <w:rPr>
          <w:color w:val="auto"/>
        </w:rPr>
        <w:fldChar w:fldCharType="separate"/>
      </w:r>
      <w:r w:rsidR="00B33206" w:rsidRPr="004E570B">
        <w:rPr>
          <w:noProof/>
          <w:color w:val="auto"/>
        </w:rPr>
        <w:t>1</w:t>
      </w:r>
      <w:r w:rsidRPr="004E570B">
        <w:rPr>
          <w:color w:val="auto"/>
        </w:rPr>
        <w:fldChar w:fldCharType="end"/>
      </w:r>
      <w:r w:rsidRPr="004E570B">
        <w:rPr>
          <w:color w:val="auto"/>
        </w:rPr>
        <w:t>: Maternal mortality ratios</w:t>
      </w:r>
      <w:r w:rsidR="00382543" w:rsidRPr="004E570B">
        <w:rPr>
          <w:rStyle w:val="NoteLabel"/>
        </w:rPr>
        <w:t>a</w:t>
      </w:r>
      <w:r w:rsidRPr="004E570B">
        <w:rPr>
          <w:color w:val="auto"/>
        </w:rPr>
        <w:t xml:space="preserve"> in selected countries, 1996 and 2007</w:t>
      </w:r>
    </w:p>
    <w:tbl>
      <w:tblPr>
        <w:tblStyle w:val="TableGrid"/>
        <w:tblW w:w="4868"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1"/>
        <w:tblDescription w:val="Maternal mortality ratiosa in selected countries, 1996 and 2007"/>
      </w:tblPr>
      <w:tblGrid>
        <w:gridCol w:w="2912"/>
        <w:gridCol w:w="2662"/>
        <w:gridCol w:w="2264"/>
      </w:tblGrid>
      <w:tr w:rsidR="001D3BBA" w:rsidRPr="004E570B" w:rsidTr="00092D69">
        <w:trPr>
          <w:cantSplit/>
          <w:tblHeader/>
        </w:trPr>
        <w:tc>
          <w:tcPr>
            <w:tcW w:w="2912" w:type="dxa"/>
            <w:tcBorders>
              <w:bottom w:val="single" w:sz="12" w:space="0" w:color="auto"/>
            </w:tcBorders>
            <w:tcMar>
              <w:left w:w="57" w:type="dxa"/>
              <w:right w:w="57" w:type="dxa"/>
            </w:tcMar>
          </w:tcPr>
          <w:p w:rsidR="001D3BBA" w:rsidRPr="004E570B" w:rsidRDefault="001D3BBA" w:rsidP="004E570B">
            <w:pPr>
              <w:pStyle w:val="TableDataColumnHeading"/>
              <w:jc w:val="left"/>
            </w:pPr>
            <w:r w:rsidRPr="004E570B">
              <w:t>Country</w:t>
            </w:r>
          </w:p>
        </w:tc>
        <w:tc>
          <w:tcPr>
            <w:tcW w:w="2662" w:type="dxa"/>
            <w:tcBorders>
              <w:bottom w:val="single" w:sz="12" w:space="0" w:color="auto"/>
            </w:tcBorders>
            <w:tcMar>
              <w:left w:w="57" w:type="dxa"/>
              <w:right w:w="57" w:type="dxa"/>
            </w:tcMar>
          </w:tcPr>
          <w:p w:rsidR="001D3BBA" w:rsidRPr="004E570B" w:rsidRDefault="001D3BBA" w:rsidP="004E570B">
            <w:pPr>
              <w:pStyle w:val="TableDataColumnHeading"/>
            </w:pPr>
            <w:r w:rsidRPr="004E570B">
              <w:t>1996 report</w:t>
            </w:r>
          </w:p>
        </w:tc>
        <w:tc>
          <w:tcPr>
            <w:tcW w:w="2264" w:type="dxa"/>
            <w:tcBorders>
              <w:bottom w:val="single" w:sz="12" w:space="0" w:color="auto"/>
            </w:tcBorders>
            <w:tcMar>
              <w:left w:w="57" w:type="dxa"/>
              <w:right w:w="57" w:type="dxa"/>
            </w:tcMar>
          </w:tcPr>
          <w:p w:rsidR="001D3BBA" w:rsidRPr="004E570B" w:rsidRDefault="001D3BBA" w:rsidP="004E570B">
            <w:pPr>
              <w:pStyle w:val="TableDataColumnHeading"/>
            </w:pPr>
            <w:r w:rsidRPr="004E570B">
              <w:t xml:space="preserve">2007 report </w:t>
            </w:r>
          </w:p>
        </w:tc>
      </w:tr>
      <w:tr w:rsidR="001D3BBA" w:rsidRPr="004E570B" w:rsidTr="00092D69">
        <w:trPr>
          <w:cantSplit/>
        </w:trPr>
        <w:tc>
          <w:tcPr>
            <w:tcW w:w="2912" w:type="dxa"/>
            <w:tcMar>
              <w:left w:w="57" w:type="dxa"/>
              <w:right w:w="57" w:type="dxa"/>
            </w:tcMar>
          </w:tcPr>
          <w:p w:rsidR="001D3BBA" w:rsidRPr="004E570B" w:rsidRDefault="001D3BBA" w:rsidP="004E570B">
            <w:pPr>
              <w:pStyle w:val="TableDataEntries"/>
              <w:jc w:val="left"/>
            </w:pPr>
            <w:r w:rsidRPr="004E570B">
              <w:t>Indonesia</w:t>
            </w:r>
          </w:p>
        </w:tc>
        <w:tc>
          <w:tcPr>
            <w:tcW w:w="2662" w:type="dxa"/>
            <w:tcMar>
              <w:left w:w="57" w:type="dxa"/>
              <w:right w:w="57" w:type="dxa"/>
            </w:tcMar>
          </w:tcPr>
          <w:p w:rsidR="001D3BBA" w:rsidRPr="004E570B" w:rsidRDefault="001D3BBA" w:rsidP="004E570B">
            <w:pPr>
              <w:pStyle w:val="TableDataEntries"/>
            </w:pPr>
            <w:r w:rsidRPr="004E570B">
              <w:t>650</w:t>
            </w:r>
          </w:p>
        </w:tc>
        <w:tc>
          <w:tcPr>
            <w:tcW w:w="2264" w:type="dxa"/>
            <w:tcMar>
              <w:left w:w="57" w:type="dxa"/>
              <w:right w:w="57" w:type="dxa"/>
            </w:tcMar>
          </w:tcPr>
          <w:p w:rsidR="001D3BBA" w:rsidRPr="004E570B" w:rsidRDefault="001D3BBA" w:rsidP="004E570B">
            <w:pPr>
              <w:pStyle w:val="TableDataEntries"/>
            </w:pPr>
            <w:r w:rsidRPr="004E570B">
              <w:t>230</w:t>
            </w:r>
          </w:p>
        </w:tc>
      </w:tr>
      <w:tr w:rsidR="001D3BBA" w:rsidRPr="004E570B" w:rsidTr="00092D69">
        <w:trPr>
          <w:cantSplit/>
        </w:trPr>
        <w:tc>
          <w:tcPr>
            <w:tcW w:w="2912" w:type="dxa"/>
            <w:tcMar>
              <w:left w:w="57" w:type="dxa"/>
              <w:right w:w="57" w:type="dxa"/>
            </w:tcMar>
          </w:tcPr>
          <w:p w:rsidR="001D3BBA" w:rsidRPr="004E570B" w:rsidRDefault="001D3BBA" w:rsidP="004E570B">
            <w:pPr>
              <w:pStyle w:val="TableDataEntries"/>
              <w:jc w:val="left"/>
            </w:pPr>
            <w:r w:rsidRPr="004E570B">
              <w:t>Papua New Guinea</w:t>
            </w:r>
          </w:p>
        </w:tc>
        <w:tc>
          <w:tcPr>
            <w:tcW w:w="2662" w:type="dxa"/>
            <w:tcMar>
              <w:left w:w="57" w:type="dxa"/>
              <w:right w:w="57" w:type="dxa"/>
            </w:tcMar>
          </w:tcPr>
          <w:p w:rsidR="001D3BBA" w:rsidRPr="004E570B" w:rsidRDefault="001D3BBA" w:rsidP="004E570B">
            <w:pPr>
              <w:pStyle w:val="TableDataEntries"/>
            </w:pPr>
            <w:r w:rsidRPr="004E570B">
              <w:t>930</w:t>
            </w:r>
          </w:p>
        </w:tc>
        <w:tc>
          <w:tcPr>
            <w:tcW w:w="2264" w:type="dxa"/>
            <w:tcMar>
              <w:left w:w="57" w:type="dxa"/>
              <w:right w:w="57" w:type="dxa"/>
            </w:tcMar>
          </w:tcPr>
          <w:p w:rsidR="001D3BBA" w:rsidRPr="004E570B" w:rsidRDefault="001D3BBA" w:rsidP="004E570B">
            <w:pPr>
              <w:pStyle w:val="TableDataEntries"/>
            </w:pPr>
            <w:r w:rsidRPr="004E570B">
              <w:t>830</w:t>
            </w:r>
          </w:p>
        </w:tc>
      </w:tr>
      <w:tr w:rsidR="001D3BBA" w:rsidRPr="004E570B" w:rsidTr="00092D69">
        <w:trPr>
          <w:cantSplit/>
        </w:trPr>
        <w:tc>
          <w:tcPr>
            <w:tcW w:w="2912" w:type="dxa"/>
            <w:tcMar>
              <w:left w:w="57" w:type="dxa"/>
              <w:right w:w="57" w:type="dxa"/>
            </w:tcMar>
          </w:tcPr>
          <w:p w:rsidR="001D3BBA" w:rsidRPr="004E570B" w:rsidRDefault="001D3BBA" w:rsidP="004E570B">
            <w:pPr>
              <w:pStyle w:val="TableDataEntries"/>
              <w:jc w:val="left"/>
            </w:pPr>
            <w:r w:rsidRPr="004E570B">
              <w:t>Bangladesh</w:t>
            </w:r>
          </w:p>
        </w:tc>
        <w:tc>
          <w:tcPr>
            <w:tcW w:w="2662" w:type="dxa"/>
            <w:tcMar>
              <w:left w:w="57" w:type="dxa"/>
              <w:right w:w="57" w:type="dxa"/>
            </w:tcMar>
          </w:tcPr>
          <w:p w:rsidR="001D3BBA" w:rsidRPr="004E570B" w:rsidRDefault="001D3BBA" w:rsidP="004E570B">
            <w:pPr>
              <w:pStyle w:val="TableDataEntries"/>
            </w:pPr>
            <w:r w:rsidRPr="004E570B">
              <w:t>850</w:t>
            </w:r>
          </w:p>
        </w:tc>
        <w:tc>
          <w:tcPr>
            <w:tcW w:w="2264" w:type="dxa"/>
            <w:tcMar>
              <w:left w:w="57" w:type="dxa"/>
              <w:right w:w="57" w:type="dxa"/>
            </w:tcMar>
          </w:tcPr>
          <w:p w:rsidR="001D3BBA" w:rsidRPr="004E570B" w:rsidRDefault="001D3BBA" w:rsidP="004E570B">
            <w:pPr>
              <w:pStyle w:val="TableDataEntries"/>
            </w:pPr>
            <w:r w:rsidRPr="004E570B">
              <w:t>380</w:t>
            </w:r>
          </w:p>
        </w:tc>
      </w:tr>
      <w:tr w:rsidR="001D3BBA" w:rsidRPr="004E570B" w:rsidTr="00092D69">
        <w:trPr>
          <w:cantSplit/>
        </w:trPr>
        <w:tc>
          <w:tcPr>
            <w:tcW w:w="2912" w:type="dxa"/>
            <w:tcMar>
              <w:left w:w="57" w:type="dxa"/>
              <w:right w:w="57" w:type="dxa"/>
            </w:tcMar>
          </w:tcPr>
          <w:p w:rsidR="001D3BBA" w:rsidRPr="004E570B" w:rsidRDefault="001D3BBA" w:rsidP="004E570B">
            <w:pPr>
              <w:pStyle w:val="TableDataEntries"/>
              <w:jc w:val="left"/>
            </w:pPr>
            <w:r w:rsidRPr="004E570B">
              <w:t>Cambodia</w:t>
            </w:r>
          </w:p>
        </w:tc>
        <w:tc>
          <w:tcPr>
            <w:tcW w:w="2662" w:type="dxa"/>
            <w:tcMar>
              <w:left w:w="57" w:type="dxa"/>
              <w:right w:w="57" w:type="dxa"/>
            </w:tcMar>
          </w:tcPr>
          <w:p w:rsidR="001D3BBA" w:rsidRPr="004E570B" w:rsidRDefault="001D3BBA" w:rsidP="004E570B">
            <w:pPr>
              <w:pStyle w:val="TableDataEntries"/>
            </w:pPr>
            <w:r w:rsidRPr="004E570B">
              <w:t>900</w:t>
            </w:r>
          </w:p>
        </w:tc>
        <w:tc>
          <w:tcPr>
            <w:tcW w:w="2264" w:type="dxa"/>
            <w:tcMar>
              <w:left w:w="57" w:type="dxa"/>
              <w:right w:w="57" w:type="dxa"/>
            </w:tcMar>
          </w:tcPr>
          <w:p w:rsidR="001D3BBA" w:rsidRPr="004E570B" w:rsidRDefault="001D3BBA" w:rsidP="004E570B">
            <w:pPr>
              <w:pStyle w:val="TableDataEntries"/>
            </w:pPr>
            <w:r w:rsidRPr="004E570B">
              <w:t>450</w:t>
            </w:r>
          </w:p>
        </w:tc>
      </w:tr>
      <w:tr w:rsidR="001D3BBA" w:rsidRPr="004E570B" w:rsidTr="00092D69">
        <w:trPr>
          <w:cantSplit/>
        </w:trPr>
        <w:tc>
          <w:tcPr>
            <w:tcW w:w="2912" w:type="dxa"/>
            <w:tcMar>
              <w:left w:w="57" w:type="dxa"/>
              <w:right w:w="57" w:type="dxa"/>
            </w:tcMar>
          </w:tcPr>
          <w:p w:rsidR="001D3BBA" w:rsidRPr="004E570B" w:rsidRDefault="001D3BBA" w:rsidP="004E570B">
            <w:pPr>
              <w:pStyle w:val="TableDataEntries"/>
              <w:jc w:val="left"/>
            </w:pPr>
            <w:r w:rsidRPr="004E570B">
              <w:t>Pakistan</w:t>
            </w:r>
          </w:p>
        </w:tc>
        <w:tc>
          <w:tcPr>
            <w:tcW w:w="2662" w:type="dxa"/>
            <w:tcMar>
              <w:left w:w="57" w:type="dxa"/>
              <w:right w:w="57" w:type="dxa"/>
            </w:tcMar>
          </w:tcPr>
          <w:p w:rsidR="001D3BBA" w:rsidRPr="004E570B" w:rsidRDefault="001D3BBA" w:rsidP="004E570B">
            <w:pPr>
              <w:pStyle w:val="TableDataEntries"/>
            </w:pPr>
            <w:r w:rsidRPr="004E570B">
              <w:t>340</w:t>
            </w:r>
          </w:p>
        </w:tc>
        <w:tc>
          <w:tcPr>
            <w:tcW w:w="2264" w:type="dxa"/>
            <w:tcMar>
              <w:left w:w="57" w:type="dxa"/>
              <w:right w:w="57" w:type="dxa"/>
            </w:tcMar>
          </w:tcPr>
          <w:p w:rsidR="001D3BBA" w:rsidRPr="004E570B" w:rsidRDefault="001D3BBA" w:rsidP="004E570B">
            <w:pPr>
              <w:pStyle w:val="TableDataEntries"/>
            </w:pPr>
            <w:r w:rsidRPr="004E570B">
              <w:t>500</w:t>
            </w:r>
          </w:p>
        </w:tc>
      </w:tr>
      <w:tr w:rsidR="001D3BBA" w:rsidRPr="004E570B" w:rsidTr="00092D69">
        <w:trPr>
          <w:cantSplit/>
        </w:trPr>
        <w:tc>
          <w:tcPr>
            <w:tcW w:w="2912" w:type="dxa"/>
            <w:tcMar>
              <w:left w:w="57" w:type="dxa"/>
              <w:right w:w="57" w:type="dxa"/>
            </w:tcMar>
          </w:tcPr>
          <w:p w:rsidR="001D3BBA" w:rsidRPr="004E570B" w:rsidRDefault="001D3BBA" w:rsidP="004E570B">
            <w:pPr>
              <w:pStyle w:val="TableDataEntries"/>
              <w:jc w:val="left"/>
            </w:pPr>
            <w:r w:rsidRPr="004E570B">
              <w:t>India</w:t>
            </w:r>
          </w:p>
        </w:tc>
        <w:tc>
          <w:tcPr>
            <w:tcW w:w="2662" w:type="dxa"/>
            <w:tcMar>
              <w:left w:w="57" w:type="dxa"/>
              <w:right w:w="57" w:type="dxa"/>
            </w:tcMar>
          </w:tcPr>
          <w:p w:rsidR="001D3BBA" w:rsidRPr="004E570B" w:rsidRDefault="001D3BBA" w:rsidP="004E570B">
            <w:pPr>
              <w:pStyle w:val="TableDataEntries"/>
            </w:pPr>
            <w:r w:rsidRPr="004E570B">
              <w:t>570</w:t>
            </w:r>
          </w:p>
        </w:tc>
        <w:tc>
          <w:tcPr>
            <w:tcW w:w="2264" w:type="dxa"/>
            <w:tcMar>
              <w:left w:w="57" w:type="dxa"/>
              <w:right w:w="57" w:type="dxa"/>
            </w:tcMar>
          </w:tcPr>
          <w:p w:rsidR="001D3BBA" w:rsidRPr="004E570B" w:rsidRDefault="001D3BBA" w:rsidP="004E570B">
            <w:pPr>
              <w:pStyle w:val="TableDataEntries"/>
            </w:pPr>
            <w:r w:rsidRPr="004E570B">
              <w:t>540</w:t>
            </w:r>
          </w:p>
        </w:tc>
      </w:tr>
      <w:tr w:rsidR="001D3BBA" w:rsidRPr="004E570B" w:rsidTr="00092D69">
        <w:trPr>
          <w:cantSplit/>
        </w:trPr>
        <w:tc>
          <w:tcPr>
            <w:tcW w:w="2912" w:type="dxa"/>
            <w:tcMar>
              <w:left w:w="57" w:type="dxa"/>
              <w:right w:w="57" w:type="dxa"/>
            </w:tcMar>
          </w:tcPr>
          <w:p w:rsidR="001D3BBA" w:rsidRPr="004E570B" w:rsidRDefault="001D3BBA" w:rsidP="004E570B">
            <w:pPr>
              <w:pStyle w:val="TableDataEntries"/>
              <w:jc w:val="left"/>
            </w:pPr>
            <w:r w:rsidRPr="004E570B">
              <w:t>Lao</w:t>
            </w:r>
            <w:r w:rsidR="00C10F73" w:rsidRPr="004E570B">
              <w:t>s</w:t>
            </w:r>
          </w:p>
        </w:tc>
        <w:tc>
          <w:tcPr>
            <w:tcW w:w="2662" w:type="dxa"/>
            <w:tcMar>
              <w:left w:w="57" w:type="dxa"/>
              <w:right w:w="57" w:type="dxa"/>
            </w:tcMar>
          </w:tcPr>
          <w:p w:rsidR="001D3BBA" w:rsidRPr="004E570B" w:rsidRDefault="001D3BBA" w:rsidP="004E570B">
            <w:pPr>
              <w:pStyle w:val="TableDataEntries"/>
            </w:pPr>
            <w:r w:rsidRPr="004E570B">
              <w:t>650</w:t>
            </w:r>
          </w:p>
        </w:tc>
        <w:tc>
          <w:tcPr>
            <w:tcW w:w="2264" w:type="dxa"/>
            <w:tcMar>
              <w:left w:w="57" w:type="dxa"/>
              <w:right w:w="57" w:type="dxa"/>
            </w:tcMar>
          </w:tcPr>
          <w:p w:rsidR="001D3BBA" w:rsidRPr="004E570B" w:rsidRDefault="001D3BBA" w:rsidP="004E570B">
            <w:pPr>
              <w:pStyle w:val="TableDataEntries"/>
            </w:pPr>
            <w:r w:rsidRPr="004E570B">
              <w:t>650</w:t>
            </w:r>
          </w:p>
        </w:tc>
      </w:tr>
      <w:tr w:rsidR="001D3BBA" w:rsidRPr="004E570B" w:rsidTr="00092D69">
        <w:trPr>
          <w:cantSplit/>
        </w:trPr>
        <w:tc>
          <w:tcPr>
            <w:tcW w:w="2912" w:type="dxa"/>
            <w:tcMar>
              <w:left w:w="57" w:type="dxa"/>
              <w:right w:w="57" w:type="dxa"/>
            </w:tcMar>
          </w:tcPr>
          <w:p w:rsidR="001D3BBA" w:rsidRPr="004E570B" w:rsidRDefault="001D3BBA" w:rsidP="004E570B">
            <w:pPr>
              <w:pStyle w:val="TableDataEntries"/>
              <w:jc w:val="left"/>
            </w:pPr>
            <w:r w:rsidRPr="004E570B">
              <w:t>East Timor</w:t>
            </w:r>
          </w:p>
        </w:tc>
        <w:tc>
          <w:tcPr>
            <w:tcW w:w="2662" w:type="dxa"/>
            <w:tcMar>
              <w:left w:w="57" w:type="dxa"/>
              <w:right w:w="57" w:type="dxa"/>
            </w:tcMar>
          </w:tcPr>
          <w:p w:rsidR="001D3BBA" w:rsidRPr="004E570B" w:rsidRDefault="008535F2" w:rsidP="004E570B">
            <w:pPr>
              <w:pStyle w:val="TableDataEntries"/>
            </w:pPr>
            <w:r w:rsidRPr="004E570B">
              <w:t>–</w:t>
            </w:r>
          </w:p>
        </w:tc>
        <w:tc>
          <w:tcPr>
            <w:tcW w:w="2264" w:type="dxa"/>
            <w:tcMar>
              <w:left w:w="57" w:type="dxa"/>
              <w:right w:w="57" w:type="dxa"/>
            </w:tcMar>
          </w:tcPr>
          <w:p w:rsidR="001D3BBA" w:rsidRPr="004E570B" w:rsidRDefault="001D3BBA" w:rsidP="004E570B">
            <w:pPr>
              <w:pStyle w:val="TableDataEntries"/>
            </w:pPr>
            <w:r w:rsidRPr="004E570B">
              <w:t>660</w:t>
            </w:r>
          </w:p>
        </w:tc>
      </w:tr>
      <w:tr w:rsidR="001D3BBA" w:rsidRPr="004E570B" w:rsidTr="00092D69">
        <w:trPr>
          <w:cantSplit/>
        </w:trPr>
        <w:tc>
          <w:tcPr>
            <w:tcW w:w="2912" w:type="dxa"/>
            <w:tcMar>
              <w:left w:w="57" w:type="dxa"/>
              <w:right w:w="57" w:type="dxa"/>
            </w:tcMar>
          </w:tcPr>
          <w:p w:rsidR="001D3BBA" w:rsidRPr="004E570B" w:rsidRDefault="001D3BBA" w:rsidP="004E570B">
            <w:pPr>
              <w:pStyle w:val="TableDataEntries"/>
              <w:jc w:val="left"/>
            </w:pPr>
            <w:r w:rsidRPr="004E570B">
              <w:t>Nepal</w:t>
            </w:r>
          </w:p>
        </w:tc>
        <w:tc>
          <w:tcPr>
            <w:tcW w:w="2662" w:type="dxa"/>
            <w:tcMar>
              <w:left w:w="57" w:type="dxa"/>
              <w:right w:w="57" w:type="dxa"/>
            </w:tcMar>
          </w:tcPr>
          <w:p w:rsidR="001D3BBA" w:rsidRPr="004E570B" w:rsidRDefault="001D3BBA" w:rsidP="004E570B">
            <w:pPr>
              <w:pStyle w:val="TableDataEntries"/>
            </w:pPr>
            <w:r w:rsidRPr="004E570B">
              <w:t>1500</w:t>
            </w:r>
          </w:p>
        </w:tc>
        <w:tc>
          <w:tcPr>
            <w:tcW w:w="2264" w:type="dxa"/>
            <w:tcMar>
              <w:left w:w="57" w:type="dxa"/>
              <w:right w:w="57" w:type="dxa"/>
            </w:tcMar>
          </w:tcPr>
          <w:p w:rsidR="001D3BBA" w:rsidRPr="004E570B" w:rsidRDefault="001D3BBA" w:rsidP="004E570B">
            <w:pPr>
              <w:pStyle w:val="TableDataEntries"/>
            </w:pPr>
            <w:r w:rsidRPr="004E570B">
              <w:t>740</w:t>
            </w:r>
          </w:p>
        </w:tc>
      </w:tr>
      <w:tr w:rsidR="001D3BBA" w:rsidRPr="004E570B" w:rsidTr="00092D69">
        <w:trPr>
          <w:cantSplit/>
        </w:trPr>
        <w:tc>
          <w:tcPr>
            <w:tcW w:w="2912" w:type="dxa"/>
            <w:tcMar>
              <w:left w:w="57" w:type="dxa"/>
              <w:right w:w="57" w:type="dxa"/>
            </w:tcMar>
          </w:tcPr>
          <w:p w:rsidR="001D3BBA" w:rsidRPr="004E570B" w:rsidRDefault="001D3BBA" w:rsidP="004E570B">
            <w:pPr>
              <w:pStyle w:val="TableDataEntries"/>
              <w:jc w:val="left"/>
            </w:pPr>
            <w:r w:rsidRPr="004E570B">
              <w:t>Afghanistan</w:t>
            </w:r>
          </w:p>
        </w:tc>
        <w:tc>
          <w:tcPr>
            <w:tcW w:w="2662" w:type="dxa"/>
            <w:tcMar>
              <w:left w:w="57" w:type="dxa"/>
              <w:right w:w="57" w:type="dxa"/>
            </w:tcMar>
          </w:tcPr>
          <w:p w:rsidR="001D3BBA" w:rsidRPr="004E570B" w:rsidRDefault="001D3BBA" w:rsidP="004E570B">
            <w:pPr>
              <w:pStyle w:val="TableDataEntries"/>
            </w:pPr>
            <w:r w:rsidRPr="004E570B">
              <w:t>1700</w:t>
            </w:r>
          </w:p>
        </w:tc>
        <w:tc>
          <w:tcPr>
            <w:tcW w:w="2264" w:type="dxa"/>
            <w:tcMar>
              <w:left w:w="57" w:type="dxa"/>
              <w:right w:w="57" w:type="dxa"/>
            </w:tcMar>
          </w:tcPr>
          <w:p w:rsidR="001D3BBA" w:rsidRPr="004E570B" w:rsidRDefault="001D3BBA" w:rsidP="004E570B">
            <w:pPr>
              <w:pStyle w:val="TableDataEntries"/>
            </w:pPr>
            <w:r w:rsidRPr="004E570B">
              <w:t>1900</w:t>
            </w:r>
          </w:p>
        </w:tc>
      </w:tr>
      <w:tr w:rsidR="00903057" w:rsidRPr="004E570B" w:rsidTr="00092D69">
        <w:trPr>
          <w:cantSplit/>
        </w:trPr>
        <w:tc>
          <w:tcPr>
            <w:tcW w:w="2912" w:type="dxa"/>
            <w:tcBorders>
              <w:bottom w:val="single" w:sz="12" w:space="0" w:color="auto"/>
            </w:tcBorders>
            <w:tcMar>
              <w:left w:w="57" w:type="dxa"/>
              <w:right w:w="57" w:type="dxa"/>
            </w:tcMar>
          </w:tcPr>
          <w:p w:rsidR="00903057" w:rsidRPr="004E570B" w:rsidRDefault="00903057" w:rsidP="004E570B">
            <w:pPr>
              <w:pStyle w:val="TableDataEntries"/>
              <w:jc w:val="left"/>
            </w:pPr>
            <w:r w:rsidRPr="004E570B">
              <w:lastRenderedPageBreak/>
              <w:t>Australia</w:t>
            </w:r>
          </w:p>
        </w:tc>
        <w:tc>
          <w:tcPr>
            <w:tcW w:w="2662" w:type="dxa"/>
            <w:tcBorders>
              <w:bottom w:val="single" w:sz="12" w:space="0" w:color="auto"/>
            </w:tcBorders>
            <w:tcMar>
              <w:left w:w="57" w:type="dxa"/>
              <w:right w:w="57" w:type="dxa"/>
            </w:tcMar>
          </w:tcPr>
          <w:p w:rsidR="00903057" w:rsidRPr="004E570B" w:rsidRDefault="00903057" w:rsidP="004E570B">
            <w:pPr>
              <w:pStyle w:val="TableDataEntries"/>
            </w:pPr>
            <w:r w:rsidRPr="004E570B">
              <w:t>9</w:t>
            </w:r>
          </w:p>
        </w:tc>
        <w:tc>
          <w:tcPr>
            <w:tcW w:w="2264" w:type="dxa"/>
            <w:tcBorders>
              <w:bottom w:val="single" w:sz="12" w:space="0" w:color="auto"/>
            </w:tcBorders>
            <w:tcMar>
              <w:left w:w="57" w:type="dxa"/>
              <w:right w:w="57" w:type="dxa"/>
            </w:tcMar>
          </w:tcPr>
          <w:p w:rsidR="00903057" w:rsidRPr="004E570B" w:rsidRDefault="00903057" w:rsidP="004E570B">
            <w:pPr>
              <w:pStyle w:val="TableDataEntries"/>
            </w:pPr>
            <w:r w:rsidRPr="004E570B">
              <w:t>8</w:t>
            </w:r>
          </w:p>
        </w:tc>
      </w:tr>
    </w:tbl>
    <w:p w:rsidR="00D344AC" w:rsidRPr="004E570B" w:rsidRDefault="008C7A40" w:rsidP="00877C04">
      <w:pPr>
        <w:pStyle w:val="NoteNumber"/>
        <w:numPr>
          <w:ilvl w:val="0"/>
          <w:numId w:val="21"/>
        </w:numPr>
        <w:ind w:firstLine="0"/>
      </w:pPr>
      <w:r w:rsidRPr="004E570B">
        <w:t>The</w:t>
      </w:r>
      <w:r w:rsidRPr="004E570B">
        <w:rPr>
          <w:rFonts w:ascii="Arial" w:hAnsi="Arial" w:cs="Arial"/>
        </w:rPr>
        <w:t xml:space="preserve"> </w:t>
      </w:r>
      <w:r w:rsidRPr="004E570B">
        <w:t>number of maternal deaths per 100 000 live births.</w:t>
      </w:r>
    </w:p>
    <w:p w:rsidR="001D3BBA" w:rsidRPr="004E570B" w:rsidRDefault="001D3BBA" w:rsidP="004E570B">
      <w:pPr>
        <w:pStyle w:val="Source"/>
      </w:pPr>
      <w:r w:rsidRPr="004E570B">
        <w:t xml:space="preserve">Source: </w:t>
      </w:r>
      <w:r w:rsidR="00805A94" w:rsidRPr="004E570B">
        <w:t xml:space="preserve">UNFPA State of the World Population 1996 &amp; 2007, except </w:t>
      </w:r>
      <w:r w:rsidR="00D344AC" w:rsidRPr="004E570B">
        <w:t xml:space="preserve">for Papua New Guinea’s </w:t>
      </w:r>
      <w:r w:rsidR="00805A94" w:rsidRPr="004E570B">
        <w:t>later figure</w:t>
      </w:r>
      <w:r w:rsidR="00D344AC" w:rsidRPr="004E570B">
        <w:t>, which</w:t>
      </w:r>
      <w:r w:rsidR="004E40E6" w:rsidRPr="004E570B">
        <w:t xml:space="preserve"> </w:t>
      </w:r>
      <w:r w:rsidR="00805A94" w:rsidRPr="004E570B">
        <w:t>is based on the 2006 National Demographic and Health Survey.</w:t>
      </w:r>
    </w:p>
    <w:p w:rsidR="001D3BBA" w:rsidRPr="004E570B" w:rsidRDefault="001D3BBA" w:rsidP="004E570B">
      <w:pPr>
        <w:pStyle w:val="BodyText"/>
      </w:pPr>
      <w:r w:rsidRPr="004E570B">
        <w:t xml:space="preserve">Two other indicators under </w:t>
      </w:r>
      <w:r w:rsidR="008B1872" w:rsidRPr="004E570B">
        <w:t>MDG </w:t>
      </w:r>
      <w:r w:rsidRPr="004E570B">
        <w:t>5 are the proportion of births attended by skilled personnel and the contraceptive prevalence rate</w:t>
      </w:r>
      <w:r w:rsidR="00382543" w:rsidRPr="004E570B">
        <w:t>—</w:t>
      </w:r>
      <w:r w:rsidRPr="004E570B">
        <w:t xml:space="preserve">the proportion of women of child-bearing age using (or whose partners are using) contraception. Figure 3 shows recent estimates for these indicators along with the </w:t>
      </w:r>
      <w:r w:rsidR="004E40E6" w:rsidRPr="004E570B">
        <w:t>maternal mortality ratio</w:t>
      </w:r>
      <w:r w:rsidRPr="004E570B">
        <w:t>. As a general</w:t>
      </w:r>
      <w:r w:rsidR="00651EFB" w:rsidRPr="004E570B">
        <w:t>is</w:t>
      </w:r>
      <w:r w:rsidRPr="004E570B">
        <w:t xml:space="preserve">ation, where access to skilled birth attendance is low, </w:t>
      </w:r>
      <w:r w:rsidR="004E40E6" w:rsidRPr="004E570B">
        <w:t>the maternal mortality ratio</w:t>
      </w:r>
      <w:r w:rsidRPr="004E570B">
        <w:t xml:space="preserve"> is high. It is also the case that where access to contraception is low, </w:t>
      </w:r>
      <w:r w:rsidR="00382543" w:rsidRPr="004E570B">
        <w:t xml:space="preserve">women who are too young become pregnant, </w:t>
      </w:r>
      <w:r w:rsidRPr="004E570B">
        <w:t xml:space="preserve">pregnancies occur too close together and </w:t>
      </w:r>
      <w:r w:rsidR="00382543" w:rsidRPr="004E570B">
        <w:t xml:space="preserve">women have </w:t>
      </w:r>
      <w:r w:rsidRPr="004E570B">
        <w:t xml:space="preserve">too many </w:t>
      </w:r>
      <w:r w:rsidR="00382543" w:rsidRPr="004E570B">
        <w:t>pregnancies—</w:t>
      </w:r>
      <w:r w:rsidRPr="004E570B">
        <w:t>all increasing the risk of maternal mortality.</w:t>
      </w:r>
    </w:p>
    <w:p w:rsidR="001D3BBA" w:rsidRPr="004E570B" w:rsidRDefault="001D3BBA" w:rsidP="004E570B">
      <w:pPr>
        <w:pStyle w:val="BodyText"/>
      </w:pPr>
      <w:r w:rsidRPr="004E570B">
        <w:t>Few countries have reliable estimates of coverage rates for essential reproductive health services that allow trends to be tracked over time.</w:t>
      </w:r>
      <w:r w:rsidR="004E40E6" w:rsidRPr="004E570B">
        <w:t xml:space="preserve"> </w:t>
      </w:r>
      <w:r w:rsidRPr="004E570B">
        <w:t xml:space="preserve">This is the case for two other </w:t>
      </w:r>
      <w:r w:rsidR="008B1872" w:rsidRPr="004E570B">
        <w:t>MDG </w:t>
      </w:r>
      <w:r w:rsidRPr="004E570B">
        <w:t>5 indicators</w:t>
      </w:r>
      <w:r w:rsidR="0058490A" w:rsidRPr="004E570B">
        <w:t>—</w:t>
      </w:r>
      <w:r w:rsidRPr="004E570B">
        <w:t xml:space="preserve">the proportion of pregnancies with at least one and with at least four antenatal visits, respectively. </w:t>
      </w:r>
      <w:r w:rsidR="0058490A" w:rsidRPr="004E570B">
        <w:t>According to the most recent WHO estimates, i</w:t>
      </w:r>
      <w:r w:rsidRPr="004E570B">
        <w:t xml:space="preserve">n Afghanistan, Bangladesh, Laos, Nepal, Pakistan and </w:t>
      </w:r>
      <w:r w:rsidR="00A85251" w:rsidRPr="004E570B">
        <w:t xml:space="preserve">East </w:t>
      </w:r>
      <w:r w:rsidRPr="004E570B">
        <w:t>Timor, less than 50</w:t>
      </w:r>
      <w:r w:rsidR="00651EFB" w:rsidRPr="004E570B">
        <w:t> per cent</w:t>
      </w:r>
      <w:r w:rsidRPr="004E570B">
        <w:t xml:space="preserve"> of women are seen at all </w:t>
      </w:r>
      <w:r w:rsidR="0058490A" w:rsidRPr="004E570B">
        <w:t xml:space="preserve">during pregnancy </w:t>
      </w:r>
      <w:r w:rsidRPr="004E570B">
        <w:t>by a trained health worker.</w:t>
      </w:r>
    </w:p>
    <w:p w:rsidR="00805A94" w:rsidRPr="004E570B" w:rsidRDefault="00805A94" w:rsidP="004E570B">
      <w:pPr>
        <w:pStyle w:val="Caption"/>
        <w:framePr w:hSpace="181" w:wrap="around" w:hAnchor="text" w:yAlign="bottom"/>
        <w:spacing w:before="240"/>
        <w:rPr>
          <w:color w:val="auto"/>
        </w:rPr>
      </w:pPr>
      <w:r w:rsidRPr="004E570B">
        <w:rPr>
          <w:color w:val="auto"/>
        </w:rPr>
        <w:t xml:space="preserve">Figure </w:t>
      </w:r>
      <w:r w:rsidRPr="004E570B">
        <w:rPr>
          <w:color w:val="auto"/>
        </w:rPr>
        <w:fldChar w:fldCharType="begin"/>
      </w:r>
      <w:r w:rsidRPr="004E570B">
        <w:rPr>
          <w:color w:val="auto"/>
        </w:rPr>
        <w:instrText xml:space="preserve"> SEQ Figure \* ARABIC </w:instrText>
      </w:r>
      <w:r w:rsidRPr="004E570B">
        <w:rPr>
          <w:color w:val="auto"/>
        </w:rPr>
        <w:fldChar w:fldCharType="separate"/>
      </w:r>
      <w:r w:rsidR="00B33206" w:rsidRPr="004E570B">
        <w:rPr>
          <w:noProof/>
          <w:color w:val="auto"/>
        </w:rPr>
        <w:t>3</w:t>
      </w:r>
      <w:r w:rsidRPr="004E570B">
        <w:rPr>
          <w:color w:val="auto"/>
        </w:rPr>
        <w:fldChar w:fldCharType="end"/>
      </w:r>
      <w:r w:rsidRPr="004E570B">
        <w:rPr>
          <w:color w:val="auto"/>
        </w:rPr>
        <w:t xml:space="preserve">: Births attended by skilled personnel, contraceptive use and </w:t>
      </w:r>
      <w:r w:rsidR="004E40E6" w:rsidRPr="004E570B">
        <w:rPr>
          <w:color w:val="auto"/>
        </w:rPr>
        <w:t>maternal mortality ratio</w:t>
      </w:r>
    </w:p>
    <w:tbl>
      <w:tblPr>
        <w:tblW w:w="793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938"/>
      </w:tblGrid>
      <w:tr w:rsidR="00805A94" w:rsidRPr="004E570B">
        <w:tblPrEx>
          <w:tblCellMar>
            <w:top w:w="0" w:type="dxa"/>
            <w:left w:w="0" w:type="dxa"/>
            <w:bottom w:w="0" w:type="dxa"/>
            <w:right w:w="0" w:type="dxa"/>
          </w:tblCellMar>
        </w:tblPrEx>
        <w:tc>
          <w:tcPr>
            <w:tcW w:w="8505" w:type="dxa"/>
            <w:tcBorders>
              <w:top w:val="single" w:sz="12" w:space="0" w:color="auto"/>
              <w:bottom w:val="single" w:sz="12" w:space="0" w:color="auto"/>
            </w:tcBorders>
          </w:tcPr>
          <w:p w:rsidR="00805A94" w:rsidRPr="004E570B" w:rsidRDefault="00092D69" w:rsidP="004E570B">
            <w:pPr>
              <w:framePr w:hSpace="181" w:wrap="around" w:hAnchor="text" w:yAlign="bottom"/>
              <w:rPr>
                <w:rFonts w:ascii="Arial" w:hAnsi="Arial"/>
                <w:sz w:val="22"/>
              </w:rPr>
            </w:pPr>
            <w:r>
              <w:rPr>
                <w:rFonts w:ascii="Arial" w:hAnsi="Arial"/>
                <w:noProof/>
                <w:sz w:val="22"/>
                <w:lang w:val="en-US" w:eastAsia="en-US"/>
              </w:rPr>
              <w:drawing>
                <wp:inline distT="0" distB="0" distL="0" distR="0">
                  <wp:extent cx="5029200" cy="3248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l="2074" r="3516"/>
                          <a:stretch>
                            <a:fillRect/>
                          </a:stretch>
                        </pic:blipFill>
                        <pic:spPr bwMode="auto">
                          <a:xfrm>
                            <a:off x="0" y="0"/>
                            <a:ext cx="5029200" cy="3248025"/>
                          </a:xfrm>
                          <a:prstGeom prst="rect">
                            <a:avLst/>
                          </a:prstGeom>
                          <a:noFill/>
                          <a:ln>
                            <a:noFill/>
                          </a:ln>
                        </pic:spPr>
                      </pic:pic>
                    </a:graphicData>
                  </a:graphic>
                </wp:inline>
              </w:drawing>
            </w:r>
          </w:p>
        </w:tc>
      </w:tr>
    </w:tbl>
    <w:p w:rsidR="00805A94" w:rsidRPr="004E570B" w:rsidRDefault="00805A94" w:rsidP="004E570B">
      <w:pPr>
        <w:pStyle w:val="Source"/>
        <w:framePr w:hSpace="181" w:wrap="around" w:hAnchor="text" w:yAlign="bottom"/>
        <w:spacing w:after="480"/>
      </w:pPr>
      <w:r w:rsidRPr="004E570B">
        <w:t xml:space="preserve">Data source: </w:t>
      </w:r>
      <w:r w:rsidR="00081CA3" w:rsidRPr="004E570B">
        <w:t xml:space="preserve">WHO, </w:t>
      </w:r>
      <w:r w:rsidR="00081CA3" w:rsidRPr="004E570B">
        <w:rPr>
          <w:i/>
        </w:rPr>
        <w:t>Primary health care: now more than ever</w:t>
      </w:r>
      <w:r w:rsidR="00081CA3" w:rsidRPr="004E570B">
        <w:t xml:space="preserve">, </w:t>
      </w:r>
      <w:r w:rsidRPr="004E570B">
        <w:t xml:space="preserve">World </w:t>
      </w:r>
      <w:r w:rsidR="00081CA3" w:rsidRPr="004E570B">
        <w:t xml:space="preserve">health report </w:t>
      </w:r>
      <w:r w:rsidRPr="004E570B">
        <w:t xml:space="preserve">2008, </w:t>
      </w:r>
      <w:r w:rsidR="00081CA3" w:rsidRPr="004E570B">
        <w:t>World Health Organization, Geneva</w:t>
      </w:r>
      <w:r w:rsidR="000E1901" w:rsidRPr="004E570B">
        <w:t xml:space="preserve">, </w:t>
      </w:r>
      <w:proofErr w:type="gramStart"/>
      <w:r w:rsidR="000E1901" w:rsidRPr="004E570B">
        <w:t>2008</w:t>
      </w:r>
      <w:r w:rsidRPr="004E570B">
        <w:t>.</w:t>
      </w:r>
      <w:proofErr w:type="gramEnd"/>
    </w:p>
    <w:p w:rsidR="001D3BBA" w:rsidRPr="004E570B" w:rsidRDefault="001D3BBA" w:rsidP="004E570B">
      <w:pPr>
        <w:pStyle w:val="BodyText"/>
      </w:pPr>
      <w:proofErr w:type="gramStart"/>
      <w:r w:rsidRPr="004E570B">
        <w:t xml:space="preserve">WHO data from 17 countries with at least two estimates for the proportion of births attended by skilled personnel </w:t>
      </w:r>
      <w:r w:rsidR="00442B2D" w:rsidRPr="004E570B">
        <w:t xml:space="preserve">indicate </w:t>
      </w:r>
      <w:r w:rsidRPr="004E570B">
        <w:t xml:space="preserve">that all but two </w:t>
      </w:r>
      <w:r w:rsidR="001F34B3" w:rsidRPr="004E570B">
        <w:t xml:space="preserve">countries </w:t>
      </w:r>
      <w:r w:rsidRPr="004E570B">
        <w:t>show</w:t>
      </w:r>
      <w:r w:rsidR="001F34B3" w:rsidRPr="004E570B">
        <w:t>ed</w:t>
      </w:r>
      <w:r w:rsidRPr="004E570B">
        <w:t xml:space="preserve"> progress from the 1990s to the period 2000</w:t>
      </w:r>
      <w:r w:rsidR="001F34B3" w:rsidRPr="004E570B">
        <w:t>–</w:t>
      </w:r>
      <w:r w:rsidRPr="004E570B">
        <w:t>06.</w:t>
      </w:r>
      <w:proofErr w:type="gramEnd"/>
      <w:r w:rsidRPr="004E570B">
        <w:t xml:space="preserve"> In Solomon Islands and </w:t>
      </w:r>
      <w:r w:rsidR="001F34B3" w:rsidRPr="004E570B">
        <w:t xml:space="preserve">Papua New Guinea </w:t>
      </w:r>
      <w:r w:rsidRPr="004E570B">
        <w:t xml:space="preserve">coverage of this critical service is reported to have deteriorated. Recently questions have been raised about the reliability of the </w:t>
      </w:r>
      <w:r w:rsidRPr="004E570B">
        <w:lastRenderedPageBreak/>
        <w:t>high reported rates of coverage for some of the Pacific islands. Even allowing for some inaccuracy in the estimates it is clear that much more needs to be done in most countries to ensure that births are attended by health personnel able to provide basic life-saving care. The shortage of well-trained midwives is a major constraint.</w:t>
      </w:r>
    </w:p>
    <w:p w:rsidR="001D3BBA" w:rsidRPr="004E570B" w:rsidRDefault="001D3BBA" w:rsidP="004E570B">
      <w:pPr>
        <w:pStyle w:val="BodyText"/>
      </w:pPr>
      <w:r w:rsidRPr="004E570B">
        <w:t>It is clear from this brief overview that much more needs to be done to reduce maternal mortality in Asia and the Pacific.</w:t>
      </w:r>
    </w:p>
    <w:p w:rsidR="001D3BBA" w:rsidRPr="004E570B" w:rsidRDefault="001D3BBA" w:rsidP="004E570B">
      <w:pPr>
        <w:pStyle w:val="Heading2unnumbered"/>
        <w:rPr>
          <w:color w:val="auto"/>
        </w:rPr>
      </w:pPr>
      <w:bookmarkStart w:id="12" w:name="_Toc217896619"/>
      <w:r w:rsidRPr="004E570B">
        <w:rPr>
          <w:color w:val="auto"/>
        </w:rPr>
        <w:t>Inequity in service coverage</w:t>
      </w:r>
      <w:bookmarkEnd w:id="12"/>
    </w:p>
    <w:p w:rsidR="001D3BBA" w:rsidRPr="004E570B" w:rsidRDefault="001D3BBA" w:rsidP="004E570B">
      <w:pPr>
        <w:pStyle w:val="BodyText"/>
      </w:pPr>
      <w:r w:rsidRPr="004E570B">
        <w:t>National average estimates of health outcomes and health service coverage mask gross inequities</w:t>
      </w:r>
      <w:r w:rsidR="001F34B3" w:rsidRPr="004E570B">
        <w:t>—</w:t>
      </w:r>
      <w:r w:rsidRPr="004E570B">
        <w:t>for example, between the urban and rural areas and between the rich and the</w:t>
      </w:r>
      <w:r w:rsidR="006A5D8A" w:rsidRPr="004E570B">
        <w:t> </w:t>
      </w:r>
      <w:r w:rsidRPr="004E570B">
        <w:t>poor.</w:t>
      </w:r>
    </w:p>
    <w:p w:rsidR="001D3BBA" w:rsidRPr="004E570B" w:rsidRDefault="001D3BBA" w:rsidP="004E570B">
      <w:pPr>
        <w:pStyle w:val="BodyText"/>
      </w:pPr>
      <w:r w:rsidRPr="004E570B">
        <w:t xml:space="preserve">In Cambodia, Indonesia, </w:t>
      </w:r>
      <w:r w:rsidR="001F34B3" w:rsidRPr="004E570B">
        <w:t xml:space="preserve">the </w:t>
      </w:r>
      <w:r w:rsidRPr="004E570B">
        <w:t xml:space="preserve">Philippines and Vietnam children from the poorest quintile </w:t>
      </w:r>
      <w:r w:rsidR="001F34B3" w:rsidRPr="004E570B">
        <w:t xml:space="preserve">(20 per cent) </w:t>
      </w:r>
      <w:r w:rsidRPr="004E570B">
        <w:t xml:space="preserve">of society are three or more times more likely to die before reaching the age of five than those from the richest quintile. Similar discrepancies can be expected in maternal mortality ratios. While these </w:t>
      </w:r>
      <w:r w:rsidR="001F34B3" w:rsidRPr="004E570B">
        <w:t xml:space="preserve">differences </w:t>
      </w:r>
      <w:r w:rsidRPr="004E570B">
        <w:t xml:space="preserve">can be explained </w:t>
      </w:r>
      <w:r w:rsidR="001F34B3" w:rsidRPr="004E570B">
        <w:t xml:space="preserve">partly </w:t>
      </w:r>
      <w:r w:rsidRPr="004E570B">
        <w:t xml:space="preserve">by lesser educational attainment and worse nutritional status among the poor, limited access to and use of health services </w:t>
      </w:r>
      <w:r w:rsidR="001F34B3" w:rsidRPr="004E570B">
        <w:t xml:space="preserve">are </w:t>
      </w:r>
      <w:r w:rsidRPr="004E570B">
        <w:t>other critical factor</w:t>
      </w:r>
      <w:r w:rsidR="001F34B3" w:rsidRPr="004E570B">
        <w:t>s</w:t>
      </w:r>
      <w:r w:rsidRPr="004E570B">
        <w:t>. Not surprisingly, it is consistently the poor who suffer most from the deficiencies of health services. Research by the ICDDR</w:t>
      </w:r>
      <w:proofErr w:type="gramStart"/>
      <w:r w:rsidRPr="004E570B">
        <w:t>,B</w:t>
      </w:r>
      <w:proofErr w:type="gramEnd"/>
      <w:r w:rsidRPr="004E570B">
        <w:t xml:space="preserve"> in Bangladesh showed, for example, that women in the highest asset group were 13 times more likely to deliver</w:t>
      </w:r>
      <w:r w:rsidR="001F34B3" w:rsidRPr="004E570B">
        <w:t xml:space="preserve"> their babies</w:t>
      </w:r>
      <w:r w:rsidRPr="004E570B">
        <w:t xml:space="preserve"> in a health facility than those in the lowest group. Figure</w:t>
      </w:r>
      <w:r w:rsidR="001F34B3" w:rsidRPr="004E570B">
        <w:t> </w:t>
      </w:r>
      <w:r w:rsidRPr="004E570B">
        <w:t xml:space="preserve">4 shows that </w:t>
      </w:r>
      <w:r w:rsidR="001F34B3" w:rsidRPr="004E570B">
        <w:t>services available differ</w:t>
      </w:r>
      <w:r w:rsidRPr="004E570B">
        <w:t xml:space="preserve"> significant</w:t>
      </w:r>
      <w:r w:rsidR="001F34B3" w:rsidRPr="004E570B">
        <w:t>ly</w:t>
      </w:r>
      <w:r w:rsidRPr="004E570B">
        <w:t xml:space="preserve"> </w:t>
      </w:r>
      <w:r w:rsidR="001F34B3" w:rsidRPr="004E570B">
        <w:t>according to</w:t>
      </w:r>
      <w:r w:rsidRPr="004E570B">
        <w:t xml:space="preserve"> where people live and their level of income.</w:t>
      </w:r>
    </w:p>
    <w:p w:rsidR="00805A94" w:rsidRPr="004E570B" w:rsidRDefault="00805A94" w:rsidP="004E570B">
      <w:pPr>
        <w:pStyle w:val="Caption"/>
        <w:rPr>
          <w:color w:val="auto"/>
        </w:rPr>
      </w:pPr>
      <w:r w:rsidRPr="004E570B">
        <w:rPr>
          <w:color w:val="auto"/>
        </w:rPr>
        <w:t xml:space="preserve">Figure </w:t>
      </w:r>
      <w:r w:rsidRPr="004E570B">
        <w:rPr>
          <w:color w:val="auto"/>
        </w:rPr>
        <w:fldChar w:fldCharType="begin"/>
      </w:r>
      <w:r w:rsidRPr="004E570B">
        <w:rPr>
          <w:color w:val="auto"/>
        </w:rPr>
        <w:instrText xml:space="preserve"> SEQ Figure \* ARABIC </w:instrText>
      </w:r>
      <w:r w:rsidRPr="004E570B">
        <w:rPr>
          <w:color w:val="auto"/>
        </w:rPr>
        <w:fldChar w:fldCharType="separate"/>
      </w:r>
      <w:r w:rsidR="00B33206" w:rsidRPr="004E570B">
        <w:rPr>
          <w:noProof/>
          <w:color w:val="auto"/>
        </w:rPr>
        <w:t>4</w:t>
      </w:r>
      <w:r w:rsidRPr="004E570B">
        <w:rPr>
          <w:color w:val="auto"/>
        </w:rPr>
        <w:fldChar w:fldCharType="end"/>
      </w:r>
      <w:r w:rsidRPr="004E570B">
        <w:rPr>
          <w:color w:val="auto"/>
        </w:rPr>
        <w:t>: Proportion of births attended by skilled personnel by location and by economic status</w:t>
      </w:r>
    </w:p>
    <w:tbl>
      <w:tblPr>
        <w:tblW w:w="793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938"/>
      </w:tblGrid>
      <w:tr w:rsidR="00805A94" w:rsidRPr="004E570B">
        <w:tblPrEx>
          <w:tblCellMar>
            <w:top w:w="0" w:type="dxa"/>
            <w:left w:w="0" w:type="dxa"/>
            <w:bottom w:w="0" w:type="dxa"/>
            <w:right w:w="0" w:type="dxa"/>
          </w:tblCellMar>
        </w:tblPrEx>
        <w:tc>
          <w:tcPr>
            <w:tcW w:w="8505" w:type="dxa"/>
            <w:tcBorders>
              <w:top w:val="single" w:sz="12" w:space="0" w:color="auto"/>
              <w:bottom w:val="single" w:sz="12" w:space="0" w:color="auto"/>
            </w:tcBorders>
          </w:tcPr>
          <w:p w:rsidR="00805A94" w:rsidRPr="004E570B" w:rsidRDefault="00092D69" w:rsidP="004E570B">
            <w:pPr>
              <w:rPr>
                <w:rFonts w:ascii="Arial" w:hAnsi="Arial"/>
                <w:sz w:val="22"/>
              </w:rPr>
            </w:pPr>
            <w:r>
              <w:rPr>
                <w:rFonts w:ascii="Arial" w:hAnsi="Arial"/>
                <w:noProof/>
                <w:sz w:val="22"/>
                <w:lang w:val="en-US" w:eastAsia="en-US"/>
              </w:rPr>
              <w:drawing>
                <wp:inline distT="0" distB="0" distL="0" distR="0">
                  <wp:extent cx="4933950" cy="2914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1358"/>
                          <a:stretch>
                            <a:fillRect/>
                          </a:stretch>
                        </pic:blipFill>
                        <pic:spPr bwMode="auto">
                          <a:xfrm>
                            <a:off x="0" y="0"/>
                            <a:ext cx="4933950" cy="2914650"/>
                          </a:xfrm>
                          <a:prstGeom prst="rect">
                            <a:avLst/>
                          </a:prstGeom>
                          <a:noFill/>
                          <a:ln>
                            <a:noFill/>
                          </a:ln>
                        </pic:spPr>
                      </pic:pic>
                    </a:graphicData>
                  </a:graphic>
                </wp:inline>
              </w:drawing>
            </w:r>
          </w:p>
        </w:tc>
      </w:tr>
    </w:tbl>
    <w:p w:rsidR="00805A94" w:rsidRPr="004E570B" w:rsidRDefault="00805A94" w:rsidP="004E570B">
      <w:pPr>
        <w:pStyle w:val="Source"/>
        <w:spacing w:after="240"/>
      </w:pPr>
      <w:r w:rsidRPr="004E570B">
        <w:t xml:space="preserve">Data source: </w:t>
      </w:r>
      <w:r w:rsidR="00081CA3" w:rsidRPr="004E570B">
        <w:t xml:space="preserve">WHO, </w:t>
      </w:r>
      <w:r w:rsidR="00081CA3" w:rsidRPr="004E570B">
        <w:rPr>
          <w:i/>
        </w:rPr>
        <w:t>Primary health care: now more than ever</w:t>
      </w:r>
      <w:r w:rsidR="00081CA3" w:rsidRPr="004E570B">
        <w:t>, World health report 2008, World Health Organization, Geneva</w:t>
      </w:r>
      <w:r w:rsidR="000E1901" w:rsidRPr="004E570B">
        <w:t xml:space="preserve">, </w:t>
      </w:r>
      <w:proofErr w:type="gramStart"/>
      <w:r w:rsidR="000E1901" w:rsidRPr="004E570B">
        <w:t>2008</w:t>
      </w:r>
      <w:r w:rsidR="00081CA3" w:rsidRPr="004E570B">
        <w:t>.</w:t>
      </w:r>
      <w:proofErr w:type="gramEnd"/>
    </w:p>
    <w:p w:rsidR="001D3BBA" w:rsidRPr="004E570B" w:rsidRDefault="001D3BBA" w:rsidP="004E570B">
      <w:pPr>
        <w:pStyle w:val="BodyText"/>
      </w:pPr>
      <w:r w:rsidRPr="004E570B">
        <w:t xml:space="preserve">In countries where overall </w:t>
      </w:r>
      <w:r w:rsidR="003F7C05" w:rsidRPr="004E570B">
        <w:t xml:space="preserve">health </w:t>
      </w:r>
      <w:r w:rsidRPr="004E570B">
        <w:t xml:space="preserve">service coverage of the population is low (or the gap between needed and actual coverage is high), </w:t>
      </w:r>
      <w:r w:rsidR="009C6124" w:rsidRPr="004E570B">
        <w:t xml:space="preserve">as in </w:t>
      </w:r>
      <w:r w:rsidRPr="004E570B">
        <w:t>th</w:t>
      </w:r>
      <w:r w:rsidR="008B1872" w:rsidRPr="004E570B">
        <w:t>ose in the bottom rows of Table </w:t>
      </w:r>
      <w:r w:rsidR="003F7C05" w:rsidRPr="004E570B">
        <w:t>2</w:t>
      </w:r>
      <w:r w:rsidRPr="004E570B">
        <w:t xml:space="preserve">, the difference between the rich and poor may not be great; </w:t>
      </w:r>
      <w:r w:rsidR="009C6124" w:rsidRPr="004E570B">
        <w:t xml:space="preserve">almost </w:t>
      </w:r>
      <w:r w:rsidRPr="004E570B">
        <w:t xml:space="preserve">everyone misses out. In countries with better average population coverage, </w:t>
      </w:r>
      <w:r w:rsidR="009C6124" w:rsidRPr="004E570B">
        <w:t xml:space="preserve">as in </w:t>
      </w:r>
      <w:r w:rsidRPr="004E570B">
        <w:t>those in the top rows of the table, this has often been achieved without improving coverage among the poorest</w:t>
      </w:r>
      <w:r w:rsidR="009C6124" w:rsidRPr="004E570B">
        <w:t xml:space="preserve"> people</w:t>
      </w:r>
      <w:r w:rsidRPr="004E570B">
        <w:t xml:space="preserve">. These patterns </w:t>
      </w:r>
      <w:r w:rsidR="009C6124" w:rsidRPr="004E570B">
        <w:t xml:space="preserve">can be used to </w:t>
      </w:r>
      <w:r w:rsidRPr="004E570B">
        <w:lastRenderedPageBreak/>
        <w:t>argue for approaches that aim for improved coverage of basic services across the population as a whole in the former countries while specifically targeting the poorest in the latter group.</w:t>
      </w:r>
    </w:p>
    <w:p w:rsidR="001D3BBA" w:rsidRPr="004E570B" w:rsidRDefault="001D3BBA" w:rsidP="004E570B">
      <w:pPr>
        <w:pStyle w:val="BodyText"/>
      </w:pPr>
      <w:r w:rsidRPr="004E570B">
        <w:t xml:space="preserve">Clearly, </w:t>
      </w:r>
      <w:r w:rsidR="009C6124" w:rsidRPr="004E570B">
        <w:t xml:space="preserve">the </w:t>
      </w:r>
      <w:r w:rsidRPr="004E570B">
        <w:t>achievement of national targets for MDGs 4 and 5 accompanied by growing inequity is not the outcome that is wanted. Therefore, attention must be given to measures of inequity as well as overall population coverage.</w:t>
      </w:r>
    </w:p>
    <w:p w:rsidR="003F7C05" w:rsidRPr="004E570B" w:rsidRDefault="003F7C05" w:rsidP="004E570B">
      <w:pPr>
        <w:pStyle w:val="Caption"/>
        <w:rPr>
          <w:color w:val="auto"/>
        </w:rPr>
      </w:pPr>
      <w:r w:rsidRPr="004E570B">
        <w:rPr>
          <w:color w:val="auto"/>
        </w:rPr>
        <w:t xml:space="preserve">Table </w:t>
      </w:r>
      <w:r w:rsidRPr="004E570B">
        <w:rPr>
          <w:color w:val="auto"/>
        </w:rPr>
        <w:fldChar w:fldCharType="begin"/>
      </w:r>
      <w:r w:rsidRPr="004E570B">
        <w:rPr>
          <w:color w:val="auto"/>
        </w:rPr>
        <w:instrText xml:space="preserve"> SEQ Table \* MERGEFORMAT </w:instrText>
      </w:r>
      <w:r w:rsidRPr="004E570B">
        <w:rPr>
          <w:color w:val="auto"/>
        </w:rPr>
        <w:fldChar w:fldCharType="separate"/>
      </w:r>
      <w:r w:rsidR="00B33206" w:rsidRPr="004E570B">
        <w:rPr>
          <w:noProof/>
          <w:color w:val="auto"/>
        </w:rPr>
        <w:t>2</w:t>
      </w:r>
      <w:r w:rsidRPr="004E570B">
        <w:rPr>
          <w:color w:val="auto"/>
        </w:rPr>
        <w:fldChar w:fldCharType="end"/>
      </w:r>
      <w:r w:rsidRPr="004E570B">
        <w:rPr>
          <w:color w:val="auto"/>
        </w:rPr>
        <w:t>: Increased average population coverage with health services may be accompanied by increased inequity</w:t>
      </w:r>
    </w:p>
    <w:tbl>
      <w:tblPr>
        <w:tblStyle w:val="TableGrid"/>
        <w:tblW w:w="793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e 2"/>
        <w:tblDescription w:val="Increased average population coverage with health services may be accompanied by increased inequity"/>
      </w:tblPr>
      <w:tblGrid>
        <w:gridCol w:w="1330"/>
        <w:gridCol w:w="2638"/>
        <w:gridCol w:w="1984"/>
        <w:gridCol w:w="1984"/>
      </w:tblGrid>
      <w:tr w:rsidR="003F7C05" w:rsidRPr="004E570B" w:rsidTr="00F36B3E">
        <w:trPr>
          <w:tblHeader/>
        </w:trPr>
        <w:tc>
          <w:tcPr>
            <w:tcW w:w="1330" w:type="dxa"/>
            <w:tcBorders>
              <w:bottom w:val="single" w:sz="12" w:space="0" w:color="auto"/>
            </w:tcBorders>
            <w:tcMar>
              <w:left w:w="57" w:type="dxa"/>
              <w:right w:w="57" w:type="dxa"/>
            </w:tcMar>
          </w:tcPr>
          <w:p w:rsidR="003F7C05" w:rsidRPr="004E570B" w:rsidRDefault="003F7C05" w:rsidP="004E570B">
            <w:pPr>
              <w:pStyle w:val="TableDataColumnHeading"/>
              <w:jc w:val="left"/>
            </w:pPr>
          </w:p>
        </w:tc>
        <w:tc>
          <w:tcPr>
            <w:tcW w:w="2638" w:type="dxa"/>
            <w:tcBorders>
              <w:bottom w:val="single" w:sz="12" w:space="0" w:color="auto"/>
            </w:tcBorders>
            <w:tcMar>
              <w:left w:w="57" w:type="dxa"/>
              <w:right w:w="57" w:type="dxa"/>
            </w:tcMar>
          </w:tcPr>
          <w:p w:rsidR="003F7C05" w:rsidRPr="004E570B" w:rsidRDefault="003F7C05" w:rsidP="004E570B">
            <w:pPr>
              <w:pStyle w:val="TableDataColumnHeading"/>
              <w:jc w:val="center"/>
            </w:pPr>
            <w:r w:rsidRPr="004E570B">
              <w:t>Gap between needed and actual population coverage for a package of child health interventions</w:t>
            </w:r>
          </w:p>
        </w:tc>
        <w:tc>
          <w:tcPr>
            <w:tcW w:w="1984" w:type="dxa"/>
            <w:tcBorders>
              <w:bottom w:val="single" w:sz="12" w:space="0" w:color="auto"/>
            </w:tcBorders>
            <w:tcMar>
              <w:left w:w="57" w:type="dxa"/>
              <w:right w:w="57" w:type="dxa"/>
            </w:tcMar>
          </w:tcPr>
          <w:p w:rsidR="003F7C05" w:rsidRPr="004E570B" w:rsidRDefault="003F7C05" w:rsidP="004E570B">
            <w:pPr>
              <w:pStyle w:val="TableDataColumnHeading"/>
              <w:spacing w:after="0"/>
              <w:jc w:val="center"/>
            </w:pPr>
            <w:r w:rsidRPr="004E570B">
              <w:t>Ratio of coverage</w:t>
            </w:r>
          </w:p>
          <w:p w:rsidR="003F7C05" w:rsidRPr="004E570B" w:rsidRDefault="003F7C05" w:rsidP="004E570B">
            <w:pPr>
              <w:pStyle w:val="TableDataColumnHeading"/>
              <w:spacing w:before="40"/>
              <w:jc w:val="center"/>
            </w:pPr>
            <w:proofErr w:type="spellStart"/>
            <w:r w:rsidRPr="004E570B">
              <w:t>richest:poorest</w:t>
            </w:r>
            <w:proofErr w:type="spellEnd"/>
          </w:p>
        </w:tc>
        <w:tc>
          <w:tcPr>
            <w:tcW w:w="1984" w:type="dxa"/>
            <w:tcBorders>
              <w:bottom w:val="single" w:sz="12" w:space="0" w:color="auto"/>
            </w:tcBorders>
            <w:tcMar>
              <w:left w:w="57" w:type="dxa"/>
              <w:right w:w="57" w:type="dxa"/>
            </w:tcMar>
          </w:tcPr>
          <w:p w:rsidR="003F7C05" w:rsidRPr="004E570B" w:rsidRDefault="003F7C05" w:rsidP="004E570B">
            <w:pPr>
              <w:pStyle w:val="TableDataColumnHeading"/>
              <w:spacing w:after="0"/>
              <w:jc w:val="center"/>
            </w:pPr>
            <w:r w:rsidRPr="004E570B">
              <w:t>Difference in coverage</w:t>
            </w:r>
          </w:p>
          <w:p w:rsidR="003F7C05" w:rsidRPr="004E570B" w:rsidRDefault="003F7C05" w:rsidP="004E570B">
            <w:pPr>
              <w:pStyle w:val="TableDataColumnHeading"/>
              <w:spacing w:before="40"/>
              <w:jc w:val="center"/>
            </w:pPr>
            <w:proofErr w:type="spellStart"/>
            <w:r w:rsidRPr="004E570B">
              <w:t>richest:poorest</w:t>
            </w:r>
            <w:proofErr w:type="spellEnd"/>
          </w:p>
        </w:tc>
      </w:tr>
      <w:tr w:rsidR="003F7C05" w:rsidRPr="004E570B" w:rsidTr="00F36B3E">
        <w:tc>
          <w:tcPr>
            <w:tcW w:w="1330" w:type="dxa"/>
            <w:tcBorders>
              <w:top w:val="single" w:sz="12" w:space="0" w:color="auto"/>
            </w:tcBorders>
            <w:tcMar>
              <w:left w:w="57" w:type="dxa"/>
              <w:right w:w="57" w:type="dxa"/>
            </w:tcMar>
          </w:tcPr>
          <w:p w:rsidR="003F7C05" w:rsidRPr="004E570B" w:rsidRDefault="003F7C05" w:rsidP="004E570B">
            <w:pPr>
              <w:pStyle w:val="TableUnit"/>
              <w:jc w:val="left"/>
            </w:pPr>
          </w:p>
        </w:tc>
        <w:tc>
          <w:tcPr>
            <w:tcW w:w="2638" w:type="dxa"/>
            <w:tcBorders>
              <w:top w:val="single" w:sz="12" w:space="0" w:color="auto"/>
            </w:tcBorders>
            <w:tcMar>
              <w:left w:w="57" w:type="dxa"/>
              <w:right w:w="57" w:type="dxa"/>
            </w:tcMar>
          </w:tcPr>
          <w:p w:rsidR="003F7C05" w:rsidRPr="004E570B" w:rsidRDefault="003F7C05" w:rsidP="004E570B">
            <w:pPr>
              <w:pStyle w:val="TableUnit"/>
              <w:ind w:right="1167"/>
            </w:pPr>
            <w:r w:rsidRPr="004E570B">
              <w:t>%</w:t>
            </w:r>
          </w:p>
        </w:tc>
        <w:tc>
          <w:tcPr>
            <w:tcW w:w="1984" w:type="dxa"/>
            <w:tcBorders>
              <w:top w:val="single" w:sz="12" w:space="0" w:color="auto"/>
            </w:tcBorders>
            <w:tcMar>
              <w:left w:w="57" w:type="dxa"/>
              <w:right w:w="57" w:type="dxa"/>
            </w:tcMar>
          </w:tcPr>
          <w:p w:rsidR="003F7C05" w:rsidRPr="004E570B" w:rsidRDefault="003F7C05" w:rsidP="004E570B">
            <w:pPr>
              <w:pStyle w:val="TableUnit"/>
              <w:ind w:right="701"/>
            </w:pPr>
            <w:r w:rsidRPr="004E570B">
              <w:t>ratio</w:t>
            </w:r>
          </w:p>
        </w:tc>
        <w:tc>
          <w:tcPr>
            <w:tcW w:w="1984" w:type="dxa"/>
            <w:tcBorders>
              <w:top w:val="single" w:sz="12" w:space="0" w:color="auto"/>
            </w:tcBorders>
            <w:tcMar>
              <w:left w:w="57" w:type="dxa"/>
              <w:right w:w="57" w:type="dxa"/>
            </w:tcMar>
          </w:tcPr>
          <w:p w:rsidR="003F7C05" w:rsidRPr="004E570B" w:rsidRDefault="003F7C05" w:rsidP="004E570B">
            <w:pPr>
              <w:pStyle w:val="TableUnit"/>
              <w:ind w:right="712"/>
            </w:pPr>
            <w:r w:rsidRPr="004E570B">
              <w:t>%</w:t>
            </w:r>
          </w:p>
        </w:tc>
      </w:tr>
      <w:tr w:rsidR="003F7C05" w:rsidRPr="004E570B" w:rsidTr="00F36B3E">
        <w:tc>
          <w:tcPr>
            <w:tcW w:w="1330" w:type="dxa"/>
            <w:tcMar>
              <w:left w:w="57" w:type="dxa"/>
              <w:right w:w="57" w:type="dxa"/>
            </w:tcMar>
          </w:tcPr>
          <w:p w:rsidR="003F7C05" w:rsidRPr="004E570B" w:rsidRDefault="003F7C05" w:rsidP="004E570B">
            <w:pPr>
              <w:pStyle w:val="TableDataEntries"/>
              <w:jc w:val="left"/>
            </w:pPr>
            <w:r w:rsidRPr="004E570B">
              <w:t>Philippines</w:t>
            </w:r>
          </w:p>
        </w:tc>
        <w:tc>
          <w:tcPr>
            <w:tcW w:w="2638" w:type="dxa"/>
            <w:tcMar>
              <w:left w:w="57" w:type="dxa"/>
              <w:right w:w="57" w:type="dxa"/>
            </w:tcMar>
          </w:tcPr>
          <w:p w:rsidR="003F7C05" w:rsidRPr="004E570B" w:rsidRDefault="003F7C05" w:rsidP="004E570B">
            <w:pPr>
              <w:pStyle w:val="TableDataEntries"/>
              <w:ind w:right="1167"/>
            </w:pPr>
            <w:r w:rsidRPr="004E570B">
              <w:t>26</w:t>
            </w:r>
          </w:p>
        </w:tc>
        <w:tc>
          <w:tcPr>
            <w:tcW w:w="1984" w:type="dxa"/>
            <w:tcMar>
              <w:left w:w="57" w:type="dxa"/>
              <w:right w:w="57" w:type="dxa"/>
            </w:tcMar>
          </w:tcPr>
          <w:p w:rsidR="003F7C05" w:rsidRPr="004E570B" w:rsidRDefault="003F7C05" w:rsidP="004E570B">
            <w:pPr>
              <w:pStyle w:val="TableDataEntries"/>
              <w:ind w:right="701"/>
            </w:pPr>
            <w:r w:rsidRPr="004E570B">
              <w:t>3.1</w:t>
            </w:r>
          </w:p>
        </w:tc>
        <w:tc>
          <w:tcPr>
            <w:tcW w:w="1984" w:type="dxa"/>
            <w:tcMar>
              <w:left w:w="57" w:type="dxa"/>
              <w:right w:w="57" w:type="dxa"/>
            </w:tcMar>
          </w:tcPr>
          <w:p w:rsidR="003F7C05" w:rsidRPr="004E570B" w:rsidRDefault="003F7C05" w:rsidP="004E570B">
            <w:pPr>
              <w:pStyle w:val="TableDataEntries"/>
              <w:ind w:right="712"/>
            </w:pPr>
            <w:r w:rsidRPr="004E570B">
              <w:t>27</w:t>
            </w:r>
          </w:p>
        </w:tc>
      </w:tr>
      <w:tr w:rsidR="003F7C05" w:rsidRPr="004E570B" w:rsidTr="00F36B3E">
        <w:tc>
          <w:tcPr>
            <w:tcW w:w="1330" w:type="dxa"/>
            <w:tcMar>
              <w:left w:w="57" w:type="dxa"/>
              <w:right w:w="57" w:type="dxa"/>
            </w:tcMar>
          </w:tcPr>
          <w:p w:rsidR="003F7C05" w:rsidRPr="004E570B" w:rsidRDefault="003F7C05" w:rsidP="004E570B">
            <w:pPr>
              <w:pStyle w:val="TableDataEntries"/>
              <w:jc w:val="left"/>
            </w:pPr>
            <w:r w:rsidRPr="004E570B">
              <w:t>Indonesia</w:t>
            </w:r>
          </w:p>
        </w:tc>
        <w:tc>
          <w:tcPr>
            <w:tcW w:w="2638" w:type="dxa"/>
            <w:tcMar>
              <w:left w:w="57" w:type="dxa"/>
              <w:right w:w="57" w:type="dxa"/>
            </w:tcMar>
          </w:tcPr>
          <w:p w:rsidR="003F7C05" w:rsidRPr="004E570B" w:rsidRDefault="003F7C05" w:rsidP="004E570B">
            <w:pPr>
              <w:pStyle w:val="TableDataEntries"/>
              <w:ind w:right="1167"/>
            </w:pPr>
            <w:r w:rsidRPr="004E570B">
              <w:t>27</w:t>
            </w:r>
          </w:p>
        </w:tc>
        <w:tc>
          <w:tcPr>
            <w:tcW w:w="1984" w:type="dxa"/>
            <w:tcMar>
              <w:left w:w="57" w:type="dxa"/>
              <w:right w:w="57" w:type="dxa"/>
            </w:tcMar>
          </w:tcPr>
          <w:p w:rsidR="003F7C05" w:rsidRPr="004E570B" w:rsidRDefault="003F7C05" w:rsidP="004E570B">
            <w:pPr>
              <w:pStyle w:val="TableDataEntries"/>
              <w:ind w:right="701"/>
            </w:pPr>
            <w:r w:rsidRPr="004E570B">
              <w:t>2.4</w:t>
            </w:r>
          </w:p>
        </w:tc>
        <w:tc>
          <w:tcPr>
            <w:tcW w:w="1984" w:type="dxa"/>
            <w:tcMar>
              <w:left w:w="57" w:type="dxa"/>
              <w:right w:w="57" w:type="dxa"/>
            </w:tcMar>
          </w:tcPr>
          <w:p w:rsidR="003F7C05" w:rsidRPr="004E570B" w:rsidRDefault="003F7C05" w:rsidP="004E570B">
            <w:pPr>
              <w:pStyle w:val="TableDataEntries"/>
              <w:ind w:right="712"/>
            </w:pPr>
            <w:r w:rsidRPr="004E570B">
              <w:t>22</w:t>
            </w:r>
          </w:p>
        </w:tc>
      </w:tr>
      <w:tr w:rsidR="003F7C05" w:rsidRPr="004E570B" w:rsidTr="00F36B3E">
        <w:tc>
          <w:tcPr>
            <w:tcW w:w="1330" w:type="dxa"/>
            <w:tcMar>
              <w:left w:w="57" w:type="dxa"/>
              <w:right w:w="57" w:type="dxa"/>
            </w:tcMar>
          </w:tcPr>
          <w:p w:rsidR="003F7C05" w:rsidRPr="004E570B" w:rsidRDefault="003F7C05" w:rsidP="004E570B">
            <w:pPr>
              <w:pStyle w:val="TableDataEntries"/>
              <w:jc w:val="left"/>
            </w:pPr>
            <w:r w:rsidRPr="004E570B">
              <w:t>Cambodia</w:t>
            </w:r>
          </w:p>
        </w:tc>
        <w:tc>
          <w:tcPr>
            <w:tcW w:w="2638" w:type="dxa"/>
            <w:tcMar>
              <w:left w:w="57" w:type="dxa"/>
              <w:right w:w="57" w:type="dxa"/>
            </w:tcMar>
          </w:tcPr>
          <w:p w:rsidR="003F7C05" w:rsidRPr="004E570B" w:rsidRDefault="003F7C05" w:rsidP="004E570B">
            <w:pPr>
              <w:pStyle w:val="TableDataEntries"/>
              <w:ind w:right="1167"/>
            </w:pPr>
            <w:r w:rsidRPr="004E570B">
              <w:t>37</w:t>
            </w:r>
          </w:p>
        </w:tc>
        <w:tc>
          <w:tcPr>
            <w:tcW w:w="1984" w:type="dxa"/>
            <w:tcMar>
              <w:left w:w="57" w:type="dxa"/>
              <w:right w:w="57" w:type="dxa"/>
            </w:tcMar>
          </w:tcPr>
          <w:p w:rsidR="003F7C05" w:rsidRPr="004E570B" w:rsidRDefault="003F7C05" w:rsidP="004E570B">
            <w:pPr>
              <w:pStyle w:val="TableDataEntries"/>
              <w:ind w:right="701"/>
            </w:pPr>
            <w:r w:rsidRPr="004E570B">
              <w:t>1.8</w:t>
            </w:r>
          </w:p>
        </w:tc>
        <w:tc>
          <w:tcPr>
            <w:tcW w:w="1984" w:type="dxa"/>
            <w:tcMar>
              <w:left w:w="57" w:type="dxa"/>
              <w:right w:w="57" w:type="dxa"/>
            </w:tcMar>
          </w:tcPr>
          <w:p w:rsidR="003F7C05" w:rsidRPr="004E570B" w:rsidRDefault="003F7C05" w:rsidP="004E570B">
            <w:pPr>
              <w:pStyle w:val="TableDataEntries"/>
              <w:ind w:right="712"/>
            </w:pPr>
            <w:r w:rsidRPr="004E570B">
              <w:t>22</w:t>
            </w:r>
          </w:p>
        </w:tc>
      </w:tr>
      <w:tr w:rsidR="003F7C05" w:rsidRPr="004E570B" w:rsidTr="00F36B3E">
        <w:tc>
          <w:tcPr>
            <w:tcW w:w="1330" w:type="dxa"/>
            <w:tcMar>
              <w:left w:w="57" w:type="dxa"/>
              <w:right w:w="57" w:type="dxa"/>
            </w:tcMar>
          </w:tcPr>
          <w:p w:rsidR="003F7C05" w:rsidRPr="004E570B" w:rsidRDefault="003F7C05" w:rsidP="004E570B">
            <w:pPr>
              <w:pStyle w:val="TableDataEntries"/>
              <w:jc w:val="left"/>
            </w:pPr>
            <w:r w:rsidRPr="004E570B">
              <w:t>Bangladesh</w:t>
            </w:r>
          </w:p>
        </w:tc>
        <w:tc>
          <w:tcPr>
            <w:tcW w:w="2638" w:type="dxa"/>
            <w:tcMar>
              <w:left w:w="57" w:type="dxa"/>
              <w:right w:w="57" w:type="dxa"/>
            </w:tcMar>
          </w:tcPr>
          <w:p w:rsidR="003F7C05" w:rsidRPr="004E570B" w:rsidRDefault="003F7C05" w:rsidP="004E570B">
            <w:pPr>
              <w:pStyle w:val="TableDataEntries"/>
              <w:ind w:right="1167"/>
            </w:pPr>
            <w:r w:rsidRPr="004E570B">
              <w:t>38</w:t>
            </w:r>
          </w:p>
        </w:tc>
        <w:tc>
          <w:tcPr>
            <w:tcW w:w="1984" w:type="dxa"/>
            <w:tcMar>
              <w:left w:w="57" w:type="dxa"/>
              <w:right w:w="57" w:type="dxa"/>
            </w:tcMar>
          </w:tcPr>
          <w:p w:rsidR="003F7C05" w:rsidRPr="004E570B" w:rsidRDefault="003F7C05" w:rsidP="004E570B">
            <w:pPr>
              <w:pStyle w:val="TableDataEntries"/>
              <w:ind w:right="701"/>
            </w:pPr>
            <w:r w:rsidRPr="004E570B">
              <w:t>2.0</w:t>
            </w:r>
          </w:p>
        </w:tc>
        <w:tc>
          <w:tcPr>
            <w:tcW w:w="1984" w:type="dxa"/>
            <w:tcMar>
              <w:left w:w="57" w:type="dxa"/>
              <w:right w:w="57" w:type="dxa"/>
            </w:tcMar>
          </w:tcPr>
          <w:p w:rsidR="003F7C05" w:rsidRPr="004E570B" w:rsidRDefault="003F7C05" w:rsidP="004E570B">
            <w:pPr>
              <w:pStyle w:val="TableDataEntries"/>
              <w:ind w:right="712"/>
            </w:pPr>
            <w:r w:rsidRPr="004E570B">
              <w:t>27</w:t>
            </w:r>
          </w:p>
        </w:tc>
      </w:tr>
      <w:tr w:rsidR="003F7C05" w:rsidRPr="004E570B" w:rsidTr="00F36B3E">
        <w:tc>
          <w:tcPr>
            <w:tcW w:w="1330" w:type="dxa"/>
            <w:tcMar>
              <w:left w:w="57" w:type="dxa"/>
              <w:right w:w="57" w:type="dxa"/>
            </w:tcMar>
          </w:tcPr>
          <w:p w:rsidR="003F7C05" w:rsidRPr="004E570B" w:rsidRDefault="003F7C05" w:rsidP="004E570B">
            <w:pPr>
              <w:pStyle w:val="TableDataEntries"/>
              <w:jc w:val="left"/>
            </w:pPr>
            <w:r w:rsidRPr="004E570B">
              <w:t>Nepal</w:t>
            </w:r>
          </w:p>
        </w:tc>
        <w:tc>
          <w:tcPr>
            <w:tcW w:w="2638" w:type="dxa"/>
            <w:tcMar>
              <w:left w:w="57" w:type="dxa"/>
              <w:right w:w="57" w:type="dxa"/>
            </w:tcMar>
          </w:tcPr>
          <w:p w:rsidR="003F7C05" w:rsidRPr="004E570B" w:rsidRDefault="003F7C05" w:rsidP="004E570B">
            <w:pPr>
              <w:pStyle w:val="TableDataEntries"/>
              <w:ind w:right="1167"/>
            </w:pPr>
            <w:r w:rsidRPr="004E570B">
              <w:t>41</w:t>
            </w:r>
          </w:p>
        </w:tc>
        <w:tc>
          <w:tcPr>
            <w:tcW w:w="1984" w:type="dxa"/>
            <w:tcMar>
              <w:left w:w="57" w:type="dxa"/>
              <w:right w:w="57" w:type="dxa"/>
            </w:tcMar>
          </w:tcPr>
          <w:p w:rsidR="003F7C05" w:rsidRPr="004E570B" w:rsidRDefault="003F7C05" w:rsidP="004E570B">
            <w:pPr>
              <w:pStyle w:val="TableDataEntries"/>
              <w:ind w:right="701"/>
            </w:pPr>
            <w:r w:rsidRPr="004E570B">
              <w:t>2.2</w:t>
            </w:r>
          </w:p>
        </w:tc>
        <w:tc>
          <w:tcPr>
            <w:tcW w:w="1984" w:type="dxa"/>
            <w:tcMar>
              <w:left w:w="57" w:type="dxa"/>
              <w:right w:w="57" w:type="dxa"/>
            </w:tcMar>
          </w:tcPr>
          <w:p w:rsidR="003F7C05" w:rsidRPr="004E570B" w:rsidRDefault="003F7C05" w:rsidP="004E570B">
            <w:pPr>
              <w:pStyle w:val="TableDataEntries"/>
              <w:ind w:right="712"/>
            </w:pPr>
            <w:r w:rsidRPr="004E570B">
              <w:t>29</w:t>
            </w:r>
          </w:p>
        </w:tc>
      </w:tr>
      <w:tr w:rsidR="003F7C05" w:rsidRPr="004E570B" w:rsidTr="00F36B3E">
        <w:tc>
          <w:tcPr>
            <w:tcW w:w="1330" w:type="dxa"/>
            <w:tcMar>
              <w:left w:w="57" w:type="dxa"/>
              <w:right w:w="57" w:type="dxa"/>
            </w:tcMar>
          </w:tcPr>
          <w:p w:rsidR="003F7C05" w:rsidRPr="004E570B" w:rsidRDefault="003F7C05" w:rsidP="004E570B">
            <w:pPr>
              <w:pStyle w:val="TableDataEntries"/>
              <w:jc w:val="left"/>
            </w:pPr>
            <w:r w:rsidRPr="004E570B">
              <w:t>Pakistan</w:t>
            </w:r>
          </w:p>
        </w:tc>
        <w:tc>
          <w:tcPr>
            <w:tcW w:w="2638" w:type="dxa"/>
            <w:tcMar>
              <w:left w:w="57" w:type="dxa"/>
              <w:right w:w="57" w:type="dxa"/>
            </w:tcMar>
          </w:tcPr>
          <w:p w:rsidR="003F7C05" w:rsidRPr="004E570B" w:rsidRDefault="003F7C05" w:rsidP="004E570B">
            <w:pPr>
              <w:pStyle w:val="TableDataEntries"/>
              <w:ind w:right="1167"/>
            </w:pPr>
            <w:r w:rsidRPr="004E570B">
              <w:t>60</w:t>
            </w:r>
          </w:p>
        </w:tc>
        <w:tc>
          <w:tcPr>
            <w:tcW w:w="1984" w:type="dxa"/>
            <w:tcMar>
              <w:left w:w="57" w:type="dxa"/>
              <w:right w:w="57" w:type="dxa"/>
            </w:tcMar>
          </w:tcPr>
          <w:p w:rsidR="003F7C05" w:rsidRPr="004E570B" w:rsidRDefault="003F7C05" w:rsidP="004E570B">
            <w:pPr>
              <w:pStyle w:val="TableDataEntries"/>
              <w:ind w:right="701"/>
            </w:pPr>
            <w:r w:rsidRPr="004E570B">
              <w:t>2.0</w:t>
            </w:r>
          </w:p>
        </w:tc>
        <w:tc>
          <w:tcPr>
            <w:tcW w:w="1984" w:type="dxa"/>
            <w:tcMar>
              <w:left w:w="57" w:type="dxa"/>
              <w:right w:w="57" w:type="dxa"/>
            </w:tcMar>
          </w:tcPr>
          <w:p w:rsidR="003F7C05" w:rsidRPr="004E570B" w:rsidRDefault="003F7C05" w:rsidP="004E570B">
            <w:pPr>
              <w:pStyle w:val="TableDataEntries"/>
              <w:ind w:right="712"/>
            </w:pPr>
            <w:r w:rsidRPr="004E570B">
              <w:t>37</w:t>
            </w:r>
          </w:p>
        </w:tc>
      </w:tr>
      <w:tr w:rsidR="003F7C05" w:rsidRPr="004E570B" w:rsidTr="00F36B3E">
        <w:tc>
          <w:tcPr>
            <w:tcW w:w="1330" w:type="dxa"/>
            <w:tcMar>
              <w:left w:w="57" w:type="dxa"/>
              <w:right w:w="57" w:type="dxa"/>
            </w:tcMar>
          </w:tcPr>
          <w:p w:rsidR="003F7C05" w:rsidRPr="004E570B" w:rsidRDefault="003F7C05" w:rsidP="004E570B">
            <w:pPr>
              <w:pStyle w:val="TableDataEntries"/>
              <w:jc w:val="left"/>
            </w:pPr>
            <w:r w:rsidRPr="004E570B">
              <w:t>Burma</w:t>
            </w:r>
          </w:p>
        </w:tc>
        <w:tc>
          <w:tcPr>
            <w:tcW w:w="2638" w:type="dxa"/>
            <w:tcMar>
              <w:left w:w="57" w:type="dxa"/>
              <w:right w:w="57" w:type="dxa"/>
            </w:tcMar>
          </w:tcPr>
          <w:p w:rsidR="003F7C05" w:rsidRPr="004E570B" w:rsidRDefault="003F7C05" w:rsidP="004E570B">
            <w:pPr>
              <w:pStyle w:val="TableDataEntries"/>
              <w:ind w:right="1167"/>
            </w:pPr>
            <w:r w:rsidRPr="004E570B">
              <w:t>61</w:t>
            </w:r>
          </w:p>
        </w:tc>
        <w:tc>
          <w:tcPr>
            <w:tcW w:w="1984" w:type="dxa"/>
            <w:tcMar>
              <w:left w:w="57" w:type="dxa"/>
              <w:right w:w="57" w:type="dxa"/>
            </w:tcMar>
          </w:tcPr>
          <w:p w:rsidR="003F7C05" w:rsidRPr="004E570B" w:rsidRDefault="003F7C05" w:rsidP="004E570B">
            <w:pPr>
              <w:pStyle w:val="TableDataEntries"/>
              <w:ind w:right="701"/>
            </w:pPr>
            <w:r w:rsidRPr="004E570B">
              <w:t>1.1</w:t>
            </w:r>
          </w:p>
        </w:tc>
        <w:tc>
          <w:tcPr>
            <w:tcW w:w="1984" w:type="dxa"/>
            <w:tcMar>
              <w:left w:w="57" w:type="dxa"/>
              <w:right w:w="57" w:type="dxa"/>
            </w:tcMar>
          </w:tcPr>
          <w:p w:rsidR="003F7C05" w:rsidRPr="004E570B" w:rsidRDefault="003F7C05" w:rsidP="004E570B">
            <w:pPr>
              <w:pStyle w:val="TableDataEntries"/>
              <w:ind w:right="712"/>
            </w:pPr>
            <w:r w:rsidRPr="004E570B">
              <w:t>8</w:t>
            </w:r>
          </w:p>
        </w:tc>
      </w:tr>
      <w:tr w:rsidR="003F7C05" w:rsidRPr="004E570B" w:rsidTr="00F36B3E">
        <w:tc>
          <w:tcPr>
            <w:tcW w:w="1330" w:type="dxa"/>
            <w:tcBorders>
              <w:bottom w:val="single" w:sz="12" w:space="0" w:color="auto"/>
            </w:tcBorders>
            <w:tcMar>
              <w:left w:w="57" w:type="dxa"/>
              <w:right w:w="57" w:type="dxa"/>
            </w:tcMar>
          </w:tcPr>
          <w:p w:rsidR="003F7C05" w:rsidRPr="004E570B" w:rsidRDefault="003F7C05" w:rsidP="004E570B">
            <w:pPr>
              <w:pStyle w:val="TableDataEntries"/>
              <w:jc w:val="left"/>
            </w:pPr>
            <w:r w:rsidRPr="004E570B">
              <w:t>Lao</w:t>
            </w:r>
            <w:r w:rsidR="00C10F73" w:rsidRPr="004E570B">
              <w:t>s</w:t>
            </w:r>
          </w:p>
        </w:tc>
        <w:tc>
          <w:tcPr>
            <w:tcW w:w="2638" w:type="dxa"/>
            <w:tcBorders>
              <w:bottom w:val="single" w:sz="12" w:space="0" w:color="auto"/>
            </w:tcBorders>
            <w:tcMar>
              <w:left w:w="57" w:type="dxa"/>
              <w:right w:w="57" w:type="dxa"/>
            </w:tcMar>
          </w:tcPr>
          <w:p w:rsidR="003F7C05" w:rsidRPr="004E570B" w:rsidRDefault="003F7C05" w:rsidP="004E570B">
            <w:pPr>
              <w:pStyle w:val="TableDataEntries"/>
              <w:ind w:right="1167"/>
            </w:pPr>
            <w:r w:rsidRPr="004E570B">
              <w:t>70</w:t>
            </w:r>
          </w:p>
        </w:tc>
        <w:tc>
          <w:tcPr>
            <w:tcW w:w="1984" w:type="dxa"/>
            <w:tcBorders>
              <w:bottom w:val="single" w:sz="12" w:space="0" w:color="auto"/>
            </w:tcBorders>
            <w:tcMar>
              <w:left w:w="57" w:type="dxa"/>
              <w:right w:w="57" w:type="dxa"/>
            </w:tcMar>
          </w:tcPr>
          <w:p w:rsidR="003F7C05" w:rsidRPr="004E570B" w:rsidRDefault="003F7C05" w:rsidP="004E570B">
            <w:pPr>
              <w:pStyle w:val="TableDataEntries"/>
              <w:ind w:right="701"/>
            </w:pPr>
            <w:r w:rsidRPr="004E570B">
              <w:t>1.1</w:t>
            </w:r>
          </w:p>
        </w:tc>
        <w:tc>
          <w:tcPr>
            <w:tcW w:w="1984" w:type="dxa"/>
            <w:tcBorders>
              <w:bottom w:val="single" w:sz="12" w:space="0" w:color="auto"/>
            </w:tcBorders>
            <w:tcMar>
              <w:left w:w="57" w:type="dxa"/>
              <w:right w:w="57" w:type="dxa"/>
            </w:tcMar>
          </w:tcPr>
          <w:p w:rsidR="003F7C05" w:rsidRPr="004E570B" w:rsidRDefault="003F7C05" w:rsidP="004E570B">
            <w:pPr>
              <w:pStyle w:val="TableDataEntries"/>
              <w:ind w:right="712"/>
            </w:pPr>
            <w:r w:rsidRPr="004E570B">
              <w:t>10</w:t>
            </w:r>
          </w:p>
        </w:tc>
      </w:tr>
    </w:tbl>
    <w:p w:rsidR="003F7C05" w:rsidRPr="004E570B" w:rsidRDefault="003F7C05" w:rsidP="004E570B">
      <w:pPr>
        <w:pStyle w:val="Source"/>
      </w:pPr>
      <w:r w:rsidRPr="004E570B">
        <w:t xml:space="preserve">Source: </w:t>
      </w:r>
      <w:r w:rsidRPr="004E570B">
        <w:rPr>
          <w:i/>
        </w:rPr>
        <w:t>The Lancet</w:t>
      </w:r>
      <w:r w:rsidR="00870922" w:rsidRPr="004E570B">
        <w:t>,</w:t>
      </w:r>
      <w:r w:rsidRPr="004E570B">
        <w:t xml:space="preserve"> </w:t>
      </w:r>
      <w:r w:rsidR="00870922" w:rsidRPr="004E570B">
        <w:t xml:space="preserve">vol. </w:t>
      </w:r>
      <w:r w:rsidRPr="004E570B">
        <w:t>371</w:t>
      </w:r>
      <w:r w:rsidR="00870922" w:rsidRPr="004E570B">
        <w:t xml:space="preserve">, April 2008, </w:t>
      </w:r>
      <w:r w:rsidRPr="004E570B">
        <w:t>pp</w:t>
      </w:r>
      <w:r w:rsidR="00870922" w:rsidRPr="004E570B">
        <w:t>. </w:t>
      </w:r>
      <w:r w:rsidRPr="004E570B">
        <w:t>1259</w:t>
      </w:r>
      <w:r w:rsidR="00870922" w:rsidRPr="004E570B">
        <w:t>–</w:t>
      </w:r>
      <w:r w:rsidRPr="004E570B">
        <w:t>67.</w:t>
      </w:r>
    </w:p>
    <w:p w:rsidR="001D3BBA" w:rsidRPr="004E570B" w:rsidRDefault="001D3BBA" w:rsidP="004E570B">
      <w:pPr>
        <w:pStyle w:val="Heading2unnumbered"/>
        <w:rPr>
          <w:color w:val="auto"/>
        </w:rPr>
      </w:pPr>
      <w:bookmarkStart w:id="13" w:name="_Toc217896620"/>
      <w:r w:rsidRPr="004E570B">
        <w:rPr>
          <w:color w:val="auto"/>
        </w:rPr>
        <w:t>Why is progress on MDGs 4 and 5 inade</w:t>
      </w:r>
      <w:r w:rsidR="00DA1413" w:rsidRPr="004E570B">
        <w:rPr>
          <w:color w:val="auto"/>
        </w:rPr>
        <w:t>quate</w:t>
      </w:r>
      <w:r w:rsidR="009C6124" w:rsidRPr="004E570B">
        <w:rPr>
          <w:color w:val="auto"/>
        </w:rPr>
        <w:t>?</w:t>
      </w:r>
      <w:bookmarkEnd w:id="13"/>
    </w:p>
    <w:p w:rsidR="001D3BBA" w:rsidRPr="004E570B" w:rsidRDefault="001D3BBA" w:rsidP="004E570B">
      <w:pPr>
        <w:pStyle w:val="BodyText"/>
      </w:pPr>
      <w:r w:rsidRPr="004E570B">
        <w:t xml:space="preserve">Progress on MDGs 4 and 5 in Asia and the Pacific is variable across countries but overall insufficient. </w:t>
      </w:r>
      <w:r w:rsidR="00B475D1" w:rsidRPr="004E570B">
        <w:t>The l</w:t>
      </w:r>
      <w:r w:rsidRPr="004E570B">
        <w:t>ack of progress can be attributed to a number of factors</w:t>
      </w:r>
      <w:r w:rsidR="0020080E" w:rsidRPr="004E570B">
        <w:t>,</w:t>
      </w:r>
      <w:r w:rsidRPr="004E570B">
        <w:t xml:space="preserve"> but high among them is poor access to and use of health services. In 6 of </w:t>
      </w:r>
      <w:r w:rsidR="006A5D8A" w:rsidRPr="004E570B">
        <w:t xml:space="preserve">the </w:t>
      </w:r>
      <w:r w:rsidRPr="004E570B">
        <w:t xml:space="preserve">10 countries for which data were available, less than half of </w:t>
      </w:r>
      <w:r w:rsidR="006A5D8A" w:rsidRPr="004E570B">
        <w:t xml:space="preserve">the </w:t>
      </w:r>
      <w:r w:rsidRPr="004E570B">
        <w:t xml:space="preserve">children with symptoms suggesting pneumonia were taken to an appropriate source of health care and less than half of </w:t>
      </w:r>
      <w:r w:rsidR="006A5D8A" w:rsidRPr="004E570B">
        <w:t xml:space="preserve">the </w:t>
      </w:r>
      <w:r w:rsidRPr="004E570B">
        <w:t>children with diarrhoea received life-saving oral rehydration therapy and continued feeding. In at least six Asia</w:t>
      </w:r>
      <w:r w:rsidR="00B475D1" w:rsidRPr="004E570B">
        <w:t>-</w:t>
      </w:r>
      <w:r w:rsidRPr="004E570B">
        <w:t>Pacific countries the most recent estimate showed that less than 50</w:t>
      </w:r>
      <w:r w:rsidR="00651EFB" w:rsidRPr="004E570B">
        <w:t> per cent</w:t>
      </w:r>
      <w:r w:rsidRPr="004E570B">
        <w:t xml:space="preserve"> of births were attended by a skilled</w:t>
      </w:r>
      <w:r w:rsidR="00B475D1" w:rsidRPr="004E570B">
        <w:t> </w:t>
      </w:r>
      <w:r w:rsidRPr="004E570B">
        <w:t>attendant.</w:t>
      </w:r>
    </w:p>
    <w:p w:rsidR="001D3BBA" w:rsidRPr="004E570B" w:rsidRDefault="001D3BBA" w:rsidP="004E570B">
      <w:pPr>
        <w:pStyle w:val="BodyText"/>
      </w:pPr>
      <w:r w:rsidRPr="004E570B">
        <w:t xml:space="preserve">There are many reasons for poor access to and use of health services. Among the most important, on which this report puts emphasis, </w:t>
      </w:r>
      <w:r w:rsidR="006A5D8A" w:rsidRPr="004E570B">
        <w:t xml:space="preserve">is </w:t>
      </w:r>
      <w:r w:rsidRPr="004E570B">
        <w:t>the serious lack of resources and skills where they are most needed. Funds are often not available due to overall low expenditure on health, inequitable allocation, inefficient financing and ‘leakage’. Human resources and skills are lacking where they are needed because of low workforce numbers</w:t>
      </w:r>
      <w:r w:rsidR="0020080E" w:rsidRPr="004E570B">
        <w:t>,</w:t>
      </w:r>
      <w:r w:rsidRPr="004E570B">
        <w:t xml:space="preserve"> </w:t>
      </w:r>
      <w:r w:rsidR="0020080E" w:rsidRPr="004E570B">
        <w:t xml:space="preserve">the </w:t>
      </w:r>
      <w:r w:rsidRPr="004E570B">
        <w:t>inequitable allocation of staffing</w:t>
      </w:r>
      <w:r w:rsidR="0020080E" w:rsidRPr="004E570B">
        <w:t>,</w:t>
      </w:r>
      <w:r w:rsidRPr="004E570B">
        <w:t xml:space="preserve"> </w:t>
      </w:r>
      <w:proofErr w:type="gramStart"/>
      <w:r w:rsidR="0020080E" w:rsidRPr="004E570B">
        <w:t>the</w:t>
      </w:r>
      <w:proofErr w:type="gramEnd"/>
      <w:r w:rsidR="0020080E" w:rsidRPr="004E570B">
        <w:t xml:space="preserve"> </w:t>
      </w:r>
      <w:r w:rsidRPr="004E570B">
        <w:t>reluctance of staff to work outside of the urban centres</w:t>
      </w:r>
      <w:r w:rsidR="0020080E" w:rsidRPr="004E570B">
        <w:t xml:space="preserve"> and inadequate incentives to do so,</w:t>
      </w:r>
      <w:r w:rsidRPr="004E570B">
        <w:t xml:space="preserve"> and poor training and supervision.</w:t>
      </w:r>
    </w:p>
    <w:p w:rsidR="001D3BBA" w:rsidRPr="004E570B" w:rsidRDefault="001D3BBA" w:rsidP="004E570B">
      <w:pPr>
        <w:pStyle w:val="BodyText"/>
      </w:pPr>
      <w:r w:rsidRPr="004E570B">
        <w:t xml:space="preserve">Financing and human resources directly </w:t>
      </w:r>
      <w:r w:rsidR="006A5D8A" w:rsidRPr="004E570B">
        <w:t>affect</w:t>
      </w:r>
      <w:r w:rsidRPr="004E570B">
        <w:t xml:space="preserve"> other essential elements of the health system such as infrastructure maintenance, the availability of equipment and pharmaceuticals and </w:t>
      </w:r>
      <w:r w:rsidR="0020080E" w:rsidRPr="004E570B">
        <w:t xml:space="preserve">the </w:t>
      </w:r>
      <w:r w:rsidRPr="004E570B">
        <w:t xml:space="preserve">functioning </w:t>
      </w:r>
      <w:r w:rsidR="006A5D8A" w:rsidRPr="004E570B">
        <w:t xml:space="preserve">of </w:t>
      </w:r>
      <w:r w:rsidRPr="004E570B">
        <w:t xml:space="preserve">management and information systems. In addition, </w:t>
      </w:r>
      <w:r w:rsidR="0020080E" w:rsidRPr="004E570B">
        <w:t xml:space="preserve">an </w:t>
      </w:r>
      <w:r w:rsidRPr="004E570B">
        <w:t>inadequate</w:t>
      </w:r>
      <w:r w:rsidR="0020080E" w:rsidRPr="004E570B">
        <w:t xml:space="preserve"> flow of</w:t>
      </w:r>
      <w:r w:rsidRPr="004E570B">
        <w:t xml:space="preserve"> information to the public means they are often ill-informed about the services they should expect or that are available.</w:t>
      </w:r>
    </w:p>
    <w:p w:rsidR="001D3BBA" w:rsidRPr="004E570B" w:rsidRDefault="001D3BBA" w:rsidP="004E570B">
      <w:pPr>
        <w:pStyle w:val="BodyText"/>
      </w:pPr>
      <w:r w:rsidRPr="004E570B">
        <w:lastRenderedPageBreak/>
        <w:t xml:space="preserve">Where there are alternatives to government health services </w:t>
      </w:r>
      <w:r w:rsidR="00B24641" w:rsidRPr="004E570B">
        <w:t xml:space="preserve">these </w:t>
      </w:r>
      <w:r w:rsidR="006A5D8A" w:rsidRPr="004E570B">
        <w:t xml:space="preserve">services </w:t>
      </w:r>
      <w:r w:rsidRPr="004E570B">
        <w:t>are also often under-resourced, as in the case of faith-based and non-governmental organ</w:t>
      </w:r>
      <w:r w:rsidR="00651EFB" w:rsidRPr="004E570B">
        <w:t>is</w:t>
      </w:r>
      <w:r w:rsidRPr="004E570B">
        <w:t xml:space="preserve">ations. </w:t>
      </w:r>
      <w:r w:rsidR="00B24641" w:rsidRPr="004E570B">
        <w:t xml:space="preserve">If a </w:t>
      </w:r>
      <w:r w:rsidRPr="004E570B">
        <w:t>private medical sector exists,</w:t>
      </w:r>
      <w:r w:rsidR="00B24641" w:rsidRPr="004E570B">
        <w:t xml:space="preserve"> it</w:t>
      </w:r>
      <w:r w:rsidRPr="004E570B">
        <w:t xml:space="preserve"> is often unregulated and </w:t>
      </w:r>
      <w:r w:rsidR="00B24641" w:rsidRPr="004E570B">
        <w:t xml:space="preserve">its </w:t>
      </w:r>
      <w:r w:rsidRPr="004E570B">
        <w:t>services may be of poor quality and expensive and</w:t>
      </w:r>
      <w:r w:rsidR="00B24641" w:rsidRPr="004E570B">
        <w:t>,</w:t>
      </w:r>
      <w:r w:rsidRPr="004E570B">
        <w:t xml:space="preserve"> in the worst </w:t>
      </w:r>
      <w:r w:rsidR="00B24641" w:rsidRPr="004E570B">
        <w:t>cases,</w:t>
      </w:r>
      <w:r w:rsidR="00AD04C1" w:rsidRPr="004E570B">
        <w:t xml:space="preserve"> </w:t>
      </w:r>
      <w:r w:rsidRPr="004E570B">
        <w:t>exploitative or dangerous. These deficiencies are also expressions of inadequate policies and regulation in relation to health financing.</w:t>
      </w:r>
    </w:p>
    <w:p w:rsidR="001D3BBA" w:rsidRPr="004E570B" w:rsidRDefault="001D3BBA" w:rsidP="004E570B">
      <w:pPr>
        <w:pStyle w:val="BodyText"/>
      </w:pPr>
      <w:r w:rsidRPr="004E570B">
        <w:t xml:space="preserve">In most countries health services are not free and health insurance coverage is minimal. The cost of health care (or of transport to obtain it) often prevents people from seeking care at all, may delay seeking care that is urgently needed or may result in indebtedness. </w:t>
      </w:r>
    </w:p>
    <w:p w:rsidR="001D3BBA" w:rsidRPr="004E570B" w:rsidRDefault="001D3BBA" w:rsidP="004E570B">
      <w:pPr>
        <w:pStyle w:val="BodyText"/>
      </w:pPr>
      <w:r w:rsidRPr="004E570B">
        <w:t>The position of women in society is reflected, for example, in their not being able to take decisions independently about their own health care and that of their children and their limited access to financial resources. This can be a major factor in maternal and child health.</w:t>
      </w:r>
    </w:p>
    <w:p w:rsidR="001D3BBA" w:rsidRPr="004E570B" w:rsidRDefault="001D3BBA" w:rsidP="004E570B">
      <w:pPr>
        <w:pStyle w:val="BodyText"/>
      </w:pPr>
      <w:r w:rsidRPr="004E570B">
        <w:t xml:space="preserve">The combination of these factors results in mothers and children not being able to access the preventive and curative care they need, even for everyday conditions. </w:t>
      </w:r>
      <w:r w:rsidR="00B24641" w:rsidRPr="004E570B">
        <w:t>The l</w:t>
      </w:r>
      <w:r w:rsidRPr="004E570B">
        <w:t xml:space="preserve">ack of attention </w:t>
      </w:r>
      <w:r w:rsidR="00B24641" w:rsidRPr="004E570B">
        <w:t xml:space="preserve">afforded </w:t>
      </w:r>
      <w:r w:rsidRPr="004E570B">
        <w:t>common</w:t>
      </w:r>
      <w:r w:rsidR="00B24641" w:rsidRPr="004E570B">
        <w:t>,</w:t>
      </w:r>
      <w:r w:rsidRPr="004E570B">
        <w:t xml:space="preserve"> easily treatable diseases often leads to worsening of the condition</w:t>
      </w:r>
      <w:r w:rsidR="00B24641" w:rsidRPr="004E570B">
        <w:t>s</w:t>
      </w:r>
      <w:r w:rsidRPr="004E570B">
        <w:t>, complications and too often death.</w:t>
      </w:r>
    </w:p>
    <w:p w:rsidR="001D3BBA" w:rsidRPr="004E570B" w:rsidRDefault="001D3BBA" w:rsidP="00877C04">
      <w:pPr>
        <w:pStyle w:val="Heading3"/>
        <w:numPr>
          <w:ilvl w:val="2"/>
          <w:numId w:val="18"/>
        </w:numPr>
        <w:ind w:left="0" w:firstLine="0"/>
        <w:rPr>
          <w:color w:val="auto"/>
        </w:rPr>
      </w:pPr>
      <w:r w:rsidRPr="004E570B">
        <w:rPr>
          <w:color w:val="auto"/>
        </w:rPr>
        <w:t>Health financing mechanisms can limit access and exacerbate</w:t>
      </w:r>
      <w:r w:rsidR="00C95DF2" w:rsidRPr="004E570B">
        <w:rPr>
          <w:color w:val="auto"/>
        </w:rPr>
        <w:t> </w:t>
      </w:r>
      <w:r w:rsidRPr="004E570B">
        <w:rPr>
          <w:color w:val="auto"/>
        </w:rPr>
        <w:t>inequity</w:t>
      </w:r>
    </w:p>
    <w:p w:rsidR="001D3BBA" w:rsidRPr="004E570B" w:rsidRDefault="001D3BBA" w:rsidP="004E570B">
      <w:pPr>
        <w:pStyle w:val="BodyText"/>
      </w:pPr>
      <w:r w:rsidRPr="004E570B">
        <w:t xml:space="preserve">Clearly the total amount of money spent on health </w:t>
      </w:r>
      <w:r w:rsidR="00C95DF2" w:rsidRPr="004E570B">
        <w:t xml:space="preserve">services </w:t>
      </w:r>
      <w:r w:rsidRPr="004E570B">
        <w:t>is one factor influencing</w:t>
      </w:r>
      <w:r w:rsidR="004E40E6" w:rsidRPr="004E570B">
        <w:t xml:space="preserve"> </w:t>
      </w:r>
      <w:r w:rsidRPr="004E570B">
        <w:t xml:space="preserve">the coverage and quality of services. </w:t>
      </w:r>
      <w:r w:rsidR="00C95DF2" w:rsidRPr="004E570B">
        <w:t>In countries of Asia and the Pacific,</w:t>
      </w:r>
      <w:r w:rsidRPr="004E570B">
        <w:t xml:space="preserve"> expenditure </w:t>
      </w:r>
      <w:r w:rsidR="00C95DF2" w:rsidRPr="004E570B">
        <w:t xml:space="preserve">per person </w:t>
      </w:r>
      <w:r w:rsidRPr="004E570B">
        <w:t xml:space="preserve">on health </w:t>
      </w:r>
      <w:r w:rsidR="00C95DF2" w:rsidRPr="004E570B">
        <w:t>differs greatly (Table 3)</w:t>
      </w:r>
      <w:r w:rsidRPr="004E570B">
        <w:t>.</w:t>
      </w:r>
    </w:p>
    <w:p w:rsidR="007A3920" w:rsidRPr="004E570B" w:rsidRDefault="007A3920" w:rsidP="004E570B">
      <w:pPr>
        <w:pStyle w:val="Caption"/>
        <w:spacing w:before="300"/>
        <w:ind w:right="1338"/>
        <w:rPr>
          <w:color w:val="auto"/>
        </w:rPr>
      </w:pPr>
      <w:r w:rsidRPr="004E570B">
        <w:rPr>
          <w:color w:val="auto"/>
        </w:rPr>
        <w:t xml:space="preserve">Table </w:t>
      </w:r>
      <w:r w:rsidRPr="004E570B">
        <w:rPr>
          <w:color w:val="auto"/>
        </w:rPr>
        <w:fldChar w:fldCharType="begin"/>
      </w:r>
      <w:r w:rsidRPr="004E570B">
        <w:rPr>
          <w:color w:val="auto"/>
        </w:rPr>
        <w:instrText xml:space="preserve"> SEQ Table \* MERGEFORMAT </w:instrText>
      </w:r>
      <w:r w:rsidRPr="004E570B">
        <w:rPr>
          <w:color w:val="auto"/>
        </w:rPr>
        <w:fldChar w:fldCharType="separate"/>
      </w:r>
      <w:r w:rsidR="00B33206" w:rsidRPr="004E570B">
        <w:rPr>
          <w:noProof/>
          <w:color w:val="auto"/>
        </w:rPr>
        <w:t>3</w:t>
      </w:r>
      <w:r w:rsidRPr="004E570B">
        <w:rPr>
          <w:color w:val="auto"/>
        </w:rPr>
        <w:fldChar w:fldCharType="end"/>
      </w:r>
      <w:r w:rsidRPr="004E570B">
        <w:rPr>
          <w:color w:val="auto"/>
        </w:rPr>
        <w:t xml:space="preserve">: </w:t>
      </w:r>
      <w:r w:rsidR="00C95DF2" w:rsidRPr="004E570B">
        <w:rPr>
          <w:color w:val="auto"/>
        </w:rPr>
        <w:t>H</w:t>
      </w:r>
      <w:r w:rsidRPr="004E570B">
        <w:rPr>
          <w:color w:val="auto"/>
        </w:rPr>
        <w:t>ealth expenditure</w:t>
      </w:r>
      <w:r w:rsidR="00C95DF2" w:rsidRPr="004E570B">
        <w:rPr>
          <w:color w:val="auto"/>
        </w:rPr>
        <w:t xml:space="preserve"> per person in</w:t>
      </w:r>
      <w:r w:rsidRPr="004E570B">
        <w:rPr>
          <w:color w:val="auto"/>
        </w:rPr>
        <w:t xml:space="preserve"> selected Asian and Pacific developing countries and Australia</w:t>
      </w:r>
    </w:p>
    <w:tbl>
      <w:tblPr>
        <w:tblW w:w="0" w:type="auto"/>
        <w:tblInd w:w="57" w:type="dxa"/>
        <w:tblLayout w:type="fixed"/>
        <w:tblLook w:val="0000" w:firstRow="0" w:lastRow="0" w:firstColumn="0" w:lastColumn="0" w:noHBand="0" w:noVBand="0"/>
      </w:tblPr>
      <w:tblGrid>
        <w:gridCol w:w="2645"/>
        <w:gridCol w:w="1415"/>
        <w:gridCol w:w="2575"/>
      </w:tblGrid>
      <w:tr w:rsidR="007A3920" w:rsidRPr="004E570B" w:rsidTr="00092D69">
        <w:tblPrEx>
          <w:tblCellMar>
            <w:top w:w="0" w:type="dxa"/>
            <w:bottom w:w="0" w:type="dxa"/>
          </w:tblCellMar>
        </w:tblPrEx>
        <w:trPr>
          <w:cantSplit/>
          <w:tblHeader/>
        </w:trPr>
        <w:tc>
          <w:tcPr>
            <w:tcW w:w="2645" w:type="dxa"/>
            <w:tcBorders>
              <w:bottom w:val="single" w:sz="12" w:space="0" w:color="auto"/>
            </w:tcBorders>
            <w:tcMar>
              <w:left w:w="57" w:type="dxa"/>
              <w:right w:w="57" w:type="dxa"/>
            </w:tcMar>
          </w:tcPr>
          <w:p w:rsidR="007A3920" w:rsidRPr="004E570B" w:rsidRDefault="007A3920" w:rsidP="004E570B">
            <w:pPr>
              <w:pStyle w:val="TableDataColumnHeading"/>
              <w:jc w:val="left"/>
            </w:pPr>
          </w:p>
        </w:tc>
        <w:tc>
          <w:tcPr>
            <w:tcW w:w="1415" w:type="dxa"/>
            <w:tcBorders>
              <w:bottom w:val="single" w:sz="12" w:space="0" w:color="auto"/>
            </w:tcBorders>
            <w:tcMar>
              <w:left w:w="57" w:type="dxa"/>
              <w:right w:w="57" w:type="dxa"/>
            </w:tcMar>
          </w:tcPr>
          <w:p w:rsidR="007A3920" w:rsidRPr="004E570B" w:rsidRDefault="007A3920" w:rsidP="004E570B">
            <w:pPr>
              <w:pStyle w:val="TableDataColumnHeading"/>
            </w:pPr>
          </w:p>
        </w:tc>
        <w:tc>
          <w:tcPr>
            <w:tcW w:w="2575" w:type="dxa"/>
            <w:tcBorders>
              <w:bottom w:val="single" w:sz="12" w:space="0" w:color="auto"/>
            </w:tcBorders>
            <w:tcMar>
              <w:left w:w="57" w:type="dxa"/>
              <w:right w:w="57" w:type="dxa"/>
            </w:tcMar>
          </w:tcPr>
          <w:p w:rsidR="007A3920" w:rsidRPr="004E570B" w:rsidRDefault="007A3920" w:rsidP="004E570B">
            <w:pPr>
              <w:pStyle w:val="TableDataColumnHeading"/>
            </w:pPr>
            <w:r w:rsidRPr="004E570B">
              <w:t xml:space="preserve">Total per </w:t>
            </w:r>
            <w:r w:rsidR="00FA51C5" w:rsidRPr="004E570B">
              <w:t xml:space="preserve">person </w:t>
            </w:r>
            <w:r w:rsidRPr="004E570B">
              <w:t>health</w:t>
            </w:r>
            <w:r w:rsidR="00FA51C5" w:rsidRPr="004E570B">
              <w:t> </w:t>
            </w:r>
            <w:r w:rsidRPr="004E570B">
              <w:t>expenditure</w:t>
            </w:r>
          </w:p>
        </w:tc>
      </w:tr>
      <w:tr w:rsidR="007A3920" w:rsidRPr="004E570B" w:rsidTr="00092D69">
        <w:tblPrEx>
          <w:tblCellMar>
            <w:top w:w="0" w:type="dxa"/>
            <w:bottom w:w="0" w:type="dxa"/>
          </w:tblCellMar>
        </w:tblPrEx>
        <w:trPr>
          <w:cantSplit/>
        </w:trPr>
        <w:tc>
          <w:tcPr>
            <w:tcW w:w="2645" w:type="dxa"/>
            <w:tcBorders>
              <w:top w:val="single" w:sz="12" w:space="0" w:color="auto"/>
            </w:tcBorders>
            <w:tcMar>
              <w:left w:w="57" w:type="dxa"/>
              <w:right w:w="57" w:type="dxa"/>
            </w:tcMar>
          </w:tcPr>
          <w:p w:rsidR="007A3920" w:rsidRPr="004E570B" w:rsidRDefault="007A3920" w:rsidP="004E570B">
            <w:pPr>
              <w:pStyle w:val="TableUnit"/>
              <w:jc w:val="left"/>
            </w:pPr>
          </w:p>
        </w:tc>
        <w:tc>
          <w:tcPr>
            <w:tcW w:w="1415" w:type="dxa"/>
            <w:tcBorders>
              <w:top w:val="single" w:sz="12" w:space="0" w:color="auto"/>
            </w:tcBorders>
            <w:tcMar>
              <w:left w:w="57" w:type="dxa"/>
              <w:right w:w="57" w:type="dxa"/>
            </w:tcMar>
          </w:tcPr>
          <w:p w:rsidR="007A3920" w:rsidRPr="004E570B" w:rsidRDefault="007A3920" w:rsidP="004E570B">
            <w:pPr>
              <w:pStyle w:val="TableUnit"/>
            </w:pPr>
          </w:p>
        </w:tc>
        <w:tc>
          <w:tcPr>
            <w:tcW w:w="2575" w:type="dxa"/>
            <w:tcBorders>
              <w:top w:val="single" w:sz="12" w:space="0" w:color="auto"/>
            </w:tcBorders>
            <w:tcMar>
              <w:left w:w="57" w:type="dxa"/>
              <w:right w:w="57" w:type="dxa"/>
            </w:tcMar>
          </w:tcPr>
          <w:p w:rsidR="007A3920" w:rsidRPr="004E570B" w:rsidRDefault="007A3920" w:rsidP="004E570B">
            <w:pPr>
              <w:pStyle w:val="TableUnit"/>
            </w:pPr>
            <w:r w:rsidRPr="004E570B">
              <w:t xml:space="preserve">PPP </w:t>
            </w:r>
            <w:r w:rsidR="009F536A" w:rsidRPr="004E570B">
              <w:t>US</w:t>
            </w:r>
            <w:r w:rsidRPr="004E570B">
              <w:t>$</w:t>
            </w:r>
          </w:p>
        </w:tc>
      </w:tr>
      <w:tr w:rsidR="007A3920" w:rsidRPr="004E570B" w:rsidTr="00092D69">
        <w:tblPrEx>
          <w:tblCellMar>
            <w:top w:w="0" w:type="dxa"/>
            <w:bottom w:w="0" w:type="dxa"/>
          </w:tblCellMar>
        </w:tblPrEx>
        <w:trPr>
          <w:cantSplit/>
        </w:trPr>
        <w:tc>
          <w:tcPr>
            <w:tcW w:w="2645" w:type="dxa"/>
            <w:tcMar>
              <w:left w:w="57" w:type="dxa"/>
              <w:right w:w="57" w:type="dxa"/>
            </w:tcMar>
          </w:tcPr>
          <w:p w:rsidR="007A3920" w:rsidRPr="004E570B" w:rsidRDefault="007A3920" w:rsidP="004E570B">
            <w:pPr>
              <w:pStyle w:val="TableDataEntries"/>
              <w:jc w:val="left"/>
              <w:rPr>
                <w:rFonts w:ascii="Franklin Gothic Medium" w:hAnsi="Franklin Gothic Medium"/>
              </w:rPr>
            </w:pPr>
            <w:r w:rsidRPr="004E570B">
              <w:rPr>
                <w:rFonts w:ascii="Franklin Gothic Medium" w:hAnsi="Franklin Gothic Medium"/>
              </w:rPr>
              <w:t>12 Asian countries</w:t>
            </w:r>
          </w:p>
        </w:tc>
        <w:tc>
          <w:tcPr>
            <w:tcW w:w="1415" w:type="dxa"/>
            <w:tcMar>
              <w:left w:w="57" w:type="dxa"/>
              <w:right w:w="57" w:type="dxa"/>
            </w:tcMar>
          </w:tcPr>
          <w:p w:rsidR="007A3920" w:rsidRPr="004E570B" w:rsidRDefault="007A3920" w:rsidP="004E570B">
            <w:pPr>
              <w:pStyle w:val="TableDataEntries"/>
              <w:jc w:val="left"/>
            </w:pPr>
            <w:r w:rsidRPr="004E570B">
              <w:t>Average</w:t>
            </w:r>
          </w:p>
        </w:tc>
        <w:tc>
          <w:tcPr>
            <w:tcW w:w="2575" w:type="dxa"/>
            <w:tcMar>
              <w:left w:w="57" w:type="dxa"/>
              <w:right w:w="57" w:type="dxa"/>
            </w:tcMar>
          </w:tcPr>
          <w:p w:rsidR="007A3920" w:rsidRPr="004E570B" w:rsidRDefault="007A3920" w:rsidP="004E570B">
            <w:pPr>
              <w:pStyle w:val="TableDataEntries"/>
            </w:pPr>
            <w:r w:rsidRPr="004E570B">
              <w:t>110</w:t>
            </w:r>
          </w:p>
        </w:tc>
      </w:tr>
      <w:tr w:rsidR="007A3920" w:rsidRPr="004E570B" w:rsidTr="00092D69">
        <w:tblPrEx>
          <w:tblCellMar>
            <w:top w:w="0" w:type="dxa"/>
            <w:bottom w:w="0" w:type="dxa"/>
          </w:tblCellMar>
        </w:tblPrEx>
        <w:trPr>
          <w:cantSplit/>
        </w:trPr>
        <w:tc>
          <w:tcPr>
            <w:tcW w:w="2645" w:type="dxa"/>
            <w:tcMar>
              <w:left w:w="57" w:type="dxa"/>
              <w:right w:w="57" w:type="dxa"/>
            </w:tcMar>
          </w:tcPr>
          <w:p w:rsidR="007A3920" w:rsidRPr="004E570B" w:rsidRDefault="007A3920" w:rsidP="004E570B">
            <w:pPr>
              <w:pStyle w:val="TableDataEntries"/>
              <w:jc w:val="left"/>
            </w:pPr>
          </w:p>
        </w:tc>
        <w:tc>
          <w:tcPr>
            <w:tcW w:w="1415" w:type="dxa"/>
            <w:tcMar>
              <w:left w:w="57" w:type="dxa"/>
              <w:right w:w="57" w:type="dxa"/>
            </w:tcMar>
          </w:tcPr>
          <w:p w:rsidR="007A3920" w:rsidRPr="004E570B" w:rsidRDefault="007A3920" w:rsidP="004E570B">
            <w:pPr>
              <w:pStyle w:val="TableDataEntries"/>
              <w:jc w:val="left"/>
            </w:pPr>
            <w:r w:rsidRPr="004E570B">
              <w:t>Median</w:t>
            </w:r>
          </w:p>
        </w:tc>
        <w:tc>
          <w:tcPr>
            <w:tcW w:w="2575" w:type="dxa"/>
            <w:tcMar>
              <w:left w:w="57" w:type="dxa"/>
              <w:right w:w="57" w:type="dxa"/>
            </w:tcMar>
          </w:tcPr>
          <w:p w:rsidR="007A3920" w:rsidRPr="004E570B" w:rsidRDefault="007A3920" w:rsidP="004E570B">
            <w:pPr>
              <w:pStyle w:val="TableDataEntries"/>
            </w:pPr>
            <w:r w:rsidRPr="004E570B">
              <w:t>78</w:t>
            </w:r>
          </w:p>
        </w:tc>
      </w:tr>
      <w:tr w:rsidR="007A3920" w:rsidRPr="004E570B" w:rsidTr="00092D69">
        <w:tblPrEx>
          <w:tblCellMar>
            <w:top w:w="0" w:type="dxa"/>
            <w:bottom w:w="0" w:type="dxa"/>
          </w:tblCellMar>
        </w:tblPrEx>
        <w:trPr>
          <w:cantSplit/>
        </w:trPr>
        <w:tc>
          <w:tcPr>
            <w:tcW w:w="2645" w:type="dxa"/>
            <w:tcMar>
              <w:left w:w="57" w:type="dxa"/>
              <w:right w:w="57" w:type="dxa"/>
            </w:tcMar>
          </w:tcPr>
          <w:p w:rsidR="007A3920" w:rsidRPr="004E570B" w:rsidRDefault="007A3920" w:rsidP="004E570B">
            <w:pPr>
              <w:pStyle w:val="TableDataEntries"/>
              <w:jc w:val="left"/>
            </w:pPr>
          </w:p>
        </w:tc>
        <w:tc>
          <w:tcPr>
            <w:tcW w:w="1415" w:type="dxa"/>
            <w:tcMar>
              <w:left w:w="57" w:type="dxa"/>
              <w:right w:w="57" w:type="dxa"/>
            </w:tcMar>
          </w:tcPr>
          <w:p w:rsidR="007A3920" w:rsidRPr="004E570B" w:rsidRDefault="007A3920" w:rsidP="004E570B">
            <w:pPr>
              <w:pStyle w:val="TableDataEntries"/>
              <w:jc w:val="left"/>
            </w:pPr>
            <w:r w:rsidRPr="004E570B">
              <w:t>Range</w:t>
            </w:r>
          </w:p>
        </w:tc>
        <w:tc>
          <w:tcPr>
            <w:tcW w:w="2575" w:type="dxa"/>
            <w:tcMar>
              <w:left w:w="57" w:type="dxa"/>
              <w:right w:w="57" w:type="dxa"/>
            </w:tcMar>
          </w:tcPr>
          <w:p w:rsidR="007A3920" w:rsidRPr="004E570B" w:rsidRDefault="007A3920" w:rsidP="004E570B">
            <w:pPr>
              <w:pStyle w:val="TableDataEntries"/>
            </w:pPr>
            <w:r w:rsidRPr="004E570B">
              <w:t>26–315</w:t>
            </w:r>
          </w:p>
        </w:tc>
      </w:tr>
      <w:tr w:rsidR="007A3920" w:rsidRPr="004E570B" w:rsidTr="00092D69">
        <w:tblPrEx>
          <w:tblCellMar>
            <w:top w:w="0" w:type="dxa"/>
            <w:bottom w:w="0" w:type="dxa"/>
          </w:tblCellMar>
        </w:tblPrEx>
        <w:trPr>
          <w:cantSplit/>
        </w:trPr>
        <w:tc>
          <w:tcPr>
            <w:tcW w:w="2645" w:type="dxa"/>
            <w:tcMar>
              <w:left w:w="57" w:type="dxa"/>
              <w:right w:w="57" w:type="dxa"/>
            </w:tcMar>
          </w:tcPr>
          <w:p w:rsidR="007A3920" w:rsidRPr="004E570B" w:rsidRDefault="007A3920" w:rsidP="004E570B">
            <w:pPr>
              <w:pStyle w:val="TableDataEntries"/>
              <w:jc w:val="left"/>
              <w:rPr>
                <w:rFonts w:ascii="Franklin Gothic Medium" w:hAnsi="Franklin Gothic Medium"/>
              </w:rPr>
            </w:pPr>
            <w:r w:rsidRPr="004E570B">
              <w:rPr>
                <w:rFonts w:ascii="Franklin Gothic Medium" w:hAnsi="Franklin Gothic Medium"/>
              </w:rPr>
              <w:t>11 Pacific countries</w:t>
            </w:r>
          </w:p>
        </w:tc>
        <w:tc>
          <w:tcPr>
            <w:tcW w:w="1415" w:type="dxa"/>
            <w:tcMar>
              <w:left w:w="57" w:type="dxa"/>
              <w:right w:w="57" w:type="dxa"/>
            </w:tcMar>
          </w:tcPr>
          <w:p w:rsidR="007A3920" w:rsidRPr="004E570B" w:rsidRDefault="007A3920" w:rsidP="004E570B">
            <w:pPr>
              <w:pStyle w:val="TableDataEntries"/>
              <w:jc w:val="left"/>
            </w:pPr>
            <w:r w:rsidRPr="004E570B">
              <w:t>Average</w:t>
            </w:r>
          </w:p>
        </w:tc>
        <w:tc>
          <w:tcPr>
            <w:tcW w:w="2575" w:type="dxa"/>
            <w:tcMar>
              <w:left w:w="57" w:type="dxa"/>
              <w:right w:w="57" w:type="dxa"/>
            </w:tcMar>
          </w:tcPr>
          <w:p w:rsidR="007A3920" w:rsidRPr="004E570B" w:rsidRDefault="007A3920" w:rsidP="004E570B">
            <w:pPr>
              <w:pStyle w:val="TableDataEntries"/>
            </w:pPr>
            <w:r w:rsidRPr="004E570B">
              <w:t>303</w:t>
            </w:r>
          </w:p>
        </w:tc>
      </w:tr>
      <w:tr w:rsidR="007A3920" w:rsidRPr="004E570B" w:rsidTr="00092D69">
        <w:tblPrEx>
          <w:tblCellMar>
            <w:top w:w="0" w:type="dxa"/>
            <w:bottom w:w="0" w:type="dxa"/>
          </w:tblCellMar>
        </w:tblPrEx>
        <w:trPr>
          <w:cantSplit/>
        </w:trPr>
        <w:tc>
          <w:tcPr>
            <w:tcW w:w="2645" w:type="dxa"/>
            <w:tcMar>
              <w:left w:w="57" w:type="dxa"/>
              <w:right w:w="57" w:type="dxa"/>
            </w:tcMar>
          </w:tcPr>
          <w:p w:rsidR="007A3920" w:rsidRPr="004E570B" w:rsidRDefault="007A3920" w:rsidP="004E570B">
            <w:pPr>
              <w:pStyle w:val="TableDataEntries"/>
              <w:jc w:val="left"/>
            </w:pPr>
          </w:p>
        </w:tc>
        <w:tc>
          <w:tcPr>
            <w:tcW w:w="1415" w:type="dxa"/>
            <w:tcMar>
              <w:left w:w="57" w:type="dxa"/>
              <w:right w:w="57" w:type="dxa"/>
            </w:tcMar>
          </w:tcPr>
          <w:p w:rsidR="007A3920" w:rsidRPr="004E570B" w:rsidRDefault="007A3920" w:rsidP="004E570B">
            <w:pPr>
              <w:pStyle w:val="TableDataEntries"/>
              <w:jc w:val="left"/>
            </w:pPr>
            <w:r w:rsidRPr="004E570B">
              <w:t>Median</w:t>
            </w:r>
          </w:p>
        </w:tc>
        <w:tc>
          <w:tcPr>
            <w:tcW w:w="2575" w:type="dxa"/>
            <w:tcMar>
              <w:left w:w="57" w:type="dxa"/>
              <w:right w:w="57" w:type="dxa"/>
            </w:tcMar>
          </w:tcPr>
          <w:p w:rsidR="007A3920" w:rsidRPr="004E570B" w:rsidRDefault="007A3920" w:rsidP="004E570B">
            <w:pPr>
              <w:pStyle w:val="TableDataEntries"/>
            </w:pPr>
            <w:r w:rsidRPr="004E570B">
              <w:t>218</w:t>
            </w:r>
          </w:p>
        </w:tc>
      </w:tr>
      <w:tr w:rsidR="007A3920" w:rsidRPr="004E570B" w:rsidTr="00092D69">
        <w:tblPrEx>
          <w:tblCellMar>
            <w:top w:w="0" w:type="dxa"/>
            <w:bottom w:w="0" w:type="dxa"/>
          </w:tblCellMar>
        </w:tblPrEx>
        <w:trPr>
          <w:cantSplit/>
        </w:trPr>
        <w:tc>
          <w:tcPr>
            <w:tcW w:w="2645" w:type="dxa"/>
            <w:tcMar>
              <w:left w:w="57" w:type="dxa"/>
              <w:right w:w="57" w:type="dxa"/>
            </w:tcMar>
          </w:tcPr>
          <w:p w:rsidR="007A3920" w:rsidRPr="004E570B" w:rsidRDefault="007A3920" w:rsidP="004E570B">
            <w:pPr>
              <w:pStyle w:val="TableDataEntries"/>
              <w:jc w:val="left"/>
            </w:pPr>
          </w:p>
        </w:tc>
        <w:tc>
          <w:tcPr>
            <w:tcW w:w="1415" w:type="dxa"/>
            <w:tcMar>
              <w:left w:w="57" w:type="dxa"/>
              <w:right w:w="57" w:type="dxa"/>
            </w:tcMar>
          </w:tcPr>
          <w:p w:rsidR="007A3920" w:rsidRPr="004E570B" w:rsidRDefault="007A3920" w:rsidP="004E570B">
            <w:pPr>
              <w:pStyle w:val="TableDataEntries"/>
              <w:jc w:val="left"/>
            </w:pPr>
            <w:r w:rsidRPr="004E570B">
              <w:t>Range</w:t>
            </w:r>
          </w:p>
        </w:tc>
        <w:tc>
          <w:tcPr>
            <w:tcW w:w="2575" w:type="dxa"/>
            <w:tcMar>
              <w:left w:w="57" w:type="dxa"/>
              <w:right w:w="57" w:type="dxa"/>
            </w:tcMar>
          </w:tcPr>
          <w:p w:rsidR="007A3920" w:rsidRPr="004E570B" w:rsidRDefault="007A3920" w:rsidP="004E570B">
            <w:pPr>
              <w:pStyle w:val="TableDataEntries"/>
            </w:pPr>
            <w:r w:rsidRPr="004E570B">
              <w:t>92</w:t>
            </w:r>
            <w:r w:rsidR="00FA51C5" w:rsidRPr="004E570B">
              <w:t>–</w:t>
            </w:r>
            <w:r w:rsidRPr="004E570B">
              <w:t>901</w:t>
            </w:r>
          </w:p>
        </w:tc>
      </w:tr>
      <w:tr w:rsidR="007A3920" w:rsidRPr="004E570B" w:rsidTr="00092D69">
        <w:tblPrEx>
          <w:tblCellMar>
            <w:top w:w="0" w:type="dxa"/>
            <w:bottom w:w="0" w:type="dxa"/>
          </w:tblCellMar>
        </w:tblPrEx>
        <w:trPr>
          <w:cantSplit/>
        </w:trPr>
        <w:tc>
          <w:tcPr>
            <w:tcW w:w="2645" w:type="dxa"/>
            <w:tcBorders>
              <w:bottom w:val="single" w:sz="12" w:space="0" w:color="auto"/>
            </w:tcBorders>
            <w:tcMar>
              <w:left w:w="57" w:type="dxa"/>
              <w:right w:w="57" w:type="dxa"/>
            </w:tcMar>
          </w:tcPr>
          <w:p w:rsidR="007A3920" w:rsidRPr="004E570B" w:rsidRDefault="007A3920" w:rsidP="004E570B">
            <w:pPr>
              <w:pStyle w:val="TableDataEntries"/>
              <w:jc w:val="left"/>
              <w:rPr>
                <w:rFonts w:ascii="Franklin Gothic Medium" w:hAnsi="Franklin Gothic Medium"/>
              </w:rPr>
            </w:pPr>
            <w:r w:rsidRPr="004E570B">
              <w:rPr>
                <w:rFonts w:ascii="Franklin Gothic Medium" w:hAnsi="Franklin Gothic Medium"/>
              </w:rPr>
              <w:t>Australia</w:t>
            </w:r>
          </w:p>
        </w:tc>
        <w:tc>
          <w:tcPr>
            <w:tcW w:w="1415" w:type="dxa"/>
            <w:tcBorders>
              <w:bottom w:val="single" w:sz="12" w:space="0" w:color="auto"/>
            </w:tcBorders>
            <w:tcMar>
              <w:left w:w="57" w:type="dxa"/>
              <w:right w:w="57" w:type="dxa"/>
            </w:tcMar>
          </w:tcPr>
          <w:p w:rsidR="007A3920" w:rsidRPr="004E570B" w:rsidRDefault="007A3920" w:rsidP="004E570B">
            <w:pPr>
              <w:pStyle w:val="TableDataEntries"/>
              <w:jc w:val="left"/>
            </w:pPr>
          </w:p>
        </w:tc>
        <w:tc>
          <w:tcPr>
            <w:tcW w:w="2575" w:type="dxa"/>
            <w:tcBorders>
              <w:bottom w:val="single" w:sz="12" w:space="0" w:color="auto"/>
            </w:tcBorders>
            <w:tcMar>
              <w:left w:w="57" w:type="dxa"/>
              <w:right w:w="57" w:type="dxa"/>
            </w:tcMar>
          </w:tcPr>
          <w:p w:rsidR="007A3920" w:rsidRPr="004E570B" w:rsidRDefault="007A3920" w:rsidP="004E570B">
            <w:pPr>
              <w:pStyle w:val="TableDataEntries"/>
            </w:pPr>
            <w:r w:rsidRPr="004E570B">
              <w:t>3001</w:t>
            </w:r>
          </w:p>
        </w:tc>
      </w:tr>
    </w:tbl>
    <w:p w:rsidR="00EC6F58" w:rsidRPr="004E570B" w:rsidRDefault="00EC6F58" w:rsidP="004E570B">
      <w:pPr>
        <w:pStyle w:val="Note"/>
        <w:ind w:right="1337"/>
      </w:pPr>
      <w:r w:rsidRPr="004E570B">
        <w:t xml:space="preserve">Note: PPP is </w:t>
      </w:r>
      <w:r w:rsidR="00385117" w:rsidRPr="004E570B">
        <w:t xml:space="preserve">purchasing power parity. </w:t>
      </w:r>
    </w:p>
    <w:p w:rsidR="007A3920" w:rsidRPr="004E570B" w:rsidRDefault="007A3920" w:rsidP="004E570B">
      <w:pPr>
        <w:pStyle w:val="Source"/>
        <w:spacing w:after="240"/>
        <w:ind w:right="1338"/>
      </w:pPr>
      <w:r w:rsidRPr="004E570B">
        <w:t xml:space="preserve">Source: </w:t>
      </w:r>
      <w:r w:rsidR="000E1901" w:rsidRPr="004E570B">
        <w:t xml:space="preserve">WHO, </w:t>
      </w:r>
      <w:r w:rsidR="000E1901" w:rsidRPr="004E570B">
        <w:rPr>
          <w:i/>
        </w:rPr>
        <w:t>World health statistics 2008</w:t>
      </w:r>
      <w:r w:rsidR="000E1901" w:rsidRPr="004E570B">
        <w:t>, World Health Organization, Geneva, 2008.</w:t>
      </w:r>
    </w:p>
    <w:p w:rsidR="001D3BBA" w:rsidRPr="004E570B" w:rsidRDefault="001D3BBA" w:rsidP="004E570B">
      <w:pPr>
        <w:pStyle w:val="BodyText"/>
      </w:pPr>
      <w:r w:rsidRPr="004E570B">
        <w:t>It is clear also that the distribution of financial resources across different types of services (primary/secondary/tertiary,</w:t>
      </w:r>
      <w:r w:rsidR="00C95DF2" w:rsidRPr="004E570B">
        <w:t xml:space="preserve"> and</w:t>
      </w:r>
      <w:r w:rsidRPr="004E570B">
        <w:t xml:space="preserve"> </w:t>
      </w:r>
      <w:proofErr w:type="spellStart"/>
      <w:r w:rsidRPr="004E570B">
        <w:t>promotive</w:t>
      </w:r>
      <w:proofErr w:type="spellEnd"/>
      <w:r w:rsidRPr="004E570B">
        <w:t>/preventive/curative) and different parts of the country (</w:t>
      </w:r>
      <w:proofErr w:type="gramStart"/>
      <w:r w:rsidRPr="004E570B">
        <w:t>rural/urban,</w:t>
      </w:r>
      <w:proofErr w:type="gramEnd"/>
      <w:r w:rsidRPr="004E570B">
        <w:t xml:space="preserve"> </w:t>
      </w:r>
      <w:r w:rsidR="00C95DF2" w:rsidRPr="004E570B">
        <w:t xml:space="preserve">and </w:t>
      </w:r>
      <w:r w:rsidRPr="004E570B">
        <w:t xml:space="preserve">richer/poorer provinces) </w:t>
      </w:r>
      <w:r w:rsidR="00C95DF2" w:rsidRPr="004E570B">
        <w:t>has</w:t>
      </w:r>
      <w:r w:rsidRPr="004E570B">
        <w:t xml:space="preserve"> an impact on different population groups’ access to services, and on health outcomes.</w:t>
      </w:r>
    </w:p>
    <w:p w:rsidR="001D3BBA" w:rsidRPr="004E570B" w:rsidRDefault="001D3BBA" w:rsidP="004E570B">
      <w:pPr>
        <w:pStyle w:val="BodyText"/>
      </w:pPr>
      <w:r w:rsidRPr="004E570B">
        <w:t xml:space="preserve">The dominant mechanism for financing </w:t>
      </w:r>
      <w:r w:rsidR="00C95DF2" w:rsidRPr="004E570B">
        <w:t xml:space="preserve">the delivery of </w:t>
      </w:r>
      <w:r w:rsidRPr="004E570B">
        <w:t>health service</w:t>
      </w:r>
      <w:r w:rsidR="00C95DF2" w:rsidRPr="004E570B">
        <w:t>s</w:t>
      </w:r>
      <w:r w:rsidRPr="004E570B">
        <w:t xml:space="preserve"> has an important impact on who can access services as well as the sustainability of the financing. Figure</w:t>
      </w:r>
      <w:r w:rsidR="00382F97" w:rsidRPr="004E570B">
        <w:t> </w:t>
      </w:r>
      <w:r w:rsidRPr="004E570B">
        <w:t>5 shows two components of health financing</w:t>
      </w:r>
      <w:r w:rsidR="00382F97" w:rsidRPr="004E570B">
        <w:t>—</w:t>
      </w:r>
      <w:r w:rsidRPr="004E570B">
        <w:t xml:space="preserve">government expenditure and individual out-of-pocket </w:t>
      </w:r>
      <w:r w:rsidRPr="004E570B">
        <w:lastRenderedPageBreak/>
        <w:t>expenditure at the point of service delivery</w:t>
      </w:r>
      <w:r w:rsidR="00382F97" w:rsidRPr="004E570B">
        <w:t>—</w:t>
      </w:r>
      <w:r w:rsidRPr="004E570B">
        <w:t>as a proportion of total expenditure. For comparison, figures from the same source show that 67</w:t>
      </w:r>
      <w:r w:rsidR="00651EFB" w:rsidRPr="004E570B">
        <w:t> per cent</w:t>
      </w:r>
      <w:r w:rsidRPr="004E570B">
        <w:t xml:space="preserve"> of Australian health expenditure is from the government and 18</w:t>
      </w:r>
      <w:r w:rsidR="00651EFB" w:rsidRPr="004E570B">
        <w:t> per cent</w:t>
      </w:r>
      <w:r w:rsidRPr="004E570B">
        <w:t xml:space="preserve"> is out</w:t>
      </w:r>
      <w:r w:rsidR="00FA51C5" w:rsidRPr="004E570B">
        <w:t xml:space="preserve"> </w:t>
      </w:r>
      <w:r w:rsidRPr="004E570B">
        <w:t>of</w:t>
      </w:r>
      <w:r w:rsidR="00FA51C5" w:rsidRPr="004E570B">
        <w:t xml:space="preserve"> </w:t>
      </w:r>
      <w:r w:rsidRPr="004E570B">
        <w:t xml:space="preserve">pocket. The Asian and the Pacific countries have broadly different patterns of financing health care. </w:t>
      </w:r>
    </w:p>
    <w:p w:rsidR="00903057" w:rsidRPr="004E570B" w:rsidRDefault="00903057" w:rsidP="004E570B">
      <w:pPr>
        <w:pStyle w:val="Caption"/>
        <w:spacing w:before="300"/>
        <w:rPr>
          <w:color w:val="auto"/>
        </w:rPr>
      </w:pPr>
      <w:r w:rsidRPr="004E570B">
        <w:rPr>
          <w:color w:val="auto"/>
        </w:rPr>
        <w:t xml:space="preserve">Figure </w:t>
      </w:r>
      <w:r w:rsidRPr="004E570B">
        <w:rPr>
          <w:color w:val="auto"/>
        </w:rPr>
        <w:fldChar w:fldCharType="begin"/>
      </w:r>
      <w:r w:rsidRPr="004E570B">
        <w:rPr>
          <w:color w:val="auto"/>
        </w:rPr>
        <w:instrText xml:space="preserve"> SEQ Figure \* ARABIC </w:instrText>
      </w:r>
      <w:r w:rsidRPr="004E570B">
        <w:rPr>
          <w:color w:val="auto"/>
        </w:rPr>
        <w:fldChar w:fldCharType="separate"/>
      </w:r>
      <w:r w:rsidR="00B33206" w:rsidRPr="004E570B">
        <w:rPr>
          <w:noProof/>
          <w:color w:val="auto"/>
        </w:rPr>
        <w:t>5</w:t>
      </w:r>
      <w:r w:rsidRPr="004E570B">
        <w:rPr>
          <w:color w:val="auto"/>
        </w:rPr>
        <w:fldChar w:fldCharType="end"/>
      </w:r>
      <w:r w:rsidRPr="004E570B">
        <w:rPr>
          <w:color w:val="auto"/>
        </w:rPr>
        <w:t>: Government and out-of-pocket expenditure as a proportion on total expenditure on health in selected countries</w:t>
      </w:r>
    </w:p>
    <w:tbl>
      <w:tblPr>
        <w:tblW w:w="793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938"/>
      </w:tblGrid>
      <w:tr w:rsidR="00903057" w:rsidRPr="004E570B">
        <w:tblPrEx>
          <w:tblCellMar>
            <w:top w:w="0" w:type="dxa"/>
            <w:left w:w="0" w:type="dxa"/>
            <w:bottom w:w="0" w:type="dxa"/>
            <w:right w:w="0" w:type="dxa"/>
          </w:tblCellMar>
        </w:tblPrEx>
        <w:tc>
          <w:tcPr>
            <w:tcW w:w="8505" w:type="dxa"/>
            <w:tcBorders>
              <w:top w:val="single" w:sz="12" w:space="0" w:color="auto"/>
              <w:bottom w:val="single" w:sz="12" w:space="0" w:color="auto"/>
            </w:tcBorders>
          </w:tcPr>
          <w:p w:rsidR="00903057" w:rsidRPr="004E570B" w:rsidRDefault="00092D69" w:rsidP="004E570B">
            <w:r>
              <w:rPr>
                <w:noProof/>
                <w:lang w:val="en-US" w:eastAsia="en-US"/>
              </w:rPr>
              <w:drawing>
                <wp:inline distT="0" distB="0" distL="0" distR="0">
                  <wp:extent cx="5048250" cy="2886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0" cy="2886075"/>
                          </a:xfrm>
                          <a:prstGeom prst="rect">
                            <a:avLst/>
                          </a:prstGeom>
                          <a:noFill/>
                          <a:ln>
                            <a:noFill/>
                          </a:ln>
                        </pic:spPr>
                      </pic:pic>
                    </a:graphicData>
                  </a:graphic>
                </wp:inline>
              </w:drawing>
            </w:r>
          </w:p>
        </w:tc>
      </w:tr>
    </w:tbl>
    <w:p w:rsidR="00903057" w:rsidRPr="004E570B" w:rsidRDefault="00903057" w:rsidP="004E570B">
      <w:pPr>
        <w:pStyle w:val="Source"/>
        <w:spacing w:after="240"/>
      </w:pPr>
      <w:r w:rsidRPr="004E570B">
        <w:t xml:space="preserve">Data source: WHO, </w:t>
      </w:r>
      <w:r w:rsidRPr="004E570B">
        <w:rPr>
          <w:i/>
        </w:rPr>
        <w:t>World health statistics 2008</w:t>
      </w:r>
      <w:r w:rsidRPr="004E570B">
        <w:t>, World Health Organization, Geneva, 2008.</w:t>
      </w:r>
    </w:p>
    <w:p w:rsidR="001D3BBA" w:rsidRPr="004E570B" w:rsidRDefault="001D3BBA" w:rsidP="004E570B">
      <w:pPr>
        <w:pStyle w:val="BodyText"/>
      </w:pPr>
      <w:r w:rsidRPr="004E570B">
        <w:t>Asia is the region of the world that has the highest out-of-pocket expenditure on health</w:t>
      </w:r>
      <w:r w:rsidR="00FF1A8B" w:rsidRPr="004E570B">
        <w:t>—</w:t>
      </w:r>
      <w:r w:rsidRPr="004E570B">
        <w:t>the</w:t>
      </w:r>
      <w:r w:rsidR="00FF1A8B" w:rsidRPr="004E570B">
        <w:t> </w:t>
      </w:r>
      <w:r w:rsidRPr="004E570B">
        <w:t xml:space="preserve">form of expenditure that is least equitable as the poor have greater needs, pay a much higher proportion of their income for health care and may not have funds available when needed. This often leads </w:t>
      </w:r>
      <w:r w:rsidR="003629B1" w:rsidRPr="004E570B">
        <w:t xml:space="preserve">them </w:t>
      </w:r>
      <w:r w:rsidRPr="004E570B">
        <w:t>to sell assets or go into debt. For</w:t>
      </w:r>
      <w:r w:rsidR="008B1872" w:rsidRPr="004E570B">
        <w:t xml:space="preserve"> example, a study by the ICDDR</w:t>
      </w:r>
      <w:proofErr w:type="gramStart"/>
      <w:r w:rsidR="008B1872" w:rsidRPr="004E570B">
        <w:t>,</w:t>
      </w:r>
      <w:r w:rsidRPr="004E570B">
        <w:t>B</w:t>
      </w:r>
      <w:proofErr w:type="gramEnd"/>
      <w:r w:rsidRPr="004E570B">
        <w:t xml:space="preserve"> in</w:t>
      </w:r>
      <w:r w:rsidR="00FF1A8B" w:rsidRPr="004E570B">
        <w:t> </w:t>
      </w:r>
      <w:r w:rsidRPr="004E570B">
        <w:t>Bangladesh looking at the financial consequences of caesarean section delivery found that 33</w:t>
      </w:r>
      <w:r w:rsidR="00651EFB" w:rsidRPr="004E570B">
        <w:t> per cent</w:t>
      </w:r>
      <w:r w:rsidRPr="004E570B">
        <w:t xml:space="preserve"> of concerned households incurred catastrophic costs (more than 10</w:t>
      </w:r>
      <w:r w:rsidR="00651EFB" w:rsidRPr="004E570B">
        <w:t> per cent</w:t>
      </w:r>
      <w:r w:rsidRPr="004E570B">
        <w:t xml:space="preserve"> of their annual income)</w:t>
      </w:r>
      <w:r w:rsidR="00FF1A8B" w:rsidRPr="004E570B">
        <w:t xml:space="preserve"> and that</w:t>
      </w:r>
      <w:r w:rsidRPr="004E570B">
        <w:t xml:space="preserve"> the greatest out-of-pocket expenses were in private facilities.</w:t>
      </w:r>
    </w:p>
    <w:p w:rsidR="001D3BBA" w:rsidRPr="004E570B" w:rsidRDefault="001D3BBA" w:rsidP="004E570B">
      <w:pPr>
        <w:pStyle w:val="BodyText"/>
      </w:pPr>
      <w:r w:rsidRPr="004E570B">
        <w:t xml:space="preserve">In the Pacific, most health expenditure comes from the government and there is very little out-of-pocket expenditure. While this has benefits in terms of equity of access it is due </w:t>
      </w:r>
      <w:r w:rsidR="00FF1A8B" w:rsidRPr="004E570B">
        <w:t xml:space="preserve">in part </w:t>
      </w:r>
      <w:r w:rsidRPr="004E570B">
        <w:t>to the absence of an alternative to government services in many places. This means that the population depend</w:t>
      </w:r>
      <w:r w:rsidR="00FF1A8B" w:rsidRPr="004E570B">
        <w:t>s</w:t>
      </w:r>
      <w:r w:rsidRPr="004E570B">
        <w:t xml:space="preserve"> on government services and therefore on the efficiency of the government financing mechanism to ensure that funds get to where they are needed and are spent on the right things. Unfortunately, this is often not the case.</w:t>
      </w:r>
    </w:p>
    <w:p w:rsidR="001D3BBA" w:rsidRPr="004E570B" w:rsidRDefault="001D3BBA" w:rsidP="004E570B">
      <w:pPr>
        <w:pStyle w:val="BodyText"/>
      </w:pPr>
      <w:r w:rsidRPr="004E570B">
        <w:t xml:space="preserve">In both contexts, the form of financing is a constraint </w:t>
      </w:r>
      <w:r w:rsidR="00FF1A8B" w:rsidRPr="004E570B">
        <w:t xml:space="preserve">on </w:t>
      </w:r>
      <w:r w:rsidRPr="004E570B">
        <w:t>access to health care. The solutions, however, are different; both require clear policies and continuous efforts to implement them.</w:t>
      </w:r>
    </w:p>
    <w:p w:rsidR="001D3BBA" w:rsidRPr="004E570B" w:rsidRDefault="001D3BBA" w:rsidP="00877C04">
      <w:pPr>
        <w:pStyle w:val="Heading3"/>
        <w:numPr>
          <w:ilvl w:val="2"/>
          <w:numId w:val="18"/>
        </w:numPr>
        <w:ind w:left="0" w:firstLine="0"/>
        <w:rPr>
          <w:color w:val="auto"/>
        </w:rPr>
      </w:pPr>
      <w:r w:rsidRPr="004E570B">
        <w:rPr>
          <w:color w:val="auto"/>
        </w:rPr>
        <w:t>Low health worker numbers and inequitable distribution affect</w:t>
      </w:r>
      <w:r w:rsidR="00EB713E" w:rsidRPr="004E570B">
        <w:rPr>
          <w:color w:val="auto"/>
        </w:rPr>
        <w:t> </w:t>
      </w:r>
      <w:r w:rsidRPr="004E570B">
        <w:rPr>
          <w:color w:val="auto"/>
        </w:rPr>
        <w:t>key services</w:t>
      </w:r>
    </w:p>
    <w:p w:rsidR="001D3BBA" w:rsidRPr="004E570B" w:rsidRDefault="001D3BBA" w:rsidP="004E570B">
      <w:pPr>
        <w:pStyle w:val="BodyText"/>
      </w:pPr>
      <w:r w:rsidRPr="004E570B">
        <w:t xml:space="preserve">In Australia, </w:t>
      </w:r>
      <w:r w:rsidR="00EB713E" w:rsidRPr="004E570B">
        <w:t>on</w:t>
      </w:r>
      <w:r w:rsidRPr="004E570B">
        <w:t xml:space="preserve"> average there is one doctor for every 400 inhabitants. In nine countries of the </w:t>
      </w:r>
      <w:r w:rsidR="00EB713E" w:rsidRPr="004E570B">
        <w:t xml:space="preserve">Asia-Pacific </w:t>
      </w:r>
      <w:r w:rsidRPr="004E570B">
        <w:t>region each doctor serves an average of at least 5000 people.</w:t>
      </w:r>
      <w:r w:rsidR="004E40E6" w:rsidRPr="004E570B">
        <w:t xml:space="preserve"> </w:t>
      </w:r>
      <w:r w:rsidRPr="004E570B">
        <w:t>As in Australia</w:t>
      </w:r>
      <w:r w:rsidR="00EB713E" w:rsidRPr="004E570B">
        <w:t>,</w:t>
      </w:r>
      <w:r w:rsidRPr="004E570B">
        <w:t xml:space="preserve"> distribution is inequitable. Urban populations may have good access while those living in rural areas have no access at all without making difficult journeys to the cities or large towns. </w:t>
      </w:r>
      <w:r w:rsidRPr="004E570B">
        <w:lastRenderedPageBreak/>
        <w:t xml:space="preserve">Although </w:t>
      </w:r>
      <w:r w:rsidR="00EB713E" w:rsidRPr="004E570B">
        <w:t>there are more</w:t>
      </w:r>
      <w:r w:rsidRPr="004E570B">
        <w:t xml:space="preserve"> nurses </w:t>
      </w:r>
      <w:r w:rsidR="00EB713E" w:rsidRPr="004E570B">
        <w:t>than doctors</w:t>
      </w:r>
      <w:r w:rsidRPr="004E570B">
        <w:t>, in 10 countries in the region there are more than 1000 people for every nurse (in Australia, around 100); again distribution favours urban</w:t>
      </w:r>
      <w:r w:rsidR="00EB713E" w:rsidRPr="004E570B">
        <w:t> </w:t>
      </w:r>
      <w:r w:rsidRPr="004E570B">
        <w:t>areas.</w:t>
      </w:r>
    </w:p>
    <w:p w:rsidR="001D3BBA" w:rsidRPr="004E570B" w:rsidRDefault="001D3BBA" w:rsidP="004E570B">
      <w:pPr>
        <w:pStyle w:val="BodyText"/>
      </w:pPr>
      <w:r w:rsidRPr="004E570B">
        <w:t>Difficult access to trained health staff is more than just an inconvenience or additional expense; it costs lives. Many maternal and child deaths occur because of the time taken to obtain care due to poor access to facilities with trained staff or insufficient staff at the facilities when they are reached. Although there is not a close correlation between mortality and availab</w:t>
      </w:r>
      <w:r w:rsidR="008B1872" w:rsidRPr="004E570B">
        <w:t>ility of health workers, Figure </w:t>
      </w:r>
      <w:r w:rsidRPr="004E570B">
        <w:t>6 shows the trend</w:t>
      </w:r>
      <w:r w:rsidR="004037CD" w:rsidRPr="004E570B">
        <w:t>;</w:t>
      </w:r>
      <w:r w:rsidRPr="004E570B">
        <w:t xml:space="preserve"> 9 of </w:t>
      </w:r>
      <w:r w:rsidR="00665CC9" w:rsidRPr="004E570B">
        <w:t xml:space="preserve">the </w:t>
      </w:r>
      <w:r w:rsidRPr="004E570B">
        <w:t xml:space="preserve">12 countries with an average of </w:t>
      </w:r>
      <w:r w:rsidR="004037CD" w:rsidRPr="004E570B">
        <w:t xml:space="preserve">fewer </w:t>
      </w:r>
      <w:r w:rsidRPr="004E570B">
        <w:t xml:space="preserve">than </w:t>
      </w:r>
      <w:r w:rsidR="00D54423" w:rsidRPr="004E570B">
        <w:t>5</w:t>
      </w:r>
      <w:r w:rsidRPr="004E570B">
        <w:t>0 doctors, nurses and midwives per 10</w:t>
      </w:r>
      <w:r w:rsidR="004037CD" w:rsidRPr="004E570B">
        <w:t> </w:t>
      </w:r>
      <w:r w:rsidRPr="004E570B">
        <w:t xml:space="preserve">000 </w:t>
      </w:r>
      <w:r w:rsidR="004037CD" w:rsidRPr="004E570B">
        <w:t xml:space="preserve">people </w:t>
      </w:r>
      <w:r w:rsidRPr="004E570B">
        <w:t xml:space="preserve">had an </w:t>
      </w:r>
      <w:r w:rsidR="00651EFB" w:rsidRPr="004E570B">
        <w:t>the under-five mortality rate</w:t>
      </w:r>
      <w:r w:rsidRPr="004E570B">
        <w:t xml:space="preserve"> above 50, whereas only 2 of 11 </w:t>
      </w:r>
      <w:r w:rsidR="004037CD" w:rsidRPr="004E570B">
        <w:t xml:space="preserve">countries </w:t>
      </w:r>
      <w:r w:rsidRPr="004E570B">
        <w:t xml:space="preserve">with a larger number of health workers had equivalent </w:t>
      </w:r>
      <w:r w:rsidR="004037CD" w:rsidRPr="004E570B">
        <w:t xml:space="preserve">under-five mortality </w:t>
      </w:r>
      <w:r w:rsidRPr="004E570B">
        <w:t>rates.</w:t>
      </w:r>
    </w:p>
    <w:p w:rsidR="00EC6F58" w:rsidRPr="004E570B" w:rsidRDefault="00EC6F58" w:rsidP="004E570B">
      <w:pPr>
        <w:pStyle w:val="Caption"/>
        <w:rPr>
          <w:color w:val="auto"/>
        </w:rPr>
      </w:pPr>
      <w:r w:rsidRPr="004E570B">
        <w:rPr>
          <w:color w:val="auto"/>
        </w:rPr>
        <w:t xml:space="preserve">Figure </w:t>
      </w:r>
      <w:r w:rsidRPr="004E570B">
        <w:rPr>
          <w:color w:val="auto"/>
        </w:rPr>
        <w:fldChar w:fldCharType="begin"/>
      </w:r>
      <w:r w:rsidRPr="004E570B">
        <w:rPr>
          <w:color w:val="auto"/>
        </w:rPr>
        <w:instrText xml:space="preserve"> SEQ Figure \* ARABIC </w:instrText>
      </w:r>
      <w:r w:rsidRPr="004E570B">
        <w:rPr>
          <w:color w:val="auto"/>
        </w:rPr>
        <w:fldChar w:fldCharType="separate"/>
      </w:r>
      <w:r w:rsidR="00B33206" w:rsidRPr="004E570B">
        <w:rPr>
          <w:noProof/>
          <w:color w:val="auto"/>
        </w:rPr>
        <w:t>6</w:t>
      </w:r>
      <w:r w:rsidRPr="004E570B">
        <w:rPr>
          <w:color w:val="auto"/>
        </w:rPr>
        <w:fldChar w:fldCharType="end"/>
      </w:r>
      <w:r w:rsidRPr="004E570B">
        <w:rPr>
          <w:color w:val="auto"/>
        </w:rPr>
        <w:t>: Density of health workers and under-five mortality rate</w:t>
      </w:r>
    </w:p>
    <w:tbl>
      <w:tblPr>
        <w:tblW w:w="793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938"/>
      </w:tblGrid>
      <w:tr w:rsidR="00EC6F58" w:rsidRPr="004E570B">
        <w:tblPrEx>
          <w:tblCellMar>
            <w:top w:w="0" w:type="dxa"/>
            <w:left w:w="0" w:type="dxa"/>
            <w:bottom w:w="0" w:type="dxa"/>
            <w:right w:w="0" w:type="dxa"/>
          </w:tblCellMar>
        </w:tblPrEx>
        <w:tc>
          <w:tcPr>
            <w:tcW w:w="8505" w:type="dxa"/>
            <w:tcBorders>
              <w:top w:val="single" w:sz="12" w:space="0" w:color="auto"/>
              <w:bottom w:val="single" w:sz="12" w:space="0" w:color="auto"/>
            </w:tcBorders>
          </w:tcPr>
          <w:p w:rsidR="00EC6F58" w:rsidRPr="004E570B" w:rsidRDefault="00092D69" w:rsidP="004E570B">
            <w:r>
              <w:rPr>
                <w:noProof/>
                <w:lang w:val="en-US" w:eastAsia="en-US"/>
              </w:rPr>
              <w:drawing>
                <wp:inline distT="0" distB="0" distL="0" distR="0">
                  <wp:extent cx="5048250" cy="2886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0" cy="2886075"/>
                          </a:xfrm>
                          <a:prstGeom prst="rect">
                            <a:avLst/>
                          </a:prstGeom>
                          <a:noFill/>
                          <a:ln>
                            <a:noFill/>
                          </a:ln>
                        </pic:spPr>
                      </pic:pic>
                    </a:graphicData>
                  </a:graphic>
                </wp:inline>
              </w:drawing>
            </w:r>
          </w:p>
        </w:tc>
      </w:tr>
    </w:tbl>
    <w:p w:rsidR="00EC6F58" w:rsidRPr="004E570B" w:rsidRDefault="00EC6F58" w:rsidP="004E570B">
      <w:pPr>
        <w:pStyle w:val="Note"/>
      </w:pPr>
      <w:r w:rsidRPr="004E570B">
        <w:t>Note: Australia has 25 doctors and 97 nurses/midwives per 10 000.</w:t>
      </w:r>
    </w:p>
    <w:p w:rsidR="00EC6F58" w:rsidRPr="004E570B" w:rsidRDefault="00EC6F58" w:rsidP="004E570B">
      <w:pPr>
        <w:pStyle w:val="Source"/>
        <w:spacing w:after="240"/>
      </w:pPr>
      <w:r w:rsidRPr="004E570B">
        <w:t xml:space="preserve">Source: </w:t>
      </w:r>
      <w:r w:rsidR="000E1901" w:rsidRPr="004E570B">
        <w:t xml:space="preserve">WHO, </w:t>
      </w:r>
      <w:r w:rsidR="000E1901" w:rsidRPr="004E570B">
        <w:rPr>
          <w:i/>
        </w:rPr>
        <w:t>World health statistics 2008</w:t>
      </w:r>
      <w:r w:rsidR="000E1901" w:rsidRPr="004E570B">
        <w:t>, World Health Organization, Geneva, 2008</w:t>
      </w:r>
      <w:r w:rsidRPr="004E570B">
        <w:t>.</w:t>
      </w:r>
    </w:p>
    <w:p w:rsidR="001D3BBA" w:rsidRPr="004E570B" w:rsidRDefault="001D3BBA" w:rsidP="004E570B">
      <w:pPr>
        <w:pStyle w:val="BodyText"/>
      </w:pPr>
      <w:r w:rsidRPr="004E570B">
        <w:t>According to WHO, globally around 75</w:t>
      </w:r>
      <w:r w:rsidR="00651EFB" w:rsidRPr="004E570B">
        <w:t> per cent</w:t>
      </w:r>
      <w:r w:rsidRPr="004E570B">
        <w:t xml:space="preserve"> of doctors and almost two-thirds of nurses work in urban areas where a little </w:t>
      </w:r>
      <w:r w:rsidR="004037CD" w:rsidRPr="004E570B">
        <w:t xml:space="preserve">more than </w:t>
      </w:r>
      <w:r w:rsidRPr="004E570B">
        <w:t>50</w:t>
      </w:r>
      <w:r w:rsidR="00651EFB" w:rsidRPr="004E570B">
        <w:t> per cent</w:t>
      </w:r>
      <w:r w:rsidRPr="004E570B">
        <w:t xml:space="preserve"> of the world’s population </w:t>
      </w:r>
      <w:proofErr w:type="gramStart"/>
      <w:r w:rsidRPr="004E570B">
        <w:t>lives.</w:t>
      </w:r>
      <w:proofErr w:type="gramEnd"/>
      <w:r w:rsidRPr="004E570B">
        <w:t xml:space="preserve"> In some countries the urban</w:t>
      </w:r>
      <w:r w:rsidR="004037CD" w:rsidRPr="004E570B">
        <w:t>–</w:t>
      </w:r>
      <w:r w:rsidRPr="004E570B">
        <w:t>rural imbalance is even more pronounced. This situation is exacerbated by th</w:t>
      </w:r>
      <w:bookmarkStart w:id="14" w:name="_GoBack"/>
      <w:bookmarkEnd w:id="14"/>
      <w:r w:rsidRPr="004E570B">
        <w:t>e migration of health workers to countries with better salaries, working conditions and opportunities.</w:t>
      </w:r>
    </w:p>
    <w:p w:rsidR="000D4D76" w:rsidRPr="004E570B" w:rsidRDefault="001D3BBA" w:rsidP="004E570B">
      <w:pPr>
        <w:pStyle w:val="BodyText"/>
      </w:pPr>
      <w:r w:rsidRPr="004E570B">
        <w:t>It is clear that for many countries the lack of sufficient well</w:t>
      </w:r>
      <w:r w:rsidR="004037CD" w:rsidRPr="004E570B">
        <w:t>-</w:t>
      </w:r>
      <w:r w:rsidRPr="004E570B">
        <w:t>trained health workers along with their uneven distribution are significant factors limiting the provision of the services needed to progress towards MDGs 4 and 5. This constraint cannot continue to be ignored if delivery of basic services to all is to be assured.</w:t>
      </w:r>
    </w:p>
    <w:p w:rsidR="001D3BBA" w:rsidRPr="004E570B" w:rsidRDefault="001D3BBA" w:rsidP="004E570B">
      <w:pPr>
        <w:pStyle w:val="Heading1unnumbered"/>
        <w:ind w:right="-504"/>
        <w:rPr>
          <w:color w:val="auto"/>
          <w:spacing w:val="-12"/>
          <w:sz w:val="49"/>
          <w:szCs w:val="49"/>
        </w:rPr>
      </w:pPr>
      <w:bookmarkStart w:id="15" w:name="_Toc217896621"/>
      <w:r w:rsidRPr="004E570B">
        <w:rPr>
          <w:color w:val="auto"/>
          <w:spacing w:val="-12"/>
          <w:sz w:val="49"/>
          <w:szCs w:val="49"/>
        </w:rPr>
        <w:lastRenderedPageBreak/>
        <w:t xml:space="preserve">The Australian aid program’s contribution to </w:t>
      </w:r>
      <w:r w:rsidR="00FD1096" w:rsidRPr="004E570B">
        <w:rPr>
          <w:color w:val="auto"/>
          <w:spacing w:val="-12"/>
          <w:sz w:val="49"/>
          <w:szCs w:val="49"/>
        </w:rPr>
        <w:t>achieving</w:t>
      </w:r>
      <w:r w:rsidR="009D13B2" w:rsidRPr="004E570B">
        <w:rPr>
          <w:color w:val="auto"/>
          <w:spacing w:val="-12"/>
          <w:sz w:val="49"/>
          <w:szCs w:val="49"/>
        </w:rPr>
        <w:t xml:space="preserve"> </w:t>
      </w:r>
      <w:r w:rsidRPr="004E570B">
        <w:rPr>
          <w:color w:val="auto"/>
          <w:spacing w:val="-12"/>
          <w:sz w:val="49"/>
          <w:szCs w:val="49"/>
        </w:rPr>
        <w:t>MDGs 4 and 5</w:t>
      </w:r>
      <w:bookmarkEnd w:id="15"/>
    </w:p>
    <w:p w:rsidR="00BB59F2" w:rsidRPr="004E570B" w:rsidRDefault="00BB59F2" w:rsidP="004E570B">
      <w:pPr>
        <w:pStyle w:val="BodyText"/>
      </w:pPr>
      <w:r w:rsidRPr="004E570B">
        <w:t xml:space="preserve">The Australian aid program has a strong focus on addressing the priority health needs of women and children. Under the </w:t>
      </w:r>
      <w:proofErr w:type="spellStart"/>
      <w:r w:rsidRPr="004E570B">
        <w:t>Labor</w:t>
      </w:r>
      <w:proofErr w:type="spellEnd"/>
      <w:r w:rsidRPr="004E570B">
        <w:t xml:space="preserve"> Government’s leadership, the Australian aid program is increasing its support </w:t>
      </w:r>
      <w:r w:rsidR="00FD1096" w:rsidRPr="004E570B">
        <w:t xml:space="preserve">for achieving </w:t>
      </w:r>
      <w:r w:rsidR="008B1872" w:rsidRPr="004E570B">
        <w:t>MDG</w:t>
      </w:r>
      <w:r w:rsidR="004755E4" w:rsidRPr="004E570B">
        <w:t>s</w:t>
      </w:r>
      <w:r w:rsidR="008B1872" w:rsidRPr="004E570B">
        <w:t> </w:t>
      </w:r>
      <w:r w:rsidRPr="004E570B">
        <w:t xml:space="preserve">4 </w:t>
      </w:r>
      <w:r w:rsidR="0079561F" w:rsidRPr="004E570B">
        <w:t xml:space="preserve">and </w:t>
      </w:r>
      <w:r w:rsidRPr="004E570B">
        <w:t>5.</w:t>
      </w:r>
      <w:r w:rsidR="004E40E6" w:rsidRPr="004E570B">
        <w:t xml:space="preserve"> </w:t>
      </w:r>
      <w:r w:rsidRPr="004E570B">
        <w:t>In particular</w:t>
      </w:r>
      <w:r w:rsidR="00FD1096" w:rsidRPr="004E570B">
        <w:t>,</w:t>
      </w:r>
      <w:r w:rsidRPr="004E570B">
        <w:t xml:space="preserve"> there is a focus on maternal health, reproductive and sexual health (including access to safe and effective contraception based on informed choice), nutrition and education for girls. Ensuring children have access to care for the major causes of child mortality is also a priority.</w:t>
      </w:r>
    </w:p>
    <w:p w:rsidR="00BB59F2" w:rsidRPr="004E570B" w:rsidRDefault="00BB59F2" w:rsidP="004E570B">
      <w:pPr>
        <w:pStyle w:val="BodyText"/>
      </w:pPr>
      <w:proofErr w:type="spellStart"/>
      <w:r w:rsidRPr="004E570B">
        <w:t>AusAID</w:t>
      </w:r>
      <w:proofErr w:type="spellEnd"/>
      <w:r w:rsidRPr="004E570B">
        <w:t xml:space="preserve"> has established a broad range of partnerships and funding arrangements with a range of partner governments, multilateral agencies, </w:t>
      </w:r>
      <w:proofErr w:type="gramStart"/>
      <w:r w:rsidRPr="004E570B">
        <w:t>non</w:t>
      </w:r>
      <w:proofErr w:type="gramEnd"/>
      <w:r w:rsidR="0079561F" w:rsidRPr="004E570B">
        <w:t>-</w:t>
      </w:r>
      <w:r w:rsidRPr="004E570B">
        <w:t xml:space="preserve">government organisations and other stakeholders to address maternal and child mortality in </w:t>
      </w:r>
      <w:r w:rsidR="00430B58" w:rsidRPr="004E570B">
        <w:t xml:space="preserve">the Asia-Pacific </w:t>
      </w:r>
      <w:r w:rsidRPr="004E570B">
        <w:t xml:space="preserve">region. </w:t>
      </w:r>
    </w:p>
    <w:p w:rsidR="00BB59F2" w:rsidRPr="004E570B" w:rsidRDefault="00BB59F2" w:rsidP="004E570B">
      <w:pPr>
        <w:pStyle w:val="Heading2unnumbered"/>
        <w:rPr>
          <w:color w:val="auto"/>
        </w:rPr>
      </w:pPr>
      <w:bookmarkStart w:id="16" w:name="_Toc217896622"/>
      <w:r w:rsidRPr="004E570B">
        <w:rPr>
          <w:color w:val="auto"/>
        </w:rPr>
        <w:t>Differentiated approaches to countries</w:t>
      </w:r>
      <w:bookmarkEnd w:id="16"/>
    </w:p>
    <w:p w:rsidR="00BB59F2" w:rsidRPr="004E570B" w:rsidRDefault="00BB59F2" w:rsidP="004E570B">
      <w:pPr>
        <w:pStyle w:val="BodyText"/>
      </w:pPr>
      <w:r w:rsidRPr="004E570B">
        <w:t>The Australian aid program does not have a one-size-fits-all approach to assisting countries with progress towards MDGs</w:t>
      </w:r>
      <w:r w:rsidR="004755E4" w:rsidRPr="004E570B">
        <w:t> </w:t>
      </w:r>
      <w:r w:rsidRPr="004E570B">
        <w:t xml:space="preserve">4 and 5. In some countries </w:t>
      </w:r>
      <w:r w:rsidR="00430B58" w:rsidRPr="004E570B">
        <w:t xml:space="preserve">its predominant </w:t>
      </w:r>
      <w:r w:rsidRPr="004E570B">
        <w:t>focus</w:t>
      </w:r>
      <w:r w:rsidR="00430B58" w:rsidRPr="004E570B">
        <w:t xml:space="preserve"> is</w:t>
      </w:r>
      <w:r w:rsidRPr="004E570B">
        <w:t xml:space="preserve"> to improve the delivery of services </w:t>
      </w:r>
      <w:r w:rsidR="00430B58" w:rsidRPr="004E570B">
        <w:t xml:space="preserve">that are </w:t>
      </w:r>
      <w:r w:rsidRPr="004E570B">
        <w:t>most likely to a</w:t>
      </w:r>
      <w:r w:rsidR="004755E4" w:rsidRPr="004E570B">
        <w:t>ccelerate progress towards MDGs</w:t>
      </w:r>
      <w:r w:rsidRPr="004E570B">
        <w:t>. In others</w:t>
      </w:r>
      <w:r w:rsidR="00430B58" w:rsidRPr="004E570B">
        <w:t>,</w:t>
      </w:r>
      <w:r w:rsidRPr="004E570B">
        <w:t xml:space="preserve"> maternal and child health are among the priorities of a national strategic plan for health that Australia, along with other donors, supports broadly. In yet other countries the emphasis is on assisting to overcome barriers to access or the delivery of services that result from failures in the health system such as in health financing, human resources or supply chains.</w:t>
      </w:r>
    </w:p>
    <w:p w:rsidR="00BB59F2" w:rsidRPr="004E570B" w:rsidRDefault="00BE49F9" w:rsidP="004E570B">
      <w:pPr>
        <w:pStyle w:val="BodyText"/>
      </w:pPr>
      <w:r w:rsidRPr="004E570B">
        <w:rPr>
          <w:spacing w:val="-2"/>
        </w:rPr>
        <w:t>This</w:t>
      </w:r>
      <w:r w:rsidR="00BB59F2" w:rsidRPr="004E570B">
        <w:rPr>
          <w:spacing w:val="-2"/>
        </w:rPr>
        <w:t xml:space="preserve"> sup</w:t>
      </w:r>
      <w:r w:rsidR="004755E4" w:rsidRPr="004E570B">
        <w:rPr>
          <w:spacing w:val="-2"/>
        </w:rPr>
        <w:t xml:space="preserve">port </w:t>
      </w:r>
      <w:r w:rsidR="00BB59F2" w:rsidRPr="004E570B">
        <w:rPr>
          <w:spacing w:val="-2"/>
        </w:rPr>
        <w:t>can be broadly categor</w:t>
      </w:r>
      <w:r w:rsidR="00651EFB" w:rsidRPr="004E570B">
        <w:rPr>
          <w:spacing w:val="-2"/>
        </w:rPr>
        <w:t>is</w:t>
      </w:r>
      <w:r w:rsidR="00BB59F2" w:rsidRPr="004E570B">
        <w:rPr>
          <w:spacing w:val="-2"/>
        </w:rPr>
        <w:t>ed as in Table</w:t>
      </w:r>
      <w:r w:rsidR="00430B58" w:rsidRPr="004E570B">
        <w:rPr>
          <w:spacing w:val="-2"/>
        </w:rPr>
        <w:t> 4</w:t>
      </w:r>
      <w:r w:rsidR="00BB59F2" w:rsidRPr="004E570B">
        <w:rPr>
          <w:spacing w:val="-2"/>
        </w:rPr>
        <w:t>. The table does not cover all activities of the aid program that</w:t>
      </w:r>
      <w:r w:rsidR="004755E4" w:rsidRPr="004E570B">
        <w:rPr>
          <w:spacing w:val="-2"/>
        </w:rPr>
        <w:t xml:space="preserve"> might support MDGs </w:t>
      </w:r>
      <w:r w:rsidR="00BB59F2" w:rsidRPr="004E570B">
        <w:rPr>
          <w:spacing w:val="-2"/>
        </w:rPr>
        <w:t xml:space="preserve">4 and 5. Activities focused on HIV and </w:t>
      </w:r>
      <w:r w:rsidRPr="004E570B">
        <w:rPr>
          <w:spacing w:val="-2"/>
        </w:rPr>
        <w:t xml:space="preserve">tuberculosis </w:t>
      </w:r>
      <w:r w:rsidR="00BB59F2" w:rsidRPr="004E570B">
        <w:rPr>
          <w:spacing w:val="-2"/>
        </w:rPr>
        <w:t>(</w:t>
      </w:r>
      <w:r w:rsidRPr="004E570B">
        <w:rPr>
          <w:spacing w:val="-2"/>
        </w:rPr>
        <w:t xml:space="preserve">related to </w:t>
      </w:r>
      <w:r w:rsidR="008B1872" w:rsidRPr="004E570B">
        <w:rPr>
          <w:spacing w:val="-2"/>
        </w:rPr>
        <w:t>MDG </w:t>
      </w:r>
      <w:r w:rsidR="00BB59F2" w:rsidRPr="004E570B">
        <w:rPr>
          <w:spacing w:val="-2"/>
        </w:rPr>
        <w:t xml:space="preserve">6) are not included. Malaria is mentioned, however, as it is a critical component </w:t>
      </w:r>
      <w:r w:rsidR="00BB59F2" w:rsidRPr="004E570B">
        <w:t>of the prevention and treatment of common diseases affecting women and children.</w:t>
      </w:r>
      <w:r w:rsidR="004E40E6" w:rsidRPr="004E570B">
        <w:t xml:space="preserve"> </w:t>
      </w:r>
      <w:r w:rsidR="00BB59F2" w:rsidRPr="004E570B">
        <w:t xml:space="preserve">In those </w:t>
      </w:r>
      <w:r w:rsidR="00BB59F2" w:rsidRPr="004E570B">
        <w:rPr>
          <w:spacing w:val="-2"/>
        </w:rPr>
        <w:t xml:space="preserve">countries presented in bold type </w:t>
      </w:r>
      <w:r w:rsidR="004755E4" w:rsidRPr="004E570B">
        <w:rPr>
          <w:spacing w:val="-2"/>
        </w:rPr>
        <w:t>in Table </w:t>
      </w:r>
      <w:r w:rsidRPr="004E570B">
        <w:rPr>
          <w:spacing w:val="-2"/>
        </w:rPr>
        <w:t>4,</w:t>
      </w:r>
      <w:r w:rsidR="00BB59F2" w:rsidRPr="004E570B">
        <w:rPr>
          <w:spacing w:val="-2"/>
        </w:rPr>
        <w:t xml:space="preserve"> significant new initiatives </w:t>
      </w:r>
      <w:r w:rsidRPr="004E570B">
        <w:rPr>
          <w:spacing w:val="-2"/>
        </w:rPr>
        <w:t xml:space="preserve">were </w:t>
      </w:r>
      <w:r w:rsidR="00BB59F2" w:rsidRPr="004E570B">
        <w:rPr>
          <w:spacing w:val="-2"/>
        </w:rPr>
        <w:t xml:space="preserve">started </w:t>
      </w:r>
      <w:r w:rsidR="004755E4" w:rsidRPr="004E570B">
        <w:rPr>
          <w:spacing w:val="-2"/>
        </w:rPr>
        <w:t>in 2007–</w:t>
      </w:r>
      <w:r w:rsidR="00BB59F2" w:rsidRPr="004E570B">
        <w:rPr>
          <w:spacing w:val="-2"/>
        </w:rPr>
        <w:t>08;</w:t>
      </w:r>
      <w:r w:rsidR="00BB59F2" w:rsidRPr="004E570B">
        <w:t xml:space="preserve"> some </w:t>
      </w:r>
      <w:r w:rsidRPr="004E570B">
        <w:t xml:space="preserve">were </w:t>
      </w:r>
      <w:r w:rsidR="00BB59F2" w:rsidRPr="004E570B">
        <w:t>a re-entry into the health sector for the Australian aid program.</w:t>
      </w:r>
    </w:p>
    <w:p w:rsidR="00BB59F2" w:rsidRPr="004E570B" w:rsidRDefault="00BB59F2" w:rsidP="004E570B">
      <w:pPr>
        <w:pStyle w:val="BodyText"/>
        <w:rPr>
          <w:b/>
        </w:rPr>
      </w:pPr>
      <w:r w:rsidRPr="004E570B">
        <w:t>The table shows clearly that the majority of current initiatives in support of MDGs</w:t>
      </w:r>
      <w:r w:rsidR="0096145E" w:rsidRPr="004E570B">
        <w:t> </w:t>
      </w:r>
      <w:r w:rsidRPr="004E570B">
        <w:t xml:space="preserve">4 and 5 </w:t>
      </w:r>
      <w:r w:rsidR="0096145E" w:rsidRPr="004E570B">
        <w:t>were</w:t>
      </w:r>
      <w:r w:rsidR="004755E4" w:rsidRPr="004E570B">
        <w:t xml:space="preserve"> started during 2007–</w:t>
      </w:r>
      <w:r w:rsidRPr="004E570B">
        <w:t xml:space="preserve">08. </w:t>
      </w:r>
      <w:r w:rsidR="000B1344" w:rsidRPr="004E570B">
        <w:t xml:space="preserve">The exceptions are in </w:t>
      </w:r>
      <w:r w:rsidR="00665CC9" w:rsidRPr="004E570B">
        <w:t xml:space="preserve">Fiji, </w:t>
      </w:r>
      <w:r w:rsidRPr="004E570B">
        <w:t>Papua New Guinea and Solomon Islands, where broad sectoral programs that include maternal and child health related objective</w:t>
      </w:r>
      <w:r w:rsidR="004755E4" w:rsidRPr="004E570B">
        <w:t>s were under</w:t>
      </w:r>
      <w:r w:rsidR="0096145E" w:rsidRPr="004E570B">
        <w:t xml:space="preserve"> </w:t>
      </w:r>
      <w:r w:rsidR="004755E4" w:rsidRPr="004E570B">
        <w:t>way prior to 2007–</w:t>
      </w:r>
      <w:r w:rsidRPr="004E570B">
        <w:t xml:space="preserve">08. In the Indonesia, Nepal and </w:t>
      </w:r>
      <w:r w:rsidR="000B1344" w:rsidRPr="004E570B">
        <w:t xml:space="preserve">the </w:t>
      </w:r>
      <w:r w:rsidRPr="004E570B">
        <w:t xml:space="preserve">Philippines support, including through UN agencies, </w:t>
      </w:r>
      <w:r w:rsidR="004755E4" w:rsidRPr="004E570B">
        <w:t>was also in place before 2007–</w:t>
      </w:r>
      <w:r w:rsidRPr="004E570B">
        <w:t>08 and is being built on in the design of new programs.</w:t>
      </w:r>
    </w:p>
    <w:p w:rsidR="00BB59F2" w:rsidRPr="004E570B" w:rsidRDefault="00BB59F2" w:rsidP="004E570B">
      <w:pPr>
        <w:pStyle w:val="Caption"/>
        <w:rPr>
          <w:color w:val="auto"/>
        </w:rPr>
      </w:pPr>
      <w:r w:rsidRPr="004E570B">
        <w:rPr>
          <w:color w:val="auto"/>
        </w:rPr>
        <w:lastRenderedPageBreak/>
        <w:t xml:space="preserve">Table </w:t>
      </w:r>
      <w:r w:rsidRPr="004E570B">
        <w:rPr>
          <w:color w:val="auto"/>
        </w:rPr>
        <w:fldChar w:fldCharType="begin"/>
      </w:r>
      <w:r w:rsidRPr="004E570B">
        <w:rPr>
          <w:color w:val="auto"/>
        </w:rPr>
        <w:instrText xml:space="preserve"> SEQ Table \* MERGEFORMAT </w:instrText>
      </w:r>
      <w:r w:rsidRPr="004E570B">
        <w:rPr>
          <w:color w:val="auto"/>
        </w:rPr>
        <w:fldChar w:fldCharType="separate"/>
      </w:r>
      <w:r w:rsidR="00B33206" w:rsidRPr="004E570B">
        <w:rPr>
          <w:noProof/>
          <w:color w:val="auto"/>
        </w:rPr>
        <w:t>4</w:t>
      </w:r>
      <w:r w:rsidRPr="004E570B">
        <w:rPr>
          <w:color w:val="auto"/>
        </w:rPr>
        <w:fldChar w:fldCharType="end"/>
      </w:r>
      <w:r w:rsidRPr="004E570B">
        <w:rPr>
          <w:color w:val="auto"/>
        </w:rPr>
        <w:t>: Australia</w:t>
      </w:r>
      <w:r w:rsidR="00F60BE0" w:rsidRPr="004E570B">
        <w:rPr>
          <w:color w:val="auto"/>
        </w:rPr>
        <w:t>n</w:t>
      </w:r>
      <w:r w:rsidRPr="004E570B">
        <w:rPr>
          <w:color w:val="auto"/>
        </w:rPr>
        <w:t xml:space="preserve"> aid program support to </w:t>
      </w:r>
      <w:r w:rsidR="00F60BE0" w:rsidRPr="004E570B">
        <w:rPr>
          <w:color w:val="auto"/>
        </w:rPr>
        <w:t xml:space="preserve">achieve </w:t>
      </w:r>
      <w:r w:rsidRPr="004E570B">
        <w:rPr>
          <w:color w:val="auto"/>
        </w:rPr>
        <w:t>MDGs 4 and 5</w:t>
      </w:r>
    </w:p>
    <w:tbl>
      <w:tblPr>
        <w:tblW w:w="0" w:type="auto"/>
        <w:tblInd w:w="57" w:type="dxa"/>
        <w:tblLayout w:type="fixed"/>
        <w:tblLook w:val="0000" w:firstRow="0" w:lastRow="0" w:firstColumn="0" w:lastColumn="0" w:noHBand="0" w:noVBand="0"/>
      </w:tblPr>
      <w:tblGrid>
        <w:gridCol w:w="1540"/>
        <w:gridCol w:w="6397"/>
      </w:tblGrid>
      <w:tr w:rsidR="00BB59F2" w:rsidRPr="004E570B" w:rsidTr="00092D69">
        <w:tblPrEx>
          <w:tblCellMar>
            <w:top w:w="0" w:type="dxa"/>
            <w:bottom w:w="0" w:type="dxa"/>
          </w:tblCellMar>
        </w:tblPrEx>
        <w:trPr>
          <w:cantSplit/>
          <w:tblHeader/>
        </w:trPr>
        <w:tc>
          <w:tcPr>
            <w:tcW w:w="1540" w:type="dxa"/>
            <w:tcBorders>
              <w:bottom w:val="single" w:sz="12" w:space="0" w:color="auto"/>
            </w:tcBorders>
            <w:tcMar>
              <w:left w:w="57" w:type="dxa"/>
              <w:right w:w="57" w:type="dxa"/>
            </w:tcMar>
          </w:tcPr>
          <w:p w:rsidR="00BB59F2" w:rsidRPr="004E570B" w:rsidRDefault="00BB59F2" w:rsidP="004E570B">
            <w:pPr>
              <w:pStyle w:val="TableTextColumnHeading"/>
              <w:keepNext/>
            </w:pPr>
            <w:r w:rsidRPr="004E570B">
              <w:t>Countr</w:t>
            </w:r>
            <w:r w:rsidR="0096145E" w:rsidRPr="004E570B">
              <w:t>y</w:t>
            </w:r>
          </w:p>
        </w:tc>
        <w:tc>
          <w:tcPr>
            <w:tcW w:w="6397" w:type="dxa"/>
            <w:tcBorders>
              <w:bottom w:val="single" w:sz="12" w:space="0" w:color="auto"/>
            </w:tcBorders>
            <w:tcMar>
              <w:left w:w="57" w:type="dxa"/>
              <w:right w:w="57" w:type="dxa"/>
            </w:tcMar>
          </w:tcPr>
          <w:p w:rsidR="00BB59F2" w:rsidRPr="004E570B" w:rsidRDefault="00BB59F2" w:rsidP="004E570B">
            <w:pPr>
              <w:pStyle w:val="TableTextColumnHeading"/>
              <w:keepNext/>
            </w:pPr>
            <w:r w:rsidRPr="004E570B">
              <w:t>Comments</w:t>
            </w:r>
          </w:p>
        </w:tc>
      </w:tr>
      <w:tr w:rsidR="00BB59F2" w:rsidRPr="004E570B" w:rsidTr="00092D69">
        <w:tblPrEx>
          <w:tblCellMar>
            <w:top w:w="0" w:type="dxa"/>
            <w:bottom w:w="0" w:type="dxa"/>
          </w:tblCellMar>
        </w:tblPrEx>
        <w:trPr>
          <w:cantSplit/>
        </w:trPr>
        <w:tc>
          <w:tcPr>
            <w:tcW w:w="7937" w:type="dxa"/>
            <w:gridSpan w:val="2"/>
            <w:tcBorders>
              <w:top w:val="single" w:sz="12" w:space="0" w:color="auto"/>
            </w:tcBorders>
            <w:tcMar>
              <w:left w:w="57" w:type="dxa"/>
              <w:right w:w="57" w:type="dxa"/>
            </w:tcMar>
          </w:tcPr>
          <w:p w:rsidR="00BB59F2" w:rsidRPr="004E570B" w:rsidRDefault="00BB59F2" w:rsidP="004E570B">
            <w:pPr>
              <w:pStyle w:val="TableHeading1"/>
              <w:keepNext/>
            </w:pPr>
            <w:r w:rsidRPr="004E570B">
              <w:t>Initiative specifically focused on MDGs 4 and 5</w:t>
            </w:r>
          </w:p>
        </w:tc>
      </w:tr>
      <w:tr w:rsidR="00BB59F2" w:rsidRPr="004E570B" w:rsidTr="00092D69">
        <w:tblPrEx>
          <w:tblCellMar>
            <w:top w:w="0" w:type="dxa"/>
            <w:bottom w:w="0" w:type="dxa"/>
          </w:tblCellMar>
        </w:tblPrEx>
        <w:trPr>
          <w:cantSplit/>
        </w:trPr>
        <w:tc>
          <w:tcPr>
            <w:tcW w:w="1540" w:type="dxa"/>
            <w:tcMar>
              <w:left w:w="57" w:type="dxa"/>
              <w:right w:w="57" w:type="dxa"/>
            </w:tcMar>
          </w:tcPr>
          <w:p w:rsidR="00BB59F2" w:rsidRPr="004E570B" w:rsidRDefault="00BB59F2" w:rsidP="004E570B">
            <w:pPr>
              <w:pStyle w:val="TableTextEntries"/>
              <w:rPr>
                <w:rFonts w:ascii="Franklin Gothic Medium" w:hAnsi="Franklin Gothic Medium"/>
              </w:rPr>
            </w:pPr>
            <w:r w:rsidRPr="004E570B">
              <w:rPr>
                <w:rFonts w:ascii="Franklin Gothic Medium" w:hAnsi="Franklin Gothic Medium"/>
              </w:rPr>
              <w:t>Afghanistan</w:t>
            </w:r>
          </w:p>
        </w:tc>
        <w:tc>
          <w:tcPr>
            <w:tcW w:w="6397" w:type="dxa"/>
            <w:tcMar>
              <w:left w:w="57" w:type="dxa"/>
              <w:right w:w="57" w:type="dxa"/>
            </w:tcMar>
          </w:tcPr>
          <w:p w:rsidR="00BB59F2" w:rsidRPr="004E570B" w:rsidRDefault="00BB59F2" w:rsidP="004E570B">
            <w:pPr>
              <w:pStyle w:val="TableTextEntries"/>
            </w:pPr>
            <w:r w:rsidRPr="004E570B">
              <w:t>Funding for the Catalytic Initiative under</w:t>
            </w:r>
            <w:r w:rsidR="0096145E" w:rsidRPr="004E570B">
              <w:t xml:space="preserve"> </w:t>
            </w:r>
            <w:r w:rsidRPr="004E570B">
              <w:t>negotiation</w:t>
            </w:r>
            <w:r w:rsidR="0096145E" w:rsidRPr="004E570B">
              <w:t>.</w:t>
            </w:r>
          </w:p>
        </w:tc>
      </w:tr>
      <w:tr w:rsidR="00BB59F2" w:rsidRPr="004E570B" w:rsidTr="00092D69">
        <w:tblPrEx>
          <w:tblCellMar>
            <w:top w:w="0" w:type="dxa"/>
            <w:bottom w:w="0" w:type="dxa"/>
          </w:tblCellMar>
        </w:tblPrEx>
        <w:trPr>
          <w:cantSplit/>
        </w:trPr>
        <w:tc>
          <w:tcPr>
            <w:tcW w:w="1540" w:type="dxa"/>
            <w:tcMar>
              <w:left w:w="57" w:type="dxa"/>
              <w:right w:w="57" w:type="dxa"/>
            </w:tcMar>
          </w:tcPr>
          <w:p w:rsidR="00BB59F2" w:rsidRPr="004E570B" w:rsidRDefault="00BB59F2" w:rsidP="004E570B">
            <w:pPr>
              <w:pStyle w:val="TableTextEntries"/>
              <w:rPr>
                <w:rFonts w:ascii="Franklin Gothic Medium" w:hAnsi="Franklin Gothic Medium"/>
              </w:rPr>
            </w:pPr>
            <w:r w:rsidRPr="004E570B">
              <w:rPr>
                <w:rFonts w:ascii="Franklin Gothic Medium" w:hAnsi="Franklin Gothic Medium"/>
              </w:rPr>
              <w:t xml:space="preserve">Bangladesh </w:t>
            </w:r>
          </w:p>
        </w:tc>
        <w:tc>
          <w:tcPr>
            <w:tcW w:w="6397" w:type="dxa"/>
            <w:tcMar>
              <w:left w:w="57" w:type="dxa"/>
              <w:right w:w="57" w:type="dxa"/>
            </w:tcMar>
          </w:tcPr>
          <w:p w:rsidR="00BB59F2" w:rsidRPr="004E570B" w:rsidRDefault="00BB59F2" w:rsidP="004E570B">
            <w:pPr>
              <w:pStyle w:val="TableTextEntries"/>
            </w:pPr>
            <w:r w:rsidRPr="004E570B">
              <w:t>Funding for UNICEF and BRAC program activities in defined geographic areas.</w:t>
            </w:r>
          </w:p>
        </w:tc>
      </w:tr>
      <w:tr w:rsidR="00BB59F2" w:rsidRPr="004E570B" w:rsidTr="00092D69">
        <w:tblPrEx>
          <w:tblCellMar>
            <w:top w:w="0" w:type="dxa"/>
            <w:bottom w:w="0" w:type="dxa"/>
          </w:tblCellMar>
        </w:tblPrEx>
        <w:trPr>
          <w:cantSplit/>
        </w:trPr>
        <w:tc>
          <w:tcPr>
            <w:tcW w:w="1540" w:type="dxa"/>
            <w:tcMar>
              <w:left w:w="57" w:type="dxa"/>
              <w:right w:w="57" w:type="dxa"/>
            </w:tcMar>
          </w:tcPr>
          <w:p w:rsidR="00BB59F2" w:rsidRPr="004E570B" w:rsidRDefault="00BB59F2" w:rsidP="004E570B">
            <w:pPr>
              <w:pStyle w:val="TableTextEntries"/>
              <w:rPr>
                <w:rFonts w:ascii="Franklin Gothic Medium" w:hAnsi="Franklin Gothic Medium"/>
              </w:rPr>
            </w:pPr>
            <w:r w:rsidRPr="004E570B">
              <w:rPr>
                <w:rFonts w:ascii="Franklin Gothic Medium" w:hAnsi="Franklin Gothic Medium"/>
              </w:rPr>
              <w:t>Indonesia</w:t>
            </w:r>
          </w:p>
        </w:tc>
        <w:tc>
          <w:tcPr>
            <w:tcW w:w="6397" w:type="dxa"/>
            <w:tcMar>
              <w:left w:w="57" w:type="dxa"/>
              <w:right w:w="57" w:type="dxa"/>
            </w:tcMar>
          </w:tcPr>
          <w:p w:rsidR="00BB59F2" w:rsidRPr="004E570B" w:rsidRDefault="00BB59F2" w:rsidP="004E570B">
            <w:pPr>
              <w:pStyle w:val="TableTextEntries"/>
            </w:pPr>
            <w:r w:rsidRPr="004E570B">
              <w:t xml:space="preserve">Financial and technical support to </w:t>
            </w:r>
            <w:r w:rsidR="0096145E" w:rsidRPr="004E570B">
              <w:t xml:space="preserve">Government of Indonesia </w:t>
            </w:r>
            <w:r w:rsidRPr="004E570B">
              <w:t>at provincial and district level</w:t>
            </w:r>
            <w:r w:rsidR="0096145E" w:rsidRPr="004E570B">
              <w:t>s</w:t>
            </w:r>
            <w:r w:rsidRPr="004E570B">
              <w:t xml:space="preserve"> in </w:t>
            </w:r>
            <w:r w:rsidR="008535F2" w:rsidRPr="004E570B">
              <w:t xml:space="preserve">East Nusa Tenggara </w:t>
            </w:r>
            <w:r w:rsidRPr="004E570B">
              <w:t>Province. Funding for UNICEF program activities in Papua</w:t>
            </w:r>
            <w:r w:rsidR="0096145E" w:rsidRPr="004E570B">
              <w:t>.</w:t>
            </w:r>
          </w:p>
        </w:tc>
      </w:tr>
      <w:tr w:rsidR="00BB59F2" w:rsidRPr="004E570B" w:rsidTr="00092D69">
        <w:tblPrEx>
          <w:tblCellMar>
            <w:top w:w="0" w:type="dxa"/>
            <w:bottom w:w="0" w:type="dxa"/>
          </w:tblCellMar>
        </w:tblPrEx>
        <w:trPr>
          <w:cantSplit/>
        </w:trPr>
        <w:tc>
          <w:tcPr>
            <w:tcW w:w="1540" w:type="dxa"/>
            <w:tcMar>
              <w:left w:w="57" w:type="dxa"/>
              <w:right w:w="57" w:type="dxa"/>
            </w:tcMar>
          </w:tcPr>
          <w:p w:rsidR="00BB59F2" w:rsidRPr="004E570B" w:rsidRDefault="00BB59F2" w:rsidP="004E570B">
            <w:pPr>
              <w:pStyle w:val="TableTextEntries"/>
              <w:rPr>
                <w:rFonts w:ascii="Franklin Gothic Medium" w:hAnsi="Franklin Gothic Medium"/>
              </w:rPr>
            </w:pPr>
            <w:r w:rsidRPr="004E570B">
              <w:rPr>
                <w:rFonts w:ascii="Franklin Gothic Medium" w:hAnsi="Franklin Gothic Medium"/>
              </w:rPr>
              <w:t>Nepal</w:t>
            </w:r>
          </w:p>
        </w:tc>
        <w:tc>
          <w:tcPr>
            <w:tcW w:w="6397" w:type="dxa"/>
            <w:tcMar>
              <w:left w:w="57" w:type="dxa"/>
              <w:right w:w="57" w:type="dxa"/>
            </w:tcMar>
          </w:tcPr>
          <w:p w:rsidR="00BB59F2" w:rsidRPr="004E570B" w:rsidRDefault="00BB59F2" w:rsidP="004E570B">
            <w:pPr>
              <w:pStyle w:val="TableTextEntries"/>
            </w:pPr>
            <w:r w:rsidRPr="004E570B">
              <w:t xml:space="preserve">Support for </w:t>
            </w:r>
            <w:r w:rsidR="0096145E" w:rsidRPr="004E570B">
              <w:t>vitamin </w:t>
            </w:r>
            <w:r w:rsidRPr="004E570B">
              <w:t>A supplementation and community</w:t>
            </w:r>
            <w:r w:rsidR="0096145E" w:rsidRPr="004E570B">
              <w:t>-</w:t>
            </w:r>
            <w:r w:rsidRPr="004E570B">
              <w:t xml:space="preserve">based integrated management of childhood illness through </w:t>
            </w:r>
            <w:r w:rsidR="0096145E" w:rsidRPr="004E570B">
              <w:t xml:space="preserve">non-government organisations </w:t>
            </w:r>
            <w:r w:rsidRPr="004E570B">
              <w:t>and UNICEF.</w:t>
            </w:r>
          </w:p>
          <w:p w:rsidR="00BB59F2" w:rsidRPr="004E570B" w:rsidRDefault="00BB59F2" w:rsidP="004E570B">
            <w:pPr>
              <w:pStyle w:val="TableTextEntries"/>
            </w:pPr>
            <w:r w:rsidRPr="004E570B">
              <w:t>Moving toward broader sectoral support</w:t>
            </w:r>
            <w:r w:rsidR="0096145E" w:rsidRPr="004E570B">
              <w:t>.</w:t>
            </w:r>
          </w:p>
        </w:tc>
      </w:tr>
      <w:tr w:rsidR="00BB59F2" w:rsidRPr="004E570B" w:rsidTr="00092D69">
        <w:tblPrEx>
          <w:tblCellMar>
            <w:top w:w="0" w:type="dxa"/>
            <w:bottom w:w="0" w:type="dxa"/>
          </w:tblCellMar>
        </w:tblPrEx>
        <w:trPr>
          <w:cantSplit/>
        </w:trPr>
        <w:tc>
          <w:tcPr>
            <w:tcW w:w="1540" w:type="dxa"/>
            <w:tcMar>
              <w:left w:w="57" w:type="dxa"/>
              <w:right w:w="57" w:type="dxa"/>
            </w:tcMar>
          </w:tcPr>
          <w:p w:rsidR="00BB59F2" w:rsidRPr="004E570B" w:rsidRDefault="00BB59F2" w:rsidP="004E570B">
            <w:pPr>
              <w:pStyle w:val="TableTextEntries"/>
              <w:rPr>
                <w:rFonts w:ascii="Franklin Gothic Medium" w:hAnsi="Franklin Gothic Medium"/>
              </w:rPr>
            </w:pPr>
            <w:r w:rsidRPr="004E570B">
              <w:rPr>
                <w:rFonts w:ascii="Franklin Gothic Medium" w:hAnsi="Franklin Gothic Medium"/>
              </w:rPr>
              <w:t>Pakistan</w:t>
            </w:r>
          </w:p>
        </w:tc>
        <w:tc>
          <w:tcPr>
            <w:tcW w:w="6397" w:type="dxa"/>
            <w:tcMar>
              <w:left w:w="57" w:type="dxa"/>
              <w:right w:w="57" w:type="dxa"/>
            </w:tcMar>
          </w:tcPr>
          <w:p w:rsidR="00BB59F2" w:rsidRPr="004E570B" w:rsidRDefault="00BB59F2" w:rsidP="004E570B">
            <w:pPr>
              <w:pStyle w:val="TableTextEntries"/>
            </w:pPr>
            <w:r w:rsidRPr="004E570B">
              <w:t>Support to National Maternal Neonatal Health Program through DFID</w:t>
            </w:r>
            <w:r w:rsidR="0096145E" w:rsidRPr="004E570B">
              <w:t>.</w:t>
            </w:r>
          </w:p>
        </w:tc>
      </w:tr>
      <w:tr w:rsidR="00BB59F2" w:rsidRPr="004E570B" w:rsidTr="00092D69">
        <w:tblPrEx>
          <w:tblCellMar>
            <w:top w:w="0" w:type="dxa"/>
            <w:bottom w:w="0" w:type="dxa"/>
          </w:tblCellMar>
        </w:tblPrEx>
        <w:trPr>
          <w:cantSplit/>
        </w:trPr>
        <w:tc>
          <w:tcPr>
            <w:tcW w:w="1540" w:type="dxa"/>
            <w:tcMar>
              <w:left w:w="57" w:type="dxa"/>
              <w:right w:w="57" w:type="dxa"/>
            </w:tcMar>
          </w:tcPr>
          <w:p w:rsidR="00BB59F2" w:rsidRPr="004E570B" w:rsidRDefault="00BB59F2" w:rsidP="004E570B">
            <w:pPr>
              <w:pStyle w:val="TableTextEntries"/>
            </w:pPr>
            <w:r w:rsidRPr="004E570B">
              <w:t>Philippines</w:t>
            </w:r>
          </w:p>
        </w:tc>
        <w:tc>
          <w:tcPr>
            <w:tcW w:w="6397" w:type="dxa"/>
            <w:tcMar>
              <w:left w:w="57" w:type="dxa"/>
              <w:right w:w="57" w:type="dxa"/>
            </w:tcMar>
          </w:tcPr>
          <w:p w:rsidR="00BB59F2" w:rsidRPr="004E570B" w:rsidRDefault="00BB59F2" w:rsidP="004E570B">
            <w:pPr>
              <w:pStyle w:val="TableTextEntries"/>
            </w:pPr>
            <w:r w:rsidRPr="004E570B">
              <w:t>Support to UNICEF, UNFPA and WHO (malaria control) program activities with a focus on southern Philippines</w:t>
            </w:r>
            <w:r w:rsidR="0096145E" w:rsidRPr="004E570B">
              <w:t>.</w:t>
            </w:r>
          </w:p>
        </w:tc>
      </w:tr>
      <w:tr w:rsidR="00BB59F2" w:rsidRPr="004E570B" w:rsidTr="00092D69">
        <w:tblPrEx>
          <w:tblCellMar>
            <w:top w:w="0" w:type="dxa"/>
            <w:bottom w:w="0" w:type="dxa"/>
          </w:tblCellMar>
        </w:tblPrEx>
        <w:trPr>
          <w:cantSplit/>
        </w:trPr>
        <w:tc>
          <w:tcPr>
            <w:tcW w:w="7937" w:type="dxa"/>
            <w:gridSpan w:val="2"/>
            <w:tcMar>
              <w:left w:w="57" w:type="dxa"/>
              <w:right w:w="57" w:type="dxa"/>
            </w:tcMar>
          </w:tcPr>
          <w:p w:rsidR="00BB59F2" w:rsidRPr="004E570B" w:rsidRDefault="00BB59F2" w:rsidP="004E570B">
            <w:pPr>
              <w:pStyle w:val="TableHeading1"/>
            </w:pPr>
            <w:r w:rsidRPr="004E570B">
              <w:t>Broad sector program in which MDGs 4 and 5 are a priority</w:t>
            </w:r>
          </w:p>
        </w:tc>
      </w:tr>
      <w:tr w:rsidR="00BB59F2" w:rsidRPr="004E570B" w:rsidTr="00092D69">
        <w:tblPrEx>
          <w:tblCellMar>
            <w:top w:w="0" w:type="dxa"/>
            <w:bottom w:w="0" w:type="dxa"/>
          </w:tblCellMar>
        </w:tblPrEx>
        <w:trPr>
          <w:cantSplit/>
        </w:trPr>
        <w:tc>
          <w:tcPr>
            <w:tcW w:w="1540" w:type="dxa"/>
            <w:tcMar>
              <w:left w:w="57" w:type="dxa"/>
              <w:right w:w="57" w:type="dxa"/>
            </w:tcMar>
          </w:tcPr>
          <w:p w:rsidR="00BB59F2" w:rsidRPr="004E570B" w:rsidRDefault="00BB59F2" w:rsidP="004E570B">
            <w:pPr>
              <w:pStyle w:val="TableTextEntries"/>
              <w:rPr>
                <w:rFonts w:ascii="Franklin Gothic Medium" w:hAnsi="Franklin Gothic Medium"/>
              </w:rPr>
            </w:pPr>
            <w:r w:rsidRPr="004E570B">
              <w:rPr>
                <w:rFonts w:ascii="Franklin Gothic Medium" w:hAnsi="Franklin Gothic Medium"/>
              </w:rPr>
              <w:t>Cambodia</w:t>
            </w:r>
          </w:p>
        </w:tc>
        <w:tc>
          <w:tcPr>
            <w:tcW w:w="6397" w:type="dxa"/>
            <w:tcMar>
              <w:left w:w="57" w:type="dxa"/>
              <w:right w:w="57" w:type="dxa"/>
            </w:tcMar>
          </w:tcPr>
          <w:p w:rsidR="00BB59F2" w:rsidRPr="004E570B" w:rsidRDefault="00BB59F2" w:rsidP="004E570B">
            <w:pPr>
              <w:pStyle w:val="TableTextEntries"/>
            </w:pPr>
            <w:r w:rsidRPr="004E570B">
              <w:t>Moving to pooled funding with DFID, World Bank</w:t>
            </w:r>
            <w:r w:rsidR="000B1344" w:rsidRPr="004E570B">
              <w:t xml:space="preserve"> and</w:t>
            </w:r>
            <w:r w:rsidRPr="004E570B">
              <w:t xml:space="preserve"> UNFPA within a multi-partner </w:t>
            </w:r>
            <w:r w:rsidR="0096145E" w:rsidRPr="004E570B">
              <w:t>sector-</w:t>
            </w:r>
            <w:r w:rsidR="000B1344" w:rsidRPr="004E570B">
              <w:t>wide approach</w:t>
            </w:r>
            <w:r w:rsidRPr="004E570B">
              <w:t>. Interim activities through UNFPA</w:t>
            </w:r>
            <w:r w:rsidR="000B1344" w:rsidRPr="004E570B">
              <w:t xml:space="preserve"> and</w:t>
            </w:r>
            <w:r w:rsidRPr="004E570B">
              <w:t xml:space="preserve"> WHO</w:t>
            </w:r>
            <w:r w:rsidR="000B1344" w:rsidRPr="004E570B">
              <w:t>.</w:t>
            </w:r>
          </w:p>
        </w:tc>
      </w:tr>
      <w:tr w:rsidR="00BB59F2" w:rsidRPr="004E570B" w:rsidTr="00092D69">
        <w:tblPrEx>
          <w:tblCellMar>
            <w:top w:w="0" w:type="dxa"/>
            <w:bottom w:w="0" w:type="dxa"/>
          </w:tblCellMar>
        </w:tblPrEx>
        <w:trPr>
          <w:cantSplit/>
        </w:trPr>
        <w:tc>
          <w:tcPr>
            <w:tcW w:w="1540" w:type="dxa"/>
            <w:tcMar>
              <w:left w:w="57" w:type="dxa"/>
              <w:right w:w="57" w:type="dxa"/>
            </w:tcMar>
          </w:tcPr>
          <w:p w:rsidR="00BB59F2" w:rsidRPr="004E570B" w:rsidRDefault="00BB59F2" w:rsidP="004E570B">
            <w:pPr>
              <w:pStyle w:val="TableTextEntries"/>
            </w:pPr>
            <w:r w:rsidRPr="004E570B">
              <w:t>Fiji</w:t>
            </w:r>
          </w:p>
        </w:tc>
        <w:tc>
          <w:tcPr>
            <w:tcW w:w="6397" w:type="dxa"/>
            <w:tcMar>
              <w:left w:w="57" w:type="dxa"/>
              <w:right w:w="57" w:type="dxa"/>
            </w:tcMar>
          </w:tcPr>
          <w:p w:rsidR="00BB59F2" w:rsidRPr="004E570B" w:rsidRDefault="00BB59F2" w:rsidP="004E570B">
            <w:pPr>
              <w:pStyle w:val="TableTextEntries"/>
            </w:pPr>
            <w:r w:rsidRPr="004E570B">
              <w:t>Ongoing Health Sector Improvement Program</w:t>
            </w:r>
            <w:r w:rsidR="000B1344" w:rsidRPr="004E570B">
              <w:t>.</w:t>
            </w:r>
          </w:p>
        </w:tc>
      </w:tr>
      <w:tr w:rsidR="00BB59F2" w:rsidRPr="004E570B" w:rsidTr="00092D69">
        <w:tblPrEx>
          <w:tblCellMar>
            <w:top w:w="0" w:type="dxa"/>
            <w:bottom w:w="0" w:type="dxa"/>
          </w:tblCellMar>
        </w:tblPrEx>
        <w:trPr>
          <w:cantSplit/>
        </w:trPr>
        <w:tc>
          <w:tcPr>
            <w:tcW w:w="1540" w:type="dxa"/>
            <w:tcMar>
              <w:left w:w="57" w:type="dxa"/>
              <w:right w:w="57" w:type="dxa"/>
            </w:tcMar>
          </w:tcPr>
          <w:p w:rsidR="00BB59F2" w:rsidRPr="004E570B" w:rsidRDefault="008552AB" w:rsidP="004E570B">
            <w:pPr>
              <w:pStyle w:val="TableTextEntries"/>
            </w:pPr>
            <w:r w:rsidRPr="004E570B">
              <w:t>Papua New Guinea</w:t>
            </w:r>
          </w:p>
        </w:tc>
        <w:tc>
          <w:tcPr>
            <w:tcW w:w="6397" w:type="dxa"/>
            <w:tcMar>
              <w:left w:w="57" w:type="dxa"/>
              <w:right w:w="57" w:type="dxa"/>
            </w:tcMar>
          </w:tcPr>
          <w:p w:rsidR="00BB59F2" w:rsidRPr="004E570B" w:rsidRDefault="00BB59F2" w:rsidP="004E570B">
            <w:pPr>
              <w:pStyle w:val="TableTextEntries"/>
            </w:pPr>
            <w:r w:rsidRPr="004E570B">
              <w:t xml:space="preserve">Ongoing </w:t>
            </w:r>
            <w:r w:rsidR="0096145E" w:rsidRPr="004E570B">
              <w:t>sector-wide approach</w:t>
            </w:r>
            <w:r w:rsidRPr="004E570B">
              <w:t>. Comprehensive support to a national strategic plan that prioritises maternal and child health.</w:t>
            </w:r>
          </w:p>
        </w:tc>
      </w:tr>
      <w:tr w:rsidR="00BB59F2" w:rsidRPr="004E570B" w:rsidTr="00092D69">
        <w:tblPrEx>
          <w:tblCellMar>
            <w:top w:w="0" w:type="dxa"/>
            <w:bottom w:w="0" w:type="dxa"/>
          </w:tblCellMar>
        </w:tblPrEx>
        <w:trPr>
          <w:cantSplit/>
        </w:trPr>
        <w:tc>
          <w:tcPr>
            <w:tcW w:w="1540" w:type="dxa"/>
            <w:tcMar>
              <w:left w:w="57" w:type="dxa"/>
              <w:right w:w="57" w:type="dxa"/>
            </w:tcMar>
          </w:tcPr>
          <w:p w:rsidR="00BB59F2" w:rsidRPr="004E570B" w:rsidRDefault="00BB59F2" w:rsidP="004E570B">
            <w:pPr>
              <w:pStyle w:val="TableTextEntries"/>
            </w:pPr>
            <w:r w:rsidRPr="004E570B">
              <w:t>Solomon Islands</w:t>
            </w:r>
          </w:p>
        </w:tc>
        <w:tc>
          <w:tcPr>
            <w:tcW w:w="6397" w:type="dxa"/>
            <w:tcMar>
              <w:left w:w="57" w:type="dxa"/>
              <w:right w:w="57" w:type="dxa"/>
            </w:tcMar>
          </w:tcPr>
          <w:p w:rsidR="00BB59F2" w:rsidRPr="004E570B" w:rsidRDefault="00BB59F2" w:rsidP="004E570B">
            <w:pPr>
              <w:pStyle w:val="TableTextEntries"/>
            </w:pPr>
            <w:r w:rsidRPr="004E570B">
              <w:t xml:space="preserve">Lead development partner for a newly established </w:t>
            </w:r>
            <w:r w:rsidR="0096145E" w:rsidRPr="004E570B">
              <w:t xml:space="preserve">sector-wide approach </w:t>
            </w:r>
            <w:r w:rsidRPr="004E570B">
              <w:t xml:space="preserve">in support of a </w:t>
            </w:r>
            <w:r w:rsidRPr="004E570B">
              <w:rPr>
                <w:spacing w:val="-2"/>
              </w:rPr>
              <w:t>national strategic plan that includes maternal and child health. Pacific Malaria Initiative</w:t>
            </w:r>
            <w:r w:rsidR="000B1344" w:rsidRPr="004E570B">
              <w:rPr>
                <w:spacing w:val="-2"/>
              </w:rPr>
              <w:t>.</w:t>
            </w:r>
          </w:p>
        </w:tc>
      </w:tr>
      <w:tr w:rsidR="00BB59F2" w:rsidRPr="004E570B" w:rsidTr="00092D69">
        <w:tblPrEx>
          <w:tblCellMar>
            <w:top w:w="0" w:type="dxa"/>
            <w:bottom w:w="0" w:type="dxa"/>
          </w:tblCellMar>
        </w:tblPrEx>
        <w:trPr>
          <w:cantSplit/>
        </w:trPr>
        <w:tc>
          <w:tcPr>
            <w:tcW w:w="1540" w:type="dxa"/>
            <w:tcMar>
              <w:left w:w="57" w:type="dxa"/>
              <w:right w:w="57" w:type="dxa"/>
            </w:tcMar>
          </w:tcPr>
          <w:p w:rsidR="00BB59F2" w:rsidRPr="004E570B" w:rsidRDefault="00BB59F2" w:rsidP="004E570B">
            <w:pPr>
              <w:pStyle w:val="TableTextEntries"/>
              <w:rPr>
                <w:rFonts w:ascii="Franklin Gothic Medium" w:hAnsi="Franklin Gothic Medium"/>
              </w:rPr>
            </w:pPr>
            <w:r w:rsidRPr="004E570B">
              <w:rPr>
                <w:rFonts w:ascii="Franklin Gothic Medium" w:hAnsi="Franklin Gothic Medium"/>
              </w:rPr>
              <w:t>Samoa</w:t>
            </w:r>
          </w:p>
        </w:tc>
        <w:tc>
          <w:tcPr>
            <w:tcW w:w="6397" w:type="dxa"/>
            <w:tcMar>
              <w:left w:w="57" w:type="dxa"/>
              <w:right w:w="57" w:type="dxa"/>
            </w:tcMar>
          </w:tcPr>
          <w:p w:rsidR="00BB59F2" w:rsidRPr="004E570B" w:rsidRDefault="00BB59F2" w:rsidP="004E570B">
            <w:pPr>
              <w:pStyle w:val="TableTextEntries"/>
              <w:rPr>
                <w:spacing w:val="-2"/>
              </w:rPr>
            </w:pPr>
            <w:r w:rsidRPr="004E570B">
              <w:rPr>
                <w:spacing w:val="-2"/>
              </w:rPr>
              <w:t xml:space="preserve">Pooled funding with </w:t>
            </w:r>
            <w:r w:rsidRPr="004E570B">
              <w:rPr>
                <w:caps/>
                <w:spacing w:val="-2"/>
              </w:rPr>
              <w:t>NZAid</w:t>
            </w:r>
            <w:r w:rsidRPr="004E570B">
              <w:rPr>
                <w:spacing w:val="-2"/>
              </w:rPr>
              <w:t xml:space="preserve"> and World Bank for a newly established </w:t>
            </w:r>
            <w:r w:rsidR="0096145E" w:rsidRPr="004E570B">
              <w:rPr>
                <w:spacing w:val="-2"/>
              </w:rPr>
              <w:t>sector-</w:t>
            </w:r>
            <w:r w:rsidR="000B1344" w:rsidRPr="004E570B">
              <w:rPr>
                <w:spacing w:val="-2"/>
              </w:rPr>
              <w:t>wide approach.</w:t>
            </w:r>
          </w:p>
        </w:tc>
      </w:tr>
      <w:tr w:rsidR="00BB59F2" w:rsidRPr="004E570B" w:rsidTr="00092D69">
        <w:tblPrEx>
          <w:tblCellMar>
            <w:top w:w="0" w:type="dxa"/>
            <w:bottom w:w="0" w:type="dxa"/>
          </w:tblCellMar>
        </w:tblPrEx>
        <w:trPr>
          <w:cantSplit/>
        </w:trPr>
        <w:tc>
          <w:tcPr>
            <w:tcW w:w="1540" w:type="dxa"/>
            <w:tcMar>
              <w:left w:w="57" w:type="dxa"/>
              <w:right w:w="57" w:type="dxa"/>
            </w:tcMar>
          </w:tcPr>
          <w:p w:rsidR="00BB59F2" w:rsidRPr="004E570B" w:rsidRDefault="008552AB" w:rsidP="004E570B">
            <w:pPr>
              <w:pStyle w:val="TableTextEntries"/>
              <w:rPr>
                <w:rFonts w:ascii="Franklin Gothic Medium" w:hAnsi="Franklin Gothic Medium"/>
              </w:rPr>
            </w:pPr>
            <w:r w:rsidRPr="004E570B">
              <w:rPr>
                <w:rFonts w:ascii="Franklin Gothic Medium" w:hAnsi="Franklin Gothic Medium"/>
              </w:rPr>
              <w:t xml:space="preserve">East </w:t>
            </w:r>
            <w:r w:rsidR="00BB59F2" w:rsidRPr="004E570B">
              <w:rPr>
                <w:rFonts w:ascii="Franklin Gothic Medium" w:hAnsi="Franklin Gothic Medium"/>
              </w:rPr>
              <w:t>Timor</w:t>
            </w:r>
          </w:p>
        </w:tc>
        <w:tc>
          <w:tcPr>
            <w:tcW w:w="6397" w:type="dxa"/>
            <w:tcMar>
              <w:left w:w="57" w:type="dxa"/>
              <w:right w:w="57" w:type="dxa"/>
            </w:tcMar>
          </w:tcPr>
          <w:p w:rsidR="00BB59F2" w:rsidRPr="004E570B" w:rsidRDefault="00BB59F2" w:rsidP="004E570B">
            <w:pPr>
              <w:pStyle w:val="TableTextEntries"/>
            </w:pPr>
            <w:r w:rsidRPr="004E570B">
              <w:t xml:space="preserve">Pooled funding with World Bank for a newly established </w:t>
            </w:r>
            <w:r w:rsidR="0096145E" w:rsidRPr="004E570B">
              <w:t xml:space="preserve">sector-wide approach </w:t>
            </w:r>
            <w:r w:rsidRPr="004E570B">
              <w:t>in support of a national strategic plan that prioritises maternal and child health.</w:t>
            </w:r>
          </w:p>
        </w:tc>
      </w:tr>
      <w:tr w:rsidR="00BB59F2" w:rsidRPr="004E570B" w:rsidTr="00092D69">
        <w:tblPrEx>
          <w:tblCellMar>
            <w:top w:w="0" w:type="dxa"/>
            <w:bottom w:w="0" w:type="dxa"/>
          </w:tblCellMar>
        </w:tblPrEx>
        <w:trPr>
          <w:cantSplit/>
        </w:trPr>
        <w:tc>
          <w:tcPr>
            <w:tcW w:w="7937" w:type="dxa"/>
            <w:gridSpan w:val="2"/>
            <w:tcMar>
              <w:left w:w="57" w:type="dxa"/>
              <w:right w:w="57" w:type="dxa"/>
            </w:tcMar>
          </w:tcPr>
          <w:p w:rsidR="00BB59F2" w:rsidRPr="004E570B" w:rsidRDefault="00BB59F2" w:rsidP="004E570B">
            <w:pPr>
              <w:pStyle w:val="TableHeading1"/>
            </w:pPr>
            <w:r w:rsidRPr="004E570B">
              <w:t>Focused health system strengthening</w:t>
            </w:r>
          </w:p>
        </w:tc>
      </w:tr>
      <w:tr w:rsidR="00BB59F2" w:rsidRPr="004E570B" w:rsidTr="00092D69">
        <w:tblPrEx>
          <w:tblCellMar>
            <w:top w:w="0" w:type="dxa"/>
            <w:bottom w:w="0" w:type="dxa"/>
          </w:tblCellMar>
        </w:tblPrEx>
        <w:trPr>
          <w:cantSplit/>
        </w:trPr>
        <w:tc>
          <w:tcPr>
            <w:tcW w:w="1540" w:type="dxa"/>
            <w:tcMar>
              <w:left w:w="57" w:type="dxa"/>
              <w:right w:w="57" w:type="dxa"/>
            </w:tcMar>
          </w:tcPr>
          <w:p w:rsidR="00BB59F2" w:rsidRPr="004E570B" w:rsidRDefault="00BB59F2" w:rsidP="004E570B">
            <w:pPr>
              <w:pStyle w:val="TableTextEntries"/>
              <w:rPr>
                <w:rFonts w:ascii="Franklin Gothic Medium" w:hAnsi="Franklin Gothic Medium"/>
              </w:rPr>
            </w:pPr>
            <w:r w:rsidRPr="004E570B">
              <w:rPr>
                <w:rFonts w:ascii="Franklin Gothic Medium" w:hAnsi="Franklin Gothic Medium"/>
              </w:rPr>
              <w:t>Vietnam</w:t>
            </w:r>
          </w:p>
        </w:tc>
        <w:tc>
          <w:tcPr>
            <w:tcW w:w="6397" w:type="dxa"/>
            <w:tcMar>
              <w:left w:w="57" w:type="dxa"/>
              <w:right w:w="57" w:type="dxa"/>
            </w:tcMar>
          </w:tcPr>
          <w:p w:rsidR="00BB59F2" w:rsidRPr="004E570B" w:rsidRDefault="00BB59F2" w:rsidP="004E570B">
            <w:pPr>
              <w:pStyle w:val="TableTextEntries"/>
            </w:pPr>
            <w:r w:rsidRPr="004E570B">
              <w:t>Working closely with World Bank, ADB and WHO on health financing and human resources</w:t>
            </w:r>
            <w:r w:rsidR="000B1344" w:rsidRPr="004E570B">
              <w:t>.</w:t>
            </w:r>
          </w:p>
        </w:tc>
      </w:tr>
      <w:tr w:rsidR="00BB59F2" w:rsidRPr="004E570B" w:rsidTr="00092D69">
        <w:tblPrEx>
          <w:tblCellMar>
            <w:top w:w="0" w:type="dxa"/>
            <w:bottom w:w="0" w:type="dxa"/>
          </w:tblCellMar>
        </w:tblPrEx>
        <w:trPr>
          <w:cantSplit/>
        </w:trPr>
        <w:tc>
          <w:tcPr>
            <w:tcW w:w="1540" w:type="dxa"/>
            <w:tcMar>
              <w:left w:w="57" w:type="dxa"/>
              <w:right w:w="57" w:type="dxa"/>
            </w:tcMar>
          </w:tcPr>
          <w:p w:rsidR="00BB59F2" w:rsidRPr="004E570B" w:rsidRDefault="00BB59F2" w:rsidP="004E570B">
            <w:pPr>
              <w:pStyle w:val="TableTextEntries"/>
              <w:rPr>
                <w:rFonts w:ascii="Franklin Gothic Medium" w:hAnsi="Franklin Gothic Medium"/>
              </w:rPr>
            </w:pPr>
            <w:r w:rsidRPr="004E570B">
              <w:rPr>
                <w:rFonts w:ascii="Franklin Gothic Medium" w:hAnsi="Franklin Gothic Medium"/>
              </w:rPr>
              <w:t xml:space="preserve">Indonesia </w:t>
            </w:r>
          </w:p>
        </w:tc>
        <w:tc>
          <w:tcPr>
            <w:tcW w:w="6397" w:type="dxa"/>
            <w:tcMar>
              <w:left w:w="57" w:type="dxa"/>
              <w:right w:w="57" w:type="dxa"/>
            </w:tcMar>
          </w:tcPr>
          <w:p w:rsidR="00BB59F2" w:rsidRPr="004E570B" w:rsidRDefault="00BB59F2" w:rsidP="004E570B">
            <w:pPr>
              <w:pStyle w:val="TableTextEntries"/>
            </w:pPr>
            <w:r w:rsidRPr="004E570B">
              <w:t>Working closely with World Bank, ADB and WHO with a focus on health financing</w:t>
            </w:r>
            <w:r w:rsidR="000B1344" w:rsidRPr="004E570B">
              <w:t>.</w:t>
            </w:r>
          </w:p>
        </w:tc>
      </w:tr>
      <w:tr w:rsidR="003753DE" w:rsidRPr="004E570B" w:rsidTr="00092D69">
        <w:tblPrEx>
          <w:tblCellMar>
            <w:top w:w="0" w:type="dxa"/>
            <w:bottom w:w="0" w:type="dxa"/>
          </w:tblCellMar>
        </w:tblPrEx>
        <w:trPr>
          <w:cantSplit/>
        </w:trPr>
        <w:tc>
          <w:tcPr>
            <w:tcW w:w="1540" w:type="dxa"/>
            <w:tcMar>
              <w:left w:w="57" w:type="dxa"/>
              <w:right w:w="57" w:type="dxa"/>
            </w:tcMar>
          </w:tcPr>
          <w:p w:rsidR="003753DE" w:rsidRPr="004E570B" w:rsidRDefault="003753DE" w:rsidP="004E570B">
            <w:pPr>
              <w:pStyle w:val="TableHeading1"/>
            </w:pPr>
            <w:r w:rsidRPr="004E570B">
              <w:t>Other</w:t>
            </w:r>
          </w:p>
        </w:tc>
        <w:tc>
          <w:tcPr>
            <w:tcW w:w="6397" w:type="dxa"/>
            <w:tcMar>
              <w:left w:w="57" w:type="dxa"/>
              <w:right w:w="57" w:type="dxa"/>
            </w:tcMar>
          </w:tcPr>
          <w:p w:rsidR="003753DE" w:rsidRPr="004E570B" w:rsidRDefault="003753DE" w:rsidP="004E570B">
            <w:pPr>
              <w:pStyle w:val="TableHeading1"/>
            </w:pPr>
          </w:p>
        </w:tc>
      </w:tr>
      <w:tr w:rsidR="00BB59F2" w:rsidRPr="004E570B" w:rsidTr="00092D69">
        <w:tblPrEx>
          <w:tblCellMar>
            <w:top w:w="0" w:type="dxa"/>
            <w:bottom w:w="0" w:type="dxa"/>
          </w:tblCellMar>
        </w:tblPrEx>
        <w:trPr>
          <w:cantSplit/>
        </w:trPr>
        <w:tc>
          <w:tcPr>
            <w:tcW w:w="1540" w:type="dxa"/>
            <w:tcMar>
              <w:left w:w="57" w:type="dxa"/>
              <w:right w:w="57" w:type="dxa"/>
            </w:tcMar>
          </w:tcPr>
          <w:p w:rsidR="00BB59F2" w:rsidRPr="004E570B" w:rsidRDefault="00BB59F2" w:rsidP="004E570B">
            <w:pPr>
              <w:pStyle w:val="TableTextEntries"/>
            </w:pPr>
            <w:r w:rsidRPr="004E570B">
              <w:t xml:space="preserve">Pacific </w:t>
            </w:r>
            <w:r w:rsidR="003753DE" w:rsidRPr="004E570B">
              <w:t>regional</w:t>
            </w:r>
          </w:p>
        </w:tc>
        <w:tc>
          <w:tcPr>
            <w:tcW w:w="6397" w:type="dxa"/>
            <w:tcMar>
              <w:left w:w="57" w:type="dxa"/>
              <w:right w:w="57" w:type="dxa"/>
            </w:tcMar>
          </w:tcPr>
          <w:p w:rsidR="00BB59F2" w:rsidRPr="004E570B" w:rsidRDefault="00BB59F2" w:rsidP="004E570B">
            <w:pPr>
              <w:pStyle w:val="TableTextEntries"/>
            </w:pPr>
            <w:r w:rsidRPr="004E570B">
              <w:t xml:space="preserve">Support to national reproductive health </w:t>
            </w:r>
            <w:r w:rsidR="0096145E" w:rsidRPr="004E570B">
              <w:t xml:space="preserve">non-government organisations </w:t>
            </w:r>
            <w:r w:rsidRPr="004E570B">
              <w:t>through IPPF</w:t>
            </w:r>
            <w:r w:rsidR="000B1344" w:rsidRPr="004E570B">
              <w:t>.</w:t>
            </w:r>
          </w:p>
        </w:tc>
      </w:tr>
      <w:tr w:rsidR="00BB59F2" w:rsidRPr="004E570B" w:rsidTr="00092D69">
        <w:tblPrEx>
          <w:tblCellMar>
            <w:top w:w="0" w:type="dxa"/>
            <w:bottom w:w="0" w:type="dxa"/>
          </w:tblCellMar>
        </w:tblPrEx>
        <w:trPr>
          <w:cantSplit/>
        </w:trPr>
        <w:tc>
          <w:tcPr>
            <w:tcW w:w="1540" w:type="dxa"/>
            <w:tcBorders>
              <w:bottom w:val="single" w:sz="12" w:space="0" w:color="auto"/>
            </w:tcBorders>
            <w:tcMar>
              <w:left w:w="57" w:type="dxa"/>
              <w:right w:w="57" w:type="dxa"/>
            </w:tcMar>
          </w:tcPr>
          <w:p w:rsidR="00BB59F2" w:rsidRPr="004E570B" w:rsidRDefault="00BB59F2" w:rsidP="004E570B">
            <w:pPr>
              <w:pStyle w:val="TableTextEntries"/>
              <w:rPr>
                <w:rFonts w:ascii="Franklin Gothic Medium" w:hAnsi="Franklin Gothic Medium"/>
              </w:rPr>
            </w:pPr>
            <w:r w:rsidRPr="004E570B">
              <w:rPr>
                <w:rFonts w:ascii="Franklin Gothic Medium" w:hAnsi="Franklin Gothic Medium"/>
              </w:rPr>
              <w:t>Vanuatu</w:t>
            </w:r>
          </w:p>
        </w:tc>
        <w:tc>
          <w:tcPr>
            <w:tcW w:w="6397" w:type="dxa"/>
            <w:tcBorders>
              <w:bottom w:val="single" w:sz="12" w:space="0" w:color="auto"/>
            </w:tcBorders>
            <w:tcMar>
              <w:left w:w="57" w:type="dxa"/>
              <w:right w:w="57" w:type="dxa"/>
            </w:tcMar>
          </w:tcPr>
          <w:p w:rsidR="00BB59F2" w:rsidRPr="004E570B" w:rsidRDefault="00BB59F2" w:rsidP="004E570B">
            <w:pPr>
              <w:pStyle w:val="TableTextEntries"/>
            </w:pPr>
            <w:r w:rsidRPr="004E570B">
              <w:t>Ongoing support for sectoral reforms, the Village Health Worker Program and tertiary care. Pacific Malaria Initiative.</w:t>
            </w:r>
          </w:p>
        </w:tc>
      </w:tr>
    </w:tbl>
    <w:p w:rsidR="00BB59F2" w:rsidRPr="004E570B" w:rsidRDefault="00BB59F2" w:rsidP="004E570B">
      <w:pPr>
        <w:pStyle w:val="Heading2unnumbered"/>
        <w:rPr>
          <w:color w:val="auto"/>
        </w:rPr>
      </w:pPr>
      <w:bookmarkStart w:id="17" w:name="_Toc217896623"/>
      <w:r w:rsidRPr="004E570B">
        <w:rPr>
          <w:color w:val="auto"/>
        </w:rPr>
        <w:lastRenderedPageBreak/>
        <w:t>Achievements</w:t>
      </w:r>
      <w:bookmarkEnd w:id="17"/>
    </w:p>
    <w:p w:rsidR="00BB59F2" w:rsidRPr="004E570B" w:rsidRDefault="00BB59F2" w:rsidP="004E570B">
      <w:pPr>
        <w:pStyle w:val="BodyText"/>
        <w:rPr>
          <w:spacing w:val="-1"/>
        </w:rPr>
      </w:pPr>
      <w:r w:rsidRPr="004E570B">
        <w:rPr>
          <w:spacing w:val="-1"/>
        </w:rPr>
        <w:t>For most of the initiatives listed in Table</w:t>
      </w:r>
      <w:r w:rsidR="00877872" w:rsidRPr="004E570B">
        <w:rPr>
          <w:spacing w:val="-1"/>
        </w:rPr>
        <w:t> 4</w:t>
      </w:r>
      <w:r w:rsidRPr="004E570B">
        <w:rPr>
          <w:spacing w:val="-1"/>
        </w:rPr>
        <w:t xml:space="preserve"> it is too early to report on their contribution to </w:t>
      </w:r>
      <w:r w:rsidR="008B1872" w:rsidRPr="004E570B">
        <w:rPr>
          <w:spacing w:val="-1"/>
        </w:rPr>
        <w:t>a quantitative change in an MDG-</w:t>
      </w:r>
      <w:r w:rsidRPr="004E570B">
        <w:rPr>
          <w:spacing w:val="-1"/>
        </w:rPr>
        <w:t>related indicator. Some specific achievements of ongoi</w:t>
      </w:r>
      <w:r w:rsidR="004755E4" w:rsidRPr="004E570B">
        <w:rPr>
          <w:spacing w:val="-1"/>
        </w:rPr>
        <w:t>ng programs in relation to MDGs </w:t>
      </w:r>
      <w:r w:rsidRPr="004E570B">
        <w:rPr>
          <w:spacing w:val="-1"/>
        </w:rPr>
        <w:t>4 and 5 are shown in Table</w:t>
      </w:r>
      <w:r w:rsidR="00E925A1" w:rsidRPr="004E570B">
        <w:rPr>
          <w:spacing w:val="-1"/>
        </w:rPr>
        <w:t> 5</w:t>
      </w:r>
      <w:r w:rsidRPr="004E570B">
        <w:rPr>
          <w:spacing w:val="-1"/>
        </w:rPr>
        <w:t>. In broad sectoral program support</w:t>
      </w:r>
      <w:r w:rsidR="00665CC9" w:rsidRPr="004E570B">
        <w:rPr>
          <w:spacing w:val="-1"/>
        </w:rPr>
        <w:t>,</w:t>
      </w:r>
      <w:r w:rsidRPr="004E570B">
        <w:rPr>
          <w:spacing w:val="-1"/>
        </w:rPr>
        <w:t xml:space="preserve"> where </w:t>
      </w:r>
      <w:proofErr w:type="spellStart"/>
      <w:r w:rsidRPr="004E570B">
        <w:rPr>
          <w:spacing w:val="-1"/>
        </w:rPr>
        <w:t>AusAID</w:t>
      </w:r>
      <w:proofErr w:type="spellEnd"/>
      <w:r w:rsidRPr="004E570B">
        <w:rPr>
          <w:spacing w:val="-1"/>
        </w:rPr>
        <w:t xml:space="preserve"> is working with partner governments and multiple development partners</w:t>
      </w:r>
      <w:r w:rsidR="00665CC9" w:rsidRPr="004E570B">
        <w:rPr>
          <w:spacing w:val="-1"/>
        </w:rPr>
        <w:t>,</w:t>
      </w:r>
      <w:r w:rsidRPr="004E570B">
        <w:rPr>
          <w:spacing w:val="-1"/>
        </w:rPr>
        <w:t xml:space="preserve"> it is more difficult to draw a direct line between Australian inputs and specific outcomes. </w:t>
      </w:r>
    </w:p>
    <w:p w:rsidR="00BB59F2" w:rsidRPr="004E570B" w:rsidRDefault="00BB59F2" w:rsidP="004E570B">
      <w:pPr>
        <w:pStyle w:val="BodyText"/>
      </w:pPr>
      <w:r w:rsidRPr="004E570B">
        <w:t>Attribution of national</w:t>
      </w:r>
      <w:r w:rsidR="00E925A1" w:rsidRPr="004E570B">
        <w:t>-</w:t>
      </w:r>
      <w:r w:rsidRPr="004E570B">
        <w:t xml:space="preserve">level health outcomes, such as mortality reduction, to </w:t>
      </w:r>
      <w:proofErr w:type="spellStart"/>
      <w:r w:rsidRPr="004E570B">
        <w:t>AusAID</w:t>
      </w:r>
      <w:proofErr w:type="spellEnd"/>
      <w:r w:rsidRPr="004E570B">
        <w:t xml:space="preserve"> inputs is not possible and even on a subnational </w:t>
      </w:r>
      <w:r w:rsidR="00E925A1" w:rsidRPr="004E570B">
        <w:t xml:space="preserve">level </w:t>
      </w:r>
      <w:r w:rsidRPr="004E570B">
        <w:t xml:space="preserve">such attribution is difficult because of the range of other inputs and factors that have an impact on such outcomes. In Tibet </w:t>
      </w:r>
      <w:r w:rsidR="00E925A1" w:rsidRPr="004E570B">
        <w:t xml:space="preserve">the </w:t>
      </w:r>
      <w:r w:rsidRPr="004E570B">
        <w:t xml:space="preserve">Regional Bureau of Health </w:t>
      </w:r>
      <w:r w:rsidRPr="004E570B">
        <w:rPr>
          <w:bCs/>
        </w:rPr>
        <w:t>reported maternal and infant mortality rates have improved in the project sites in Lhasa Municipality</w:t>
      </w:r>
      <w:r w:rsidR="004755E4" w:rsidRPr="004E570B">
        <w:rPr>
          <w:bCs/>
        </w:rPr>
        <w:t xml:space="preserve"> targeted by the </w:t>
      </w:r>
      <w:proofErr w:type="spellStart"/>
      <w:r w:rsidR="004755E4" w:rsidRPr="004E570B">
        <w:rPr>
          <w:bCs/>
        </w:rPr>
        <w:t>AusAID</w:t>
      </w:r>
      <w:proofErr w:type="spellEnd"/>
      <w:r w:rsidR="004755E4" w:rsidRPr="004E570B">
        <w:rPr>
          <w:bCs/>
        </w:rPr>
        <w:t>-</w:t>
      </w:r>
      <w:r w:rsidRPr="004E570B">
        <w:rPr>
          <w:bCs/>
        </w:rPr>
        <w:t>supported Tibet Health Sector Support Program. The maternal mortality ratio dropped from 321</w:t>
      </w:r>
      <w:r w:rsidR="00E925A1" w:rsidRPr="004E570B">
        <w:rPr>
          <w:bCs/>
        </w:rPr>
        <w:t xml:space="preserve"> per 100 000 live births</w:t>
      </w:r>
      <w:r w:rsidRPr="004E570B">
        <w:rPr>
          <w:bCs/>
        </w:rPr>
        <w:t xml:space="preserve"> in 2004 to 223 in 2006 and the infant mortality rate from 49.3 </w:t>
      </w:r>
      <w:r w:rsidR="00E925A1" w:rsidRPr="004E570B">
        <w:rPr>
          <w:bCs/>
        </w:rPr>
        <w:t xml:space="preserve">per 1000 live births </w:t>
      </w:r>
      <w:r w:rsidRPr="004E570B">
        <w:rPr>
          <w:bCs/>
        </w:rPr>
        <w:t xml:space="preserve">to 32.2. Counterparts attributed this improvement to improved services, to which the </w:t>
      </w:r>
      <w:r w:rsidR="004755E4" w:rsidRPr="004E570B">
        <w:rPr>
          <w:bCs/>
        </w:rPr>
        <w:t>program</w:t>
      </w:r>
      <w:r w:rsidRPr="004E570B">
        <w:rPr>
          <w:bCs/>
        </w:rPr>
        <w:t xml:space="preserve"> contributed.</w:t>
      </w:r>
    </w:p>
    <w:p w:rsidR="006100CF" w:rsidRPr="004E570B" w:rsidRDefault="006100CF" w:rsidP="004E570B">
      <w:pPr>
        <w:pStyle w:val="BodyText"/>
      </w:pPr>
      <w:r w:rsidRPr="004E570B">
        <w:t>In keeping with global thinking on development aid effectiveness it is considered less important to try to attribute outcomes to individual development partner inputs than to work in a coordinated fashion with others to ensure that the collective effort is bringing measurable results.</w:t>
      </w:r>
    </w:p>
    <w:p w:rsidR="008552AB" w:rsidRPr="004E570B" w:rsidRDefault="008552AB" w:rsidP="004E570B">
      <w:pPr>
        <w:pStyle w:val="Caption"/>
        <w:spacing w:before="240"/>
        <w:rPr>
          <w:color w:val="auto"/>
        </w:rPr>
      </w:pPr>
      <w:r w:rsidRPr="004E570B">
        <w:rPr>
          <w:color w:val="auto"/>
        </w:rPr>
        <w:t xml:space="preserve">Table </w:t>
      </w:r>
      <w:r w:rsidRPr="004E570B">
        <w:rPr>
          <w:color w:val="auto"/>
        </w:rPr>
        <w:fldChar w:fldCharType="begin"/>
      </w:r>
      <w:r w:rsidRPr="004E570B">
        <w:rPr>
          <w:color w:val="auto"/>
        </w:rPr>
        <w:instrText xml:space="preserve"> SEQ Table \* MERGEFORMAT </w:instrText>
      </w:r>
      <w:r w:rsidRPr="004E570B">
        <w:rPr>
          <w:color w:val="auto"/>
        </w:rPr>
        <w:fldChar w:fldCharType="separate"/>
      </w:r>
      <w:r w:rsidR="00B33206" w:rsidRPr="004E570B">
        <w:rPr>
          <w:noProof/>
          <w:color w:val="auto"/>
        </w:rPr>
        <w:t>5</w:t>
      </w:r>
      <w:r w:rsidRPr="004E570B">
        <w:rPr>
          <w:color w:val="auto"/>
        </w:rPr>
        <w:fldChar w:fldCharType="end"/>
      </w:r>
      <w:r w:rsidRPr="004E570B">
        <w:rPr>
          <w:color w:val="auto"/>
        </w:rPr>
        <w:t xml:space="preserve">: Selected achievements related to MDGs 4 and 5 attributable to </w:t>
      </w:r>
      <w:proofErr w:type="spellStart"/>
      <w:r w:rsidRPr="004E570B">
        <w:rPr>
          <w:color w:val="auto"/>
        </w:rPr>
        <w:t>AusAID</w:t>
      </w:r>
      <w:proofErr w:type="spellEnd"/>
      <w:r w:rsidRPr="004E570B">
        <w:rPr>
          <w:color w:val="auto"/>
        </w:rPr>
        <w:t xml:space="preserve"> funding through country and regional programs</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e 5"/>
        <w:tblDescription w:val="Selected achievements related to MDGs 4 and 5 attributable to AusAID funding through country and regional programs"/>
      </w:tblPr>
      <w:tblGrid>
        <w:gridCol w:w="1526"/>
        <w:gridCol w:w="6412"/>
      </w:tblGrid>
      <w:tr w:rsidR="008552AB" w:rsidRPr="004E570B" w:rsidTr="00092D69">
        <w:trPr>
          <w:cantSplit/>
          <w:tblHeader/>
        </w:trPr>
        <w:tc>
          <w:tcPr>
            <w:tcW w:w="1526" w:type="dxa"/>
            <w:tcBorders>
              <w:bottom w:val="single" w:sz="12" w:space="0" w:color="auto"/>
            </w:tcBorders>
            <w:tcMar>
              <w:left w:w="57" w:type="dxa"/>
              <w:right w:w="57" w:type="dxa"/>
            </w:tcMar>
          </w:tcPr>
          <w:p w:rsidR="008552AB" w:rsidRPr="004E570B" w:rsidRDefault="008552AB" w:rsidP="004E570B">
            <w:pPr>
              <w:pStyle w:val="TableTextColumnHeading"/>
            </w:pPr>
            <w:r w:rsidRPr="004E570B">
              <w:t>Country or regional</w:t>
            </w:r>
            <w:r w:rsidR="00665CC9" w:rsidRPr="004E570B">
              <w:t> </w:t>
            </w:r>
            <w:r w:rsidRPr="004E570B">
              <w:t>program</w:t>
            </w:r>
          </w:p>
        </w:tc>
        <w:tc>
          <w:tcPr>
            <w:tcW w:w="6412" w:type="dxa"/>
            <w:tcBorders>
              <w:bottom w:val="single" w:sz="12" w:space="0" w:color="auto"/>
            </w:tcBorders>
            <w:tcMar>
              <w:left w:w="57" w:type="dxa"/>
              <w:right w:w="57" w:type="dxa"/>
            </w:tcMar>
          </w:tcPr>
          <w:p w:rsidR="008552AB" w:rsidRPr="004E570B" w:rsidRDefault="008552AB" w:rsidP="004E570B">
            <w:pPr>
              <w:pStyle w:val="TableTextColumnHeading"/>
            </w:pPr>
            <w:r w:rsidRPr="004E570B">
              <w:t>Selected achievements</w:t>
            </w:r>
          </w:p>
        </w:tc>
      </w:tr>
      <w:tr w:rsidR="00BB59F2" w:rsidRPr="004E570B" w:rsidTr="00092D69">
        <w:trPr>
          <w:cantSplit/>
        </w:trPr>
        <w:tc>
          <w:tcPr>
            <w:tcW w:w="1526" w:type="dxa"/>
            <w:tcBorders>
              <w:top w:val="single" w:sz="12" w:space="0" w:color="auto"/>
            </w:tcBorders>
            <w:tcMar>
              <w:left w:w="57" w:type="dxa"/>
              <w:right w:w="57" w:type="dxa"/>
            </w:tcMar>
          </w:tcPr>
          <w:p w:rsidR="00BB59F2" w:rsidRPr="004E570B" w:rsidRDefault="00BB59F2" w:rsidP="004E570B">
            <w:pPr>
              <w:pStyle w:val="TableTextEntries"/>
            </w:pPr>
            <w:r w:rsidRPr="004E570B">
              <w:t>Afghanistan</w:t>
            </w:r>
          </w:p>
        </w:tc>
        <w:tc>
          <w:tcPr>
            <w:tcW w:w="6412" w:type="dxa"/>
            <w:tcBorders>
              <w:top w:val="single" w:sz="12" w:space="0" w:color="auto"/>
            </w:tcBorders>
            <w:tcMar>
              <w:left w:w="57" w:type="dxa"/>
              <w:right w:w="57" w:type="dxa"/>
            </w:tcMar>
          </w:tcPr>
          <w:p w:rsidR="00BB59F2" w:rsidRPr="004E570B" w:rsidRDefault="00BB59F2" w:rsidP="00877C04">
            <w:pPr>
              <w:pStyle w:val="TableListBullet"/>
              <w:numPr>
                <w:ilvl w:val="0"/>
                <w:numId w:val="12"/>
              </w:numPr>
            </w:pPr>
            <w:r w:rsidRPr="004E570B">
              <w:t>International Federation of Red Cross and Red Crescent Societies provided maternal and child healt</w:t>
            </w:r>
            <w:r w:rsidR="004755E4" w:rsidRPr="004E570B">
              <w:t>h services to approximately 110 </w:t>
            </w:r>
            <w:r w:rsidRPr="004E570B">
              <w:t>000 women and children.</w:t>
            </w:r>
          </w:p>
        </w:tc>
      </w:tr>
      <w:tr w:rsidR="00BB59F2" w:rsidRPr="004E570B" w:rsidTr="00092D69">
        <w:trPr>
          <w:cantSplit/>
        </w:trPr>
        <w:tc>
          <w:tcPr>
            <w:tcW w:w="1526" w:type="dxa"/>
            <w:tcMar>
              <w:left w:w="57" w:type="dxa"/>
              <w:right w:w="57" w:type="dxa"/>
            </w:tcMar>
          </w:tcPr>
          <w:p w:rsidR="00BB59F2" w:rsidRPr="004E570B" w:rsidRDefault="00BB59F2" w:rsidP="004E570B">
            <w:pPr>
              <w:pStyle w:val="TableTextEntries"/>
            </w:pPr>
            <w:r w:rsidRPr="004E570B">
              <w:t>Bangladesh</w:t>
            </w:r>
          </w:p>
        </w:tc>
        <w:tc>
          <w:tcPr>
            <w:tcW w:w="6412" w:type="dxa"/>
            <w:tcMar>
              <w:left w:w="57" w:type="dxa"/>
              <w:right w:w="57" w:type="dxa"/>
            </w:tcMar>
          </w:tcPr>
          <w:p w:rsidR="00BB59F2" w:rsidRPr="004E570B" w:rsidRDefault="004755E4" w:rsidP="00877C04">
            <w:pPr>
              <w:pStyle w:val="TableListBullet"/>
              <w:numPr>
                <w:ilvl w:val="0"/>
                <w:numId w:val="12"/>
              </w:numPr>
            </w:pPr>
            <w:r w:rsidRPr="004E570B">
              <w:t>Research at the ICDDR,</w:t>
            </w:r>
            <w:r w:rsidR="00BB59F2" w:rsidRPr="004E570B">
              <w:t xml:space="preserve">B (to which </w:t>
            </w:r>
            <w:proofErr w:type="spellStart"/>
            <w:r w:rsidR="00BB59F2" w:rsidRPr="004E570B">
              <w:t>AusAID</w:t>
            </w:r>
            <w:proofErr w:type="spellEnd"/>
            <w:r w:rsidR="00BB59F2" w:rsidRPr="004E570B">
              <w:t xml:space="preserve"> provides core funding) has resulted in recommendations on manag</w:t>
            </w:r>
            <w:r w:rsidR="00665CC9" w:rsidRPr="004E570B">
              <w:t>ing</w:t>
            </w:r>
            <w:r w:rsidR="00BB59F2" w:rsidRPr="004E570B">
              <w:t xml:space="preserve"> severe malnutrition, reducing costs for caesarean delivery and improving immun</w:t>
            </w:r>
            <w:r w:rsidR="00651EFB" w:rsidRPr="004E570B">
              <w:t>is</w:t>
            </w:r>
            <w:r w:rsidR="00BB59F2" w:rsidRPr="004E570B">
              <w:t xml:space="preserve">ation coverage and </w:t>
            </w:r>
            <w:r w:rsidR="001C6003" w:rsidRPr="004E570B">
              <w:t xml:space="preserve">has </w:t>
            </w:r>
            <w:r w:rsidR="00BB59F2" w:rsidRPr="004E570B">
              <w:t xml:space="preserve">influenced national policy and plans on </w:t>
            </w:r>
            <w:r w:rsidR="001C6003" w:rsidRPr="004E570B">
              <w:t>the integrated management of childhood illness</w:t>
            </w:r>
            <w:r w:rsidR="00BB59F2" w:rsidRPr="004E570B">
              <w:t>.</w:t>
            </w:r>
          </w:p>
        </w:tc>
      </w:tr>
      <w:tr w:rsidR="00BB59F2" w:rsidRPr="004E570B" w:rsidTr="00092D69">
        <w:trPr>
          <w:cantSplit/>
        </w:trPr>
        <w:tc>
          <w:tcPr>
            <w:tcW w:w="1526" w:type="dxa"/>
            <w:tcMar>
              <w:left w:w="57" w:type="dxa"/>
              <w:right w:w="57" w:type="dxa"/>
            </w:tcMar>
          </w:tcPr>
          <w:p w:rsidR="00BB59F2" w:rsidRPr="004E570B" w:rsidRDefault="00BB59F2" w:rsidP="004E570B">
            <w:pPr>
              <w:pStyle w:val="TableTextEntries"/>
            </w:pPr>
            <w:r w:rsidRPr="004E570B">
              <w:t>China/Tibet</w:t>
            </w:r>
          </w:p>
        </w:tc>
        <w:tc>
          <w:tcPr>
            <w:tcW w:w="6412" w:type="dxa"/>
            <w:tcMar>
              <w:left w:w="57" w:type="dxa"/>
              <w:right w:w="57" w:type="dxa"/>
            </w:tcMar>
          </w:tcPr>
          <w:p w:rsidR="00BB59F2" w:rsidRPr="004E570B" w:rsidRDefault="00BB59F2" w:rsidP="00877C04">
            <w:pPr>
              <w:pStyle w:val="TableListBullet"/>
              <w:numPr>
                <w:ilvl w:val="0"/>
                <w:numId w:val="12"/>
              </w:numPr>
            </w:pPr>
            <w:r w:rsidRPr="004E570B">
              <w:t xml:space="preserve">The regional blood centre has been strengthened to a level of national accreditation. </w:t>
            </w:r>
            <w:r w:rsidR="001C6003" w:rsidRPr="004E570B">
              <w:t>A s</w:t>
            </w:r>
            <w:r w:rsidRPr="004E570B">
              <w:t>afe blood supply is crucial to the provision of comprehensive obstetric care.</w:t>
            </w:r>
          </w:p>
        </w:tc>
      </w:tr>
      <w:tr w:rsidR="00BB59F2" w:rsidRPr="004E570B" w:rsidTr="00092D69">
        <w:trPr>
          <w:cantSplit/>
        </w:trPr>
        <w:tc>
          <w:tcPr>
            <w:tcW w:w="1526" w:type="dxa"/>
            <w:tcMar>
              <w:left w:w="57" w:type="dxa"/>
              <w:right w:w="57" w:type="dxa"/>
            </w:tcMar>
          </w:tcPr>
          <w:p w:rsidR="00BB59F2" w:rsidRPr="004E570B" w:rsidRDefault="00BB59F2" w:rsidP="004E570B">
            <w:pPr>
              <w:pStyle w:val="TableTextEntries"/>
            </w:pPr>
            <w:r w:rsidRPr="004E570B">
              <w:lastRenderedPageBreak/>
              <w:t>Indonesia</w:t>
            </w:r>
          </w:p>
        </w:tc>
        <w:tc>
          <w:tcPr>
            <w:tcW w:w="6412" w:type="dxa"/>
            <w:tcMar>
              <w:left w:w="57" w:type="dxa"/>
              <w:right w:w="57" w:type="dxa"/>
            </w:tcMar>
          </w:tcPr>
          <w:p w:rsidR="00BB59F2" w:rsidRPr="004E570B" w:rsidRDefault="00BB59F2" w:rsidP="00877C04">
            <w:pPr>
              <w:pStyle w:val="TableListBullet"/>
              <w:numPr>
                <w:ilvl w:val="0"/>
                <w:numId w:val="12"/>
              </w:numPr>
            </w:pPr>
            <w:r w:rsidRPr="004E570B">
              <w:t xml:space="preserve">Three hospital sites in Eastern Indonesia </w:t>
            </w:r>
            <w:r w:rsidR="00E42977" w:rsidRPr="004E570B">
              <w:t>can now</w:t>
            </w:r>
            <w:r w:rsidRPr="004E570B">
              <w:t xml:space="preserve"> provide high</w:t>
            </w:r>
            <w:r w:rsidR="00E42977" w:rsidRPr="004E570B">
              <w:t>-</w:t>
            </w:r>
            <w:r w:rsidRPr="004E570B">
              <w:t xml:space="preserve">quality and affordable training for midwives. </w:t>
            </w:r>
          </w:p>
          <w:p w:rsidR="00BB59F2" w:rsidRPr="004E570B" w:rsidRDefault="00BB59F2" w:rsidP="00877C04">
            <w:pPr>
              <w:pStyle w:val="TableListBullet"/>
              <w:numPr>
                <w:ilvl w:val="0"/>
                <w:numId w:val="12"/>
              </w:numPr>
            </w:pPr>
            <w:r w:rsidRPr="004E570B">
              <w:t xml:space="preserve">Midwives have been trained to become trainers for </w:t>
            </w:r>
            <w:r w:rsidR="004755E4" w:rsidRPr="004E570B">
              <w:t>courses in normal delivery care</w:t>
            </w:r>
            <w:r w:rsidRPr="004E570B">
              <w:t xml:space="preserve">. </w:t>
            </w:r>
          </w:p>
          <w:p w:rsidR="00BB59F2" w:rsidRPr="004E570B" w:rsidRDefault="00BB59F2" w:rsidP="00877C04">
            <w:pPr>
              <w:pStyle w:val="TableListBullet"/>
              <w:numPr>
                <w:ilvl w:val="0"/>
                <w:numId w:val="12"/>
              </w:numPr>
            </w:pPr>
            <w:r w:rsidRPr="004E570B">
              <w:t>Program research revealed that midwives were spending</w:t>
            </w:r>
            <w:r w:rsidR="004E40E6" w:rsidRPr="004E570B">
              <w:t xml:space="preserve"> </w:t>
            </w:r>
            <w:r w:rsidRPr="004E570B">
              <w:t>only 28</w:t>
            </w:r>
            <w:r w:rsidR="00E42977" w:rsidRPr="004E570B">
              <w:t>–</w:t>
            </w:r>
            <w:r w:rsidRPr="004E570B">
              <w:t xml:space="preserve">42 per cent of their time on key midwifery services. This finding is being used to advocate for policy changes </w:t>
            </w:r>
            <w:r w:rsidR="00E42977" w:rsidRPr="004E570B">
              <w:t xml:space="preserve">that </w:t>
            </w:r>
            <w:r w:rsidRPr="004E570B">
              <w:t>will increase the number of women able to access skilled assistance during pregnancy.</w:t>
            </w:r>
          </w:p>
          <w:p w:rsidR="00BB59F2" w:rsidRPr="004E570B" w:rsidRDefault="00BB59F2" w:rsidP="00877C04">
            <w:pPr>
              <w:pStyle w:val="TableListBullet"/>
              <w:numPr>
                <w:ilvl w:val="0"/>
                <w:numId w:val="12"/>
              </w:numPr>
            </w:pPr>
            <w:r w:rsidRPr="004E570B">
              <w:rPr>
                <w:spacing w:val="-2"/>
              </w:rPr>
              <w:t>In Papua, through support to the UNICEF Women’s and Children’s Health</w:t>
            </w:r>
            <w:r w:rsidR="00665CC9" w:rsidRPr="004E570B">
              <w:rPr>
                <w:spacing w:val="-2"/>
              </w:rPr>
              <w:t xml:space="preserve"> Program</w:t>
            </w:r>
            <w:r w:rsidR="00E42977" w:rsidRPr="004E570B">
              <w:rPr>
                <w:spacing w:val="-2"/>
              </w:rPr>
              <w:t>,</w:t>
            </w:r>
            <w:r w:rsidRPr="004E570B">
              <w:rPr>
                <w:spacing w:val="-2"/>
              </w:rPr>
              <w:t xml:space="preserve"> </w:t>
            </w:r>
            <w:r w:rsidR="00E42977" w:rsidRPr="004E570B">
              <w:rPr>
                <w:spacing w:val="-2"/>
              </w:rPr>
              <w:t>60</w:t>
            </w:r>
            <w:r w:rsidR="00665CC9" w:rsidRPr="004E570B">
              <w:rPr>
                <w:spacing w:val="-2"/>
              </w:rPr>
              <w:t> </w:t>
            </w:r>
            <w:r w:rsidRPr="004E570B">
              <w:rPr>
                <w:spacing w:val="-2"/>
              </w:rPr>
              <w:t>midwives</w:t>
            </w:r>
            <w:r w:rsidRPr="004E570B">
              <w:t xml:space="preserve"> have been trained in </w:t>
            </w:r>
            <w:r w:rsidR="004755E4" w:rsidRPr="004E570B">
              <w:t>normal delivery care</w:t>
            </w:r>
            <w:r w:rsidRPr="004E570B">
              <w:t>, medical supply management and supervision. This will improve access to life-saving care in remote areas.</w:t>
            </w:r>
          </w:p>
        </w:tc>
      </w:tr>
      <w:tr w:rsidR="00BB59F2" w:rsidRPr="004E570B" w:rsidTr="00092D69">
        <w:trPr>
          <w:cantSplit/>
        </w:trPr>
        <w:tc>
          <w:tcPr>
            <w:tcW w:w="1526" w:type="dxa"/>
            <w:tcMar>
              <w:left w:w="57" w:type="dxa"/>
              <w:right w:w="57" w:type="dxa"/>
            </w:tcMar>
          </w:tcPr>
          <w:p w:rsidR="00BB59F2" w:rsidRPr="004E570B" w:rsidRDefault="00BB59F2" w:rsidP="004E570B">
            <w:pPr>
              <w:pStyle w:val="TableTextEntries"/>
            </w:pPr>
            <w:r w:rsidRPr="004E570B">
              <w:t>Nepal</w:t>
            </w:r>
          </w:p>
        </w:tc>
        <w:tc>
          <w:tcPr>
            <w:tcW w:w="6412" w:type="dxa"/>
            <w:tcMar>
              <w:left w:w="57" w:type="dxa"/>
              <w:right w:w="57" w:type="dxa"/>
            </w:tcMar>
          </w:tcPr>
          <w:p w:rsidR="00BB59F2" w:rsidRPr="004E570B" w:rsidRDefault="00BB59F2" w:rsidP="00877C04">
            <w:pPr>
              <w:pStyle w:val="TableListBullet"/>
              <w:numPr>
                <w:ilvl w:val="0"/>
                <w:numId w:val="12"/>
              </w:numPr>
            </w:pPr>
            <w:r w:rsidRPr="004E570B">
              <w:t xml:space="preserve">In </w:t>
            </w:r>
            <w:proofErr w:type="spellStart"/>
            <w:r w:rsidRPr="004E570B">
              <w:t>AusAID</w:t>
            </w:r>
            <w:proofErr w:type="spellEnd"/>
            <w:r w:rsidR="00E42977" w:rsidRPr="004E570B">
              <w:t>-</w:t>
            </w:r>
            <w:r w:rsidRPr="004E570B">
              <w:t xml:space="preserve">supported districts, 6232 </w:t>
            </w:r>
            <w:r w:rsidR="00E42977" w:rsidRPr="004E570B">
              <w:t xml:space="preserve">female community health volunteers </w:t>
            </w:r>
            <w:r w:rsidRPr="004E570B">
              <w:t>and 1200 health facility staff were trained to provide pneumonia and diarrhoea treatment.</w:t>
            </w:r>
          </w:p>
        </w:tc>
      </w:tr>
      <w:tr w:rsidR="00BB59F2" w:rsidRPr="004E570B" w:rsidTr="00092D69">
        <w:trPr>
          <w:cantSplit/>
        </w:trPr>
        <w:tc>
          <w:tcPr>
            <w:tcW w:w="1526" w:type="dxa"/>
            <w:tcMar>
              <w:left w:w="57" w:type="dxa"/>
              <w:right w:w="57" w:type="dxa"/>
            </w:tcMar>
          </w:tcPr>
          <w:p w:rsidR="00BB59F2" w:rsidRPr="004E570B" w:rsidRDefault="00BB59F2" w:rsidP="004E570B">
            <w:pPr>
              <w:pStyle w:val="TableTextEntries"/>
            </w:pPr>
            <w:r w:rsidRPr="004E570B">
              <w:t>Papua New Guinea</w:t>
            </w:r>
          </w:p>
        </w:tc>
        <w:tc>
          <w:tcPr>
            <w:tcW w:w="6412" w:type="dxa"/>
            <w:tcMar>
              <w:left w:w="57" w:type="dxa"/>
              <w:right w:w="57" w:type="dxa"/>
            </w:tcMar>
          </w:tcPr>
          <w:p w:rsidR="00BB59F2" w:rsidRPr="004E570B" w:rsidRDefault="00385117" w:rsidP="00877C04">
            <w:pPr>
              <w:pStyle w:val="TableListBullet"/>
              <w:numPr>
                <w:ilvl w:val="0"/>
                <w:numId w:val="12"/>
              </w:numPr>
            </w:pPr>
            <w:r w:rsidRPr="004E570B">
              <w:t>In 2008</w:t>
            </w:r>
            <w:r w:rsidR="00BB59F2" w:rsidRPr="004E570B">
              <w:t xml:space="preserve"> children will receive for the first time immun</w:t>
            </w:r>
            <w:r w:rsidR="00651EFB" w:rsidRPr="004E570B">
              <w:t>is</w:t>
            </w:r>
            <w:r w:rsidR="00BB59F2" w:rsidRPr="004E570B">
              <w:t xml:space="preserve">ation against </w:t>
            </w:r>
            <w:proofErr w:type="spellStart"/>
            <w:r w:rsidR="00BB59F2" w:rsidRPr="004E570B">
              <w:rPr>
                <w:i/>
                <w:iCs/>
              </w:rPr>
              <w:t>Haemophilus</w:t>
            </w:r>
            <w:proofErr w:type="spellEnd"/>
            <w:r w:rsidR="00BB59F2" w:rsidRPr="004E570B">
              <w:rPr>
                <w:i/>
                <w:iCs/>
              </w:rPr>
              <w:t xml:space="preserve"> </w:t>
            </w:r>
            <w:proofErr w:type="spellStart"/>
            <w:r w:rsidR="00BB59F2" w:rsidRPr="004E570B">
              <w:rPr>
                <w:i/>
                <w:iCs/>
              </w:rPr>
              <w:t>influenzae</w:t>
            </w:r>
            <w:proofErr w:type="spellEnd"/>
            <w:r w:rsidR="00BB59F2" w:rsidRPr="004E570B">
              <w:t xml:space="preserve"> type b</w:t>
            </w:r>
            <w:r w:rsidR="008C7A40" w:rsidRPr="004E570B">
              <w:t>,</w:t>
            </w:r>
            <w:r w:rsidR="00BB59F2" w:rsidRPr="004E570B">
              <w:t xml:space="preserve"> which causes meningitis and pneumonia, two of the commonest causes of death </w:t>
            </w:r>
            <w:r w:rsidR="00665CC9" w:rsidRPr="004E570B">
              <w:t xml:space="preserve">among </w:t>
            </w:r>
            <w:r w:rsidR="00BB59F2" w:rsidRPr="004E570B">
              <w:t xml:space="preserve">children in </w:t>
            </w:r>
            <w:r w:rsidR="008C7A40" w:rsidRPr="004E570B">
              <w:t>Papua New Guinea</w:t>
            </w:r>
            <w:r w:rsidR="00BB59F2" w:rsidRPr="004E570B">
              <w:t>.</w:t>
            </w:r>
          </w:p>
          <w:p w:rsidR="00BB59F2" w:rsidRPr="004E570B" w:rsidRDefault="00BB59F2" w:rsidP="00877C04">
            <w:pPr>
              <w:pStyle w:val="TableListBullet"/>
              <w:numPr>
                <w:ilvl w:val="0"/>
                <w:numId w:val="12"/>
              </w:numPr>
            </w:pPr>
            <w:r w:rsidRPr="004E570B">
              <w:t>In</w:t>
            </w:r>
            <w:r w:rsidR="00C10F73" w:rsidRPr="004E570B">
              <w:t xml:space="preserve"> </w:t>
            </w:r>
            <w:r w:rsidRPr="004E570B">
              <w:t xml:space="preserve">1996 only </w:t>
            </w:r>
            <w:r w:rsidR="008C7A40" w:rsidRPr="004E570B">
              <w:t xml:space="preserve">five </w:t>
            </w:r>
            <w:r w:rsidRPr="004E570B">
              <w:t xml:space="preserve">provinces outside of Port Moresby had paediatricians; there are now 15 due to long-term support for paediatrician training and mentoring. </w:t>
            </w:r>
          </w:p>
          <w:p w:rsidR="00BB59F2" w:rsidRPr="004E570B" w:rsidRDefault="00BB59F2" w:rsidP="00877C04">
            <w:pPr>
              <w:pStyle w:val="TableListBullet"/>
              <w:numPr>
                <w:ilvl w:val="0"/>
                <w:numId w:val="12"/>
              </w:numPr>
            </w:pPr>
            <w:r w:rsidRPr="004E570B">
              <w:t>There has been a reduction in case fatality rates for pneumonia in children admitted to hospitals. This may be linked to the distribution of oxygen concentrators to ensure a more reliable supply of oxygen needed for treat</w:t>
            </w:r>
            <w:r w:rsidR="00C173A2" w:rsidRPr="004E570B">
              <w:t>ing</w:t>
            </w:r>
            <w:r w:rsidRPr="004E570B">
              <w:t xml:space="preserve"> severe pneumonia. </w:t>
            </w:r>
          </w:p>
        </w:tc>
      </w:tr>
      <w:tr w:rsidR="00BB59F2" w:rsidRPr="004E570B" w:rsidTr="00092D69">
        <w:trPr>
          <w:cantSplit/>
        </w:trPr>
        <w:tc>
          <w:tcPr>
            <w:tcW w:w="1526" w:type="dxa"/>
            <w:tcMar>
              <w:left w:w="57" w:type="dxa"/>
              <w:right w:w="57" w:type="dxa"/>
            </w:tcMar>
          </w:tcPr>
          <w:p w:rsidR="00BB59F2" w:rsidRPr="004E570B" w:rsidRDefault="00BB59F2" w:rsidP="004E570B">
            <w:pPr>
              <w:pStyle w:val="TableTextEntries"/>
            </w:pPr>
            <w:r w:rsidRPr="004E570B">
              <w:t>Philippines</w:t>
            </w:r>
          </w:p>
        </w:tc>
        <w:tc>
          <w:tcPr>
            <w:tcW w:w="6412" w:type="dxa"/>
            <w:tcMar>
              <w:left w:w="57" w:type="dxa"/>
              <w:right w:w="57" w:type="dxa"/>
            </w:tcMar>
          </w:tcPr>
          <w:p w:rsidR="00BB59F2" w:rsidRPr="004E570B" w:rsidRDefault="00BB59F2" w:rsidP="00877C04">
            <w:pPr>
              <w:pStyle w:val="TableListBullet"/>
              <w:numPr>
                <w:ilvl w:val="0"/>
                <w:numId w:val="12"/>
              </w:numPr>
              <w:rPr>
                <w:spacing w:val="-2"/>
              </w:rPr>
            </w:pPr>
            <w:r w:rsidRPr="004E570B">
              <w:rPr>
                <w:spacing w:val="-2"/>
              </w:rPr>
              <w:t xml:space="preserve">With UNICEF support </w:t>
            </w:r>
            <w:r w:rsidR="00C173A2" w:rsidRPr="004E570B">
              <w:rPr>
                <w:spacing w:val="-2"/>
              </w:rPr>
              <w:t xml:space="preserve">the Philippine government </w:t>
            </w:r>
            <w:r w:rsidRPr="004E570B">
              <w:rPr>
                <w:spacing w:val="-2"/>
              </w:rPr>
              <w:t>programs fully immun</w:t>
            </w:r>
            <w:r w:rsidR="00651EFB" w:rsidRPr="004E570B">
              <w:rPr>
                <w:spacing w:val="-2"/>
              </w:rPr>
              <w:t>is</w:t>
            </w:r>
            <w:r w:rsidRPr="004E570B">
              <w:rPr>
                <w:spacing w:val="-2"/>
              </w:rPr>
              <w:t>ed 213</w:t>
            </w:r>
            <w:r w:rsidR="00C173A2" w:rsidRPr="004E570B">
              <w:rPr>
                <w:spacing w:val="-2"/>
              </w:rPr>
              <w:t> </w:t>
            </w:r>
            <w:r w:rsidRPr="004E570B">
              <w:rPr>
                <w:spacing w:val="-2"/>
              </w:rPr>
              <w:t>000 children 0</w:t>
            </w:r>
            <w:r w:rsidR="00C173A2" w:rsidRPr="004E570B">
              <w:rPr>
                <w:spacing w:val="-2"/>
              </w:rPr>
              <w:t>–</w:t>
            </w:r>
            <w:r w:rsidRPr="004E570B">
              <w:rPr>
                <w:spacing w:val="-2"/>
              </w:rPr>
              <w:t xml:space="preserve">11 months old </w:t>
            </w:r>
            <w:r w:rsidR="00665CC9" w:rsidRPr="004E570B">
              <w:rPr>
                <w:spacing w:val="-2"/>
              </w:rPr>
              <w:t xml:space="preserve">(82 per cent) </w:t>
            </w:r>
            <w:r w:rsidRPr="004E570B">
              <w:rPr>
                <w:spacing w:val="-2"/>
              </w:rPr>
              <w:t xml:space="preserve">against common vaccine-preventable diseases in </w:t>
            </w:r>
            <w:proofErr w:type="spellStart"/>
            <w:r w:rsidRPr="004E570B">
              <w:rPr>
                <w:spacing w:val="-2"/>
              </w:rPr>
              <w:t>AusAID</w:t>
            </w:r>
            <w:proofErr w:type="spellEnd"/>
            <w:r w:rsidR="00C173A2" w:rsidRPr="004E570B">
              <w:rPr>
                <w:spacing w:val="-2"/>
              </w:rPr>
              <w:t>-</w:t>
            </w:r>
            <w:r w:rsidRPr="004E570B">
              <w:rPr>
                <w:spacing w:val="-2"/>
              </w:rPr>
              <w:t>supported provinces and a further 700</w:t>
            </w:r>
            <w:r w:rsidR="00C173A2" w:rsidRPr="004E570B">
              <w:rPr>
                <w:spacing w:val="-2"/>
              </w:rPr>
              <w:t> </w:t>
            </w:r>
            <w:r w:rsidRPr="004E570B">
              <w:rPr>
                <w:spacing w:val="-2"/>
              </w:rPr>
              <w:t>000 children in high</w:t>
            </w:r>
            <w:r w:rsidR="00C173A2" w:rsidRPr="004E570B">
              <w:rPr>
                <w:spacing w:val="-2"/>
              </w:rPr>
              <w:t>-</w:t>
            </w:r>
            <w:r w:rsidRPr="004E570B">
              <w:rPr>
                <w:spacing w:val="-2"/>
              </w:rPr>
              <w:t>risk areas.</w:t>
            </w:r>
          </w:p>
          <w:p w:rsidR="00BB59F2" w:rsidRPr="004E570B" w:rsidRDefault="00BB59F2" w:rsidP="00877C04">
            <w:pPr>
              <w:pStyle w:val="TableListBullet"/>
              <w:numPr>
                <w:ilvl w:val="0"/>
                <w:numId w:val="12"/>
              </w:numPr>
            </w:pPr>
            <w:r w:rsidRPr="004E570B">
              <w:t xml:space="preserve"> Approximately 26</w:t>
            </w:r>
            <w:r w:rsidR="00C173A2" w:rsidRPr="004E570B">
              <w:t> </w:t>
            </w:r>
            <w:r w:rsidRPr="004E570B">
              <w:t>000 school children in 70 public schools and their communities gained better access to safe drinking water and sanitation facilities.</w:t>
            </w:r>
          </w:p>
        </w:tc>
      </w:tr>
      <w:tr w:rsidR="00BB59F2" w:rsidRPr="004E570B" w:rsidTr="00092D69">
        <w:trPr>
          <w:cantSplit/>
        </w:trPr>
        <w:tc>
          <w:tcPr>
            <w:tcW w:w="1526" w:type="dxa"/>
            <w:tcMar>
              <w:left w:w="57" w:type="dxa"/>
              <w:right w:w="57" w:type="dxa"/>
            </w:tcMar>
          </w:tcPr>
          <w:p w:rsidR="00BB59F2" w:rsidRPr="004E570B" w:rsidRDefault="00BB59F2" w:rsidP="004E570B">
            <w:pPr>
              <w:pStyle w:val="TableTextEntries"/>
            </w:pPr>
            <w:r w:rsidRPr="004E570B">
              <w:t>Vanuatu</w:t>
            </w:r>
          </w:p>
        </w:tc>
        <w:tc>
          <w:tcPr>
            <w:tcW w:w="6412" w:type="dxa"/>
            <w:tcMar>
              <w:left w:w="57" w:type="dxa"/>
              <w:right w:w="57" w:type="dxa"/>
            </w:tcMar>
          </w:tcPr>
          <w:p w:rsidR="00BB59F2" w:rsidRPr="004E570B" w:rsidRDefault="00BB59F2" w:rsidP="00877C04">
            <w:pPr>
              <w:pStyle w:val="TableListBullet"/>
              <w:numPr>
                <w:ilvl w:val="0"/>
                <w:numId w:val="12"/>
              </w:numPr>
            </w:pPr>
            <w:r w:rsidRPr="004E570B">
              <w:t>The Health Sector Support Program is building workforce capacity, including through specialist support (including obstetrics and gynaecology) to Vila Central Hospital. Nurses and paediatric staff are now better able to provide enhanced care for newborns.</w:t>
            </w:r>
          </w:p>
        </w:tc>
      </w:tr>
      <w:tr w:rsidR="00BB59F2" w:rsidRPr="004E570B" w:rsidTr="00092D69">
        <w:trPr>
          <w:cantSplit/>
        </w:trPr>
        <w:tc>
          <w:tcPr>
            <w:tcW w:w="1526" w:type="dxa"/>
            <w:tcBorders>
              <w:bottom w:val="single" w:sz="12" w:space="0" w:color="auto"/>
            </w:tcBorders>
            <w:tcMar>
              <w:left w:w="57" w:type="dxa"/>
              <w:right w:w="57" w:type="dxa"/>
            </w:tcMar>
          </w:tcPr>
          <w:p w:rsidR="00BB59F2" w:rsidRPr="004E570B" w:rsidRDefault="00BB59F2" w:rsidP="004E570B">
            <w:pPr>
              <w:pStyle w:val="TableTextEntries"/>
            </w:pPr>
            <w:r w:rsidRPr="004E570B">
              <w:lastRenderedPageBreak/>
              <w:t>Regional</w:t>
            </w:r>
          </w:p>
        </w:tc>
        <w:tc>
          <w:tcPr>
            <w:tcW w:w="6412" w:type="dxa"/>
            <w:tcBorders>
              <w:bottom w:val="single" w:sz="12" w:space="0" w:color="auto"/>
            </w:tcBorders>
            <w:tcMar>
              <w:left w:w="57" w:type="dxa"/>
              <w:right w:w="57" w:type="dxa"/>
            </w:tcMar>
          </w:tcPr>
          <w:p w:rsidR="00BB59F2" w:rsidRPr="004E570B" w:rsidRDefault="00010F57" w:rsidP="00877C04">
            <w:pPr>
              <w:pStyle w:val="TableListBullet"/>
              <w:numPr>
                <w:ilvl w:val="0"/>
                <w:numId w:val="12"/>
              </w:numPr>
            </w:pPr>
            <w:r w:rsidRPr="004E570B">
              <w:t>T</w:t>
            </w:r>
            <w:r w:rsidR="00BB59F2" w:rsidRPr="004E570B">
              <w:t xml:space="preserve">he Sexual and Reproductive Health Program in Crisis and Post Crisis Situations in East, Southeast Asia and the Pacific (SPRINT), with IPPF, UNFPA, </w:t>
            </w:r>
            <w:r w:rsidRPr="004E570B">
              <w:t xml:space="preserve">the University of New South Wales </w:t>
            </w:r>
            <w:r w:rsidR="00BB59F2" w:rsidRPr="004E570B">
              <w:t>and the Australian Reproductive Health Alliance</w:t>
            </w:r>
            <w:r w:rsidRPr="004E570B">
              <w:t>, was launched</w:t>
            </w:r>
            <w:r w:rsidR="00BB59F2" w:rsidRPr="004E570B">
              <w:t xml:space="preserve">. The SPRINT approach was adopted in Burma following Cyclone </w:t>
            </w:r>
            <w:proofErr w:type="spellStart"/>
            <w:r w:rsidR="00BB59F2" w:rsidRPr="004E570B">
              <w:t>Nargis</w:t>
            </w:r>
            <w:proofErr w:type="spellEnd"/>
            <w:r w:rsidR="00BB59F2" w:rsidRPr="004E570B">
              <w:t xml:space="preserve"> and in China following the Sichuan earthquake.</w:t>
            </w:r>
          </w:p>
          <w:p w:rsidR="00BB59F2" w:rsidRPr="004E570B" w:rsidRDefault="00BB59F2" w:rsidP="00877C04">
            <w:pPr>
              <w:pStyle w:val="TableListBullet"/>
              <w:numPr>
                <w:ilvl w:val="0"/>
                <w:numId w:val="12"/>
              </w:numPr>
            </w:pPr>
            <w:r w:rsidRPr="004E570B">
              <w:t>A</w:t>
            </w:r>
            <w:r w:rsidR="00010F57" w:rsidRPr="004E570B">
              <w:t>n a</w:t>
            </w:r>
            <w:r w:rsidRPr="004E570B">
              <w:t xml:space="preserve">greement for a knowledge hub on maternal and child health </w:t>
            </w:r>
            <w:r w:rsidR="00010F57" w:rsidRPr="004E570B">
              <w:t xml:space="preserve">was established </w:t>
            </w:r>
            <w:r w:rsidRPr="004E570B">
              <w:t>with three Australian institutions around key health priorities, to assist in improving the evidence base for the aid program in this area.</w:t>
            </w:r>
          </w:p>
          <w:p w:rsidR="00BB59F2" w:rsidRPr="004E570B" w:rsidRDefault="00010F57" w:rsidP="00877C04">
            <w:pPr>
              <w:pStyle w:val="TableListBullet"/>
              <w:numPr>
                <w:ilvl w:val="0"/>
                <w:numId w:val="12"/>
              </w:numPr>
            </w:pPr>
            <w:r w:rsidRPr="004E570B">
              <w:t>T</w:t>
            </w:r>
            <w:r w:rsidR="00BB59F2" w:rsidRPr="004E570B">
              <w:t xml:space="preserve">he Pacific Malaria Initiative (and an associated </w:t>
            </w:r>
            <w:r w:rsidR="00F7407A" w:rsidRPr="004E570B">
              <w:t>support centre</w:t>
            </w:r>
            <w:r w:rsidR="00BB59F2" w:rsidRPr="004E570B">
              <w:t xml:space="preserve">) </w:t>
            </w:r>
            <w:r w:rsidRPr="004E570B">
              <w:t xml:space="preserve">was created </w:t>
            </w:r>
            <w:r w:rsidR="00BB59F2" w:rsidRPr="004E570B">
              <w:t>to enhance support for malaria control in Solomon Islands and Vanuatu. Malaria is a major health problem of women and children.</w:t>
            </w:r>
          </w:p>
        </w:tc>
      </w:tr>
    </w:tbl>
    <w:p w:rsidR="00BB59F2" w:rsidRPr="004E570B" w:rsidRDefault="00BB59F2" w:rsidP="004E570B">
      <w:pPr>
        <w:pStyle w:val="Heading2unnumbered"/>
        <w:rPr>
          <w:color w:val="auto"/>
        </w:rPr>
      </w:pPr>
      <w:bookmarkStart w:id="18" w:name="_Toc217896624"/>
      <w:r w:rsidRPr="004E570B">
        <w:rPr>
          <w:color w:val="auto"/>
        </w:rPr>
        <w:t xml:space="preserve">Australian </w:t>
      </w:r>
      <w:r w:rsidR="008552AB" w:rsidRPr="004E570B">
        <w:rPr>
          <w:color w:val="auto"/>
        </w:rPr>
        <w:t>support to international organis</w:t>
      </w:r>
      <w:r w:rsidRPr="004E570B">
        <w:rPr>
          <w:color w:val="auto"/>
        </w:rPr>
        <w:t>ation</w:t>
      </w:r>
      <w:r w:rsidR="00DA1413" w:rsidRPr="004E570B">
        <w:rPr>
          <w:color w:val="auto"/>
        </w:rPr>
        <w:t>s</w:t>
      </w:r>
      <w:bookmarkEnd w:id="18"/>
    </w:p>
    <w:p w:rsidR="00BB59F2" w:rsidRPr="004E570B" w:rsidRDefault="00BB59F2" w:rsidP="004E570B">
      <w:pPr>
        <w:pStyle w:val="BodyText"/>
      </w:pPr>
      <w:r w:rsidRPr="004E570B">
        <w:t>The Australian aid program is increasing it</w:t>
      </w:r>
      <w:r w:rsidR="006100CF" w:rsidRPr="004E570B">
        <w:t>s</w:t>
      </w:r>
      <w:r w:rsidRPr="004E570B">
        <w:t xml:space="preserve"> support to multilateral and global heal</w:t>
      </w:r>
      <w:r w:rsidR="006100CF" w:rsidRPr="004E570B">
        <w:t>th institutions working on MDGs </w:t>
      </w:r>
      <w:r w:rsidRPr="004E570B">
        <w:t>4 and 5</w:t>
      </w:r>
      <w:r w:rsidR="00665CC9" w:rsidRPr="004E570B">
        <w:t xml:space="preserve"> (Table 6)</w:t>
      </w:r>
      <w:r w:rsidRPr="004E570B">
        <w:t>. These institutions remain grossly underfunded relative</w:t>
      </w:r>
      <w:r w:rsidR="006100CF" w:rsidRPr="004E570B">
        <w:t> </w:t>
      </w:r>
      <w:r w:rsidRPr="004E570B">
        <w:t>to their mandate. While there is a move away from tight</w:t>
      </w:r>
      <w:r w:rsidR="006100CF" w:rsidRPr="004E570B">
        <w:t>ly</w:t>
      </w:r>
      <w:r w:rsidRPr="004E570B">
        <w:t xml:space="preserve"> earmarking this support it is specifically designed to complement the bilateral and regional activities of the aid program. Where funding is at the global rather than </w:t>
      </w:r>
      <w:r w:rsidR="00665CC9" w:rsidRPr="004E570B">
        <w:t xml:space="preserve">the </w:t>
      </w:r>
      <w:r w:rsidRPr="004E570B">
        <w:t>regional level there is a clear understanding that attention will be given to the Asia</w:t>
      </w:r>
      <w:r w:rsidR="006100CF" w:rsidRPr="004E570B">
        <w:t>-</w:t>
      </w:r>
      <w:r w:rsidRPr="004E570B">
        <w:t>Pacific region.</w:t>
      </w:r>
    </w:p>
    <w:p w:rsidR="00BB59F2" w:rsidRPr="004E570B" w:rsidRDefault="00BB59F2" w:rsidP="004E570B">
      <w:pPr>
        <w:pStyle w:val="BodyText"/>
      </w:pPr>
      <w:r w:rsidRPr="004E570B">
        <w:t>Australia has increased its funding to WHO, for example, stating that it should be used for four of the organ</w:t>
      </w:r>
      <w:r w:rsidR="00651EFB" w:rsidRPr="004E570B">
        <w:t>is</w:t>
      </w:r>
      <w:r w:rsidRPr="004E570B">
        <w:t>ation’s strategic objectives that are most closely aligned with Australian interests. These include maternal and child health</w:t>
      </w:r>
      <w:r w:rsidR="006100CF" w:rsidRPr="004E570B">
        <w:t>,</w:t>
      </w:r>
      <w:r w:rsidRPr="004E570B">
        <w:t xml:space="preserve"> and health system strengthening. It is clear that Australia expects to see these areas of work strengthened in Asia and the Pacific and this will be taken into account i</w:t>
      </w:r>
      <w:r w:rsidR="00665CC9" w:rsidRPr="004E570B">
        <w:t>n</w:t>
      </w:r>
      <w:r w:rsidRPr="004E570B">
        <w:t xml:space="preserve"> assessing future contributions.</w:t>
      </w:r>
    </w:p>
    <w:p w:rsidR="008552AB" w:rsidRPr="004E570B" w:rsidRDefault="008552AB" w:rsidP="004E570B">
      <w:pPr>
        <w:pStyle w:val="Caption"/>
        <w:rPr>
          <w:color w:val="auto"/>
        </w:rPr>
      </w:pPr>
      <w:r w:rsidRPr="004E570B">
        <w:rPr>
          <w:color w:val="auto"/>
        </w:rPr>
        <w:t xml:space="preserve">Table </w:t>
      </w:r>
      <w:r w:rsidRPr="004E570B">
        <w:rPr>
          <w:color w:val="auto"/>
        </w:rPr>
        <w:fldChar w:fldCharType="begin"/>
      </w:r>
      <w:r w:rsidRPr="004E570B">
        <w:rPr>
          <w:color w:val="auto"/>
        </w:rPr>
        <w:instrText xml:space="preserve"> SEQ Table \* MERGEFORMAT </w:instrText>
      </w:r>
      <w:r w:rsidRPr="004E570B">
        <w:rPr>
          <w:color w:val="auto"/>
        </w:rPr>
        <w:fldChar w:fldCharType="separate"/>
      </w:r>
      <w:r w:rsidR="00B33206" w:rsidRPr="004E570B">
        <w:rPr>
          <w:noProof/>
          <w:color w:val="auto"/>
        </w:rPr>
        <w:t>6</w:t>
      </w:r>
      <w:r w:rsidRPr="004E570B">
        <w:rPr>
          <w:color w:val="auto"/>
        </w:rPr>
        <w:fldChar w:fldCharType="end"/>
      </w:r>
      <w:r w:rsidRPr="004E570B">
        <w:rPr>
          <w:color w:val="auto"/>
        </w:rPr>
        <w:t>: Australia’s contribution to the main international health organisations whose work is related to MDGs 4 and 5</w:t>
      </w:r>
    </w:p>
    <w:tbl>
      <w:tblPr>
        <w:tblW w:w="7936" w:type="dxa"/>
        <w:tblInd w:w="57" w:type="dxa"/>
        <w:tblLook w:val="0000" w:firstRow="0" w:lastRow="0" w:firstColumn="0" w:lastColumn="0" w:noHBand="0" w:noVBand="0"/>
      </w:tblPr>
      <w:tblGrid>
        <w:gridCol w:w="1218"/>
        <w:gridCol w:w="4578"/>
        <w:gridCol w:w="2140"/>
      </w:tblGrid>
      <w:tr w:rsidR="00BB59F2" w:rsidRPr="004E570B" w:rsidTr="00092D69">
        <w:trPr>
          <w:cantSplit/>
          <w:tblHeader/>
        </w:trPr>
        <w:tc>
          <w:tcPr>
            <w:tcW w:w="1218" w:type="dxa"/>
            <w:tcBorders>
              <w:bottom w:val="single" w:sz="12" w:space="0" w:color="auto"/>
            </w:tcBorders>
            <w:tcMar>
              <w:left w:w="57" w:type="dxa"/>
              <w:right w:w="57" w:type="dxa"/>
            </w:tcMar>
          </w:tcPr>
          <w:p w:rsidR="00BB59F2" w:rsidRPr="004E570B" w:rsidRDefault="008552AB" w:rsidP="004E570B">
            <w:pPr>
              <w:pStyle w:val="TableDataColumnHeading"/>
              <w:jc w:val="left"/>
            </w:pPr>
            <w:r w:rsidRPr="004E570B">
              <w:t>Organis</w:t>
            </w:r>
            <w:r w:rsidR="00BB59F2" w:rsidRPr="004E570B">
              <w:t>ation</w:t>
            </w:r>
          </w:p>
        </w:tc>
        <w:tc>
          <w:tcPr>
            <w:tcW w:w="4578" w:type="dxa"/>
            <w:tcBorders>
              <w:bottom w:val="single" w:sz="12" w:space="0" w:color="auto"/>
            </w:tcBorders>
            <w:noWrap/>
            <w:tcMar>
              <w:left w:w="57" w:type="dxa"/>
              <w:right w:w="57" w:type="dxa"/>
            </w:tcMar>
          </w:tcPr>
          <w:p w:rsidR="00BB59F2" w:rsidRPr="004E570B" w:rsidRDefault="00BB59F2" w:rsidP="004E570B">
            <w:pPr>
              <w:pStyle w:val="TableDataColumnHeading"/>
              <w:jc w:val="left"/>
            </w:pPr>
            <w:r w:rsidRPr="004E570B">
              <w:t xml:space="preserve">Type of </w:t>
            </w:r>
            <w:r w:rsidR="00C77F55" w:rsidRPr="004E570B">
              <w:t xml:space="preserve">Australian </w:t>
            </w:r>
            <w:r w:rsidRPr="004E570B">
              <w:t>funding</w:t>
            </w:r>
          </w:p>
        </w:tc>
        <w:tc>
          <w:tcPr>
            <w:tcW w:w="2140" w:type="dxa"/>
            <w:tcBorders>
              <w:bottom w:val="single" w:sz="12" w:space="0" w:color="auto"/>
            </w:tcBorders>
            <w:noWrap/>
            <w:tcMar>
              <w:left w:w="57" w:type="dxa"/>
              <w:right w:w="57" w:type="dxa"/>
            </w:tcMar>
          </w:tcPr>
          <w:p w:rsidR="00BB59F2" w:rsidRPr="004E570B" w:rsidRDefault="00C77F55" w:rsidP="004E570B">
            <w:pPr>
              <w:pStyle w:val="TableDataColumnHeading"/>
            </w:pPr>
            <w:r w:rsidRPr="004E570B">
              <w:t>Contribution in </w:t>
            </w:r>
            <w:r w:rsidR="00BB59F2" w:rsidRPr="004E570B">
              <w:t>2007</w:t>
            </w:r>
            <w:r w:rsidRPr="004E570B">
              <w:t>–</w:t>
            </w:r>
            <w:r w:rsidR="00BB59F2" w:rsidRPr="004E570B">
              <w:t>08</w:t>
            </w:r>
          </w:p>
        </w:tc>
      </w:tr>
      <w:tr w:rsidR="00BB59F2" w:rsidRPr="004E570B" w:rsidTr="00092D69">
        <w:trPr>
          <w:cantSplit/>
          <w:trHeight w:val="323"/>
        </w:trPr>
        <w:tc>
          <w:tcPr>
            <w:tcW w:w="1218" w:type="dxa"/>
            <w:tcBorders>
              <w:top w:val="single" w:sz="12" w:space="0" w:color="auto"/>
            </w:tcBorders>
            <w:noWrap/>
            <w:tcMar>
              <w:left w:w="57" w:type="dxa"/>
              <w:right w:w="57" w:type="dxa"/>
            </w:tcMar>
          </w:tcPr>
          <w:p w:rsidR="00BB59F2" w:rsidRPr="004E570B" w:rsidRDefault="00BB59F2" w:rsidP="004E570B">
            <w:pPr>
              <w:pStyle w:val="TableDataEntries"/>
              <w:jc w:val="left"/>
            </w:pPr>
            <w:r w:rsidRPr="004E570B">
              <w:t>WHO</w:t>
            </w:r>
          </w:p>
        </w:tc>
        <w:tc>
          <w:tcPr>
            <w:tcW w:w="4578" w:type="dxa"/>
            <w:tcBorders>
              <w:top w:val="single" w:sz="12" w:space="0" w:color="auto"/>
            </w:tcBorders>
            <w:noWrap/>
            <w:tcMar>
              <w:left w:w="57" w:type="dxa"/>
              <w:right w:w="57" w:type="dxa"/>
            </w:tcMar>
          </w:tcPr>
          <w:p w:rsidR="00BB59F2" w:rsidRPr="004E570B" w:rsidRDefault="00BB59F2" w:rsidP="004E570B">
            <w:pPr>
              <w:pStyle w:val="TableDataEntries"/>
              <w:jc w:val="left"/>
            </w:pPr>
            <w:r w:rsidRPr="004E570B">
              <w:t>Focused on four strategic objectives, including maternal and child health</w:t>
            </w:r>
          </w:p>
        </w:tc>
        <w:tc>
          <w:tcPr>
            <w:tcW w:w="2140" w:type="dxa"/>
            <w:tcBorders>
              <w:top w:val="single" w:sz="12" w:space="0" w:color="auto"/>
            </w:tcBorders>
            <w:noWrap/>
            <w:tcMar>
              <w:left w:w="57" w:type="dxa"/>
              <w:right w:w="57" w:type="dxa"/>
            </w:tcMar>
          </w:tcPr>
          <w:p w:rsidR="00BB59F2" w:rsidRPr="004E570B" w:rsidRDefault="00BB59F2" w:rsidP="004E570B">
            <w:pPr>
              <w:pStyle w:val="TableDataEntries"/>
            </w:pPr>
            <w:r w:rsidRPr="004E570B">
              <w:t>Estimated $5</w:t>
            </w:r>
            <w:r w:rsidR="008552AB" w:rsidRPr="004E570B">
              <w:t> </w:t>
            </w:r>
            <w:r w:rsidRPr="004E570B">
              <w:t>000</w:t>
            </w:r>
            <w:r w:rsidR="008552AB" w:rsidRPr="004E570B">
              <w:t> </w:t>
            </w:r>
            <w:r w:rsidRPr="004E570B">
              <w:t>000 for</w:t>
            </w:r>
            <w:r w:rsidR="00C77F55" w:rsidRPr="004E570B">
              <w:t> </w:t>
            </w:r>
            <w:r w:rsidRPr="004E570B">
              <w:t>MDGs 4 and 5</w:t>
            </w:r>
          </w:p>
        </w:tc>
      </w:tr>
      <w:tr w:rsidR="00BB59F2" w:rsidRPr="004E570B" w:rsidTr="00092D69">
        <w:trPr>
          <w:cantSplit/>
          <w:trHeight w:val="323"/>
        </w:trPr>
        <w:tc>
          <w:tcPr>
            <w:tcW w:w="1218" w:type="dxa"/>
            <w:noWrap/>
            <w:tcMar>
              <w:left w:w="57" w:type="dxa"/>
              <w:right w:w="57" w:type="dxa"/>
            </w:tcMar>
          </w:tcPr>
          <w:p w:rsidR="00BB59F2" w:rsidRPr="004E570B" w:rsidRDefault="00BB59F2" w:rsidP="004E570B">
            <w:pPr>
              <w:pStyle w:val="TableDataEntries"/>
              <w:jc w:val="left"/>
            </w:pPr>
            <w:r w:rsidRPr="004E570B">
              <w:t>UNICEF</w:t>
            </w:r>
          </w:p>
        </w:tc>
        <w:tc>
          <w:tcPr>
            <w:tcW w:w="4578" w:type="dxa"/>
            <w:noWrap/>
            <w:tcMar>
              <w:left w:w="57" w:type="dxa"/>
              <w:right w:w="57" w:type="dxa"/>
            </w:tcMar>
          </w:tcPr>
          <w:p w:rsidR="00BB59F2" w:rsidRPr="004E570B" w:rsidRDefault="00BB59F2" w:rsidP="004E570B">
            <w:pPr>
              <w:pStyle w:val="TableDataEntries"/>
              <w:jc w:val="left"/>
            </w:pPr>
            <w:r w:rsidRPr="004E570B">
              <w:t>Core funding to total UNICEF program (undetermined but significant proportion for maternal and child health)</w:t>
            </w:r>
          </w:p>
        </w:tc>
        <w:tc>
          <w:tcPr>
            <w:tcW w:w="2140" w:type="dxa"/>
            <w:noWrap/>
            <w:tcMar>
              <w:left w:w="57" w:type="dxa"/>
              <w:right w:w="57" w:type="dxa"/>
            </w:tcMar>
          </w:tcPr>
          <w:p w:rsidR="00BB59F2" w:rsidRPr="004E570B" w:rsidRDefault="00BB59F2" w:rsidP="004E570B">
            <w:pPr>
              <w:pStyle w:val="TableDataEntries"/>
            </w:pPr>
            <w:r w:rsidRPr="004E570B">
              <w:t>Unknown proportion of $13</w:t>
            </w:r>
            <w:r w:rsidR="008552AB" w:rsidRPr="004E570B">
              <w:t> </w:t>
            </w:r>
            <w:r w:rsidRPr="004E570B">
              <w:t>700</w:t>
            </w:r>
            <w:r w:rsidR="008552AB" w:rsidRPr="004E570B">
              <w:t> </w:t>
            </w:r>
            <w:r w:rsidRPr="004E570B">
              <w:t>000</w:t>
            </w:r>
          </w:p>
        </w:tc>
      </w:tr>
      <w:tr w:rsidR="00BB59F2" w:rsidRPr="004E570B" w:rsidTr="00092D69">
        <w:trPr>
          <w:cantSplit/>
          <w:trHeight w:val="323"/>
        </w:trPr>
        <w:tc>
          <w:tcPr>
            <w:tcW w:w="1218" w:type="dxa"/>
            <w:noWrap/>
            <w:tcMar>
              <w:left w:w="57" w:type="dxa"/>
              <w:right w:w="57" w:type="dxa"/>
            </w:tcMar>
          </w:tcPr>
          <w:p w:rsidR="00BB59F2" w:rsidRPr="004E570B" w:rsidRDefault="00BB59F2" w:rsidP="004E570B">
            <w:pPr>
              <w:pStyle w:val="TableDataEntries"/>
              <w:jc w:val="left"/>
            </w:pPr>
            <w:r w:rsidRPr="004E570B">
              <w:t>UNFPA</w:t>
            </w:r>
          </w:p>
        </w:tc>
        <w:tc>
          <w:tcPr>
            <w:tcW w:w="4578" w:type="dxa"/>
            <w:noWrap/>
            <w:tcMar>
              <w:left w:w="57" w:type="dxa"/>
              <w:right w:w="57" w:type="dxa"/>
            </w:tcMar>
          </w:tcPr>
          <w:p w:rsidR="00BB59F2" w:rsidRPr="004E570B" w:rsidRDefault="00BB59F2" w:rsidP="004E570B">
            <w:pPr>
              <w:pStyle w:val="TableDataEntries"/>
              <w:jc w:val="left"/>
            </w:pPr>
            <w:r w:rsidRPr="004E570B">
              <w:t>Core funding and includes $1</w:t>
            </w:r>
            <w:r w:rsidR="008552AB" w:rsidRPr="004E570B">
              <w:t> </w:t>
            </w:r>
            <w:r w:rsidRPr="004E570B">
              <w:t>m</w:t>
            </w:r>
            <w:r w:rsidR="008552AB" w:rsidRPr="004E570B">
              <w:t>illion</w:t>
            </w:r>
            <w:r w:rsidRPr="004E570B">
              <w:t xml:space="preserve"> for Pacific (primarily for reproductive health commodities)</w:t>
            </w:r>
          </w:p>
        </w:tc>
        <w:tc>
          <w:tcPr>
            <w:tcW w:w="2140" w:type="dxa"/>
            <w:noWrap/>
            <w:tcMar>
              <w:left w:w="57" w:type="dxa"/>
              <w:right w:w="57" w:type="dxa"/>
            </w:tcMar>
          </w:tcPr>
          <w:p w:rsidR="00BB59F2" w:rsidRPr="004E570B" w:rsidRDefault="00BB59F2" w:rsidP="004E570B">
            <w:pPr>
              <w:pStyle w:val="TableDataEntries"/>
            </w:pPr>
            <w:r w:rsidRPr="004E570B">
              <w:t>$7</w:t>
            </w:r>
            <w:r w:rsidR="008552AB" w:rsidRPr="004E570B">
              <w:t> </w:t>
            </w:r>
            <w:r w:rsidRPr="004E570B">
              <w:t>000</w:t>
            </w:r>
            <w:r w:rsidR="008552AB" w:rsidRPr="004E570B">
              <w:t> </w:t>
            </w:r>
            <w:r w:rsidRPr="004E570B">
              <w:t xml:space="preserve">000 </w:t>
            </w:r>
          </w:p>
        </w:tc>
      </w:tr>
      <w:tr w:rsidR="00BB59F2" w:rsidRPr="004E570B" w:rsidTr="00092D69">
        <w:trPr>
          <w:cantSplit/>
          <w:trHeight w:val="323"/>
        </w:trPr>
        <w:tc>
          <w:tcPr>
            <w:tcW w:w="1218" w:type="dxa"/>
            <w:noWrap/>
            <w:tcMar>
              <w:left w:w="57" w:type="dxa"/>
              <w:right w:w="57" w:type="dxa"/>
            </w:tcMar>
          </w:tcPr>
          <w:p w:rsidR="00BB59F2" w:rsidRPr="004E570B" w:rsidRDefault="00BB59F2" w:rsidP="004E570B">
            <w:pPr>
              <w:pStyle w:val="TableDataEntries"/>
              <w:jc w:val="left"/>
            </w:pPr>
            <w:r w:rsidRPr="004E570B">
              <w:t>IPPF</w:t>
            </w:r>
          </w:p>
        </w:tc>
        <w:tc>
          <w:tcPr>
            <w:tcW w:w="4578" w:type="dxa"/>
            <w:noWrap/>
            <w:tcMar>
              <w:left w:w="57" w:type="dxa"/>
              <w:right w:w="57" w:type="dxa"/>
            </w:tcMar>
          </w:tcPr>
          <w:p w:rsidR="00BB59F2" w:rsidRPr="004E570B" w:rsidRDefault="00BB59F2" w:rsidP="004E570B">
            <w:pPr>
              <w:pStyle w:val="TableDataEntries"/>
              <w:jc w:val="left"/>
            </w:pPr>
            <w:r w:rsidRPr="004E570B">
              <w:t>Core funding for sexual and reproductive health</w:t>
            </w:r>
          </w:p>
        </w:tc>
        <w:tc>
          <w:tcPr>
            <w:tcW w:w="2140" w:type="dxa"/>
            <w:noWrap/>
            <w:tcMar>
              <w:left w:w="57" w:type="dxa"/>
              <w:right w:w="57" w:type="dxa"/>
            </w:tcMar>
          </w:tcPr>
          <w:p w:rsidR="00BB59F2" w:rsidRPr="004E570B" w:rsidRDefault="00BB59F2" w:rsidP="004E570B">
            <w:pPr>
              <w:pStyle w:val="TableDataEntries"/>
            </w:pPr>
            <w:r w:rsidRPr="004E570B">
              <w:t>$2</w:t>
            </w:r>
            <w:r w:rsidR="008552AB" w:rsidRPr="004E570B">
              <w:t> </w:t>
            </w:r>
            <w:r w:rsidRPr="004E570B">
              <w:t>750</w:t>
            </w:r>
            <w:r w:rsidR="008552AB" w:rsidRPr="004E570B">
              <w:t> </w:t>
            </w:r>
            <w:r w:rsidRPr="004E570B">
              <w:t xml:space="preserve">000 </w:t>
            </w:r>
          </w:p>
        </w:tc>
      </w:tr>
      <w:tr w:rsidR="00BB59F2" w:rsidRPr="004E570B" w:rsidTr="00092D69">
        <w:trPr>
          <w:cantSplit/>
          <w:trHeight w:val="323"/>
        </w:trPr>
        <w:tc>
          <w:tcPr>
            <w:tcW w:w="1218" w:type="dxa"/>
            <w:noWrap/>
            <w:tcMar>
              <w:left w:w="57" w:type="dxa"/>
              <w:right w:w="57" w:type="dxa"/>
            </w:tcMar>
          </w:tcPr>
          <w:p w:rsidR="00BB59F2" w:rsidRPr="004E570B" w:rsidRDefault="00BB59F2" w:rsidP="004E570B">
            <w:pPr>
              <w:pStyle w:val="TableDataEntries"/>
              <w:jc w:val="left"/>
            </w:pPr>
            <w:r w:rsidRPr="004E570B">
              <w:t>GAVI</w:t>
            </w:r>
            <w:r w:rsidR="00F60BE0" w:rsidRPr="004E570B">
              <w:t xml:space="preserve"> Alliance</w:t>
            </w:r>
          </w:p>
        </w:tc>
        <w:tc>
          <w:tcPr>
            <w:tcW w:w="4578" w:type="dxa"/>
            <w:tcMar>
              <w:left w:w="57" w:type="dxa"/>
              <w:right w:w="57" w:type="dxa"/>
            </w:tcMar>
          </w:tcPr>
          <w:p w:rsidR="00BB59F2" w:rsidRPr="004E570B" w:rsidRDefault="00BB59F2" w:rsidP="004E570B">
            <w:pPr>
              <w:pStyle w:val="TableDataEntries"/>
              <w:jc w:val="left"/>
            </w:pPr>
            <w:r w:rsidRPr="004E570B">
              <w:t>Core funding</w:t>
            </w:r>
          </w:p>
        </w:tc>
        <w:tc>
          <w:tcPr>
            <w:tcW w:w="2140" w:type="dxa"/>
            <w:tcMar>
              <w:left w:w="57" w:type="dxa"/>
              <w:right w:w="57" w:type="dxa"/>
            </w:tcMar>
          </w:tcPr>
          <w:p w:rsidR="00BB59F2" w:rsidRPr="004E570B" w:rsidRDefault="00BB59F2" w:rsidP="004E570B">
            <w:pPr>
              <w:pStyle w:val="TableDataEntries"/>
            </w:pPr>
            <w:r w:rsidRPr="004E570B">
              <w:t>$5</w:t>
            </w:r>
            <w:r w:rsidR="008552AB" w:rsidRPr="004E570B">
              <w:t> </w:t>
            </w:r>
            <w:r w:rsidRPr="004E570B">
              <w:t>202</w:t>
            </w:r>
            <w:r w:rsidR="008552AB" w:rsidRPr="004E570B">
              <w:t> </w:t>
            </w:r>
            <w:r w:rsidRPr="004E570B">
              <w:t xml:space="preserve">117 </w:t>
            </w:r>
          </w:p>
        </w:tc>
      </w:tr>
      <w:tr w:rsidR="00BB59F2" w:rsidRPr="004E570B" w:rsidTr="00092D69">
        <w:trPr>
          <w:cantSplit/>
          <w:trHeight w:val="323"/>
        </w:trPr>
        <w:tc>
          <w:tcPr>
            <w:tcW w:w="1218" w:type="dxa"/>
            <w:tcBorders>
              <w:bottom w:val="single" w:sz="12" w:space="0" w:color="auto"/>
            </w:tcBorders>
            <w:noWrap/>
            <w:tcMar>
              <w:left w:w="57" w:type="dxa"/>
              <w:right w:w="57" w:type="dxa"/>
            </w:tcMar>
          </w:tcPr>
          <w:p w:rsidR="00BB59F2" w:rsidRPr="004E570B" w:rsidRDefault="00BB59F2" w:rsidP="004E570B">
            <w:pPr>
              <w:pStyle w:val="TableDataEntries"/>
              <w:jc w:val="left"/>
              <w:rPr>
                <w:b/>
                <w:bCs/>
              </w:rPr>
            </w:pPr>
            <w:r w:rsidRPr="004E570B">
              <w:t>PMNCH</w:t>
            </w:r>
          </w:p>
        </w:tc>
        <w:tc>
          <w:tcPr>
            <w:tcW w:w="4578" w:type="dxa"/>
            <w:tcBorders>
              <w:bottom w:val="single" w:sz="12" w:space="0" w:color="auto"/>
            </w:tcBorders>
            <w:tcMar>
              <w:left w:w="57" w:type="dxa"/>
              <w:right w:w="57" w:type="dxa"/>
            </w:tcMar>
          </w:tcPr>
          <w:p w:rsidR="00BB59F2" w:rsidRPr="004E570B" w:rsidRDefault="00BB59F2" w:rsidP="004E570B">
            <w:pPr>
              <w:pStyle w:val="TableDataEntries"/>
              <w:jc w:val="left"/>
            </w:pPr>
            <w:r w:rsidRPr="004E570B">
              <w:t>Funding for advocacy/coordination in Asia and Pacific region</w:t>
            </w:r>
          </w:p>
        </w:tc>
        <w:tc>
          <w:tcPr>
            <w:tcW w:w="2140" w:type="dxa"/>
            <w:tcBorders>
              <w:bottom w:val="single" w:sz="12" w:space="0" w:color="auto"/>
            </w:tcBorders>
            <w:tcMar>
              <w:left w:w="57" w:type="dxa"/>
              <w:right w:w="57" w:type="dxa"/>
            </w:tcMar>
          </w:tcPr>
          <w:p w:rsidR="00BB59F2" w:rsidRPr="004E570B" w:rsidRDefault="00BB59F2" w:rsidP="004E570B">
            <w:pPr>
              <w:pStyle w:val="TableDataEntries"/>
            </w:pPr>
            <w:r w:rsidRPr="004E570B">
              <w:t>$250</w:t>
            </w:r>
            <w:r w:rsidR="008552AB" w:rsidRPr="004E570B">
              <w:t> </w:t>
            </w:r>
            <w:r w:rsidRPr="004E570B">
              <w:t>000</w:t>
            </w:r>
          </w:p>
        </w:tc>
      </w:tr>
    </w:tbl>
    <w:p w:rsidR="008552AB" w:rsidRPr="004E570B" w:rsidRDefault="008552AB" w:rsidP="004E570B">
      <w:pPr>
        <w:pStyle w:val="Source"/>
      </w:pPr>
    </w:p>
    <w:p w:rsidR="00BB59F2" w:rsidRPr="004E570B" w:rsidRDefault="00BB59F2" w:rsidP="004E570B">
      <w:pPr>
        <w:pStyle w:val="BodyText"/>
      </w:pPr>
      <w:r w:rsidRPr="004E570B">
        <w:lastRenderedPageBreak/>
        <w:t xml:space="preserve">WHO and UNFPA play a key role in setting the norms and standards for maternal and child health and provide technical support </w:t>
      </w:r>
      <w:r w:rsidR="00665CC9" w:rsidRPr="004E570B">
        <w:t xml:space="preserve">in prevention and care </w:t>
      </w:r>
      <w:r w:rsidRPr="004E570B">
        <w:t xml:space="preserve">to countries of the </w:t>
      </w:r>
      <w:r w:rsidR="00C77F55" w:rsidRPr="004E570B">
        <w:t xml:space="preserve">Asia-Pacific </w:t>
      </w:r>
      <w:r w:rsidRPr="004E570B">
        <w:t xml:space="preserve">region through country or regional offices. UNFPA also assists in procuring commodities for family planning and is often the main voice of advocacy in this area. UNICEF has a strong presence on the ground in many countries assisting partner governments to implement child health programs and </w:t>
      </w:r>
      <w:r w:rsidR="00F60BE0" w:rsidRPr="004E570B">
        <w:t>to</w:t>
      </w:r>
      <w:r w:rsidRPr="004E570B">
        <w:t xml:space="preserve"> procure vaccines.</w:t>
      </w:r>
    </w:p>
    <w:p w:rsidR="00BB59F2" w:rsidRPr="004E570B" w:rsidRDefault="00BB59F2" w:rsidP="004E570B">
      <w:pPr>
        <w:pStyle w:val="BodyText"/>
      </w:pPr>
      <w:r w:rsidRPr="004E570B">
        <w:t>The GAVI Alliance is a public–private funding mechanism that</w:t>
      </w:r>
      <w:r w:rsidR="00F60BE0" w:rsidRPr="004E570B">
        <w:t>,</w:t>
      </w:r>
      <w:r w:rsidRPr="004E570B">
        <w:t xml:space="preserve"> with technical and operational support from WHO and UNICEF</w:t>
      </w:r>
      <w:r w:rsidR="00F60BE0" w:rsidRPr="004E570B">
        <w:t>,</w:t>
      </w:r>
      <w:r w:rsidRPr="004E570B">
        <w:t xml:space="preserve"> has increased access to vaccines for children in poor countries. </w:t>
      </w:r>
      <w:r w:rsidR="00F60BE0" w:rsidRPr="004E570B">
        <w:t xml:space="preserve">Estimates </w:t>
      </w:r>
      <w:r w:rsidRPr="004E570B">
        <w:t>for the period 2000</w:t>
      </w:r>
      <w:r w:rsidR="00F60BE0" w:rsidRPr="004E570B">
        <w:t>–</w:t>
      </w:r>
      <w:r w:rsidRPr="004E570B">
        <w:t xml:space="preserve">07 show that the GAVI Alliance averted 2.9 million future deaths through vaccination, 36.8 million children </w:t>
      </w:r>
      <w:r w:rsidR="00F60BE0" w:rsidRPr="004E570B">
        <w:t>were</w:t>
      </w:r>
      <w:r w:rsidRPr="004E570B">
        <w:t xml:space="preserve"> supplied with basic vaccines and </w:t>
      </w:r>
      <w:r w:rsidRPr="004E570B">
        <w:rPr>
          <w:bCs/>
        </w:rPr>
        <w:t>176 million</w:t>
      </w:r>
      <w:r w:rsidRPr="004E570B">
        <w:t xml:space="preserve"> additional children </w:t>
      </w:r>
      <w:r w:rsidR="00F60BE0" w:rsidRPr="004E570B">
        <w:t>were</w:t>
      </w:r>
      <w:r w:rsidRPr="004E570B">
        <w:t xml:space="preserve"> protected with new and underused vaccines.</w:t>
      </w:r>
      <w:r w:rsidRPr="004E570B">
        <w:rPr>
          <w:rStyle w:val="FootnoteReference"/>
          <w:sz w:val="12"/>
        </w:rPr>
        <w:footnoteReference w:id="6"/>
      </w:r>
      <w:r w:rsidRPr="004E570B">
        <w:t xml:space="preserve"> </w:t>
      </w:r>
    </w:p>
    <w:p w:rsidR="00BB59F2" w:rsidRPr="004E570B" w:rsidRDefault="00915597" w:rsidP="004E570B">
      <w:pPr>
        <w:pStyle w:val="BodyText"/>
      </w:pPr>
      <w:r w:rsidRPr="004E570B">
        <w:t>T</w:t>
      </w:r>
      <w:r w:rsidR="00BB59F2" w:rsidRPr="004E570B">
        <w:t>he Partnership for Maternal, Newborn and Child Health</w:t>
      </w:r>
      <w:r w:rsidRPr="004E570B">
        <w:t xml:space="preserve"> (PMNCH</w:t>
      </w:r>
      <w:r w:rsidR="00BB59F2" w:rsidRPr="004E570B">
        <w:t>) consists of more than 240</w:t>
      </w:r>
      <w:r w:rsidRPr="004E570B">
        <w:t> </w:t>
      </w:r>
      <w:r w:rsidR="00BB59F2" w:rsidRPr="004E570B">
        <w:t xml:space="preserve">member international, government and non-government organisations working to achieve MDGs 4 </w:t>
      </w:r>
      <w:r w:rsidR="00665CC9" w:rsidRPr="004E570B">
        <w:t xml:space="preserve">and </w:t>
      </w:r>
      <w:r w:rsidR="00BB59F2" w:rsidRPr="004E570B">
        <w:t xml:space="preserve">5. </w:t>
      </w:r>
      <w:proofErr w:type="spellStart"/>
      <w:r w:rsidR="00BB59F2" w:rsidRPr="004E570B">
        <w:t>AusAID</w:t>
      </w:r>
      <w:proofErr w:type="spellEnd"/>
      <w:r w:rsidR="00BB59F2" w:rsidRPr="004E570B">
        <w:t xml:space="preserve"> support assist</w:t>
      </w:r>
      <w:r w:rsidR="00665CC9" w:rsidRPr="004E570B">
        <w:t>s</w:t>
      </w:r>
      <w:r w:rsidR="00BB59F2" w:rsidRPr="004E570B">
        <w:t xml:space="preserve"> the </w:t>
      </w:r>
      <w:r w:rsidRPr="004E570B">
        <w:t xml:space="preserve">partnership </w:t>
      </w:r>
      <w:r w:rsidR="00BB59F2" w:rsidRPr="004E570B">
        <w:t>to have a permanent staff presence in the Asia</w:t>
      </w:r>
      <w:r w:rsidRPr="004E570B">
        <w:t>-</w:t>
      </w:r>
      <w:r w:rsidR="00BB59F2" w:rsidRPr="004E570B">
        <w:t>Pacific region.</w:t>
      </w:r>
    </w:p>
    <w:p w:rsidR="00BB59F2" w:rsidRPr="004E570B" w:rsidRDefault="00BB59F2" w:rsidP="004E570B">
      <w:pPr>
        <w:pStyle w:val="BodyText"/>
      </w:pPr>
      <w:r w:rsidRPr="004E570B">
        <w:t xml:space="preserve">Australia has recently joined the International Health Partnership, which will help to align donor assistance to </w:t>
      </w:r>
      <w:r w:rsidR="000031F9" w:rsidRPr="004E570B">
        <w:t xml:space="preserve">the </w:t>
      </w:r>
      <w:r w:rsidRPr="004E570B">
        <w:t>health sector plans and strategies</w:t>
      </w:r>
      <w:r w:rsidR="000031F9" w:rsidRPr="004E570B">
        <w:t xml:space="preserve"> of the recipient countries</w:t>
      </w:r>
      <w:r w:rsidRPr="004E570B">
        <w:t xml:space="preserve">, to reduce transaction costs and increase efficiency. The </w:t>
      </w:r>
      <w:r w:rsidR="000031F9" w:rsidRPr="004E570B">
        <w:t xml:space="preserve">partnership </w:t>
      </w:r>
      <w:r w:rsidRPr="004E570B">
        <w:t>places emphasis on strengthening health systems and securing predictable long</w:t>
      </w:r>
      <w:r w:rsidR="000031F9" w:rsidRPr="004E570B">
        <w:t>-</w:t>
      </w:r>
      <w:r w:rsidRPr="004E570B">
        <w:t xml:space="preserve">term funding necessary for addressing the more complex health system challenges </w:t>
      </w:r>
      <w:r w:rsidR="000031F9" w:rsidRPr="004E570B">
        <w:t>to ensure</w:t>
      </w:r>
      <w:r w:rsidRPr="004E570B">
        <w:t xml:space="preserve"> progress towards MDGs</w:t>
      </w:r>
      <w:r w:rsidR="000031F9" w:rsidRPr="004E570B">
        <w:t> </w:t>
      </w:r>
      <w:r w:rsidRPr="004E570B">
        <w:t>4 and 5.</w:t>
      </w:r>
    </w:p>
    <w:p w:rsidR="00BB59F2" w:rsidRPr="004E570B" w:rsidRDefault="00BB59F2" w:rsidP="004E570B">
      <w:pPr>
        <w:pStyle w:val="Heading2unnumbered"/>
        <w:rPr>
          <w:color w:val="auto"/>
        </w:rPr>
      </w:pPr>
      <w:bookmarkStart w:id="19" w:name="_Toc217896625"/>
      <w:r w:rsidRPr="004E570B">
        <w:rPr>
          <w:color w:val="auto"/>
        </w:rPr>
        <w:t xml:space="preserve">Quality assessments of </w:t>
      </w:r>
      <w:r w:rsidR="008A2480" w:rsidRPr="004E570B">
        <w:rPr>
          <w:color w:val="auto"/>
        </w:rPr>
        <w:t xml:space="preserve">the </w:t>
      </w:r>
      <w:r w:rsidRPr="004E570B">
        <w:rPr>
          <w:color w:val="auto"/>
        </w:rPr>
        <w:t>aid program</w:t>
      </w:r>
      <w:r w:rsidR="008A2480" w:rsidRPr="004E570B">
        <w:rPr>
          <w:color w:val="auto"/>
        </w:rPr>
        <w:t>’s</w:t>
      </w:r>
      <w:r w:rsidRPr="004E570B">
        <w:rPr>
          <w:color w:val="auto"/>
        </w:rPr>
        <w:t xml:space="preserve"> initiatives</w:t>
      </w:r>
      <w:bookmarkEnd w:id="19"/>
    </w:p>
    <w:p w:rsidR="00BB59F2" w:rsidRPr="004E570B" w:rsidRDefault="00BB59F2" w:rsidP="004E570B">
      <w:pPr>
        <w:pStyle w:val="BodyText"/>
      </w:pPr>
      <w:r w:rsidRPr="004E570B">
        <w:t>Quality</w:t>
      </w:r>
      <w:r w:rsidR="000031F9" w:rsidRPr="004E570B">
        <w:t>-</w:t>
      </w:r>
      <w:r w:rsidRPr="004E570B">
        <w:t>at</w:t>
      </w:r>
      <w:r w:rsidR="000031F9" w:rsidRPr="004E570B">
        <w:t xml:space="preserve">-implementation </w:t>
      </w:r>
      <w:r w:rsidRPr="004E570B">
        <w:t xml:space="preserve">ratings </w:t>
      </w:r>
      <w:r w:rsidR="000624E1" w:rsidRPr="004E570B">
        <w:t xml:space="preserve">for 2007–08 </w:t>
      </w:r>
      <w:r w:rsidR="000031F9" w:rsidRPr="004E570B">
        <w:t xml:space="preserve">are available </w:t>
      </w:r>
      <w:r w:rsidRPr="004E570B">
        <w:t xml:space="preserve">for </w:t>
      </w:r>
      <w:r w:rsidR="000031F9" w:rsidRPr="004E570B">
        <w:t xml:space="preserve">11 </w:t>
      </w:r>
      <w:proofErr w:type="spellStart"/>
      <w:r w:rsidRPr="004E570B">
        <w:t>AusAID</w:t>
      </w:r>
      <w:proofErr w:type="spellEnd"/>
      <w:r w:rsidRPr="004E570B">
        <w:t xml:space="preserve"> initiatives focused on MDGs</w:t>
      </w:r>
      <w:r w:rsidR="00F7407A" w:rsidRPr="004E570B">
        <w:t> </w:t>
      </w:r>
      <w:r w:rsidRPr="004E570B">
        <w:t>4 and 5 or where the</w:t>
      </w:r>
      <w:r w:rsidR="000031F9" w:rsidRPr="004E570B">
        <w:t xml:space="preserve"> goals</w:t>
      </w:r>
      <w:r w:rsidRPr="004E570B">
        <w:t xml:space="preserve"> are supported through a broader sectoral initiative</w:t>
      </w:r>
      <w:r w:rsidR="00A66E87" w:rsidRPr="004E570B">
        <w:t xml:space="preserve"> (Table 7)</w:t>
      </w:r>
      <w:r w:rsidRPr="004E570B">
        <w:t>.</w:t>
      </w:r>
    </w:p>
    <w:p w:rsidR="00A66E87" w:rsidRPr="004E570B" w:rsidRDefault="000031F9" w:rsidP="004E570B">
      <w:pPr>
        <w:pStyle w:val="BodyText"/>
      </w:pPr>
      <w:r w:rsidRPr="004E570B">
        <w:t>O</w:t>
      </w:r>
      <w:r w:rsidR="00BB59F2" w:rsidRPr="004E570B">
        <w:t xml:space="preserve">verall there </w:t>
      </w:r>
      <w:r w:rsidR="00D24EFB" w:rsidRPr="004E570B">
        <w:t xml:space="preserve">were </w:t>
      </w:r>
      <w:r w:rsidR="00BB59F2" w:rsidRPr="004E570B">
        <w:t xml:space="preserve">slightly higher scores for implementation progress and achieving objectives </w:t>
      </w:r>
      <w:r w:rsidR="00D24EFB" w:rsidRPr="004E570B">
        <w:t>than</w:t>
      </w:r>
      <w:r w:rsidR="00BB59F2" w:rsidRPr="004E570B">
        <w:t xml:space="preserve"> for monitoring and evaluation and sustainability. </w:t>
      </w:r>
      <w:r w:rsidR="00A66E87" w:rsidRPr="004E570B">
        <w:t xml:space="preserve">None of initiatives’ quality at implementation received a rating of less than 3 in 2007–08. </w:t>
      </w:r>
      <w:r w:rsidR="00DC5F8E" w:rsidRPr="004E570B">
        <w:t>However, t</w:t>
      </w:r>
      <w:r w:rsidR="008C3736" w:rsidRPr="004E570B">
        <w:t>he</w:t>
      </w:r>
      <w:r w:rsidR="00D24EFB" w:rsidRPr="004E570B">
        <w:t xml:space="preserve"> summary of </w:t>
      </w:r>
      <w:r w:rsidR="00A66E87" w:rsidRPr="004E570B">
        <w:t>ratings in Table 7 indicate</w:t>
      </w:r>
      <w:r w:rsidR="00D24EFB" w:rsidRPr="004E570B">
        <w:t>s</w:t>
      </w:r>
      <w:r w:rsidR="00A66E87" w:rsidRPr="004E570B">
        <w:t xml:space="preserve"> that </w:t>
      </w:r>
      <w:r w:rsidR="00E33752" w:rsidRPr="004E570B">
        <w:t>at least</w:t>
      </w:r>
      <w:r w:rsidR="00D24EFB" w:rsidRPr="004E570B">
        <w:t xml:space="preserve"> </w:t>
      </w:r>
      <w:r w:rsidR="00A66E87" w:rsidRPr="004E570B">
        <w:t>60 per cent of initiatives</w:t>
      </w:r>
      <w:r w:rsidR="000624E1" w:rsidRPr="004E570B">
        <w:t>—those rated 3 or 4—</w:t>
      </w:r>
      <w:r w:rsidR="00A66E87" w:rsidRPr="004E570B">
        <w:t xml:space="preserve">require improvement in </w:t>
      </w:r>
      <w:r w:rsidR="000624E1" w:rsidRPr="004E570B">
        <w:t>all criteria</w:t>
      </w:r>
      <w:r w:rsidR="00A66E87" w:rsidRPr="004E570B">
        <w:t xml:space="preserve">. </w:t>
      </w:r>
    </w:p>
    <w:p w:rsidR="00A66E87" w:rsidRPr="004E570B" w:rsidRDefault="00A66E87" w:rsidP="004E570B">
      <w:pPr>
        <w:pStyle w:val="Caption"/>
        <w:spacing w:before="240"/>
        <w:rPr>
          <w:color w:val="auto"/>
          <w:spacing w:val="-2"/>
        </w:rPr>
      </w:pPr>
      <w:r w:rsidRPr="004E570B">
        <w:rPr>
          <w:color w:val="auto"/>
        </w:rPr>
        <w:t xml:space="preserve">Table </w:t>
      </w:r>
      <w:r w:rsidRPr="004E570B">
        <w:rPr>
          <w:color w:val="auto"/>
        </w:rPr>
        <w:fldChar w:fldCharType="begin"/>
      </w:r>
      <w:r w:rsidRPr="004E570B">
        <w:rPr>
          <w:color w:val="auto"/>
        </w:rPr>
        <w:instrText xml:space="preserve"> SEQ Table \* MERGEFORMAT </w:instrText>
      </w:r>
      <w:r w:rsidRPr="004E570B">
        <w:rPr>
          <w:color w:val="auto"/>
        </w:rPr>
        <w:fldChar w:fldCharType="separate"/>
      </w:r>
      <w:r w:rsidR="00B33206" w:rsidRPr="004E570B">
        <w:rPr>
          <w:noProof/>
          <w:color w:val="auto"/>
        </w:rPr>
        <w:t>7</w:t>
      </w:r>
      <w:r w:rsidRPr="004E570B">
        <w:rPr>
          <w:color w:val="auto"/>
        </w:rPr>
        <w:fldChar w:fldCharType="end"/>
      </w:r>
      <w:r w:rsidRPr="004E570B">
        <w:rPr>
          <w:color w:val="auto"/>
        </w:rPr>
        <w:t xml:space="preserve">: </w:t>
      </w:r>
      <w:r w:rsidRPr="004E570B">
        <w:rPr>
          <w:color w:val="auto"/>
          <w:spacing w:val="-2"/>
        </w:rPr>
        <w:t xml:space="preserve">Quality-at-implementation ratings of initiatives </w:t>
      </w:r>
      <w:r w:rsidRPr="004E570B">
        <w:rPr>
          <w:color w:val="auto"/>
        </w:rPr>
        <w:t>focused on MDGs 4 and 5 or where the goals are supported through a broader sectoral initiative</w:t>
      </w:r>
    </w:p>
    <w:tbl>
      <w:tblPr>
        <w:tblW w:w="7951" w:type="dxa"/>
        <w:tblInd w:w="57" w:type="dxa"/>
        <w:tblLayout w:type="fixed"/>
        <w:tblLook w:val="0000" w:firstRow="0" w:lastRow="0" w:firstColumn="0" w:lastColumn="0" w:noHBand="0" w:noVBand="0"/>
      </w:tblPr>
      <w:tblGrid>
        <w:gridCol w:w="2040"/>
        <w:gridCol w:w="2114"/>
        <w:gridCol w:w="1400"/>
        <w:gridCol w:w="1046"/>
        <w:gridCol w:w="1351"/>
      </w:tblGrid>
      <w:tr w:rsidR="00A66E87" w:rsidRPr="004E570B" w:rsidTr="00092D69">
        <w:tblPrEx>
          <w:tblCellMar>
            <w:top w:w="0" w:type="dxa"/>
            <w:bottom w:w="0" w:type="dxa"/>
          </w:tblCellMar>
        </w:tblPrEx>
        <w:trPr>
          <w:cantSplit/>
          <w:tblHeader/>
        </w:trPr>
        <w:tc>
          <w:tcPr>
            <w:tcW w:w="2040" w:type="dxa"/>
            <w:tcBorders>
              <w:bottom w:val="single" w:sz="12" w:space="0" w:color="auto"/>
            </w:tcBorders>
            <w:tcMar>
              <w:left w:w="57" w:type="dxa"/>
              <w:right w:w="57" w:type="dxa"/>
            </w:tcMar>
          </w:tcPr>
          <w:p w:rsidR="00A66E87" w:rsidRPr="004E570B" w:rsidRDefault="00A66E87" w:rsidP="004E570B">
            <w:pPr>
              <w:pStyle w:val="TableDataColumnHeading"/>
              <w:jc w:val="left"/>
            </w:pPr>
            <w:r w:rsidRPr="004E570B">
              <w:t>Criteria</w:t>
            </w:r>
          </w:p>
        </w:tc>
        <w:tc>
          <w:tcPr>
            <w:tcW w:w="2114" w:type="dxa"/>
            <w:tcBorders>
              <w:bottom w:val="single" w:sz="12" w:space="0" w:color="auto"/>
            </w:tcBorders>
            <w:tcMar>
              <w:left w:w="57" w:type="dxa"/>
              <w:right w:w="57" w:type="dxa"/>
            </w:tcMar>
          </w:tcPr>
          <w:p w:rsidR="00A66E87" w:rsidRPr="004E570B" w:rsidRDefault="00A66E87" w:rsidP="004E570B">
            <w:pPr>
              <w:pStyle w:val="TableDataColumnHeading"/>
            </w:pPr>
            <w:r w:rsidRPr="004E570B">
              <w:t xml:space="preserve">Rating of 3: </w:t>
            </w:r>
            <w:r w:rsidRPr="004E570B">
              <w:br/>
              <w:t>Less than adequate quality</w:t>
            </w:r>
          </w:p>
        </w:tc>
        <w:tc>
          <w:tcPr>
            <w:tcW w:w="1400" w:type="dxa"/>
            <w:tcBorders>
              <w:bottom w:val="single" w:sz="12" w:space="0" w:color="auto"/>
            </w:tcBorders>
            <w:tcMar>
              <w:left w:w="57" w:type="dxa"/>
              <w:right w:w="57" w:type="dxa"/>
            </w:tcMar>
          </w:tcPr>
          <w:p w:rsidR="00A66E87" w:rsidRPr="004E570B" w:rsidRDefault="00A66E87" w:rsidP="004E570B">
            <w:pPr>
              <w:pStyle w:val="TableDataColumnHeading"/>
            </w:pPr>
            <w:r w:rsidRPr="004E570B">
              <w:t>Rating of 4: Adequate quality</w:t>
            </w:r>
          </w:p>
        </w:tc>
        <w:tc>
          <w:tcPr>
            <w:tcW w:w="1046" w:type="dxa"/>
            <w:tcBorders>
              <w:bottom w:val="single" w:sz="12" w:space="0" w:color="auto"/>
            </w:tcBorders>
            <w:tcMar>
              <w:left w:w="57" w:type="dxa"/>
              <w:right w:w="57" w:type="dxa"/>
            </w:tcMar>
          </w:tcPr>
          <w:p w:rsidR="00A66E87" w:rsidRPr="004E570B" w:rsidRDefault="00A66E87" w:rsidP="004E570B">
            <w:pPr>
              <w:pStyle w:val="TableDataColumnHeading"/>
            </w:pPr>
            <w:r w:rsidRPr="004E570B">
              <w:t xml:space="preserve">Rating of 5: </w:t>
            </w:r>
            <w:r w:rsidRPr="004E570B">
              <w:br/>
              <w:t xml:space="preserve">Good quality </w:t>
            </w:r>
          </w:p>
        </w:tc>
        <w:tc>
          <w:tcPr>
            <w:tcW w:w="1351" w:type="dxa"/>
            <w:tcBorders>
              <w:bottom w:val="single" w:sz="12" w:space="0" w:color="auto"/>
            </w:tcBorders>
            <w:tcMar>
              <w:left w:w="57" w:type="dxa"/>
              <w:right w:w="57" w:type="dxa"/>
            </w:tcMar>
          </w:tcPr>
          <w:p w:rsidR="00A66E87" w:rsidRPr="004E570B" w:rsidRDefault="00A66E87" w:rsidP="004E570B">
            <w:pPr>
              <w:pStyle w:val="TableDataColumnHeading"/>
            </w:pPr>
            <w:r w:rsidRPr="004E570B">
              <w:t xml:space="preserve">Rating of 6: </w:t>
            </w:r>
            <w:r w:rsidRPr="004E570B">
              <w:br/>
              <w:t>Very high quality</w:t>
            </w:r>
          </w:p>
        </w:tc>
      </w:tr>
      <w:tr w:rsidR="00A66E87" w:rsidRPr="004E570B" w:rsidTr="00092D69">
        <w:tblPrEx>
          <w:tblCellMar>
            <w:top w:w="0" w:type="dxa"/>
            <w:bottom w:w="0" w:type="dxa"/>
          </w:tblCellMar>
        </w:tblPrEx>
        <w:trPr>
          <w:cantSplit/>
        </w:trPr>
        <w:tc>
          <w:tcPr>
            <w:tcW w:w="2040" w:type="dxa"/>
            <w:tcBorders>
              <w:top w:val="single" w:sz="12" w:space="0" w:color="auto"/>
            </w:tcBorders>
            <w:tcMar>
              <w:left w:w="57" w:type="dxa"/>
              <w:right w:w="57" w:type="dxa"/>
            </w:tcMar>
          </w:tcPr>
          <w:p w:rsidR="00A66E87" w:rsidRPr="004E570B" w:rsidRDefault="00A66E87" w:rsidP="004E570B">
            <w:pPr>
              <w:pStyle w:val="TableDataEntries"/>
              <w:jc w:val="left"/>
            </w:pPr>
            <w:r w:rsidRPr="004E570B">
              <w:t>Implementation progress</w:t>
            </w:r>
          </w:p>
        </w:tc>
        <w:tc>
          <w:tcPr>
            <w:tcW w:w="2114" w:type="dxa"/>
            <w:tcBorders>
              <w:top w:val="single" w:sz="12" w:space="0" w:color="auto"/>
            </w:tcBorders>
            <w:tcMar>
              <w:left w:w="57" w:type="dxa"/>
              <w:right w:w="57" w:type="dxa"/>
            </w:tcMar>
          </w:tcPr>
          <w:p w:rsidR="00A66E87" w:rsidRPr="004E570B" w:rsidRDefault="008C3736" w:rsidP="004E570B">
            <w:pPr>
              <w:pStyle w:val="TableDataEntries"/>
            </w:pPr>
            <w:r w:rsidRPr="004E570B">
              <w:t>3</w:t>
            </w:r>
          </w:p>
        </w:tc>
        <w:tc>
          <w:tcPr>
            <w:tcW w:w="1400" w:type="dxa"/>
            <w:tcBorders>
              <w:top w:val="single" w:sz="12" w:space="0" w:color="auto"/>
            </w:tcBorders>
            <w:tcMar>
              <w:left w:w="57" w:type="dxa"/>
              <w:right w:w="57" w:type="dxa"/>
            </w:tcMar>
          </w:tcPr>
          <w:p w:rsidR="00A66E87" w:rsidRPr="004E570B" w:rsidRDefault="008C3736" w:rsidP="004E570B">
            <w:pPr>
              <w:pStyle w:val="TableDataEntries"/>
            </w:pPr>
            <w:r w:rsidRPr="004E570B">
              <w:t>5</w:t>
            </w:r>
          </w:p>
        </w:tc>
        <w:tc>
          <w:tcPr>
            <w:tcW w:w="1046" w:type="dxa"/>
            <w:tcBorders>
              <w:top w:val="single" w:sz="12" w:space="0" w:color="auto"/>
            </w:tcBorders>
            <w:tcMar>
              <w:left w:w="57" w:type="dxa"/>
              <w:right w:w="57" w:type="dxa"/>
            </w:tcMar>
          </w:tcPr>
          <w:p w:rsidR="00A66E87" w:rsidRPr="004E570B" w:rsidRDefault="00A66E87" w:rsidP="004E570B">
            <w:pPr>
              <w:pStyle w:val="TableDataEntries"/>
            </w:pPr>
            <w:r w:rsidRPr="004E570B">
              <w:t>2</w:t>
            </w:r>
          </w:p>
        </w:tc>
        <w:tc>
          <w:tcPr>
            <w:tcW w:w="1351" w:type="dxa"/>
            <w:tcBorders>
              <w:top w:val="single" w:sz="12" w:space="0" w:color="auto"/>
            </w:tcBorders>
            <w:tcMar>
              <w:left w:w="57" w:type="dxa"/>
              <w:right w:w="57" w:type="dxa"/>
            </w:tcMar>
          </w:tcPr>
          <w:p w:rsidR="00A66E87" w:rsidRPr="004E570B" w:rsidRDefault="008C3736" w:rsidP="004E570B">
            <w:pPr>
              <w:pStyle w:val="TableDataEntries"/>
            </w:pPr>
            <w:r w:rsidRPr="004E570B">
              <w:t>1</w:t>
            </w:r>
          </w:p>
        </w:tc>
      </w:tr>
      <w:tr w:rsidR="00A66E87" w:rsidRPr="004E570B" w:rsidTr="00092D69">
        <w:tblPrEx>
          <w:tblCellMar>
            <w:top w:w="0" w:type="dxa"/>
            <w:bottom w:w="0" w:type="dxa"/>
          </w:tblCellMar>
        </w:tblPrEx>
        <w:trPr>
          <w:cantSplit/>
        </w:trPr>
        <w:tc>
          <w:tcPr>
            <w:tcW w:w="2040" w:type="dxa"/>
            <w:tcMar>
              <w:left w:w="57" w:type="dxa"/>
              <w:right w:w="57" w:type="dxa"/>
            </w:tcMar>
          </w:tcPr>
          <w:p w:rsidR="00A66E87" w:rsidRPr="004E570B" w:rsidRDefault="00A66E87" w:rsidP="004E570B">
            <w:pPr>
              <w:pStyle w:val="TableDataEntries"/>
              <w:jc w:val="left"/>
            </w:pPr>
            <w:r w:rsidRPr="004E570B">
              <w:t>Achieving objectives</w:t>
            </w:r>
          </w:p>
        </w:tc>
        <w:tc>
          <w:tcPr>
            <w:tcW w:w="2114" w:type="dxa"/>
            <w:tcMar>
              <w:left w:w="57" w:type="dxa"/>
              <w:right w:w="57" w:type="dxa"/>
            </w:tcMar>
          </w:tcPr>
          <w:p w:rsidR="00A66E87" w:rsidRPr="004E570B" w:rsidRDefault="008C3736" w:rsidP="004E570B">
            <w:pPr>
              <w:pStyle w:val="TableDataEntries"/>
            </w:pPr>
            <w:r w:rsidRPr="004E570B">
              <w:t>3</w:t>
            </w:r>
          </w:p>
        </w:tc>
        <w:tc>
          <w:tcPr>
            <w:tcW w:w="1400" w:type="dxa"/>
            <w:tcMar>
              <w:left w:w="57" w:type="dxa"/>
              <w:right w:w="57" w:type="dxa"/>
            </w:tcMar>
          </w:tcPr>
          <w:p w:rsidR="00A66E87" w:rsidRPr="004E570B" w:rsidRDefault="008C3736" w:rsidP="004E570B">
            <w:pPr>
              <w:pStyle w:val="TableDataEntries"/>
            </w:pPr>
            <w:r w:rsidRPr="004E570B">
              <w:t>4</w:t>
            </w:r>
          </w:p>
        </w:tc>
        <w:tc>
          <w:tcPr>
            <w:tcW w:w="1046" w:type="dxa"/>
            <w:tcMar>
              <w:left w:w="57" w:type="dxa"/>
              <w:right w:w="57" w:type="dxa"/>
            </w:tcMar>
          </w:tcPr>
          <w:p w:rsidR="00A66E87" w:rsidRPr="004E570B" w:rsidRDefault="008C3736" w:rsidP="004E570B">
            <w:pPr>
              <w:pStyle w:val="TableDataEntries"/>
            </w:pPr>
            <w:r w:rsidRPr="004E570B">
              <w:t>3</w:t>
            </w:r>
          </w:p>
        </w:tc>
        <w:tc>
          <w:tcPr>
            <w:tcW w:w="1351" w:type="dxa"/>
            <w:tcMar>
              <w:left w:w="57" w:type="dxa"/>
              <w:right w:w="57" w:type="dxa"/>
            </w:tcMar>
          </w:tcPr>
          <w:p w:rsidR="00A66E87" w:rsidRPr="004E570B" w:rsidRDefault="00A66E87" w:rsidP="004E570B">
            <w:pPr>
              <w:pStyle w:val="TableDataEntries"/>
            </w:pPr>
            <w:r w:rsidRPr="004E570B">
              <w:t>1</w:t>
            </w:r>
          </w:p>
        </w:tc>
      </w:tr>
      <w:tr w:rsidR="00A66E87" w:rsidRPr="004E570B" w:rsidTr="00092D69">
        <w:tblPrEx>
          <w:tblCellMar>
            <w:top w:w="0" w:type="dxa"/>
            <w:bottom w:w="0" w:type="dxa"/>
          </w:tblCellMar>
        </w:tblPrEx>
        <w:trPr>
          <w:cantSplit/>
        </w:trPr>
        <w:tc>
          <w:tcPr>
            <w:tcW w:w="2040" w:type="dxa"/>
            <w:tcMar>
              <w:left w:w="57" w:type="dxa"/>
              <w:right w:w="57" w:type="dxa"/>
            </w:tcMar>
          </w:tcPr>
          <w:p w:rsidR="00A66E87" w:rsidRPr="004E570B" w:rsidRDefault="00A66E87" w:rsidP="004E570B">
            <w:pPr>
              <w:pStyle w:val="TableDataEntries"/>
              <w:jc w:val="left"/>
            </w:pPr>
            <w:r w:rsidRPr="004E570B">
              <w:t>Monitoring and evaluation</w:t>
            </w:r>
          </w:p>
        </w:tc>
        <w:tc>
          <w:tcPr>
            <w:tcW w:w="2114" w:type="dxa"/>
            <w:tcMar>
              <w:left w:w="57" w:type="dxa"/>
              <w:right w:w="57" w:type="dxa"/>
            </w:tcMar>
          </w:tcPr>
          <w:p w:rsidR="00A66E87" w:rsidRPr="004E570B" w:rsidRDefault="008C3736" w:rsidP="004E570B">
            <w:pPr>
              <w:pStyle w:val="TableDataEntries"/>
            </w:pPr>
            <w:r w:rsidRPr="004E570B">
              <w:t>4</w:t>
            </w:r>
          </w:p>
        </w:tc>
        <w:tc>
          <w:tcPr>
            <w:tcW w:w="1400" w:type="dxa"/>
            <w:tcMar>
              <w:left w:w="57" w:type="dxa"/>
              <w:right w:w="57" w:type="dxa"/>
            </w:tcMar>
          </w:tcPr>
          <w:p w:rsidR="00A66E87" w:rsidRPr="004E570B" w:rsidRDefault="008C3736" w:rsidP="004E570B">
            <w:pPr>
              <w:pStyle w:val="TableDataEntries"/>
            </w:pPr>
            <w:r w:rsidRPr="004E570B">
              <w:t>5</w:t>
            </w:r>
          </w:p>
        </w:tc>
        <w:tc>
          <w:tcPr>
            <w:tcW w:w="1046" w:type="dxa"/>
            <w:tcMar>
              <w:left w:w="57" w:type="dxa"/>
              <w:right w:w="57" w:type="dxa"/>
            </w:tcMar>
          </w:tcPr>
          <w:p w:rsidR="00A66E87" w:rsidRPr="004E570B" w:rsidRDefault="008C3736" w:rsidP="004E570B">
            <w:pPr>
              <w:pStyle w:val="TableDataEntries"/>
            </w:pPr>
            <w:r w:rsidRPr="004E570B">
              <w:t>2</w:t>
            </w:r>
          </w:p>
        </w:tc>
        <w:tc>
          <w:tcPr>
            <w:tcW w:w="1351" w:type="dxa"/>
            <w:tcMar>
              <w:left w:w="57" w:type="dxa"/>
              <w:right w:w="57" w:type="dxa"/>
            </w:tcMar>
          </w:tcPr>
          <w:p w:rsidR="00A66E87" w:rsidRPr="004E570B" w:rsidRDefault="00A66E87" w:rsidP="004E570B">
            <w:pPr>
              <w:pStyle w:val="TableDataEntries"/>
            </w:pPr>
            <w:r w:rsidRPr="004E570B">
              <w:t>0</w:t>
            </w:r>
          </w:p>
        </w:tc>
      </w:tr>
      <w:tr w:rsidR="00A66E87" w:rsidRPr="004E570B" w:rsidTr="00092D69">
        <w:tblPrEx>
          <w:tblCellMar>
            <w:top w:w="0" w:type="dxa"/>
            <w:bottom w:w="0" w:type="dxa"/>
          </w:tblCellMar>
        </w:tblPrEx>
        <w:trPr>
          <w:cantSplit/>
        </w:trPr>
        <w:tc>
          <w:tcPr>
            <w:tcW w:w="2040" w:type="dxa"/>
            <w:tcBorders>
              <w:bottom w:val="single" w:sz="12" w:space="0" w:color="auto"/>
            </w:tcBorders>
            <w:tcMar>
              <w:left w:w="57" w:type="dxa"/>
              <w:right w:w="57" w:type="dxa"/>
            </w:tcMar>
          </w:tcPr>
          <w:p w:rsidR="00A66E87" w:rsidRPr="004E570B" w:rsidRDefault="00A66E87" w:rsidP="004E570B">
            <w:pPr>
              <w:pStyle w:val="TableDataEntries"/>
              <w:jc w:val="left"/>
            </w:pPr>
            <w:r w:rsidRPr="004E570B">
              <w:t>Sustainability</w:t>
            </w:r>
          </w:p>
        </w:tc>
        <w:tc>
          <w:tcPr>
            <w:tcW w:w="2114" w:type="dxa"/>
            <w:tcBorders>
              <w:bottom w:val="single" w:sz="12" w:space="0" w:color="auto"/>
            </w:tcBorders>
            <w:tcMar>
              <w:left w:w="57" w:type="dxa"/>
              <w:right w:w="57" w:type="dxa"/>
            </w:tcMar>
          </w:tcPr>
          <w:p w:rsidR="00A66E87" w:rsidRPr="004E570B" w:rsidRDefault="00D24EFB" w:rsidP="004E570B">
            <w:pPr>
              <w:pStyle w:val="TableDataEntries"/>
            </w:pPr>
            <w:r w:rsidRPr="004E570B">
              <w:t>2</w:t>
            </w:r>
          </w:p>
        </w:tc>
        <w:tc>
          <w:tcPr>
            <w:tcW w:w="1400" w:type="dxa"/>
            <w:tcBorders>
              <w:bottom w:val="single" w:sz="12" w:space="0" w:color="auto"/>
            </w:tcBorders>
            <w:tcMar>
              <w:left w:w="57" w:type="dxa"/>
              <w:right w:w="57" w:type="dxa"/>
            </w:tcMar>
          </w:tcPr>
          <w:p w:rsidR="00A66E87" w:rsidRPr="004E570B" w:rsidRDefault="00D24EFB" w:rsidP="004E570B">
            <w:pPr>
              <w:pStyle w:val="TableDataEntries"/>
            </w:pPr>
            <w:r w:rsidRPr="004E570B">
              <w:t>7</w:t>
            </w:r>
          </w:p>
        </w:tc>
        <w:tc>
          <w:tcPr>
            <w:tcW w:w="1046" w:type="dxa"/>
            <w:tcBorders>
              <w:bottom w:val="single" w:sz="12" w:space="0" w:color="auto"/>
            </w:tcBorders>
            <w:tcMar>
              <w:left w:w="57" w:type="dxa"/>
              <w:right w:w="57" w:type="dxa"/>
            </w:tcMar>
          </w:tcPr>
          <w:p w:rsidR="00A66E87" w:rsidRPr="004E570B" w:rsidRDefault="00D24EFB" w:rsidP="004E570B">
            <w:pPr>
              <w:pStyle w:val="TableDataEntries"/>
            </w:pPr>
            <w:r w:rsidRPr="004E570B">
              <w:t>2</w:t>
            </w:r>
          </w:p>
        </w:tc>
        <w:tc>
          <w:tcPr>
            <w:tcW w:w="1351" w:type="dxa"/>
            <w:tcBorders>
              <w:bottom w:val="single" w:sz="12" w:space="0" w:color="auto"/>
            </w:tcBorders>
            <w:tcMar>
              <w:left w:w="57" w:type="dxa"/>
              <w:right w:w="57" w:type="dxa"/>
            </w:tcMar>
          </w:tcPr>
          <w:p w:rsidR="00A66E87" w:rsidRPr="004E570B" w:rsidRDefault="00A66E87" w:rsidP="004E570B">
            <w:pPr>
              <w:pStyle w:val="TableDataEntries"/>
            </w:pPr>
            <w:r w:rsidRPr="004E570B">
              <w:t>0</w:t>
            </w:r>
          </w:p>
        </w:tc>
      </w:tr>
    </w:tbl>
    <w:p w:rsidR="008C3736" w:rsidRPr="004E570B" w:rsidRDefault="008C3736" w:rsidP="004E570B">
      <w:pPr>
        <w:pStyle w:val="Source"/>
      </w:pPr>
    </w:p>
    <w:p w:rsidR="00BB59F2" w:rsidRPr="004E570B" w:rsidRDefault="00E33752" w:rsidP="004E570B">
      <w:pPr>
        <w:pStyle w:val="BodyText"/>
      </w:pPr>
      <w:r w:rsidRPr="004E570B">
        <w:lastRenderedPageBreak/>
        <w:t>As examples of the challenges faced by initiatives, one</w:t>
      </w:r>
      <w:r w:rsidR="00BB59F2" w:rsidRPr="004E570B">
        <w:t xml:space="preserve"> </w:t>
      </w:r>
      <w:r w:rsidRPr="004E570B">
        <w:t>was</w:t>
      </w:r>
      <w:r w:rsidR="00BB59F2" w:rsidRPr="004E570B">
        <w:t xml:space="preserve"> hampered by the poor flow of funds due </w:t>
      </w:r>
      <w:r w:rsidRPr="004E570B">
        <w:t xml:space="preserve">in part </w:t>
      </w:r>
      <w:r w:rsidR="00BB59F2" w:rsidRPr="004E570B">
        <w:t xml:space="preserve">to the complexity of the financial management procedures put in place to address </w:t>
      </w:r>
      <w:r w:rsidR="00BB59F2" w:rsidRPr="004E570B">
        <w:rPr>
          <w:spacing w:val="-1"/>
        </w:rPr>
        <w:t>accountability concerns</w:t>
      </w:r>
      <w:r w:rsidR="004071C2" w:rsidRPr="004E570B">
        <w:rPr>
          <w:spacing w:val="-1"/>
        </w:rPr>
        <w:t xml:space="preserve"> and a</w:t>
      </w:r>
      <w:r w:rsidRPr="004E570B">
        <w:rPr>
          <w:spacing w:val="-1"/>
        </w:rPr>
        <w:t>nother made</w:t>
      </w:r>
      <w:r w:rsidR="00BB59F2" w:rsidRPr="004E570B">
        <w:rPr>
          <w:spacing w:val="-1"/>
        </w:rPr>
        <w:t xml:space="preserve"> slow progress due to the unstable political situation</w:t>
      </w:r>
      <w:r w:rsidR="00BB59F2" w:rsidRPr="004E570B">
        <w:t>.</w:t>
      </w:r>
    </w:p>
    <w:p w:rsidR="008552AB" w:rsidRPr="004E570B" w:rsidRDefault="008552AB" w:rsidP="004E570B">
      <w:pPr>
        <w:pStyle w:val="Heading1unnumbered"/>
        <w:rPr>
          <w:color w:val="auto"/>
        </w:rPr>
      </w:pPr>
      <w:bookmarkStart w:id="20" w:name="_Toc217896626"/>
      <w:r w:rsidRPr="004E570B">
        <w:rPr>
          <w:color w:val="auto"/>
        </w:rPr>
        <w:lastRenderedPageBreak/>
        <w:t>Challenges and implications for the aid program</w:t>
      </w:r>
      <w:bookmarkEnd w:id="20"/>
    </w:p>
    <w:p w:rsidR="008552AB" w:rsidRPr="004E570B" w:rsidRDefault="008552AB" w:rsidP="004E570B">
      <w:pPr>
        <w:pStyle w:val="Heading2unnumbered"/>
        <w:spacing w:before="120"/>
        <w:rPr>
          <w:color w:val="auto"/>
        </w:rPr>
      </w:pPr>
      <w:bookmarkStart w:id="21" w:name="_Toc217896627"/>
      <w:r w:rsidRPr="004E570B">
        <w:rPr>
          <w:color w:val="auto"/>
        </w:rPr>
        <w:t>Global health priorities and funding</w:t>
      </w:r>
      <w:bookmarkEnd w:id="21"/>
    </w:p>
    <w:p w:rsidR="008552AB" w:rsidRPr="004E570B" w:rsidRDefault="008552AB" w:rsidP="00877C04">
      <w:pPr>
        <w:pStyle w:val="ListBullet"/>
        <w:numPr>
          <w:ilvl w:val="0"/>
          <w:numId w:val="13"/>
        </w:numPr>
      </w:pPr>
      <w:r w:rsidRPr="004E570B">
        <w:t xml:space="preserve">Globally, including in the Asia-Pacific region, </w:t>
      </w:r>
      <w:r w:rsidR="00F7407A" w:rsidRPr="004E570B">
        <w:t>MDGs </w:t>
      </w:r>
      <w:r w:rsidRPr="004E570B">
        <w:t>4 and 5 are underfunded,</w:t>
      </w:r>
      <w:r w:rsidRPr="004E570B">
        <w:rPr>
          <w:b/>
        </w:rPr>
        <w:t xml:space="preserve"> </w:t>
      </w:r>
      <w:r w:rsidRPr="004E570B">
        <w:t>accounting for only 2–3 per cent of global expenditure</w:t>
      </w:r>
      <w:r w:rsidR="00634BCB" w:rsidRPr="004E570B">
        <w:t xml:space="preserve"> of official development assistance</w:t>
      </w:r>
      <w:r w:rsidRPr="004E570B">
        <w:t>. With the curre</w:t>
      </w:r>
      <w:r w:rsidR="00F7407A" w:rsidRPr="004E570B">
        <w:t>nt level of expenditure on MDGs </w:t>
      </w:r>
      <w:r w:rsidRPr="004E570B">
        <w:t xml:space="preserve">4 and 5 it will not be possible to reach the 2015 goals. While there has been a huge increase in funding for health development over the past decade, this has been largely focused on specific diseases (especially AIDS, </w:t>
      </w:r>
      <w:r w:rsidR="00CB3CD7" w:rsidRPr="004E570B">
        <w:t xml:space="preserve">tuberculosis </w:t>
      </w:r>
      <w:r w:rsidRPr="004E570B">
        <w:t>and malaria) and technology</w:t>
      </w:r>
      <w:r w:rsidR="00CA1BEA" w:rsidRPr="004E570B">
        <w:t>-</w:t>
      </w:r>
      <w:r w:rsidRPr="004E570B">
        <w:t xml:space="preserve">based interventions (especially vaccines). (Australia’s contribution to </w:t>
      </w:r>
      <w:r w:rsidR="00CA1BEA" w:rsidRPr="004E570B">
        <w:t xml:space="preserve">achieve </w:t>
      </w:r>
      <w:r w:rsidR="008B1872" w:rsidRPr="004E570B">
        <w:t>MDG </w:t>
      </w:r>
      <w:r w:rsidRPr="004E570B">
        <w:t>6 is three to four t</w:t>
      </w:r>
      <w:r w:rsidR="00F7407A" w:rsidRPr="004E570B">
        <w:t xml:space="preserve">imes greater than </w:t>
      </w:r>
      <w:r w:rsidR="00CA1BEA" w:rsidRPr="004E570B">
        <w:t xml:space="preserve">its contributions </w:t>
      </w:r>
      <w:r w:rsidR="00F7407A" w:rsidRPr="004E570B">
        <w:t xml:space="preserve">to </w:t>
      </w:r>
      <w:r w:rsidR="00CA1BEA" w:rsidRPr="004E570B">
        <w:t xml:space="preserve">meet </w:t>
      </w:r>
      <w:r w:rsidR="00F7407A" w:rsidRPr="004E570B">
        <w:t>MDGs </w:t>
      </w:r>
      <w:r w:rsidRPr="004E570B">
        <w:t>4 and 5 combined.)</w:t>
      </w:r>
    </w:p>
    <w:p w:rsidR="008552AB" w:rsidRPr="004E570B" w:rsidRDefault="008552AB" w:rsidP="00877C04">
      <w:pPr>
        <w:pStyle w:val="ListBullet"/>
        <w:numPr>
          <w:ilvl w:val="0"/>
          <w:numId w:val="13"/>
        </w:numPr>
      </w:pPr>
      <w:r w:rsidRPr="004E570B">
        <w:t xml:space="preserve">Globally, </w:t>
      </w:r>
      <w:r w:rsidR="00CA1BEA" w:rsidRPr="004E570B">
        <w:t xml:space="preserve">more </w:t>
      </w:r>
      <w:r w:rsidRPr="004E570B">
        <w:t xml:space="preserve">development assistance has </w:t>
      </w:r>
      <w:r w:rsidR="00CA1BEA" w:rsidRPr="004E570B">
        <w:t>been directed to the African continent than</w:t>
      </w:r>
      <w:r w:rsidRPr="004E570B">
        <w:t xml:space="preserve"> </w:t>
      </w:r>
      <w:r w:rsidR="00CA1BEA" w:rsidRPr="004E570B">
        <w:t>to</w:t>
      </w:r>
      <w:r w:rsidRPr="004E570B">
        <w:t xml:space="preserve"> Asia and the Pacific, which, while well justified, ignores the fact that around half of all maternal and child deaths occur in Asia.</w:t>
      </w:r>
    </w:p>
    <w:p w:rsidR="008552AB" w:rsidRPr="004E570B" w:rsidRDefault="008552AB" w:rsidP="00877C04">
      <w:pPr>
        <w:pStyle w:val="ListBullet"/>
        <w:numPr>
          <w:ilvl w:val="0"/>
          <w:numId w:val="13"/>
        </w:numPr>
      </w:pPr>
      <w:r w:rsidRPr="004E570B">
        <w:t>Despite commitments to the Paris Declaration</w:t>
      </w:r>
      <w:r w:rsidR="00CA1BEA" w:rsidRPr="004E570B">
        <w:t xml:space="preserve"> on Aid Effectiveness</w:t>
      </w:r>
      <w:r w:rsidRPr="004E570B">
        <w:t>, and numerous gatherings promoting aid alignment and harmon</w:t>
      </w:r>
      <w:r w:rsidR="00651EFB" w:rsidRPr="004E570B">
        <w:t>is</w:t>
      </w:r>
      <w:r w:rsidRPr="004E570B">
        <w:t>ation, most aid for MDGs</w:t>
      </w:r>
      <w:r w:rsidR="00F7407A" w:rsidRPr="004E570B">
        <w:t> </w:t>
      </w:r>
      <w:r w:rsidRPr="004E570B">
        <w:t xml:space="preserve">4 and 5 </w:t>
      </w:r>
      <w:proofErr w:type="gramStart"/>
      <w:r w:rsidRPr="004E570B">
        <w:t>is</w:t>
      </w:r>
      <w:proofErr w:type="gramEnd"/>
      <w:r w:rsidRPr="004E570B">
        <w:t xml:space="preserve"> as project funding</w:t>
      </w:r>
      <w:r w:rsidR="00CA1BEA" w:rsidRPr="004E570B">
        <w:t>.</w:t>
      </w:r>
      <w:r w:rsidRPr="004E570B">
        <w:t xml:space="preserve"> </w:t>
      </w:r>
      <w:r w:rsidR="00CA1BEA" w:rsidRPr="004E570B">
        <w:t>I</w:t>
      </w:r>
      <w:r w:rsidR="00F7407A" w:rsidRPr="004E570B">
        <w:t xml:space="preserve">n 2006 </w:t>
      </w:r>
      <w:r w:rsidR="00CA1BEA" w:rsidRPr="004E570B">
        <w:t xml:space="preserve">an estimated </w:t>
      </w:r>
      <w:r w:rsidR="00F7407A" w:rsidRPr="004E570B">
        <w:t>95 </w:t>
      </w:r>
      <w:r w:rsidRPr="004E570B">
        <w:t xml:space="preserve">per cent of global </w:t>
      </w:r>
      <w:r w:rsidR="00CA1BEA" w:rsidRPr="004E570B">
        <w:t xml:space="preserve">official development assistance </w:t>
      </w:r>
      <w:r w:rsidRPr="004E570B">
        <w:t>for maternal and child health was in this form</w:t>
      </w:r>
      <w:r w:rsidR="00CA1BEA" w:rsidRPr="004E570B">
        <w:t>.</w:t>
      </w:r>
      <w:r w:rsidRPr="004E570B">
        <w:rPr>
          <w:rStyle w:val="FootnoteReference"/>
          <w:sz w:val="12"/>
        </w:rPr>
        <w:footnoteReference w:id="7"/>
      </w:r>
      <w:r w:rsidRPr="004E570B">
        <w:t xml:space="preserve"> Much of this support is focused on specific interventions rather than the integrated approaches needed to have a major impact. </w:t>
      </w:r>
    </w:p>
    <w:p w:rsidR="008552AB" w:rsidRPr="00877C04" w:rsidRDefault="008552AB" w:rsidP="00877C04">
      <w:pPr>
        <w:pStyle w:val="H3"/>
        <w:numPr>
          <w:ilvl w:val="3"/>
          <w:numId w:val="18"/>
        </w:numPr>
        <w:ind w:left="0" w:firstLine="0"/>
      </w:pPr>
      <w:r w:rsidRPr="00877C04">
        <w:t>Implications for the aid program</w:t>
      </w:r>
    </w:p>
    <w:p w:rsidR="008552AB" w:rsidRPr="004E570B" w:rsidRDefault="008552AB" w:rsidP="00877C04">
      <w:pPr>
        <w:pStyle w:val="ListBullet"/>
        <w:numPr>
          <w:ilvl w:val="0"/>
          <w:numId w:val="13"/>
        </w:numPr>
        <w:spacing w:before="80"/>
      </w:pPr>
      <w:r w:rsidRPr="004E570B">
        <w:t>Australia should continue to advocate strongly for increased funding for MDGs</w:t>
      </w:r>
      <w:r w:rsidR="00CA1BEA" w:rsidRPr="004E570B">
        <w:t> </w:t>
      </w:r>
      <w:r w:rsidRPr="004E570B">
        <w:t>4 and 5, globally and in the Asia</w:t>
      </w:r>
      <w:r w:rsidR="00CA1BEA" w:rsidRPr="004E570B">
        <w:t>-</w:t>
      </w:r>
      <w:r w:rsidRPr="004E570B">
        <w:t xml:space="preserve">Pacific region. This is being addressed in part by </w:t>
      </w:r>
      <w:proofErr w:type="spellStart"/>
      <w:r w:rsidRPr="004E570B">
        <w:t>AusAID’s</w:t>
      </w:r>
      <w:proofErr w:type="spellEnd"/>
      <w:r w:rsidRPr="004E570B">
        <w:t xml:space="preserve"> active participation in the Asia</w:t>
      </w:r>
      <w:r w:rsidR="00EC0BBF" w:rsidRPr="004E570B">
        <w:t>-</w:t>
      </w:r>
      <w:r w:rsidRPr="004E570B">
        <w:t xml:space="preserve">Pacific </w:t>
      </w:r>
      <w:r w:rsidR="00EC0BBF" w:rsidRPr="004E570B">
        <w:t xml:space="preserve">Maternal, Newborn and Child Health </w:t>
      </w:r>
      <w:r w:rsidRPr="004E570B">
        <w:t>Network</w:t>
      </w:r>
      <w:r w:rsidRPr="004E570B">
        <w:rPr>
          <w:rStyle w:val="FootnoteReference"/>
          <w:sz w:val="12"/>
        </w:rPr>
        <w:footnoteReference w:id="8"/>
      </w:r>
      <w:r w:rsidRPr="004E570B">
        <w:t xml:space="preserve"> including the development</w:t>
      </w:r>
      <w:r w:rsidR="00F7407A" w:rsidRPr="004E570B">
        <w:t xml:space="preserve"> of an investment case for MDGs </w:t>
      </w:r>
      <w:r w:rsidRPr="004E570B">
        <w:t>4 and 5 for Asia and the Pacific.</w:t>
      </w:r>
    </w:p>
    <w:p w:rsidR="008552AB" w:rsidRPr="004E570B" w:rsidRDefault="008552AB" w:rsidP="00877C04">
      <w:pPr>
        <w:pStyle w:val="ListBullet"/>
        <w:numPr>
          <w:ilvl w:val="0"/>
          <w:numId w:val="13"/>
        </w:numPr>
      </w:pPr>
      <w:r w:rsidRPr="004E570B">
        <w:t>Australia should take a stronger evidence</w:t>
      </w:r>
      <w:r w:rsidR="00AE271B" w:rsidRPr="004E570B">
        <w:t>-</w:t>
      </w:r>
      <w:r w:rsidRPr="004E570B">
        <w:t>based approach to funding allocations</w:t>
      </w:r>
      <w:r w:rsidR="000624E1" w:rsidRPr="004E570B">
        <w:t>,</w:t>
      </w:r>
      <w:r w:rsidRPr="004E570B">
        <w:t xml:space="preserve"> using data on </w:t>
      </w:r>
      <w:r w:rsidR="00AE271B" w:rsidRPr="004E570B">
        <w:t xml:space="preserve">the </w:t>
      </w:r>
      <w:r w:rsidRPr="004E570B">
        <w:t>burden of disease and inequity.</w:t>
      </w:r>
      <w:r w:rsidR="004E40E6" w:rsidRPr="004E570B">
        <w:t xml:space="preserve"> </w:t>
      </w:r>
      <w:r w:rsidRPr="004E570B">
        <w:t>This would result in more resources</w:t>
      </w:r>
      <w:r w:rsidR="00AE271B" w:rsidRPr="004E570B">
        <w:t xml:space="preserve"> being allocated</w:t>
      </w:r>
      <w:r w:rsidRPr="004E570B">
        <w:t xml:space="preserve"> for activities tha</w:t>
      </w:r>
      <w:r w:rsidR="00F7407A" w:rsidRPr="004E570B">
        <w:t>t will support progress in MDGs </w:t>
      </w:r>
      <w:r w:rsidRPr="004E570B">
        <w:t xml:space="preserve">4 </w:t>
      </w:r>
      <w:r w:rsidR="00F7407A" w:rsidRPr="004E570B">
        <w:t>and</w:t>
      </w:r>
      <w:r w:rsidRPr="004E570B">
        <w:t xml:space="preserve"> 5, with an aim of at least matching </w:t>
      </w:r>
      <w:r w:rsidR="008B1872" w:rsidRPr="004E570B">
        <w:t>MDG </w:t>
      </w:r>
      <w:r w:rsidRPr="004E570B">
        <w:t>6 funding. This would also enhance Australia’</w:t>
      </w:r>
      <w:r w:rsidR="00F7407A" w:rsidRPr="004E570B">
        <w:t>s position as a leader for MDGs </w:t>
      </w:r>
      <w:r w:rsidRPr="004E570B">
        <w:t>4 and 5 in Asia and the Pacific.</w:t>
      </w:r>
    </w:p>
    <w:p w:rsidR="008552AB" w:rsidRPr="004E570B" w:rsidRDefault="008552AB" w:rsidP="00877C04">
      <w:pPr>
        <w:pStyle w:val="ListBullet"/>
        <w:keepNext/>
        <w:numPr>
          <w:ilvl w:val="0"/>
          <w:numId w:val="13"/>
        </w:numPr>
      </w:pPr>
      <w:r w:rsidRPr="004E570B">
        <w:lastRenderedPageBreak/>
        <w:t>The Australian aid program should increase its financial support to:</w:t>
      </w:r>
    </w:p>
    <w:p w:rsidR="008552AB" w:rsidRPr="004E570B" w:rsidRDefault="008552AB" w:rsidP="00877C04">
      <w:pPr>
        <w:pStyle w:val="ListBullet2"/>
        <w:keepNext/>
        <w:numPr>
          <w:ilvl w:val="0"/>
          <w:numId w:val="14"/>
        </w:numPr>
        <w:ind w:left="568" w:hanging="284"/>
      </w:pPr>
      <w:r w:rsidRPr="004E570B">
        <w:t xml:space="preserve">health policy dialogue, system improvements and recurrent costs that support basic service delivery, with a strong focus on </w:t>
      </w:r>
      <w:r w:rsidR="008B1872" w:rsidRPr="004E570B">
        <w:t>MDG</w:t>
      </w:r>
      <w:r w:rsidR="00F7407A" w:rsidRPr="004E570B">
        <w:t>s</w:t>
      </w:r>
      <w:r w:rsidR="008B1872" w:rsidRPr="004E570B">
        <w:t> </w:t>
      </w:r>
      <w:r w:rsidRPr="004E570B">
        <w:t>4 and 5 outcomes as indicators of success</w:t>
      </w:r>
    </w:p>
    <w:p w:rsidR="008552AB" w:rsidRPr="004E570B" w:rsidRDefault="008552AB" w:rsidP="00877C04">
      <w:pPr>
        <w:pStyle w:val="ListBullet2"/>
        <w:numPr>
          <w:ilvl w:val="0"/>
          <w:numId w:val="14"/>
        </w:numPr>
      </w:pPr>
      <w:r w:rsidRPr="004E570B">
        <w:t>increasing the number and skills of the health workforce</w:t>
      </w:r>
      <w:r w:rsidR="000624E1" w:rsidRPr="004E570B">
        <w:t>,</w:t>
      </w:r>
      <w:r w:rsidRPr="004E570B">
        <w:t xml:space="preserve"> both at management and service delivery levels</w:t>
      </w:r>
    </w:p>
    <w:p w:rsidR="008552AB" w:rsidRPr="004E570B" w:rsidRDefault="00E63F59" w:rsidP="00877C04">
      <w:pPr>
        <w:pStyle w:val="ListBullet2"/>
        <w:numPr>
          <w:ilvl w:val="0"/>
          <w:numId w:val="14"/>
        </w:numPr>
      </w:pPr>
      <w:proofErr w:type="gramStart"/>
      <w:r w:rsidRPr="004E570B">
        <w:t>international</w:t>
      </w:r>
      <w:proofErr w:type="gramEnd"/>
      <w:r w:rsidRPr="004E570B">
        <w:t xml:space="preserve"> organis</w:t>
      </w:r>
      <w:r w:rsidR="008552AB" w:rsidRPr="004E570B">
        <w:t>ations that provide effective technical support to M</w:t>
      </w:r>
      <w:r w:rsidR="00F7407A" w:rsidRPr="004E570B">
        <w:t>DGs </w:t>
      </w:r>
      <w:r w:rsidR="008552AB" w:rsidRPr="004E570B">
        <w:t>4 and 5.</w:t>
      </w:r>
    </w:p>
    <w:p w:rsidR="008552AB" w:rsidRPr="004E570B" w:rsidRDefault="000624E1" w:rsidP="00877C04">
      <w:pPr>
        <w:pStyle w:val="ListBullet"/>
        <w:numPr>
          <w:ilvl w:val="0"/>
          <w:numId w:val="13"/>
        </w:numPr>
      </w:pPr>
      <w:r w:rsidRPr="004E570B">
        <w:t>Having recently</w:t>
      </w:r>
      <w:r w:rsidR="008552AB" w:rsidRPr="004E570B">
        <w:t xml:space="preserve"> join</w:t>
      </w:r>
      <w:r w:rsidRPr="004E570B">
        <w:t>ed</w:t>
      </w:r>
      <w:r w:rsidR="008552AB" w:rsidRPr="004E570B">
        <w:t xml:space="preserve"> the International Health Partnership (focused on aid effectiveness and health system strength</w:t>
      </w:r>
      <w:r w:rsidR="00F7407A" w:rsidRPr="004E570B">
        <w:t>ening, with an emphasis on MDGs </w:t>
      </w:r>
      <w:r w:rsidR="008552AB" w:rsidRPr="004E570B">
        <w:t xml:space="preserve">4 </w:t>
      </w:r>
      <w:r w:rsidR="00F7407A" w:rsidRPr="004E570B">
        <w:t>and</w:t>
      </w:r>
      <w:r w:rsidR="008552AB" w:rsidRPr="004E570B">
        <w:t xml:space="preserve"> 5)</w:t>
      </w:r>
      <w:r w:rsidRPr="004E570B">
        <w:t xml:space="preserve"> Australia should become</w:t>
      </w:r>
      <w:r w:rsidR="008552AB" w:rsidRPr="004E570B">
        <w:t xml:space="preserve"> an active and constructive participant in the </w:t>
      </w:r>
      <w:r w:rsidR="00AE271B" w:rsidRPr="004E570B">
        <w:t xml:space="preserve">partnership’s </w:t>
      </w:r>
      <w:r w:rsidR="008552AB" w:rsidRPr="004E570B">
        <w:t>implementation in the</w:t>
      </w:r>
      <w:r w:rsidRPr="004E570B">
        <w:t> </w:t>
      </w:r>
      <w:r w:rsidR="008552AB" w:rsidRPr="004E570B">
        <w:t>two pilot countries in Asia (Cambodia and Nepal) and promoting the principles in other</w:t>
      </w:r>
      <w:r w:rsidRPr="004E570B">
        <w:t> </w:t>
      </w:r>
      <w:r w:rsidR="008552AB" w:rsidRPr="004E570B">
        <w:t>countries.</w:t>
      </w:r>
    </w:p>
    <w:p w:rsidR="008552AB" w:rsidRPr="004E570B" w:rsidRDefault="008552AB" w:rsidP="00877C04">
      <w:pPr>
        <w:pStyle w:val="ListBullet"/>
        <w:numPr>
          <w:ilvl w:val="0"/>
          <w:numId w:val="13"/>
        </w:numPr>
      </w:pPr>
      <w:r w:rsidRPr="004E570B">
        <w:t xml:space="preserve">Australia should continue to strongly advocate for the </w:t>
      </w:r>
      <w:r w:rsidR="008B1872" w:rsidRPr="004E570B">
        <w:t>MDG</w:t>
      </w:r>
      <w:r w:rsidR="00F7407A" w:rsidRPr="004E570B">
        <w:t>s</w:t>
      </w:r>
      <w:r w:rsidR="008B1872" w:rsidRPr="004E570B">
        <w:t> </w:t>
      </w:r>
      <w:r w:rsidRPr="004E570B">
        <w:t>4 and 5 indicat</w:t>
      </w:r>
      <w:r w:rsidR="00F7407A" w:rsidRPr="004E570B">
        <w:t>ors being the most appropriate ‘</w:t>
      </w:r>
      <w:r w:rsidRPr="004E570B">
        <w:t>bottom-line</w:t>
      </w:r>
      <w:r w:rsidR="00F7407A" w:rsidRPr="004E570B">
        <w:t>’</w:t>
      </w:r>
      <w:r w:rsidRPr="004E570B">
        <w:t xml:space="preserve"> indicators for the impact of </w:t>
      </w:r>
      <w:r w:rsidR="00AE271B" w:rsidRPr="004E570B">
        <w:t xml:space="preserve">initiatives for strengthening </w:t>
      </w:r>
      <w:r w:rsidRPr="004E570B">
        <w:t>health system</w:t>
      </w:r>
      <w:r w:rsidR="00AE271B" w:rsidRPr="004E570B">
        <w:t>s</w:t>
      </w:r>
      <w:r w:rsidRPr="004E570B">
        <w:t>.</w:t>
      </w:r>
    </w:p>
    <w:p w:rsidR="008552AB" w:rsidRPr="004E570B" w:rsidRDefault="008552AB" w:rsidP="004E570B">
      <w:pPr>
        <w:pStyle w:val="Heading2unnumbered"/>
        <w:rPr>
          <w:color w:val="auto"/>
        </w:rPr>
      </w:pPr>
      <w:bookmarkStart w:id="22" w:name="_Toc217896628"/>
      <w:r w:rsidRPr="004E570B">
        <w:rPr>
          <w:color w:val="auto"/>
        </w:rPr>
        <w:t>Health system issues</w:t>
      </w:r>
      <w:bookmarkEnd w:id="22"/>
    </w:p>
    <w:p w:rsidR="008552AB" w:rsidRPr="004E570B" w:rsidRDefault="008552AB" w:rsidP="00877C04">
      <w:pPr>
        <w:pStyle w:val="ListBullet"/>
        <w:numPr>
          <w:ilvl w:val="0"/>
          <w:numId w:val="13"/>
        </w:numPr>
      </w:pPr>
      <w:r w:rsidRPr="004E570B">
        <w:t>Addressing the challenges of health system reform, including those of health financing and human resources</w:t>
      </w:r>
      <w:r w:rsidR="000624E1" w:rsidRPr="004E570B">
        <w:t>,</w:t>
      </w:r>
      <w:r w:rsidRPr="004E570B">
        <w:t xml:space="preserve"> requires long-term sustained effort. </w:t>
      </w:r>
      <w:r w:rsidR="001437DD" w:rsidRPr="004E570B">
        <w:t>As t</w:t>
      </w:r>
      <w:r w:rsidRPr="004E570B">
        <w:t>he timeline for the MDGs is short</w:t>
      </w:r>
      <w:r w:rsidR="001437DD" w:rsidRPr="004E570B">
        <w:t>,</w:t>
      </w:r>
      <w:r w:rsidRPr="004E570B">
        <w:t xml:space="preserve"> </w:t>
      </w:r>
      <w:r w:rsidR="001437DD" w:rsidRPr="004E570B">
        <w:t xml:space="preserve">it </w:t>
      </w:r>
      <w:r w:rsidRPr="004E570B">
        <w:t>is important to ensure that efforts to strengthen the health system translate rapidly into improvements in service delivery.</w:t>
      </w:r>
    </w:p>
    <w:p w:rsidR="008552AB" w:rsidRPr="004E570B" w:rsidRDefault="001437DD" w:rsidP="00877C04">
      <w:pPr>
        <w:pStyle w:val="ListBullet"/>
        <w:numPr>
          <w:ilvl w:val="0"/>
          <w:numId w:val="13"/>
        </w:numPr>
      </w:pPr>
      <w:r w:rsidRPr="004E570B">
        <w:t>The a</w:t>
      </w:r>
      <w:r w:rsidR="008552AB" w:rsidRPr="004E570B">
        <w:t>ccess to and</w:t>
      </w:r>
      <w:r w:rsidRPr="004E570B">
        <w:t xml:space="preserve"> </w:t>
      </w:r>
      <w:r w:rsidR="008552AB" w:rsidRPr="004E570B">
        <w:t xml:space="preserve">use of basic health services </w:t>
      </w:r>
      <w:r w:rsidRPr="004E570B">
        <w:t xml:space="preserve">are </w:t>
      </w:r>
      <w:r w:rsidR="008552AB" w:rsidRPr="004E570B">
        <w:t xml:space="preserve">limited by </w:t>
      </w:r>
      <w:r w:rsidRPr="004E570B">
        <w:t xml:space="preserve">the </w:t>
      </w:r>
      <w:r w:rsidR="008552AB" w:rsidRPr="004E570B">
        <w:t>lack of well-trained human resources and by financial barriers.</w:t>
      </w:r>
    </w:p>
    <w:p w:rsidR="008552AB" w:rsidRPr="004E570B" w:rsidRDefault="008552AB" w:rsidP="00877C04">
      <w:pPr>
        <w:pStyle w:val="ListBullet"/>
        <w:numPr>
          <w:ilvl w:val="0"/>
          <w:numId w:val="13"/>
        </w:numPr>
      </w:pPr>
      <w:r w:rsidRPr="004E570B">
        <w:t>There is a lack of</w:t>
      </w:r>
      <w:r w:rsidRPr="004E570B">
        <w:rPr>
          <w:b/>
        </w:rPr>
        <w:t xml:space="preserve"> </w:t>
      </w:r>
      <w:r w:rsidRPr="004E570B">
        <w:t>reliable data to track progress towards the health MDGs, especially in Pacific island countries and at subnational level</w:t>
      </w:r>
      <w:r w:rsidR="001437DD" w:rsidRPr="004E570B">
        <w:t>s</w:t>
      </w:r>
      <w:r w:rsidRPr="004E570B">
        <w:t xml:space="preserve"> in larger countries.</w:t>
      </w:r>
    </w:p>
    <w:p w:rsidR="008552AB" w:rsidRPr="004E570B" w:rsidRDefault="008552AB" w:rsidP="00877C04">
      <w:pPr>
        <w:pStyle w:val="ListBullet"/>
        <w:numPr>
          <w:ilvl w:val="0"/>
          <w:numId w:val="13"/>
        </w:numPr>
      </w:pPr>
      <w:r w:rsidRPr="004E570B">
        <w:t>Progress towards national targets in relation to MDGs 4 and 5 is likely to be achieved in existing health systems while inequity</w:t>
      </w:r>
      <w:r w:rsidRPr="004E570B">
        <w:rPr>
          <w:b/>
        </w:rPr>
        <w:t xml:space="preserve"> </w:t>
      </w:r>
      <w:r w:rsidRPr="004E570B">
        <w:t>persists or is even exacerbated.</w:t>
      </w:r>
    </w:p>
    <w:p w:rsidR="008552AB" w:rsidRPr="00877C04" w:rsidRDefault="008552AB" w:rsidP="00877C04">
      <w:pPr>
        <w:pStyle w:val="H3"/>
        <w:numPr>
          <w:ilvl w:val="3"/>
          <w:numId w:val="18"/>
        </w:numPr>
        <w:ind w:left="0" w:firstLine="0"/>
      </w:pPr>
      <w:r w:rsidRPr="00877C04">
        <w:t>Implications for the aid program</w:t>
      </w:r>
    </w:p>
    <w:p w:rsidR="008552AB" w:rsidRPr="004E570B" w:rsidRDefault="008552AB" w:rsidP="00877C04">
      <w:pPr>
        <w:pStyle w:val="ListBullet"/>
        <w:numPr>
          <w:ilvl w:val="0"/>
          <w:numId w:val="13"/>
        </w:numPr>
        <w:spacing w:before="80"/>
      </w:pPr>
      <w:r w:rsidRPr="004E570B">
        <w:t>Efforts to strengthen health systems need to be complemented by support for service delivery now. In practice this means ensuring sufficient recurrent funding for service delivery, longer</w:t>
      </w:r>
      <w:r w:rsidR="0080758A" w:rsidRPr="004E570B">
        <w:t xml:space="preserve"> </w:t>
      </w:r>
      <w:r w:rsidRPr="004E570B">
        <w:t>term investments in the health workforce and sustained policy dialogue on system reform.</w:t>
      </w:r>
      <w:r w:rsidR="0080758A" w:rsidRPr="004E570B">
        <w:t xml:space="preserve"> </w:t>
      </w:r>
      <w:r w:rsidRPr="004E570B">
        <w:t xml:space="preserve">This should include working with partner governments to discuss and gain support for innovative approaches and alternative models for </w:t>
      </w:r>
      <w:r w:rsidR="0080758A" w:rsidRPr="004E570B">
        <w:t xml:space="preserve">providing </w:t>
      </w:r>
      <w:r w:rsidRPr="004E570B">
        <w:t>service</w:t>
      </w:r>
      <w:r w:rsidR="0080758A" w:rsidRPr="004E570B">
        <w:t>s</w:t>
      </w:r>
      <w:r w:rsidRPr="004E570B">
        <w:t>.</w:t>
      </w:r>
    </w:p>
    <w:p w:rsidR="008552AB" w:rsidRPr="004E570B" w:rsidRDefault="008552AB" w:rsidP="00877C04">
      <w:pPr>
        <w:pStyle w:val="ListBullet"/>
        <w:numPr>
          <w:ilvl w:val="0"/>
          <w:numId w:val="13"/>
        </w:numPr>
      </w:pPr>
      <w:r w:rsidRPr="004E570B">
        <w:t>Australia should increase its support to address the health workforce crisis, with a special emphasis on the Pacific. Australia should work with partner governments and other development partners to improve financing mechanisms for health that increase the level of resources, ensure sustainability of financing and remove financial barriers to access</w:t>
      </w:r>
      <w:r w:rsidR="00BE7E71" w:rsidRPr="004E570B">
        <w:t>ing</w:t>
      </w:r>
      <w:r w:rsidRPr="004E570B">
        <w:t xml:space="preserve"> basic services. </w:t>
      </w:r>
    </w:p>
    <w:p w:rsidR="008552AB" w:rsidRPr="004E570B" w:rsidRDefault="008552AB" w:rsidP="00877C04">
      <w:pPr>
        <w:pStyle w:val="ListBullet"/>
        <w:numPr>
          <w:ilvl w:val="0"/>
          <w:numId w:val="13"/>
        </w:numPr>
      </w:pPr>
      <w:r w:rsidRPr="004E570B">
        <w:t xml:space="preserve">Australia should help </w:t>
      </w:r>
      <w:r w:rsidR="00BE7E71" w:rsidRPr="004E570B">
        <w:t xml:space="preserve">to </w:t>
      </w:r>
      <w:r w:rsidRPr="004E570B">
        <w:t xml:space="preserve">build local capacity for health information systems. </w:t>
      </w:r>
      <w:r w:rsidR="000624E1" w:rsidRPr="004E570B">
        <w:t xml:space="preserve">Work in this direction has started through </w:t>
      </w:r>
      <w:r w:rsidRPr="004E570B">
        <w:t xml:space="preserve">the </w:t>
      </w:r>
      <w:proofErr w:type="spellStart"/>
      <w:r w:rsidRPr="004E570B">
        <w:t>AusAID</w:t>
      </w:r>
      <w:proofErr w:type="spellEnd"/>
      <w:r w:rsidR="00403552" w:rsidRPr="004E570B">
        <w:t>-</w:t>
      </w:r>
      <w:r w:rsidRPr="004E570B">
        <w:t xml:space="preserve">funded Health Information Systems Knowledge Hub at </w:t>
      </w:r>
      <w:r w:rsidR="00403552" w:rsidRPr="004E570B">
        <w:t xml:space="preserve">the </w:t>
      </w:r>
      <w:r w:rsidRPr="004E570B">
        <w:t>University of Queensland.</w:t>
      </w:r>
    </w:p>
    <w:p w:rsidR="008552AB" w:rsidRPr="004E570B" w:rsidRDefault="008552AB" w:rsidP="00877C04">
      <w:pPr>
        <w:pStyle w:val="ListBullet"/>
        <w:numPr>
          <w:ilvl w:val="0"/>
          <w:numId w:val="13"/>
        </w:numPr>
      </w:pPr>
      <w:r w:rsidRPr="004E570B">
        <w:t>Australia should work with partner governments and development partners to ensure that joint monitoring and evaluation systems explicitly and routinely include equity indicators.</w:t>
      </w:r>
    </w:p>
    <w:p w:rsidR="008552AB" w:rsidRPr="004E570B" w:rsidRDefault="008552AB" w:rsidP="004E570B">
      <w:pPr>
        <w:pStyle w:val="Heading2unnumbered"/>
        <w:rPr>
          <w:color w:val="auto"/>
        </w:rPr>
      </w:pPr>
      <w:bookmarkStart w:id="23" w:name="_Toc217896629"/>
      <w:r w:rsidRPr="004E570B">
        <w:rPr>
          <w:color w:val="auto"/>
        </w:rPr>
        <w:lastRenderedPageBreak/>
        <w:t>Beyond the health sector</w:t>
      </w:r>
      <w:bookmarkEnd w:id="23"/>
    </w:p>
    <w:p w:rsidR="008552AB" w:rsidRPr="004E570B" w:rsidRDefault="008552AB" w:rsidP="00877C04">
      <w:pPr>
        <w:pStyle w:val="ListBullet"/>
        <w:numPr>
          <w:ilvl w:val="0"/>
          <w:numId w:val="13"/>
        </w:numPr>
        <w:rPr>
          <w:spacing w:val="-2"/>
        </w:rPr>
      </w:pPr>
      <w:r w:rsidRPr="004E570B">
        <w:rPr>
          <w:spacing w:val="-2"/>
        </w:rPr>
        <w:t xml:space="preserve">The status and value of women in society, reflected in gender inequity in many dimensions of daily life, </w:t>
      </w:r>
      <w:r w:rsidR="00403552" w:rsidRPr="004E570B">
        <w:rPr>
          <w:spacing w:val="-2"/>
        </w:rPr>
        <w:t xml:space="preserve">are </w:t>
      </w:r>
      <w:r w:rsidRPr="004E570B">
        <w:rPr>
          <w:spacing w:val="-2"/>
        </w:rPr>
        <w:t>a major constraint to progress, e</w:t>
      </w:r>
      <w:r w:rsidR="008B1872" w:rsidRPr="004E570B">
        <w:rPr>
          <w:spacing w:val="-2"/>
        </w:rPr>
        <w:t>specially in relation to MDG </w:t>
      </w:r>
      <w:r w:rsidRPr="004E570B">
        <w:rPr>
          <w:spacing w:val="-2"/>
        </w:rPr>
        <w:t>5. Nevertheless, gender inequity continues to be overlooked in the design of most health programs.</w:t>
      </w:r>
    </w:p>
    <w:p w:rsidR="008552AB" w:rsidRPr="004E570B" w:rsidRDefault="008552AB" w:rsidP="00877C04">
      <w:pPr>
        <w:pStyle w:val="ListBullet"/>
        <w:numPr>
          <w:ilvl w:val="0"/>
          <w:numId w:val="13"/>
        </w:numPr>
      </w:pPr>
      <w:r w:rsidRPr="004E570B">
        <w:t xml:space="preserve">The global food crisis will increase the prevalence and severity of </w:t>
      </w:r>
      <w:r w:rsidR="0066641F" w:rsidRPr="004E570B">
        <w:t xml:space="preserve">inadequate </w:t>
      </w:r>
      <w:r w:rsidRPr="004E570B">
        <w:t>nutrition, already a major factor in maternal and child health. The Asia</w:t>
      </w:r>
      <w:r w:rsidR="0066641F" w:rsidRPr="004E570B">
        <w:t>-</w:t>
      </w:r>
      <w:r w:rsidRPr="004E570B">
        <w:t>Pacific region accounts for two-thirds of the world’s underweight children. Unless it can be effectively and rapidly addressed</w:t>
      </w:r>
      <w:r w:rsidR="000624E1" w:rsidRPr="004E570B">
        <w:t>,</w:t>
      </w:r>
      <w:r w:rsidRPr="004E570B">
        <w:t xml:space="preserve"> one impact of the food crisis may well be increasing mortality rates, slowing or even reversing progress towards MDGs 4 and 5. Similarly, rising fuel prices have an effect on health care costs for service providers and users.</w:t>
      </w:r>
    </w:p>
    <w:p w:rsidR="008552AB" w:rsidRPr="004E570B" w:rsidRDefault="008552AB" w:rsidP="00877C04">
      <w:pPr>
        <w:pStyle w:val="ListBullet"/>
        <w:numPr>
          <w:ilvl w:val="0"/>
          <w:numId w:val="13"/>
        </w:numPr>
      </w:pPr>
      <w:r w:rsidRPr="004E570B">
        <w:t xml:space="preserve">Reforms in the health sector, especially those related to financing and human </w:t>
      </w:r>
      <w:proofErr w:type="gramStart"/>
      <w:r w:rsidRPr="004E570B">
        <w:t>resources,</w:t>
      </w:r>
      <w:proofErr w:type="gramEnd"/>
      <w:r w:rsidRPr="004E570B">
        <w:t xml:space="preserve"> depend on policies and reforms outside of the sector</w:t>
      </w:r>
      <w:r w:rsidR="0066641F" w:rsidRPr="004E570B">
        <w:t>—</w:t>
      </w:r>
      <w:r w:rsidRPr="004E570B">
        <w:t xml:space="preserve">for example, in budget allocation, public financial management and </w:t>
      </w:r>
      <w:r w:rsidR="002035C0" w:rsidRPr="004E570B">
        <w:t xml:space="preserve">the </w:t>
      </w:r>
      <w:r w:rsidRPr="004E570B">
        <w:t>civil service.</w:t>
      </w:r>
    </w:p>
    <w:p w:rsidR="008552AB" w:rsidRPr="00877C04" w:rsidRDefault="008552AB" w:rsidP="00877C04">
      <w:pPr>
        <w:pStyle w:val="H3"/>
        <w:numPr>
          <w:ilvl w:val="3"/>
          <w:numId w:val="18"/>
        </w:numPr>
        <w:ind w:left="0" w:firstLine="0"/>
      </w:pPr>
      <w:r w:rsidRPr="00877C04">
        <w:t>Implications for the aid program</w:t>
      </w:r>
    </w:p>
    <w:p w:rsidR="008552AB" w:rsidRPr="004E570B" w:rsidRDefault="008552AB" w:rsidP="00877C04">
      <w:pPr>
        <w:pStyle w:val="ListBullet"/>
        <w:numPr>
          <w:ilvl w:val="0"/>
          <w:numId w:val="13"/>
        </w:numPr>
        <w:spacing w:before="80"/>
      </w:pPr>
      <w:r w:rsidRPr="004E570B">
        <w:t>Experts in gender equity should be included in the early stages of design of all new health initiatives.</w:t>
      </w:r>
    </w:p>
    <w:p w:rsidR="008552AB" w:rsidRPr="004E570B" w:rsidRDefault="008552AB" w:rsidP="00877C04">
      <w:pPr>
        <w:pStyle w:val="ListBullet"/>
        <w:numPr>
          <w:ilvl w:val="0"/>
          <w:numId w:val="13"/>
        </w:numPr>
      </w:pPr>
      <w:r w:rsidRPr="004E570B">
        <w:t xml:space="preserve">Australia should foster links between its efforts to address the food crisis and </w:t>
      </w:r>
      <w:r w:rsidR="008B1872" w:rsidRPr="004E570B">
        <w:t>MDG </w:t>
      </w:r>
      <w:r w:rsidRPr="004E570B">
        <w:t xml:space="preserve">1 and those to address </w:t>
      </w:r>
      <w:r w:rsidR="008B1872" w:rsidRPr="004E570B">
        <w:t>MDG</w:t>
      </w:r>
      <w:r w:rsidR="00F7407A" w:rsidRPr="004E570B">
        <w:t>s</w:t>
      </w:r>
      <w:r w:rsidR="008B1872" w:rsidRPr="004E570B">
        <w:t> </w:t>
      </w:r>
      <w:r w:rsidRPr="004E570B">
        <w:t>4 and 5.</w:t>
      </w:r>
    </w:p>
    <w:p w:rsidR="008552AB" w:rsidRPr="004E570B" w:rsidRDefault="008552AB" w:rsidP="00877C04">
      <w:pPr>
        <w:pStyle w:val="ListBullet"/>
        <w:numPr>
          <w:ilvl w:val="0"/>
          <w:numId w:val="13"/>
        </w:numPr>
      </w:pPr>
      <w:r w:rsidRPr="004E570B">
        <w:t>Where Australia is working with central agencies to improve public financial management</w:t>
      </w:r>
      <w:r w:rsidR="002035C0" w:rsidRPr="004E570B">
        <w:t>,</w:t>
      </w:r>
      <w:r w:rsidRPr="004E570B">
        <w:t xml:space="preserve"> </w:t>
      </w:r>
      <w:r w:rsidR="002035C0" w:rsidRPr="004E570B">
        <w:t xml:space="preserve">reform </w:t>
      </w:r>
      <w:r w:rsidRPr="004E570B">
        <w:t>civil service</w:t>
      </w:r>
      <w:r w:rsidR="002035C0" w:rsidRPr="004E570B">
        <w:t>s</w:t>
      </w:r>
      <w:r w:rsidRPr="004E570B">
        <w:t xml:space="preserve"> or address governance issues, it is important to link those efforts to developments in the health sector.</w:t>
      </w:r>
    </w:p>
    <w:p w:rsidR="008552AB" w:rsidRPr="004E570B" w:rsidRDefault="008552AB" w:rsidP="004E570B">
      <w:pPr>
        <w:pStyle w:val="Heading2unnumbered"/>
        <w:rPr>
          <w:color w:val="auto"/>
        </w:rPr>
      </w:pPr>
      <w:bookmarkStart w:id="24" w:name="_Toc217896630"/>
      <w:r w:rsidRPr="004E570B">
        <w:rPr>
          <w:color w:val="auto"/>
        </w:rPr>
        <w:t>Conclusion</w:t>
      </w:r>
      <w:r w:rsidR="00E63F59" w:rsidRPr="004E570B">
        <w:rPr>
          <w:color w:val="auto"/>
        </w:rPr>
        <w:t>s</w:t>
      </w:r>
      <w:bookmarkEnd w:id="24"/>
    </w:p>
    <w:p w:rsidR="008552AB" w:rsidRPr="004E570B" w:rsidRDefault="008552AB" w:rsidP="004E570B">
      <w:pPr>
        <w:pStyle w:val="BodyText"/>
      </w:pPr>
      <w:r w:rsidRPr="004E570B">
        <w:t>Progress towards MDGs</w:t>
      </w:r>
      <w:r w:rsidR="00F7407A" w:rsidRPr="004E570B">
        <w:t> </w:t>
      </w:r>
      <w:r w:rsidRPr="004E570B">
        <w:t>4 and 5 in Asia and the Pacific is mixed, with many countries still facing very high rates of child and/or maternal mortality and ill</w:t>
      </w:r>
      <w:r w:rsidR="002035C0" w:rsidRPr="004E570B">
        <w:t xml:space="preserve"> </w:t>
      </w:r>
      <w:r w:rsidRPr="004E570B">
        <w:t xml:space="preserve">health. </w:t>
      </w:r>
      <w:r w:rsidR="002035C0" w:rsidRPr="004E570B">
        <w:t xml:space="preserve">Achieving </w:t>
      </w:r>
      <w:r w:rsidRPr="004E570B">
        <w:t>MDGs 4 and</w:t>
      </w:r>
      <w:r w:rsidR="000624E1" w:rsidRPr="004E570B">
        <w:t> </w:t>
      </w:r>
      <w:r w:rsidRPr="004E570B">
        <w:t xml:space="preserve">5 </w:t>
      </w:r>
      <w:r w:rsidR="002035C0" w:rsidRPr="004E570B">
        <w:t xml:space="preserve">is </w:t>
      </w:r>
      <w:r w:rsidRPr="004E570B">
        <w:t>a strong focus of Australia’s aid program</w:t>
      </w:r>
      <w:r w:rsidR="002035C0" w:rsidRPr="004E570B">
        <w:t>,</w:t>
      </w:r>
      <w:r w:rsidRPr="004E570B">
        <w:t xml:space="preserve"> but many of the programs</w:t>
      </w:r>
      <w:r w:rsidR="000624E1" w:rsidRPr="004E570B">
        <w:t xml:space="preserve"> that</w:t>
      </w:r>
      <w:r w:rsidRPr="004E570B">
        <w:t xml:space="preserve"> more specifically focus on maternal and child health </w:t>
      </w:r>
      <w:r w:rsidR="000624E1" w:rsidRPr="004E570B">
        <w:t xml:space="preserve">were </w:t>
      </w:r>
      <w:r w:rsidRPr="004E570B">
        <w:t>initiated</w:t>
      </w:r>
      <w:r w:rsidR="000624E1" w:rsidRPr="004E570B">
        <w:t xml:space="preserve"> only recently</w:t>
      </w:r>
      <w:r w:rsidRPr="004E570B">
        <w:t>.</w:t>
      </w:r>
    </w:p>
    <w:p w:rsidR="008552AB" w:rsidRPr="004E570B" w:rsidRDefault="008552AB" w:rsidP="004E570B">
      <w:pPr>
        <w:pStyle w:val="BodyText"/>
      </w:pPr>
      <w:r w:rsidRPr="004E570B">
        <w:t xml:space="preserve">It is clear that health system constraints are a major cause of slow progress </w:t>
      </w:r>
      <w:r w:rsidR="002035C0" w:rsidRPr="004E570B">
        <w:t xml:space="preserve">towards </w:t>
      </w:r>
      <w:r w:rsidRPr="004E570B">
        <w:t>these two</w:t>
      </w:r>
      <w:r w:rsidR="00D44159" w:rsidRPr="004E570B">
        <w:t> </w:t>
      </w:r>
      <w:r w:rsidRPr="004E570B">
        <w:t>MDGs. Many challenges exist, for example, in relation to health financing and the health</w:t>
      </w:r>
      <w:r w:rsidR="00D44159" w:rsidRPr="004E570B">
        <w:t> </w:t>
      </w:r>
      <w:r w:rsidRPr="004E570B">
        <w:t>workforce.</w:t>
      </w:r>
    </w:p>
    <w:p w:rsidR="008552AB" w:rsidRPr="004E570B" w:rsidRDefault="008552AB" w:rsidP="004E570B">
      <w:pPr>
        <w:pStyle w:val="BodyText"/>
      </w:pPr>
      <w:r w:rsidRPr="004E570B">
        <w:t xml:space="preserve">The Australian aid program will focus attention on supporting countries to improve </w:t>
      </w:r>
      <w:r w:rsidR="002035C0" w:rsidRPr="004E570B">
        <w:t xml:space="preserve">their </w:t>
      </w:r>
      <w:r w:rsidRPr="004E570B">
        <w:t xml:space="preserve">coverage of basic health services for women and children while </w:t>
      </w:r>
      <w:r w:rsidR="00F7407A" w:rsidRPr="004E570B">
        <w:t xml:space="preserve">supporting longer </w:t>
      </w:r>
      <w:r w:rsidRPr="004E570B">
        <w:t>term changes that will strengthen the</w:t>
      </w:r>
      <w:r w:rsidR="000624E1" w:rsidRPr="004E570B">
        <w:t>ir</w:t>
      </w:r>
      <w:r w:rsidRPr="004E570B">
        <w:t xml:space="preserve"> health system</w:t>
      </w:r>
      <w:r w:rsidR="000624E1" w:rsidRPr="004E570B">
        <w:t>s</w:t>
      </w:r>
      <w:r w:rsidRPr="004E570B">
        <w:t xml:space="preserve"> for the future.</w:t>
      </w:r>
    </w:p>
    <w:sectPr w:rsidR="008552AB" w:rsidRPr="004E570B" w:rsidSect="001C557B">
      <w:headerReference w:type="even" r:id="rId17"/>
      <w:footerReference w:type="even" r:id="rId18"/>
      <w:footerReference w:type="default" r:id="rId19"/>
      <w:pgSz w:w="11907" w:h="16840" w:code="9"/>
      <w:pgMar w:top="2381"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3C" w:rsidRDefault="00B7153C">
      <w:r>
        <w:separator/>
      </w:r>
    </w:p>
  </w:endnote>
  <w:endnote w:type="continuationSeparator" w:id="0">
    <w:p w:rsidR="00B7153C" w:rsidRDefault="00B7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Malgun Gothic"/>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Demi">
    <w:altName w:val="Franklin Gothic Medium"/>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Arial Unicode MS"/>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17" w:rsidRPr="00AD612A" w:rsidRDefault="00385117">
    <w:pPr>
      <w:pStyle w:val="Footer"/>
    </w:pPr>
    <w:r>
      <w:rPr>
        <w:rStyle w:val="PageNumber"/>
      </w:rPr>
      <w:fldChar w:fldCharType="begin"/>
    </w:r>
    <w:r>
      <w:rPr>
        <w:rStyle w:val="PageNumber"/>
      </w:rPr>
      <w:instrText xml:space="preserve"> PAGE </w:instrText>
    </w:r>
    <w:r>
      <w:rPr>
        <w:rStyle w:val="PageNumber"/>
      </w:rPr>
      <w:fldChar w:fldCharType="separate"/>
    </w:r>
    <w:r w:rsidR="00F36B3E">
      <w:rPr>
        <w:rStyle w:val="PageNumber"/>
        <w:noProof/>
      </w:rPr>
      <w:t>2</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F36B3E">
      <w:rPr>
        <w:rFonts w:cs="Arial"/>
        <w:noProof/>
      </w:rPr>
      <w:t>Health annual thematic performance report 2007–08</w:t>
    </w:r>
    <w:r w:rsidRPr="00592A83">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17" w:rsidRPr="001260C2" w:rsidRDefault="00385117"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F36B3E">
      <w:rPr>
        <w:rFonts w:cs="Arial"/>
        <w:noProof/>
      </w:rPr>
      <w:t>Health annual thematic performance report 2007–08</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F36B3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3C" w:rsidRDefault="00B7153C" w:rsidP="00BA1CA0">
      <w:pPr>
        <w:spacing w:line="180" w:lineRule="exact"/>
      </w:pPr>
      <w:r>
        <w:continuationSeparator/>
      </w:r>
    </w:p>
  </w:footnote>
  <w:footnote w:type="continuationSeparator" w:id="0">
    <w:p w:rsidR="00B7153C" w:rsidRDefault="00B7153C">
      <w:r>
        <w:continuationSeparator/>
      </w:r>
    </w:p>
  </w:footnote>
  <w:footnote w:type="continuationNotice" w:id="1">
    <w:p w:rsidR="00B7153C" w:rsidRDefault="00B7153C"/>
  </w:footnote>
  <w:footnote w:id="2">
    <w:p w:rsidR="00000000" w:rsidRDefault="00385117" w:rsidP="005F36F0">
      <w:pPr>
        <w:pStyle w:val="FootnoteText"/>
      </w:pPr>
      <w:r>
        <w:rPr>
          <w:rStyle w:val="FootnoteReference"/>
          <w:sz w:val="12"/>
        </w:rPr>
        <w:footnoteRef/>
      </w:r>
      <w:r>
        <w:t xml:space="preserve"> </w:t>
      </w:r>
      <w:r>
        <w:tab/>
      </w:r>
      <w:r w:rsidRPr="00C0625B">
        <w:t xml:space="preserve">Afghanistan, Bangladesh, Burma, Cambodia, China, </w:t>
      </w:r>
      <w:r>
        <w:t xml:space="preserve">East </w:t>
      </w:r>
      <w:r w:rsidRPr="00C0625B">
        <w:t>Timor, Fiji, Indonesia, Iraq, Kiribati, Lao</w:t>
      </w:r>
      <w:r>
        <w:t>s</w:t>
      </w:r>
      <w:r w:rsidRPr="00C0625B">
        <w:t>, Nauru, Nepal, Pakistan</w:t>
      </w:r>
      <w:r>
        <w:t>, Palau, Papua New Guinea, the Phil</w:t>
      </w:r>
      <w:r w:rsidRPr="00C0625B">
        <w:t>ippines, Samoa, Solomon Islands, Tonga, Tuvalu, Vanuatu and Vietnam.</w:t>
      </w:r>
    </w:p>
  </w:footnote>
  <w:footnote w:id="3">
    <w:p w:rsidR="00000000" w:rsidRDefault="00385117" w:rsidP="001D3BBA">
      <w:pPr>
        <w:pStyle w:val="FootnoteText"/>
      </w:pPr>
      <w:r w:rsidRPr="001D3BBA">
        <w:rPr>
          <w:rStyle w:val="FootnoteReference"/>
          <w:sz w:val="12"/>
        </w:rPr>
        <w:footnoteRef/>
      </w:r>
      <w:r w:rsidRPr="008C4419">
        <w:t xml:space="preserve"> </w:t>
      </w:r>
      <w:r>
        <w:tab/>
      </w:r>
      <w:proofErr w:type="gramStart"/>
      <w:r>
        <w:t xml:space="preserve">WHO Department of </w:t>
      </w:r>
      <w:r w:rsidRPr="008C4419">
        <w:t>Making Pregnancy Safer</w:t>
      </w:r>
      <w:r>
        <w:t>,</w:t>
      </w:r>
      <w:r w:rsidRPr="008C4419">
        <w:t xml:space="preserve"> </w:t>
      </w:r>
      <w:r w:rsidRPr="004C726C">
        <w:rPr>
          <w:i/>
        </w:rPr>
        <w:t>Annual Report 2007</w:t>
      </w:r>
      <w:r>
        <w:t>, World Health Organization &lt;</w:t>
      </w:r>
      <w:r w:rsidRPr="004C726C">
        <w:t>http://www.who.int/making_pregnancy_safer/documents/report_2007/en/index.html</w:t>
      </w:r>
      <w:r>
        <w:t>&gt;.</w:t>
      </w:r>
      <w:proofErr w:type="gramEnd"/>
    </w:p>
  </w:footnote>
  <w:footnote w:id="4">
    <w:p w:rsidR="00000000" w:rsidRDefault="00385117" w:rsidP="001D3BBA">
      <w:pPr>
        <w:pStyle w:val="FootnoteText"/>
      </w:pPr>
      <w:r>
        <w:rPr>
          <w:rStyle w:val="FootnoteReference"/>
          <w:sz w:val="12"/>
        </w:rPr>
        <w:footnoteRef/>
      </w:r>
      <w:r>
        <w:t xml:space="preserve"> </w:t>
      </w:r>
      <w:r>
        <w:tab/>
      </w:r>
      <w:proofErr w:type="gramStart"/>
      <w:r>
        <w:t>World Health Organization.</w:t>
      </w:r>
      <w:proofErr w:type="gramEnd"/>
    </w:p>
  </w:footnote>
  <w:footnote w:id="5">
    <w:p w:rsidR="00000000" w:rsidRDefault="00385117" w:rsidP="001D3BBA">
      <w:pPr>
        <w:pStyle w:val="FootnoteText"/>
      </w:pPr>
      <w:r>
        <w:rPr>
          <w:rStyle w:val="FootnoteReference"/>
          <w:sz w:val="12"/>
        </w:rPr>
        <w:footnoteRef/>
      </w:r>
      <w:r>
        <w:t xml:space="preserve"> </w:t>
      </w:r>
      <w:r>
        <w:tab/>
        <w:t xml:space="preserve">United Nations, </w:t>
      </w:r>
      <w:r w:rsidRPr="004C726C">
        <w:rPr>
          <w:i/>
        </w:rPr>
        <w:t>The Millennium Development Goals report 2007</w:t>
      </w:r>
      <w:r>
        <w:t>.</w:t>
      </w:r>
    </w:p>
  </w:footnote>
  <w:footnote w:id="6">
    <w:p w:rsidR="00000000" w:rsidRDefault="00385117" w:rsidP="00BB59F2">
      <w:pPr>
        <w:pStyle w:val="FootnoteText"/>
      </w:pPr>
      <w:r w:rsidRPr="00ED263F">
        <w:rPr>
          <w:rStyle w:val="FootnoteReference"/>
          <w:sz w:val="12"/>
        </w:rPr>
        <w:footnoteRef/>
      </w:r>
      <w:r w:rsidRPr="00ED263F">
        <w:t xml:space="preserve"> </w:t>
      </w:r>
      <w:r>
        <w:tab/>
      </w:r>
      <w:proofErr w:type="gramStart"/>
      <w:r w:rsidRPr="00ED263F">
        <w:t xml:space="preserve">GAVI </w:t>
      </w:r>
      <w:r>
        <w:t xml:space="preserve">Alliance </w:t>
      </w:r>
      <w:r w:rsidRPr="00ED263F">
        <w:t>website &lt;http://www.gavialliance.org/performance/global_results/index.php&gt;</w:t>
      </w:r>
      <w:r>
        <w:t>.</w:t>
      </w:r>
      <w:proofErr w:type="gramEnd"/>
    </w:p>
  </w:footnote>
  <w:footnote w:id="7">
    <w:p w:rsidR="00000000" w:rsidRDefault="00385117" w:rsidP="008552AB">
      <w:pPr>
        <w:pStyle w:val="FootnoteText"/>
      </w:pPr>
      <w:r>
        <w:rPr>
          <w:rStyle w:val="FootnoteReference"/>
          <w:sz w:val="12"/>
        </w:rPr>
        <w:footnoteRef/>
      </w:r>
      <w:r>
        <w:t xml:space="preserve"> </w:t>
      </w:r>
      <w:r>
        <w:tab/>
      </w:r>
      <w:proofErr w:type="gramStart"/>
      <w:r>
        <w:t xml:space="preserve">G Greco, et al, </w:t>
      </w:r>
      <w:r w:rsidRPr="004C726C">
        <w:rPr>
          <w:i/>
        </w:rPr>
        <w:t>Lancet</w:t>
      </w:r>
      <w:r>
        <w:t>, vol. 371, 2008, p. 1269.</w:t>
      </w:r>
      <w:proofErr w:type="gramEnd"/>
    </w:p>
  </w:footnote>
  <w:footnote w:id="8">
    <w:p w:rsidR="00000000" w:rsidRDefault="00385117" w:rsidP="008552AB">
      <w:pPr>
        <w:pStyle w:val="FootnoteText"/>
      </w:pPr>
      <w:r>
        <w:rPr>
          <w:rStyle w:val="FootnoteReference"/>
          <w:sz w:val="12"/>
        </w:rPr>
        <w:footnoteRef/>
      </w:r>
      <w:r>
        <w:t xml:space="preserve"> </w:t>
      </w:r>
      <w:r>
        <w:tab/>
        <w:t xml:space="preserve">An informal network of representatives of WHO, UNICEF, UNFPA, ADB, World Bank, </w:t>
      </w:r>
      <w:proofErr w:type="spellStart"/>
      <w:r>
        <w:t>AusAID</w:t>
      </w:r>
      <w:proofErr w:type="spellEnd"/>
      <w:r>
        <w:t>, DFID, CIDA, USAID, Gates Foundation, and PMNCH.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17" w:rsidRDefault="00385117"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74EA1A8"/>
    <w:lvl w:ilvl="0">
      <w:start w:val="1"/>
      <w:numFmt w:val="decimal"/>
      <w:pStyle w:val="ListNumber2"/>
      <w:lvlText w:val="%1."/>
      <w:lvlJc w:val="left"/>
      <w:pPr>
        <w:tabs>
          <w:tab w:val="num" w:pos="643"/>
        </w:tabs>
        <w:ind w:left="643" w:hanging="360"/>
      </w:pPr>
    </w:lvl>
  </w:abstractNum>
  <w:abstractNum w:abstractNumId="1">
    <w:nsid w:val="FFFFFF83"/>
    <w:multiLevelType w:val="singleLevel"/>
    <w:tmpl w:val="3E7223CA"/>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E6C0DB02"/>
    <w:lvl w:ilvl="0">
      <w:start w:val="1"/>
      <w:numFmt w:val="decimal"/>
      <w:pStyle w:val="ListNumber"/>
      <w:lvlText w:val="%1."/>
      <w:lvlJc w:val="left"/>
      <w:pPr>
        <w:tabs>
          <w:tab w:val="num" w:pos="360"/>
        </w:tabs>
        <w:ind w:left="360" w:hanging="360"/>
      </w:pPr>
    </w:lvl>
  </w:abstractNum>
  <w:abstractNum w:abstractNumId="3">
    <w:nsid w:val="FFFFFF89"/>
    <w:multiLevelType w:val="singleLevel"/>
    <w:tmpl w:val="19BEFB6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652311"/>
    <w:multiLevelType w:val="hybridMultilevel"/>
    <w:tmpl w:val="FF4231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7F75263"/>
    <w:multiLevelType w:val="hybridMultilevel"/>
    <w:tmpl w:val="183033F4"/>
    <w:lvl w:ilvl="0" w:tplc="FAF88740">
      <w:start w:val="1"/>
      <w:numFmt w:val="bullet"/>
      <w:lvlText w:val="&gt;"/>
      <w:lvlJc w:val="left"/>
      <w:pPr>
        <w:tabs>
          <w:tab w:val="num" w:pos="284"/>
        </w:tabs>
        <w:ind w:left="284" w:hanging="284"/>
      </w:pPr>
      <w:rPr>
        <w:rFonts w:hint="default"/>
        <w:b w:val="0"/>
        <w:i w:val="0"/>
        <w:color w:val="auto"/>
        <w:position w:val="3"/>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0665BC"/>
    <w:multiLevelType w:val="hybridMultilevel"/>
    <w:tmpl w:val="4DC601BA"/>
    <w:lvl w:ilvl="0" w:tplc="5D98112C">
      <w:start w:val="1"/>
      <w:numFmt w:val="decimal"/>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09B02A7"/>
    <w:multiLevelType w:val="singleLevel"/>
    <w:tmpl w:val="38C655C0"/>
    <w:lvl w:ilvl="0">
      <w:start w:val="1"/>
      <w:numFmt w:val="bullet"/>
      <w:lvlText w:val="–"/>
      <w:lvlJc w:val="left"/>
      <w:pPr>
        <w:tabs>
          <w:tab w:val="num" w:pos="567"/>
        </w:tabs>
        <w:ind w:left="567" w:hanging="283"/>
      </w:pPr>
      <w:rPr>
        <w:rFonts w:hint="default"/>
        <w:color w:val="auto"/>
        <w:sz w:val="21"/>
      </w:rPr>
    </w:lvl>
  </w:abstractNum>
  <w:abstractNum w:abstractNumId="8">
    <w:nsid w:val="382D65A6"/>
    <w:multiLevelType w:val="hybridMultilevel"/>
    <w:tmpl w:val="A7446C82"/>
    <w:lvl w:ilvl="0" w:tplc="B70A9096">
      <w:start w:val="1"/>
      <w:numFmt w:val="decimal"/>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6CD579B"/>
    <w:multiLevelType w:val="hybridMultilevel"/>
    <w:tmpl w:val="36F2514A"/>
    <w:lvl w:ilvl="0" w:tplc="FFFFFFFF">
      <w:start w:val="1"/>
      <w:numFmt w:val="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C2573A3"/>
    <w:multiLevelType w:val="hybridMultilevel"/>
    <w:tmpl w:val="6D1C468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51671A11"/>
    <w:multiLevelType w:val="hybridMultilevel"/>
    <w:tmpl w:val="49CA35F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53692D64"/>
    <w:multiLevelType w:val="hybridMultilevel"/>
    <w:tmpl w:val="3544D402"/>
    <w:lvl w:ilvl="0" w:tplc="49BABBDA">
      <w:start w:val="1"/>
      <w:numFmt w:val="bullet"/>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4F264CF"/>
    <w:multiLevelType w:val="multilevel"/>
    <w:tmpl w:val="04C40BFA"/>
    <w:lvl w:ilvl="0">
      <w:start w:val="1"/>
      <w:numFmt w:val="decimal"/>
      <w:lvlText w:val="%1"/>
      <w:lvlJc w:val="right"/>
      <w:pPr>
        <w:tabs>
          <w:tab w:val="num" w:pos="0"/>
        </w:tabs>
        <w:ind w:hanging="454"/>
      </w:pPr>
      <w:rPr>
        <w:rFonts w:cs="Times New Roman" w:hint="default"/>
        <w:b w:val="0"/>
        <w:i w:val="0"/>
        <w:color w:val="AD495D"/>
      </w:rPr>
    </w:lvl>
    <w:lvl w:ilvl="1">
      <w:start w:val="1"/>
      <w:numFmt w:val="decimal"/>
      <w:lvlText w:val="%1.%2"/>
      <w:lvlJc w:val="left"/>
      <w:pPr>
        <w:tabs>
          <w:tab w:val="num" w:pos="709"/>
        </w:tabs>
        <w:ind w:left="709" w:hanging="709"/>
      </w:pPr>
      <w:rPr>
        <w:rFonts w:cs="Times New Roman" w:hint="default"/>
      </w:rPr>
    </w:lvl>
    <w:lvl w:ilvl="2">
      <w:start w:val="1"/>
      <w:numFmt w:val="none"/>
      <w:lvlRestart w:val="0"/>
      <w:lvlText w:val=""/>
      <w:lvlJc w:val="left"/>
      <w:pPr>
        <w:tabs>
          <w:tab w:val="num" w:pos="0"/>
        </w:tabs>
      </w:pPr>
      <w:rPr>
        <w:rFonts w:cs="Times New Roman" w:hint="default"/>
      </w:rPr>
    </w:lvl>
    <w:lvl w:ilvl="3">
      <w:start w:val="1"/>
      <w:numFmt w:val="none"/>
      <w:lvlRestart w:val="0"/>
      <w:lvlText w:val=""/>
      <w:lvlJc w:val="left"/>
      <w:pPr>
        <w:tabs>
          <w:tab w:val="num" w:pos="0"/>
        </w:tabs>
      </w:pPr>
      <w:rPr>
        <w:rFonts w:cs="Times New Roman" w:hint="default"/>
      </w:rPr>
    </w:lvl>
    <w:lvl w:ilvl="4">
      <w:start w:val="1"/>
      <w:numFmt w:val="none"/>
      <w:suff w:val="nothing"/>
      <w:lvlText w:val=""/>
      <w:lvlJc w:val="left"/>
      <w:rPr>
        <w:rFonts w:cs="Times New Roman" w:hint="default"/>
      </w:rPr>
    </w:lvl>
    <w:lvl w:ilvl="5">
      <w:start w:val="1"/>
      <w:numFmt w:val="upperLetter"/>
      <w:lvlRestart w:val="0"/>
      <w:lvlText w:val="%6"/>
      <w:lvlJc w:val="left"/>
      <w:pPr>
        <w:tabs>
          <w:tab w:val="num" w:pos="709"/>
        </w:tabs>
      </w:pPr>
      <w:rPr>
        <w:rFonts w:ascii="Franklin Gothic Book" w:hAnsi="Franklin Gothic Book" w:cs="Times New Roman" w:hint="default"/>
        <w:b w:val="0"/>
        <w:i w:val="0"/>
        <w:caps w:val="0"/>
        <w:color w:val="AD495D"/>
        <w:position w:val="0"/>
        <w:sz w:val="50"/>
        <w:szCs w:val="50"/>
      </w:rPr>
    </w:lvl>
    <w:lvl w:ilvl="6">
      <w:start w:val="1"/>
      <w:numFmt w:val="none"/>
      <w:lvlRestart w:val="0"/>
      <w:lvlText w:val=""/>
      <w:lvlJc w:val="left"/>
      <w:pPr>
        <w:tabs>
          <w:tab w:val="num" w:pos="0"/>
        </w:tabs>
      </w:pPr>
      <w:rPr>
        <w:rFonts w:cs="Times New Roman" w:hint="default"/>
        <w:caps/>
        <w:sz w:val="22"/>
        <w:szCs w:val="22"/>
      </w:rPr>
    </w:lvl>
    <w:lvl w:ilvl="7">
      <w:start w:val="1"/>
      <w:numFmt w:val="none"/>
      <w:lvlRestart w:val="0"/>
      <w:suff w:val="nothing"/>
      <w:lvlText w:val=""/>
      <w:lvlJc w:val="left"/>
      <w:rPr>
        <w:rFonts w:cs="Times New Roman" w:hint="default"/>
      </w:rPr>
    </w:lvl>
    <w:lvl w:ilvl="8">
      <w:start w:val="1"/>
      <w:numFmt w:val="none"/>
      <w:lvlRestart w:val="0"/>
      <w:lvlText w:val=""/>
      <w:lvlJc w:val="left"/>
      <w:pPr>
        <w:tabs>
          <w:tab w:val="num" w:pos="0"/>
        </w:tabs>
      </w:pPr>
      <w:rPr>
        <w:rFonts w:cs="Times New Roman" w:hint="default"/>
      </w:rPr>
    </w:lvl>
  </w:abstractNum>
  <w:abstractNum w:abstractNumId="14">
    <w:nsid w:val="66C55035"/>
    <w:multiLevelType w:val="hybridMultilevel"/>
    <w:tmpl w:val="0B46E7C6"/>
    <w:lvl w:ilvl="0" w:tplc="D3782208">
      <w:start w:val="1"/>
      <w:numFmt w:val="bullet"/>
      <w:lvlText w:val="&gt;"/>
      <w:lvlJc w:val="left"/>
      <w:pPr>
        <w:tabs>
          <w:tab w:val="num" w:pos="227"/>
        </w:tabs>
        <w:ind w:left="227" w:hanging="227"/>
      </w:pPr>
      <w:rPr>
        <w:rFonts w:ascii="Franklin Gothic Medium" w:hAnsi="Franklin Gothic Medium"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4437058"/>
    <w:multiLevelType w:val="multilevel"/>
    <w:tmpl w:val="7A92930E"/>
    <w:lvl w:ilvl="0">
      <w:start w:val="1"/>
      <w:numFmt w:val="lowerLetter"/>
      <w:lvlRestart w:val="0"/>
      <w:lvlText w:val="%1"/>
      <w:lvlJc w:val="left"/>
      <w:pPr>
        <w:tabs>
          <w:tab w:val="num" w:pos="170"/>
        </w:tabs>
      </w:pPr>
      <w:rPr>
        <w:rFonts w:ascii="Franklin Gothic Medium" w:hAnsi="Franklin Gothic Medium" w:cs="Times New Roman" w:hint="default"/>
        <w:b w:val="0"/>
        <w:i w:val="0"/>
        <w:color w:val="auto"/>
        <w:position w:val="4"/>
        <w:sz w:val="14"/>
        <w:szCs w:val="14"/>
      </w:rPr>
    </w:lvl>
    <w:lvl w:ilvl="1">
      <w:start w:val="1"/>
      <w:numFmt w:val="lowerLetter"/>
      <w:lvlText w:val="%2."/>
      <w:lvlJc w:val="left"/>
      <w:pPr>
        <w:tabs>
          <w:tab w:val="num" w:pos="1440"/>
        </w:tabs>
        <w:ind w:left="1440" w:hanging="363"/>
      </w:pPr>
      <w:rPr>
        <w:rFonts w:cs="Times New Roman" w:hint="default"/>
      </w:rPr>
    </w:lvl>
    <w:lvl w:ilvl="2">
      <w:start w:val="1"/>
      <w:numFmt w:val="lowerRoman"/>
      <w:lvlText w:val="%3."/>
      <w:lvlJc w:val="right"/>
      <w:pPr>
        <w:tabs>
          <w:tab w:val="num" w:pos="2160"/>
        </w:tabs>
        <w:ind w:left="2160" w:hanging="181"/>
      </w:pPr>
      <w:rPr>
        <w:rFonts w:cs="Times New Roman" w:hint="default"/>
      </w:rPr>
    </w:lvl>
    <w:lvl w:ilvl="3">
      <w:start w:val="1"/>
      <w:numFmt w:val="decimal"/>
      <w:lvlText w:val="%4."/>
      <w:lvlJc w:val="left"/>
      <w:pPr>
        <w:tabs>
          <w:tab w:val="num" w:pos="2880"/>
        </w:tabs>
        <w:ind w:left="2880" w:hanging="363"/>
      </w:pPr>
      <w:rPr>
        <w:rFonts w:cs="Times New Roman" w:hint="default"/>
      </w:rPr>
    </w:lvl>
    <w:lvl w:ilvl="4">
      <w:start w:val="1"/>
      <w:numFmt w:val="lowerLetter"/>
      <w:lvlText w:val="%5."/>
      <w:lvlJc w:val="left"/>
      <w:pPr>
        <w:tabs>
          <w:tab w:val="num" w:pos="3600"/>
        </w:tabs>
        <w:ind w:left="3600" w:hanging="363"/>
      </w:pPr>
      <w:rPr>
        <w:rFonts w:cs="Times New Roman" w:hint="default"/>
      </w:rPr>
    </w:lvl>
    <w:lvl w:ilvl="5">
      <w:start w:val="1"/>
      <w:numFmt w:val="lowerRoman"/>
      <w:lvlText w:val="%6."/>
      <w:lvlJc w:val="right"/>
      <w:pPr>
        <w:tabs>
          <w:tab w:val="num" w:pos="4320"/>
        </w:tabs>
        <w:ind w:left="4320" w:hanging="181"/>
      </w:pPr>
      <w:rPr>
        <w:rFonts w:cs="Times New Roman" w:hint="default"/>
      </w:rPr>
    </w:lvl>
    <w:lvl w:ilvl="6">
      <w:start w:val="1"/>
      <w:numFmt w:val="decimal"/>
      <w:lvlText w:val="%7."/>
      <w:lvlJc w:val="left"/>
      <w:pPr>
        <w:tabs>
          <w:tab w:val="num" w:pos="5040"/>
        </w:tabs>
        <w:ind w:left="5040" w:hanging="363"/>
      </w:pPr>
      <w:rPr>
        <w:rFonts w:cs="Times New Roman" w:hint="default"/>
      </w:rPr>
    </w:lvl>
    <w:lvl w:ilvl="7">
      <w:start w:val="1"/>
      <w:numFmt w:val="lowerLetter"/>
      <w:lvlText w:val="%8."/>
      <w:lvlJc w:val="left"/>
      <w:pPr>
        <w:tabs>
          <w:tab w:val="num" w:pos="5760"/>
        </w:tabs>
        <w:ind w:left="5760" w:hanging="363"/>
      </w:pPr>
      <w:rPr>
        <w:rFonts w:cs="Times New Roman" w:hint="default"/>
      </w:rPr>
    </w:lvl>
    <w:lvl w:ilvl="8">
      <w:start w:val="1"/>
      <w:numFmt w:val="lowerRoman"/>
      <w:lvlText w:val="%9."/>
      <w:lvlJc w:val="right"/>
      <w:pPr>
        <w:tabs>
          <w:tab w:val="num" w:pos="6480"/>
        </w:tabs>
        <w:ind w:left="6480" w:hanging="181"/>
      </w:pPr>
      <w:rPr>
        <w:rFonts w:cs="Times New Roman" w:hint="default"/>
      </w:rPr>
    </w:lvl>
  </w:abstractNum>
  <w:abstractNum w:abstractNumId="16">
    <w:nsid w:val="77EC7C2A"/>
    <w:multiLevelType w:val="hybridMultilevel"/>
    <w:tmpl w:val="E858FF9C"/>
    <w:lvl w:ilvl="0" w:tplc="0C090001">
      <w:start w:val="1"/>
      <w:numFmt w:val="bullet"/>
      <w:lvlText w:val=""/>
      <w:lvlJc w:val="left"/>
      <w:pPr>
        <w:tabs>
          <w:tab w:val="num" w:pos="360"/>
        </w:tabs>
        <w:ind w:left="360" w:hanging="360"/>
      </w:pPr>
      <w:rPr>
        <w:rFonts w:ascii="Symbol" w:hAnsi="Symbol" w:hint="default"/>
      </w:rPr>
    </w:lvl>
    <w:lvl w:ilvl="1" w:tplc="B29C9CEA">
      <w:start w:val="1"/>
      <w:numFmt w:val="bullet"/>
      <w:lvlText w:val=""/>
      <w:lvlJc w:val="left"/>
      <w:pPr>
        <w:tabs>
          <w:tab w:val="num" w:pos="757"/>
        </w:tabs>
        <w:ind w:left="1440" w:hanging="72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79E1124E"/>
    <w:multiLevelType w:val="hybridMultilevel"/>
    <w:tmpl w:val="6D42E656"/>
    <w:lvl w:ilvl="0" w:tplc="514C5648">
      <w:start w:val="1"/>
      <w:numFmt w:val="lowerLetter"/>
      <w:lvlText w:val="%1."/>
      <w:lvlJc w:val="left"/>
      <w:pPr>
        <w:tabs>
          <w:tab w:val="num" w:pos="567"/>
        </w:tabs>
        <w:ind w:left="567"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 w:numId="5">
    <w:abstractNumId w:val="10"/>
  </w:num>
  <w:num w:numId="6">
    <w:abstractNumId w:val="11"/>
  </w:num>
  <w:num w:numId="7">
    <w:abstractNumId w:val="16"/>
  </w:num>
  <w:num w:numId="8">
    <w:abstractNumId w:val="4"/>
  </w:num>
  <w:num w:numId="9">
    <w:abstractNumId w:val="9"/>
  </w:num>
  <w:num w:numId="10">
    <w:abstractNumId w:val="12"/>
  </w:num>
  <w:num w:numId="11">
    <w:abstractNumId w:val="8"/>
  </w:num>
  <w:num w:numId="12">
    <w:abstractNumId w:val="14"/>
  </w:num>
  <w:num w:numId="13">
    <w:abstractNumId w:val="5"/>
  </w:num>
  <w:num w:numId="14">
    <w:abstractNumId w:val="7"/>
  </w:num>
  <w:num w:numId="15">
    <w:abstractNumId w:val="13"/>
  </w:num>
  <w:num w:numId="16">
    <w:abstractNumId w:val="13"/>
  </w:num>
  <w:num w:numId="17">
    <w:abstractNumId w:val="13"/>
  </w:num>
  <w:num w:numId="18">
    <w:abstractNumId w:val="13"/>
  </w:num>
  <w:num w:numId="19">
    <w:abstractNumId w:val="6"/>
  </w:num>
  <w:num w:numId="20">
    <w:abstractNumId w:val="17"/>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6A"/>
    <w:rsid w:val="00002939"/>
    <w:rsid w:val="000031F9"/>
    <w:rsid w:val="00004368"/>
    <w:rsid w:val="00010F57"/>
    <w:rsid w:val="00011550"/>
    <w:rsid w:val="0001170C"/>
    <w:rsid w:val="0001356A"/>
    <w:rsid w:val="00015DBC"/>
    <w:rsid w:val="00016771"/>
    <w:rsid w:val="00017D33"/>
    <w:rsid w:val="0002235F"/>
    <w:rsid w:val="00022D41"/>
    <w:rsid w:val="00030588"/>
    <w:rsid w:val="00034B41"/>
    <w:rsid w:val="00034E45"/>
    <w:rsid w:val="00035E2A"/>
    <w:rsid w:val="00037673"/>
    <w:rsid w:val="000433AB"/>
    <w:rsid w:val="00044EDD"/>
    <w:rsid w:val="000452A6"/>
    <w:rsid w:val="0004636D"/>
    <w:rsid w:val="00046974"/>
    <w:rsid w:val="00050F64"/>
    <w:rsid w:val="000513B2"/>
    <w:rsid w:val="00053D8A"/>
    <w:rsid w:val="00060A32"/>
    <w:rsid w:val="00061389"/>
    <w:rsid w:val="000624E1"/>
    <w:rsid w:val="00063C90"/>
    <w:rsid w:val="000655EB"/>
    <w:rsid w:val="00065C12"/>
    <w:rsid w:val="00067F6E"/>
    <w:rsid w:val="00070BAE"/>
    <w:rsid w:val="00070F05"/>
    <w:rsid w:val="000722A1"/>
    <w:rsid w:val="00074C9B"/>
    <w:rsid w:val="00075C1B"/>
    <w:rsid w:val="00075E37"/>
    <w:rsid w:val="000766F0"/>
    <w:rsid w:val="00076B0A"/>
    <w:rsid w:val="00081CA3"/>
    <w:rsid w:val="00082E97"/>
    <w:rsid w:val="00085585"/>
    <w:rsid w:val="00085E50"/>
    <w:rsid w:val="00086164"/>
    <w:rsid w:val="000863C3"/>
    <w:rsid w:val="00090C8C"/>
    <w:rsid w:val="00092D69"/>
    <w:rsid w:val="00097A76"/>
    <w:rsid w:val="000A0794"/>
    <w:rsid w:val="000A3437"/>
    <w:rsid w:val="000A4433"/>
    <w:rsid w:val="000A5BCC"/>
    <w:rsid w:val="000A7400"/>
    <w:rsid w:val="000A7708"/>
    <w:rsid w:val="000B0232"/>
    <w:rsid w:val="000B1344"/>
    <w:rsid w:val="000B13AB"/>
    <w:rsid w:val="000B146D"/>
    <w:rsid w:val="000B4054"/>
    <w:rsid w:val="000B56CF"/>
    <w:rsid w:val="000B5B55"/>
    <w:rsid w:val="000B6330"/>
    <w:rsid w:val="000B7FF7"/>
    <w:rsid w:val="000C0125"/>
    <w:rsid w:val="000C0807"/>
    <w:rsid w:val="000C0D83"/>
    <w:rsid w:val="000D074E"/>
    <w:rsid w:val="000D16B2"/>
    <w:rsid w:val="000D32D5"/>
    <w:rsid w:val="000D4D76"/>
    <w:rsid w:val="000D5FB1"/>
    <w:rsid w:val="000E0333"/>
    <w:rsid w:val="000E1901"/>
    <w:rsid w:val="000E2E8A"/>
    <w:rsid w:val="000E3DFB"/>
    <w:rsid w:val="000E595E"/>
    <w:rsid w:val="000E5C21"/>
    <w:rsid w:val="000F7DB9"/>
    <w:rsid w:val="000F7EBB"/>
    <w:rsid w:val="001020A5"/>
    <w:rsid w:val="00104CCC"/>
    <w:rsid w:val="00115A8C"/>
    <w:rsid w:val="00115D91"/>
    <w:rsid w:val="001204E2"/>
    <w:rsid w:val="001250BF"/>
    <w:rsid w:val="001260C2"/>
    <w:rsid w:val="00127B7F"/>
    <w:rsid w:val="00132E41"/>
    <w:rsid w:val="001360A4"/>
    <w:rsid w:val="00136E47"/>
    <w:rsid w:val="00136FF9"/>
    <w:rsid w:val="00137BA1"/>
    <w:rsid w:val="0014049B"/>
    <w:rsid w:val="00143525"/>
    <w:rsid w:val="001436A7"/>
    <w:rsid w:val="001437DD"/>
    <w:rsid w:val="00144611"/>
    <w:rsid w:val="0014787F"/>
    <w:rsid w:val="00152BD9"/>
    <w:rsid w:val="00152D98"/>
    <w:rsid w:val="001564B4"/>
    <w:rsid w:val="001644AA"/>
    <w:rsid w:val="00165C4D"/>
    <w:rsid w:val="00166BE1"/>
    <w:rsid w:val="001702D7"/>
    <w:rsid w:val="001707ED"/>
    <w:rsid w:val="00170B04"/>
    <w:rsid w:val="00172093"/>
    <w:rsid w:val="001756DD"/>
    <w:rsid w:val="00175CFE"/>
    <w:rsid w:val="00176846"/>
    <w:rsid w:val="001772C7"/>
    <w:rsid w:val="00177AE1"/>
    <w:rsid w:val="00180E63"/>
    <w:rsid w:val="00180EC6"/>
    <w:rsid w:val="00182E7D"/>
    <w:rsid w:val="001840DC"/>
    <w:rsid w:val="00184C6E"/>
    <w:rsid w:val="0018735C"/>
    <w:rsid w:val="00187D56"/>
    <w:rsid w:val="00193384"/>
    <w:rsid w:val="001957F2"/>
    <w:rsid w:val="0019627A"/>
    <w:rsid w:val="001A157D"/>
    <w:rsid w:val="001A4CB0"/>
    <w:rsid w:val="001A4F3D"/>
    <w:rsid w:val="001A64D6"/>
    <w:rsid w:val="001A676A"/>
    <w:rsid w:val="001A76CD"/>
    <w:rsid w:val="001A7A00"/>
    <w:rsid w:val="001B0BC3"/>
    <w:rsid w:val="001B1559"/>
    <w:rsid w:val="001B3A25"/>
    <w:rsid w:val="001B40B6"/>
    <w:rsid w:val="001B7441"/>
    <w:rsid w:val="001B7D36"/>
    <w:rsid w:val="001C1650"/>
    <w:rsid w:val="001C18A5"/>
    <w:rsid w:val="001C54D5"/>
    <w:rsid w:val="001C557B"/>
    <w:rsid w:val="001C5E94"/>
    <w:rsid w:val="001C6003"/>
    <w:rsid w:val="001C68A6"/>
    <w:rsid w:val="001C6E25"/>
    <w:rsid w:val="001D0D54"/>
    <w:rsid w:val="001D0D75"/>
    <w:rsid w:val="001D24B1"/>
    <w:rsid w:val="001D2D04"/>
    <w:rsid w:val="001D3BBA"/>
    <w:rsid w:val="001D65A4"/>
    <w:rsid w:val="001E40BA"/>
    <w:rsid w:val="001E521E"/>
    <w:rsid w:val="001E5458"/>
    <w:rsid w:val="001E61C0"/>
    <w:rsid w:val="001E77A7"/>
    <w:rsid w:val="001F0E53"/>
    <w:rsid w:val="001F0E62"/>
    <w:rsid w:val="001F1365"/>
    <w:rsid w:val="001F34B3"/>
    <w:rsid w:val="001F353B"/>
    <w:rsid w:val="001F39C9"/>
    <w:rsid w:val="001F4CD3"/>
    <w:rsid w:val="001F4E51"/>
    <w:rsid w:val="001F5AA9"/>
    <w:rsid w:val="0020080E"/>
    <w:rsid w:val="00202AC1"/>
    <w:rsid w:val="00203160"/>
    <w:rsid w:val="002035C0"/>
    <w:rsid w:val="0021017E"/>
    <w:rsid w:val="002115F0"/>
    <w:rsid w:val="00213176"/>
    <w:rsid w:val="002178C9"/>
    <w:rsid w:val="00226029"/>
    <w:rsid w:val="0022688E"/>
    <w:rsid w:val="002274D0"/>
    <w:rsid w:val="00227D6B"/>
    <w:rsid w:val="00230F10"/>
    <w:rsid w:val="00231CB6"/>
    <w:rsid w:val="00232097"/>
    <w:rsid w:val="00233570"/>
    <w:rsid w:val="00233D7A"/>
    <w:rsid w:val="00234583"/>
    <w:rsid w:val="00234D37"/>
    <w:rsid w:val="00237451"/>
    <w:rsid w:val="00243468"/>
    <w:rsid w:val="0024348E"/>
    <w:rsid w:val="00244F96"/>
    <w:rsid w:val="0024542D"/>
    <w:rsid w:val="0024630C"/>
    <w:rsid w:val="002505BE"/>
    <w:rsid w:val="0025099F"/>
    <w:rsid w:val="00250D70"/>
    <w:rsid w:val="002515F6"/>
    <w:rsid w:val="00254E51"/>
    <w:rsid w:val="00255424"/>
    <w:rsid w:val="00257199"/>
    <w:rsid w:val="00257DF8"/>
    <w:rsid w:val="002600C7"/>
    <w:rsid w:val="00260CE2"/>
    <w:rsid w:val="0026347A"/>
    <w:rsid w:val="00263B78"/>
    <w:rsid w:val="00266A89"/>
    <w:rsid w:val="00266B56"/>
    <w:rsid w:val="002702DD"/>
    <w:rsid w:val="00272699"/>
    <w:rsid w:val="0027441E"/>
    <w:rsid w:val="0027483C"/>
    <w:rsid w:val="00281D52"/>
    <w:rsid w:val="00286E03"/>
    <w:rsid w:val="00287F57"/>
    <w:rsid w:val="00291B3A"/>
    <w:rsid w:val="00292656"/>
    <w:rsid w:val="00292C3C"/>
    <w:rsid w:val="00294AA6"/>
    <w:rsid w:val="00294D4C"/>
    <w:rsid w:val="00296270"/>
    <w:rsid w:val="00297DF9"/>
    <w:rsid w:val="002A1D2F"/>
    <w:rsid w:val="002A2305"/>
    <w:rsid w:val="002A4BB1"/>
    <w:rsid w:val="002A561C"/>
    <w:rsid w:val="002A6CE4"/>
    <w:rsid w:val="002B02EA"/>
    <w:rsid w:val="002B3053"/>
    <w:rsid w:val="002B33AD"/>
    <w:rsid w:val="002B3E15"/>
    <w:rsid w:val="002C018F"/>
    <w:rsid w:val="002C0F44"/>
    <w:rsid w:val="002C159E"/>
    <w:rsid w:val="002C257C"/>
    <w:rsid w:val="002D468F"/>
    <w:rsid w:val="002D5DED"/>
    <w:rsid w:val="002D657C"/>
    <w:rsid w:val="002D6E19"/>
    <w:rsid w:val="002D7A0A"/>
    <w:rsid w:val="002E000E"/>
    <w:rsid w:val="002E1AC2"/>
    <w:rsid w:val="002E2CDD"/>
    <w:rsid w:val="002E7F6A"/>
    <w:rsid w:val="002F056E"/>
    <w:rsid w:val="002F36D2"/>
    <w:rsid w:val="002F3810"/>
    <w:rsid w:val="002F3C1A"/>
    <w:rsid w:val="002F3E97"/>
    <w:rsid w:val="002F454B"/>
    <w:rsid w:val="002F489A"/>
    <w:rsid w:val="003023FD"/>
    <w:rsid w:val="0030414F"/>
    <w:rsid w:val="00305213"/>
    <w:rsid w:val="0031131B"/>
    <w:rsid w:val="00312E50"/>
    <w:rsid w:val="003147DD"/>
    <w:rsid w:val="00315D84"/>
    <w:rsid w:val="00321C81"/>
    <w:rsid w:val="003225AB"/>
    <w:rsid w:val="00330A76"/>
    <w:rsid w:val="00330D74"/>
    <w:rsid w:val="00332945"/>
    <w:rsid w:val="00333127"/>
    <w:rsid w:val="003360B5"/>
    <w:rsid w:val="003368B5"/>
    <w:rsid w:val="003369D5"/>
    <w:rsid w:val="00336FAC"/>
    <w:rsid w:val="00337AAE"/>
    <w:rsid w:val="00345C2F"/>
    <w:rsid w:val="00347E04"/>
    <w:rsid w:val="003522B0"/>
    <w:rsid w:val="00352A66"/>
    <w:rsid w:val="003557A9"/>
    <w:rsid w:val="0035655A"/>
    <w:rsid w:val="00357879"/>
    <w:rsid w:val="0036152B"/>
    <w:rsid w:val="00362945"/>
    <w:rsid w:val="003629B1"/>
    <w:rsid w:val="00363DA6"/>
    <w:rsid w:val="00364555"/>
    <w:rsid w:val="0036493C"/>
    <w:rsid w:val="00365BED"/>
    <w:rsid w:val="00365ECE"/>
    <w:rsid w:val="00366135"/>
    <w:rsid w:val="0037000D"/>
    <w:rsid w:val="00373509"/>
    <w:rsid w:val="00374C36"/>
    <w:rsid w:val="003753DE"/>
    <w:rsid w:val="003813B0"/>
    <w:rsid w:val="00381894"/>
    <w:rsid w:val="00382543"/>
    <w:rsid w:val="00382F97"/>
    <w:rsid w:val="00385117"/>
    <w:rsid w:val="003852FD"/>
    <w:rsid w:val="003864C0"/>
    <w:rsid w:val="00386714"/>
    <w:rsid w:val="00386D59"/>
    <w:rsid w:val="003908F2"/>
    <w:rsid w:val="00395037"/>
    <w:rsid w:val="0039505A"/>
    <w:rsid w:val="003950F3"/>
    <w:rsid w:val="00396AAB"/>
    <w:rsid w:val="00396E51"/>
    <w:rsid w:val="00396FEE"/>
    <w:rsid w:val="00397842"/>
    <w:rsid w:val="003A12E4"/>
    <w:rsid w:val="003A1A4E"/>
    <w:rsid w:val="003A2AFB"/>
    <w:rsid w:val="003A3E3B"/>
    <w:rsid w:val="003A437D"/>
    <w:rsid w:val="003A5F6E"/>
    <w:rsid w:val="003B0602"/>
    <w:rsid w:val="003B3833"/>
    <w:rsid w:val="003B5B3A"/>
    <w:rsid w:val="003B669E"/>
    <w:rsid w:val="003C6E93"/>
    <w:rsid w:val="003D277A"/>
    <w:rsid w:val="003D3401"/>
    <w:rsid w:val="003D7848"/>
    <w:rsid w:val="003D7C66"/>
    <w:rsid w:val="003E0165"/>
    <w:rsid w:val="003E15BE"/>
    <w:rsid w:val="003E4703"/>
    <w:rsid w:val="003E4E42"/>
    <w:rsid w:val="003E74A4"/>
    <w:rsid w:val="003F0648"/>
    <w:rsid w:val="003F159A"/>
    <w:rsid w:val="003F23B0"/>
    <w:rsid w:val="003F291D"/>
    <w:rsid w:val="003F4406"/>
    <w:rsid w:val="003F7C05"/>
    <w:rsid w:val="003F7DFD"/>
    <w:rsid w:val="00403552"/>
    <w:rsid w:val="004037CD"/>
    <w:rsid w:val="00403EC1"/>
    <w:rsid w:val="00404981"/>
    <w:rsid w:val="00404EA8"/>
    <w:rsid w:val="004069E3"/>
    <w:rsid w:val="004071C2"/>
    <w:rsid w:val="00407CFC"/>
    <w:rsid w:val="00410C1F"/>
    <w:rsid w:val="00410D4E"/>
    <w:rsid w:val="00411191"/>
    <w:rsid w:val="00412989"/>
    <w:rsid w:val="004131F2"/>
    <w:rsid w:val="004143F0"/>
    <w:rsid w:val="00414418"/>
    <w:rsid w:val="004146C9"/>
    <w:rsid w:val="00416765"/>
    <w:rsid w:val="00420072"/>
    <w:rsid w:val="004229B0"/>
    <w:rsid w:val="00427DB3"/>
    <w:rsid w:val="0043018B"/>
    <w:rsid w:val="00430B58"/>
    <w:rsid w:val="00433FEB"/>
    <w:rsid w:val="0043622D"/>
    <w:rsid w:val="00442B2D"/>
    <w:rsid w:val="0044452B"/>
    <w:rsid w:val="00445908"/>
    <w:rsid w:val="00446BFE"/>
    <w:rsid w:val="00447F42"/>
    <w:rsid w:val="0045116A"/>
    <w:rsid w:val="00452E9D"/>
    <w:rsid w:val="004530AC"/>
    <w:rsid w:val="00453EB3"/>
    <w:rsid w:val="00454368"/>
    <w:rsid w:val="004547C0"/>
    <w:rsid w:val="00454AE8"/>
    <w:rsid w:val="00456D32"/>
    <w:rsid w:val="0045720E"/>
    <w:rsid w:val="00457853"/>
    <w:rsid w:val="00457902"/>
    <w:rsid w:val="00460B25"/>
    <w:rsid w:val="00461AD2"/>
    <w:rsid w:val="00462797"/>
    <w:rsid w:val="00464228"/>
    <w:rsid w:val="0046439B"/>
    <w:rsid w:val="00467537"/>
    <w:rsid w:val="00471026"/>
    <w:rsid w:val="004732C0"/>
    <w:rsid w:val="004744D3"/>
    <w:rsid w:val="004755E4"/>
    <w:rsid w:val="00475EFF"/>
    <w:rsid w:val="0047786B"/>
    <w:rsid w:val="004822A1"/>
    <w:rsid w:val="00483DD5"/>
    <w:rsid w:val="004845F1"/>
    <w:rsid w:val="00484BC2"/>
    <w:rsid w:val="00486E8C"/>
    <w:rsid w:val="004872E3"/>
    <w:rsid w:val="00487630"/>
    <w:rsid w:val="004900C1"/>
    <w:rsid w:val="00490743"/>
    <w:rsid w:val="00491178"/>
    <w:rsid w:val="00492FC4"/>
    <w:rsid w:val="00494CD3"/>
    <w:rsid w:val="00494FB3"/>
    <w:rsid w:val="00496DF9"/>
    <w:rsid w:val="00497240"/>
    <w:rsid w:val="004A154E"/>
    <w:rsid w:val="004A2EFC"/>
    <w:rsid w:val="004A472E"/>
    <w:rsid w:val="004A4BAA"/>
    <w:rsid w:val="004B0361"/>
    <w:rsid w:val="004B3904"/>
    <w:rsid w:val="004B7492"/>
    <w:rsid w:val="004B7C61"/>
    <w:rsid w:val="004C0E63"/>
    <w:rsid w:val="004C3546"/>
    <w:rsid w:val="004C3568"/>
    <w:rsid w:val="004C4638"/>
    <w:rsid w:val="004C726C"/>
    <w:rsid w:val="004D18D0"/>
    <w:rsid w:val="004D5771"/>
    <w:rsid w:val="004D79AD"/>
    <w:rsid w:val="004E40E6"/>
    <w:rsid w:val="004E493E"/>
    <w:rsid w:val="004E570B"/>
    <w:rsid w:val="004E63CC"/>
    <w:rsid w:val="004F096E"/>
    <w:rsid w:val="004F0BE2"/>
    <w:rsid w:val="004F256B"/>
    <w:rsid w:val="004F75A1"/>
    <w:rsid w:val="004F79BD"/>
    <w:rsid w:val="00502E98"/>
    <w:rsid w:val="005031B6"/>
    <w:rsid w:val="00506BC4"/>
    <w:rsid w:val="00507A63"/>
    <w:rsid w:val="00507D05"/>
    <w:rsid w:val="00513602"/>
    <w:rsid w:val="005157A6"/>
    <w:rsid w:val="0053058C"/>
    <w:rsid w:val="00531479"/>
    <w:rsid w:val="005343DE"/>
    <w:rsid w:val="005348EF"/>
    <w:rsid w:val="005351E9"/>
    <w:rsid w:val="005353FE"/>
    <w:rsid w:val="005363D4"/>
    <w:rsid w:val="005374AC"/>
    <w:rsid w:val="00545090"/>
    <w:rsid w:val="005510FE"/>
    <w:rsid w:val="00556B35"/>
    <w:rsid w:val="00561EE2"/>
    <w:rsid w:val="005631AD"/>
    <w:rsid w:val="005639EA"/>
    <w:rsid w:val="0056663E"/>
    <w:rsid w:val="005667D5"/>
    <w:rsid w:val="005722A1"/>
    <w:rsid w:val="00572319"/>
    <w:rsid w:val="00572841"/>
    <w:rsid w:val="00575350"/>
    <w:rsid w:val="00575DB6"/>
    <w:rsid w:val="00580DC4"/>
    <w:rsid w:val="00583CE6"/>
    <w:rsid w:val="0058490A"/>
    <w:rsid w:val="00585433"/>
    <w:rsid w:val="005879C7"/>
    <w:rsid w:val="005910A3"/>
    <w:rsid w:val="00591DD6"/>
    <w:rsid w:val="005925E4"/>
    <w:rsid w:val="00592A83"/>
    <w:rsid w:val="00593B07"/>
    <w:rsid w:val="00593E3E"/>
    <w:rsid w:val="005942EA"/>
    <w:rsid w:val="005943A7"/>
    <w:rsid w:val="00596832"/>
    <w:rsid w:val="005A1052"/>
    <w:rsid w:val="005A341D"/>
    <w:rsid w:val="005A41DF"/>
    <w:rsid w:val="005B2981"/>
    <w:rsid w:val="005B7710"/>
    <w:rsid w:val="005C206D"/>
    <w:rsid w:val="005C2C17"/>
    <w:rsid w:val="005C349D"/>
    <w:rsid w:val="005C4005"/>
    <w:rsid w:val="005C4BD3"/>
    <w:rsid w:val="005C598F"/>
    <w:rsid w:val="005C6FD6"/>
    <w:rsid w:val="005D0AF9"/>
    <w:rsid w:val="005D1E18"/>
    <w:rsid w:val="005D244B"/>
    <w:rsid w:val="005D2B37"/>
    <w:rsid w:val="005D4715"/>
    <w:rsid w:val="005E0A0B"/>
    <w:rsid w:val="005E1812"/>
    <w:rsid w:val="005E1AF2"/>
    <w:rsid w:val="005E1D7A"/>
    <w:rsid w:val="005E2411"/>
    <w:rsid w:val="005E344F"/>
    <w:rsid w:val="005E3CEF"/>
    <w:rsid w:val="005E5405"/>
    <w:rsid w:val="005E725C"/>
    <w:rsid w:val="005F15D3"/>
    <w:rsid w:val="005F168A"/>
    <w:rsid w:val="005F177B"/>
    <w:rsid w:val="005F1840"/>
    <w:rsid w:val="005F218A"/>
    <w:rsid w:val="005F2F06"/>
    <w:rsid w:val="005F36F0"/>
    <w:rsid w:val="005F5193"/>
    <w:rsid w:val="005F5C10"/>
    <w:rsid w:val="005F710E"/>
    <w:rsid w:val="005F7879"/>
    <w:rsid w:val="006007F6"/>
    <w:rsid w:val="00600A18"/>
    <w:rsid w:val="00601D94"/>
    <w:rsid w:val="00602D21"/>
    <w:rsid w:val="00604147"/>
    <w:rsid w:val="00605815"/>
    <w:rsid w:val="0060617B"/>
    <w:rsid w:val="006100CF"/>
    <w:rsid w:val="00614A27"/>
    <w:rsid w:val="006155FC"/>
    <w:rsid w:val="00615695"/>
    <w:rsid w:val="006203BD"/>
    <w:rsid w:val="0062059B"/>
    <w:rsid w:val="00624C5C"/>
    <w:rsid w:val="00627E76"/>
    <w:rsid w:val="006323A6"/>
    <w:rsid w:val="00634BCB"/>
    <w:rsid w:val="00635A99"/>
    <w:rsid w:val="00636A86"/>
    <w:rsid w:val="00645987"/>
    <w:rsid w:val="0065046E"/>
    <w:rsid w:val="006504EE"/>
    <w:rsid w:val="00650B00"/>
    <w:rsid w:val="00651EFB"/>
    <w:rsid w:val="0065259E"/>
    <w:rsid w:val="0065282A"/>
    <w:rsid w:val="006536A9"/>
    <w:rsid w:val="00657C61"/>
    <w:rsid w:val="00657CB6"/>
    <w:rsid w:val="00657E00"/>
    <w:rsid w:val="006625B4"/>
    <w:rsid w:val="006640FE"/>
    <w:rsid w:val="00665CC9"/>
    <w:rsid w:val="0066641F"/>
    <w:rsid w:val="00671255"/>
    <w:rsid w:val="00672BEE"/>
    <w:rsid w:val="0067448D"/>
    <w:rsid w:val="006813C8"/>
    <w:rsid w:val="00681A3E"/>
    <w:rsid w:val="00682A07"/>
    <w:rsid w:val="00683B97"/>
    <w:rsid w:val="00683CCF"/>
    <w:rsid w:val="00683DC7"/>
    <w:rsid w:val="00683E06"/>
    <w:rsid w:val="0068568E"/>
    <w:rsid w:val="00685B51"/>
    <w:rsid w:val="0069068B"/>
    <w:rsid w:val="006931D5"/>
    <w:rsid w:val="00694103"/>
    <w:rsid w:val="006974FC"/>
    <w:rsid w:val="006A0482"/>
    <w:rsid w:val="006A13BF"/>
    <w:rsid w:val="006A53F6"/>
    <w:rsid w:val="006A5D8A"/>
    <w:rsid w:val="006A787B"/>
    <w:rsid w:val="006B7C24"/>
    <w:rsid w:val="006B7CF9"/>
    <w:rsid w:val="006C0139"/>
    <w:rsid w:val="006C111C"/>
    <w:rsid w:val="006C1AEE"/>
    <w:rsid w:val="006C27E2"/>
    <w:rsid w:val="006C3927"/>
    <w:rsid w:val="006C51F7"/>
    <w:rsid w:val="006C6761"/>
    <w:rsid w:val="006D0368"/>
    <w:rsid w:val="006D2333"/>
    <w:rsid w:val="006D6818"/>
    <w:rsid w:val="006D6CC7"/>
    <w:rsid w:val="006D7C85"/>
    <w:rsid w:val="006E2C81"/>
    <w:rsid w:val="006E343F"/>
    <w:rsid w:val="006E42F5"/>
    <w:rsid w:val="006E4AA9"/>
    <w:rsid w:val="006E6DB3"/>
    <w:rsid w:val="006E7CC1"/>
    <w:rsid w:val="006F0B6B"/>
    <w:rsid w:val="006F17CC"/>
    <w:rsid w:val="006F47C8"/>
    <w:rsid w:val="006F51F9"/>
    <w:rsid w:val="006F715C"/>
    <w:rsid w:val="006F7A23"/>
    <w:rsid w:val="0070010D"/>
    <w:rsid w:val="007004DA"/>
    <w:rsid w:val="00701726"/>
    <w:rsid w:val="007031E2"/>
    <w:rsid w:val="00711B43"/>
    <w:rsid w:val="007122CC"/>
    <w:rsid w:val="00716799"/>
    <w:rsid w:val="00716927"/>
    <w:rsid w:val="0073548A"/>
    <w:rsid w:val="007375CF"/>
    <w:rsid w:val="00737F14"/>
    <w:rsid w:val="00740BD4"/>
    <w:rsid w:val="00742F5B"/>
    <w:rsid w:val="0074328B"/>
    <w:rsid w:val="007433FC"/>
    <w:rsid w:val="00751A18"/>
    <w:rsid w:val="0075426C"/>
    <w:rsid w:val="00754B6C"/>
    <w:rsid w:val="007609DE"/>
    <w:rsid w:val="00760D7B"/>
    <w:rsid w:val="00762176"/>
    <w:rsid w:val="00773ADD"/>
    <w:rsid w:val="00774FA0"/>
    <w:rsid w:val="00777A11"/>
    <w:rsid w:val="0078013B"/>
    <w:rsid w:val="00780E9B"/>
    <w:rsid w:val="00781022"/>
    <w:rsid w:val="007848F3"/>
    <w:rsid w:val="00784C7B"/>
    <w:rsid w:val="007864C1"/>
    <w:rsid w:val="00786718"/>
    <w:rsid w:val="00793C95"/>
    <w:rsid w:val="0079518B"/>
    <w:rsid w:val="0079561F"/>
    <w:rsid w:val="00797D46"/>
    <w:rsid w:val="007A01CC"/>
    <w:rsid w:val="007A0524"/>
    <w:rsid w:val="007A2597"/>
    <w:rsid w:val="007A2D4A"/>
    <w:rsid w:val="007A3920"/>
    <w:rsid w:val="007A4C9D"/>
    <w:rsid w:val="007A5DFF"/>
    <w:rsid w:val="007A75EB"/>
    <w:rsid w:val="007B149E"/>
    <w:rsid w:val="007B1D16"/>
    <w:rsid w:val="007B2DB4"/>
    <w:rsid w:val="007B4677"/>
    <w:rsid w:val="007B497F"/>
    <w:rsid w:val="007B4ED1"/>
    <w:rsid w:val="007B794B"/>
    <w:rsid w:val="007C0DEC"/>
    <w:rsid w:val="007C1ECE"/>
    <w:rsid w:val="007C3820"/>
    <w:rsid w:val="007C4CDF"/>
    <w:rsid w:val="007D1A32"/>
    <w:rsid w:val="007D3FA4"/>
    <w:rsid w:val="007D620F"/>
    <w:rsid w:val="007E14BD"/>
    <w:rsid w:val="007E31EA"/>
    <w:rsid w:val="007E3B25"/>
    <w:rsid w:val="007E3B7D"/>
    <w:rsid w:val="007E5A22"/>
    <w:rsid w:val="007E7710"/>
    <w:rsid w:val="007F2008"/>
    <w:rsid w:val="007F22AC"/>
    <w:rsid w:val="007F4388"/>
    <w:rsid w:val="007F4788"/>
    <w:rsid w:val="007F618A"/>
    <w:rsid w:val="007F7CE4"/>
    <w:rsid w:val="00801432"/>
    <w:rsid w:val="00802290"/>
    <w:rsid w:val="00803305"/>
    <w:rsid w:val="0080375B"/>
    <w:rsid w:val="00804F53"/>
    <w:rsid w:val="00805A94"/>
    <w:rsid w:val="0080758A"/>
    <w:rsid w:val="0081042F"/>
    <w:rsid w:val="008120AF"/>
    <w:rsid w:val="008125B6"/>
    <w:rsid w:val="00812625"/>
    <w:rsid w:val="00817C8F"/>
    <w:rsid w:val="00820982"/>
    <w:rsid w:val="0082170D"/>
    <w:rsid w:val="0082187A"/>
    <w:rsid w:val="00822223"/>
    <w:rsid w:val="00822802"/>
    <w:rsid w:val="00831989"/>
    <w:rsid w:val="00831EBD"/>
    <w:rsid w:val="00836BE4"/>
    <w:rsid w:val="008378B4"/>
    <w:rsid w:val="00840A1A"/>
    <w:rsid w:val="00840D02"/>
    <w:rsid w:val="008431E0"/>
    <w:rsid w:val="00844665"/>
    <w:rsid w:val="00845E4B"/>
    <w:rsid w:val="00846735"/>
    <w:rsid w:val="00846E42"/>
    <w:rsid w:val="00850601"/>
    <w:rsid w:val="00852698"/>
    <w:rsid w:val="00852948"/>
    <w:rsid w:val="00853065"/>
    <w:rsid w:val="008532AF"/>
    <w:rsid w:val="008535F2"/>
    <w:rsid w:val="00854598"/>
    <w:rsid w:val="008552AB"/>
    <w:rsid w:val="00856BDC"/>
    <w:rsid w:val="00861C4F"/>
    <w:rsid w:val="00862C87"/>
    <w:rsid w:val="008642DF"/>
    <w:rsid w:val="00865AD8"/>
    <w:rsid w:val="00866CE0"/>
    <w:rsid w:val="00870922"/>
    <w:rsid w:val="008721CC"/>
    <w:rsid w:val="00872226"/>
    <w:rsid w:val="0087239F"/>
    <w:rsid w:val="00872B47"/>
    <w:rsid w:val="00875F84"/>
    <w:rsid w:val="008773C3"/>
    <w:rsid w:val="00877623"/>
    <w:rsid w:val="00877872"/>
    <w:rsid w:val="00877C04"/>
    <w:rsid w:val="008824EE"/>
    <w:rsid w:val="00882B7E"/>
    <w:rsid w:val="00882BE6"/>
    <w:rsid w:val="00882D96"/>
    <w:rsid w:val="00883EFA"/>
    <w:rsid w:val="00885A80"/>
    <w:rsid w:val="00887818"/>
    <w:rsid w:val="00893260"/>
    <w:rsid w:val="008952E6"/>
    <w:rsid w:val="008A063A"/>
    <w:rsid w:val="008A0FAB"/>
    <w:rsid w:val="008A146D"/>
    <w:rsid w:val="008A2480"/>
    <w:rsid w:val="008A37E3"/>
    <w:rsid w:val="008A6398"/>
    <w:rsid w:val="008A73CB"/>
    <w:rsid w:val="008A7FE6"/>
    <w:rsid w:val="008B02D1"/>
    <w:rsid w:val="008B175F"/>
    <w:rsid w:val="008B1872"/>
    <w:rsid w:val="008B1A8D"/>
    <w:rsid w:val="008B31F8"/>
    <w:rsid w:val="008B7A52"/>
    <w:rsid w:val="008B7F12"/>
    <w:rsid w:val="008C00EC"/>
    <w:rsid w:val="008C0773"/>
    <w:rsid w:val="008C0CE5"/>
    <w:rsid w:val="008C1F78"/>
    <w:rsid w:val="008C3736"/>
    <w:rsid w:val="008C4419"/>
    <w:rsid w:val="008C572A"/>
    <w:rsid w:val="008C5ABC"/>
    <w:rsid w:val="008C5C88"/>
    <w:rsid w:val="008C7A40"/>
    <w:rsid w:val="008D095A"/>
    <w:rsid w:val="008E0A75"/>
    <w:rsid w:val="008E0EAF"/>
    <w:rsid w:val="008E1805"/>
    <w:rsid w:val="008E6453"/>
    <w:rsid w:val="009027ED"/>
    <w:rsid w:val="00903057"/>
    <w:rsid w:val="00903125"/>
    <w:rsid w:val="0090525F"/>
    <w:rsid w:val="00915597"/>
    <w:rsid w:val="00917927"/>
    <w:rsid w:val="00920B05"/>
    <w:rsid w:val="00924453"/>
    <w:rsid w:val="009254FA"/>
    <w:rsid w:val="00932EB4"/>
    <w:rsid w:val="009340B2"/>
    <w:rsid w:val="00936BC3"/>
    <w:rsid w:val="009374CE"/>
    <w:rsid w:val="00940671"/>
    <w:rsid w:val="00941A6A"/>
    <w:rsid w:val="00941C25"/>
    <w:rsid w:val="0094415E"/>
    <w:rsid w:val="00951733"/>
    <w:rsid w:val="009519FC"/>
    <w:rsid w:val="00952317"/>
    <w:rsid w:val="00953A8D"/>
    <w:rsid w:val="0095692A"/>
    <w:rsid w:val="00957D8E"/>
    <w:rsid w:val="0096040D"/>
    <w:rsid w:val="009606C6"/>
    <w:rsid w:val="009608F6"/>
    <w:rsid w:val="00960D9D"/>
    <w:rsid w:val="0096145E"/>
    <w:rsid w:val="00964B5A"/>
    <w:rsid w:val="00965225"/>
    <w:rsid w:val="009663D4"/>
    <w:rsid w:val="0097190C"/>
    <w:rsid w:val="009765DD"/>
    <w:rsid w:val="009775E7"/>
    <w:rsid w:val="0098097B"/>
    <w:rsid w:val="00981906"/>
    <w:rsid w:val="00982E10"/>
    <w:rsid w:val="00985129"/>
    <w:rsid w:val="00985BC6"/>
    <w:rsid w:val="00990780"/>
    <w:rsid w:val="00990CCF"/>
    <w:rsid w:val="009918D7"/>
    <w:rsid w:val="009919C7"/>
    <w:rsid w:val="009932CC"/>
    <w:rsid w:val="0099432E"/>
    <w:rsid w:val="0099453D"/>
    <w:rsid w:val="009951C5"/>
    <w:rsid w:val="00996D23"/>
    <w:rsid w:val="00997A92"/>
    <w:rsid w:val="009A0A11"/>
    <w:rsid w:val="009A1864"/>
    <w:rsid w:val="009A1C69"/>
    <w:rsid w:val="009A205F"/>
    <w:rsid w:val="009A28D5"/>
    <w:rsid w:val="009A3393"/>
    <w:rsid w:val="009B0288"/>
    <w:rsid w:val="009B077D"/>
    <w:rsid w:val="009B5599"/>
    <w:rsid w:val="009C0FD7"/>
    <w:rsid w:val="009C3C8C"/>
    <w:rsid w:val="009C4C54"/>
    <w:rsid w:val="009C4FD2"/>
    <w:rsid w:val="009C6124"/>
    <w:rsid w:val="009C7161"/>
    <w:rsid w:val="009C76C1"/>
    <w:rsid w:val="009D05EC"/>
    <w:rsid w:val="009D13B2"/>
    <w:rsid w:val="009D3AF6"/>
    <w:rsid w:val="009D4019"/>
    <w:rsid w:val="009E11BA"/>
    <w:rsid w:val="009E141B"/>
    <w:rsid w:val="009E2D6C"/>
    <w:rsid w:val="009E660D"/>
    <w:rsid w:val="009F50D8"/>
    <w:rsid w:val="009F536A"/>
    <w:rsid w:val="009F5E5B"/>
    <w:rsid w:val="00A03535"/>
    <w:rsid w:val="00A045A2"/>
    <w:rsid w:val="00A04B6D"/>
    <w:rsid w:val="00A06DD7"/>
    <w:rsid w:val="00A12BCC"/>
    <w:rsid w:val="00A14318"/>
    <w:rsid w:val="00A14F4E"/>
    <w:rsid w:val="00A167FB"/>
    <w:rsid w:val="00A20E1D"/>
    <w:rsid w:val="00A241E3"/>
    <w:rsid w:val="00A32095"/>
    <w:rsid w:val="00A33E33"/>
    <w:rsid w:val="00A34D08"/>
    <w:rsid w:val="00A44D85"/>
    <w:rsid w:val="00A45025"/>
    <w:rsid w:val="00A45844"/>
    <w:rsid w:val="00A51077"/>
    <w:rsid w:val="00A5433B"/>
    <w:rsid w:val="00A54C60"/>
    <w:rsid w:val="00A54E1A"/>
    <w:rsid w:val="00A60B48"/>
    <w:rsid w:val="00A614D0"/>
    <w:rsid w:val="00A62BFB"/>
    <w:rsid w:val="00A65FDE"/>
    <w:rsid w:val="00A6602B"/>
    <w:rsid w:val="00A66E87"/>
    <w:rsid w:val="00A67968"/>
    <w:rsid w:val="00A70471"/>
    <w:rsid w:val="00A71943"/>
    <w:rsid w:val="00A730EF"/>
    <w:rsid w:val="00A7361D"/>
    <w:rsid w:val="00A7456C"/>
    <w:rsid w:val="00A75588"/>
    <w:rsid w:val="00A772B5"/>
    <w:rsid w:val="00A77D5D"/>
    <w:rsid w:val="00A82118"/>
    <w:rsid w:val="00A82EA9"/>
    <w:rsid w:val="00A85251"/>
    <w:rsid w:val="00A87BD4"/>
    <w:rsid w:val="00A91E83"/>
    <w:rsid w:val="00A95C14"/>
    <w:rsid w:val="00A95FAA"/>
    <w:rsid w:val="00A97BA6"/>
    <w:rsid w:val="00AA0797"/>
    <w:rsid w:val="00AA2A3A"/>
    <w:rsid w:val="00AA4BFF"/>
    <w:rsid w:val="00AB0069"/>
    <w:rsid w:val="00AB18A3"/>
    <w:rsid w:val="00AB24E1"/>
    <w:rsid w:val="00AB2AB3"/>
    <w:rsid w:val="00AB3D71"/>
    <w:rsid w:val="00AB6C84"/>
    <w:rsid w:val="00AB6EAC"/>
    <w:rsid w:val="00AC5D81"/>
    <w:rsid w:val="00AC67A5"/>
    <w:rsid w:val="00AD04C1"/>
    <w:rsid w:val="00AD1F3F"/>
    <w:rsid w:val="00AD2944"/>
    <w:rsid w:val="00AD35EF"/>
    <w:rsid w:val="00AD4A4D"/>
    <w:rsid w:val="00AD57B1"/>
    <w:rsid w:val="00AD612A"/>
    <w:rsid w:val="00AD7A2D"/>
    <w:rsid w:val="00AE271B"/>
    <w:rsid w:val="00AE2F42"/>
    <w:rsid w:val="00AE33A9"/>
    <w:rsid w:val="00AE446B"/>
    <w:rsid w:val="00AE4666"/>
    <w:rsid w:val="00AE5255"/>
    <w:rsid w:val="00AF0FAD"/>
    <w:rsid w:val="00AF1F7E"/>
    <w:rsid w:val="00AF2CDB"/>
    <w:rsid w:val="00AF4251"/>
    <w:rsid w:val="00AF4AEB"/>
    <w:rsid w:val="00AF5A5E"/>
    <w:rsid w:val="00AF7241"/>
    <w:rsid w:val="00B03CE1"/>
    <w:rsid w:val="00B045F0"/>
    <w:rsid w:val="00B04889"/>
    <w:rsid w:val="00B04DC4"/>
    <w:rsid w:val="00B06013"/>
    <w:rsid w:val="00B06CAC"/>
    <w:rsid w:val="00B07049"/>
    <w:rsid w:val="00B1380A"/>
    <w:rsid w:val="00B13FA7"/>
    <w:rsid w:val="00B14244"/>
    <w:rsid w:val="00B1506B"/>
    <w:rsid w:val="00B238AA"/>
    <w:rsid w:val="00B24641"/>
    <w:rsid w:val="00B24B2E"/>
    <w:rsid w:val="00B24DB2"/>
    <w:rsid w:val="00B251E2"/>
    <w:rsid w:val="00B25570"/>
    <w:rsid w:val="00B2579E"/>
    <w:rsid w:val="00B25DA5"/>
    <w:rsid w:val="00B260DF"/>
    <w:rsid w:val="00B31660"/>
    <w:rsid w:val="00B33206"/>
    <w:rsid w:val="00B3394C"/>
    <w:rsid w:val="00B33AC0"/>
    <w:rsid w:val="00B34081"/>
    <w:rsid w:val="00B35386"/>
    <w:rsid w:val="00B356C3"/>
    <w:rsid w:val="00B35BF4"/>
    <w:rsid w:val="00B362C6"/>
    <w:rsid w:val="00B37E3B"/>
    <w:rsid w:val="00B41994"/>
    <w:rsid w:val="00B42655"/>
    <w:rsid w:val="00B44BDA"/>
    <w:rsid w:val="00B453F2"/>
    <w:rsid w:val="00B462E6"/>
    <w:rsid w:val="00B46EBD"/>
    <w:rsid w:val="00B475D1"/>
    <w:rsid w:val="00B51489"/>
    <w:rsid w:val="00B5163B"/>
    <w:rsid w:val="00B51651"/>
    <w:rsid w:val="00B562C4"/>
    <w:rsid w:val="00B571D5"/>
    <w:rsid w:val="00B57273"/>
    <w:rsid w:val="00B6012E"/>
    <w:rsid w:val="00B61C6C"/>
    <w:rsid w:val="00B622E7"/>
    <w:rsid w:val="00B62C96"/>
    <w:rsid w:val="00B6380C"/>
    <w:rsid w:val="00B641A3"/>
    <w:rsid w:val="00B6545B"/>
    <w:rsid w:val="00B6734D"/>
    <w:rsid w:val="00B70868"/>
    <w:rsid w:val="00B7153C"/>
    <w:rsid w:val="00B72B76"/>
    <w:rsid w:val="00B72D93"/>
    <w:rsid w:val="00B72F4B"/>
    <w:rsid w:val="00B73DAC"/>
    <w:rsid w:val="00B75E8C"/>
    <w:rsid w:val="00B7603F"/>
    <w:rsid w:val="00B77EF4"/>
    <w:rsid w:val="00B815E2"/>
    <w:rsid w:val="00B84A71"/>
    <w:rsid w:val="00B867D9"/>
    <w:rsid w:val="00B906FF"/>
    <w:rsid w:val="00B9211C"/>
    <w:rsid w:val="00B92EEC"/>
    <w:rsid w:val="00B950A5"/>
    <w:rsid w:val="00B97541"/>
    <w:rsid w:val="00BA1CA0"/>
    <w:rsid w:val="00BA455A"/>
    <w:rsid w:val="00BA5528"/>
    <w:rsid w:val="00BA688E"/>
    <w:rsid w:val="00BB0742"/>
    <w:rsid w:val="00BB265F"/>
    <w:rsid w:val="00BB59F2"/>
    <w:rsid w:val="00BB6818"/>
    <w:rsid w:val="00BC013C"/>
    <w:rsid w:val="00BC0541"/>
    <w:rsid w:val="00BC0C96"/>
    <w:rsid w:val="00BC328D"/>
    <w:rsid w:val="00BC45BA"/>
    <w:rsid w:val="00BC5F4E"/>
    <w:rsid w:val="00BC5FDE"/>
    <w:rsid w:val="00BC7297"/>
    <w:rsid w:val="00BD0240"/>
    <w:rsid w:val="00BD0822"/>
    <w:rsid w:val="00BD2C19"/>
    <w:rsid w:val="00BD799F"/>
    <w:rsid w:val="00BE0125"/>
    <w:rsid w:val="00BE1798"/>
    <w:rsid w:val="00BE49F9"/>
    <w:rsid w:val="00BE5FB6"/>
    <w:rsid w:val="00BE7E71"/>
    <w:rsid w:val="00BF11D7"/>
    <w:rsid w:val="00BF467C"/>
    <w:rsid w:val="00BF7D62"/>
    <w:rsid w:val="00C0130E"/>
    <w:rsid w:val="00C04D36"/>
    <w:rsid w:val="00C05EB3"/>
    <w:rsid w:val="00C0625B"/>
    <w:rsid w:val="00C06FCE"/>
    <w:rsid w:val="00C07C03"/>
    <w:rsid w:val="00C10747"/>
    <w:rsid w:val="00C10EB5"/>
    <w:rsid w:val="00C10F73"/>
    <w:rsid w:val="00C12025"/>
    <w:rsid w:val="00C133C8"/>
    <w:rsid w:val="00C1447E"/>
    <w:rsid w:val="00C15F7E"/>
    <w:rsid w:val="00C173A2"/>
    <w:rsid w:val="00C21159"/>
    <w:rsid w:val="00C21650"/>
    <w:rsid w:val="00C265C0"/>
    <w:rsid w:val="00C27482"/>
    <w:rsid w:val="00C30595"/>
    <w:rsid w:val="00C30AAD"/>
    <w:rsid w:val="00C311B3"/>
    <w:rsid w:val="00C33D9D"/>
    <w:rsid w:val="00C34EF5"/>
    <w:rsid w:val="00C36AC4"/>
    <w:rsid w:val="00C418FA"/>
    <w:rsid w:val="00C440F9"/>
    <w:rsid w:val="00C45B12"/>
    <w:rsid w:val="00C472A4"/>
    <w:rsid w:val="00C47CCC"/>
    <w:rsid w:val="00C62EDF"/>
    <w:rsid w:val="00C650E1"/>
    <w:rsid w:val="00C654F4"/>
    <w:rsid w:val="00C66654"/>
    <w:rsid w:val="00C71F95"/>
    <w:rsid w:val="00C72C64"/>
    <w:rsid w:val="00C73585"/>
    <w:rsid w:val="00C73C0D"/>
    <w:rsid w:val="00C7586A"/>
    <w:rsid w:val="00C76480"/>
    <w:rsid w:val="00C77547"/>
    <w:rsid w:val="00C778E6"/>
    <w:rsid w:val="00C77F55"/>
    <w:rsid w:val="00C81E07"/>
    <w:rsid w:val="00C8388D"/>
    <w:rsid w:val="00C85D6A"/>
    <w:rsid w:val="00C874E9"/>
    <w:rsid w:val="00C87ADF"/>
    <w:rsid w:val="00C9040A"/>
    <w:rsid w:val="00C90AFC"/>
    <w:rsid w:val="00C94693"/>
    <w:rsid w:val="00C94898"/>
    <w:rsid w:val="00C95DF2"/>
    <w:rsid w:val="00CA1BEA"/>
    <w:rsid w:val="00CA2D32"/>
    <w:rsid w:val="00CA3FE6"/>
    <w:rsid w:val="00CA5ED1"/>
    <w:rsid w:val="00CB3CD7"/>
    <w:rsid w:val="00CC0083"/>
    <w:rsid w:val="00CC3562"/>
    <w:rsid w:val="00CC5E5B"/>
    <w:rsid w:val="00CC772A"/>
    <w:rsid w:val="00CD14DB"/>
    <w:rsid w:val="00CE2E0F"/>
    <w:rsid w:val="00CE6283"/>
    <w:rsid w:val="00CE67AA"/>
    <w:rsid w:val="00CE6F33"/>
    <w:rsid w:val="00CE73B5"/>
    <w:rsid w:val="00CE791D"/>
    <w:rsid w:val="00CE79D7"/>
    <w:rsid w:val="00CE7CE3"/>
    <w:rsid w:val="00CF2071"/>
    <w:rsid w:val="00CF244E"/>
    <w:rsid w:val="00CF278D"/>
    <w:rsid w:val="00CF2862"/>
    <w:rsid w:val="00CF37C7"/>
    <w:rsid w:val="00CF3CF8"/>
    <w:rsid w:val="00CF474D"/>
    <w:rsid w:val="00CF749A"/>
    <w:rsid w:val="00D0089A"/>
    <w:rsid w:val="00D014C7"/>
    <w:rsid w:val="00D01548"/>
    <w:rsid w:val="00D04D5F"/>
    <w:rsid w:val="00D04DFA"/>
    <w:rsid w:val="00D05F35"/>
    <w:rsid w:val="00D06393"/>
    <w:rsid w:val="00D06E5E"/>
    <w:rsid w:val="00D06F79"/>
    <w:rsid w:val="00D10597"/>
    <w:rsid w:val="00D120A3"/>
    <w:rsid w:val="00D1584B"/>
    <w:rsid w:val="00D219E9"/>
    <w:rsid w:val="00D2205B"/>
    <w:rsid w:val="00D23418"/>
    <w:rsid w:val="00D24606"/>
    <w:rsid w:val="00D24EFB"/>
    <w:rsid w:val="00D2620A"/>
    <w:rsid w:val="00D3056A"/>
    <w:rsid w:val="00D31091"/>
    <w:rsid w:val="00D33CFE"/>
    <w:rsid w:val="00D33DDE"/>
    <w:rsid w:val="00D344AC"/>
    <w:rsid w:val="00D34DA4"/>
    <w:rsid w:val="00D40DDE"/>
    <w:rsid w:val="00D43CA5"/>
    <w:rsid w:val="00D44159"/>
    <w:rsid w:val="00D44CA5"/>
    <w:rsid w:val="00D46E12"/>
    <w:rsid w:val="00D50734"/>
    <w:rsid w:val="00D507C0"/>
    <w:rsid w:val="00D513CC"/>
    <w:rsid w:val="00D54423"/>
    <w:rsid w:val="00D6318F"/>
    <w:rsid w:val="00D650BB"/>
    <w:rsid w:val="00D6540A"/>
    <w:rsid w:val="00D70438"/>
    <w:rsid w:val="00D717AD"/>
    <w:rsid w:val="00D720AD"/>
    <w:rsid w:val="00D7384A"/>
    <w:rsid w:val="00D74A18"/>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41C"/>
    <w:rsid w:val="00D94B7D"/>
    <w:rsid w:val="00DA1413"/>
    <w:rsid w:val="00DA4C44"/>
    <w:rsid w:val="00DA4C48"/>
    <w:rsid w:val="00DA4E21"/>
    <w:rsid w:val="00DA71EF"/>
    <w:rsid w:val="00DA7A18"/>
    <w:rsid w:val="00DB1347"/>
    <w:rsid w:val="00DB28CE"/>
    <w:rsid w:val="00DB29BC"/>
    <w:rsid w:val="00DB2A2A"/>
    <w:rsid w:val="00DB479F"/>
    <w:rsid w:val="00DB55B6"/>
    <w:rsid w:val="00DB5F21"/>
    <w:rsid w:val="00DB6D7C"/>
    <w:rsid w:val="00DC090A"/>
    <w:rsid w:val="00DC0E7E"/>
    <w:rsid w:val="00DC30EA"/>
    <w:rsid w:val="00DC4FE9"/>
    <w:rsid w:val="00DC5918"/>
    <w:rsid w:val="00DC5F8E"/>
    <w:rsid w:val="00DC6C8D"/>
    <w:rsid w:val="00DC73A5"/>
    <w:rsid w:val="00DD0236"/>
    <w:rsid w:val="00DD76A4"/>
    <w:rsid w:val="00DD7C65"/>
    <w:rsid w:val="00DE0042"/>
    <w:rsid w:val="00DE03E4"/>
    <w:rsid w:val="00DE1134"/>
    <w:rsid w:val="00DE1AEB"/>
    <w:rsid w:val="00DE6668"/>
    <w:rsid w:val="00E0080A"/>
    <w:rsid w:val="00E00F31"/>
    <w:rsid w:val="00E02242"/>
    <w:rsid w:val="00E0300E"/>
    <w:rsid w:val="00E04AE0"/>
    <w:rsid w:val="00E070D0"/>
    <w:rsid w:val="00E13727"/>
    <w:rsid w:val="00E20254"/>
    <w:rsid w:val="00E219EB"/>
    <w:rsid w:val="00E22C13"/>
    <w:rsid w:val="00E25045"/>
    <w:rsid w:val="00E2677C"/>
    <w:rsid w:val="00E26D83"/>
    <w:rsid w:val="00E27A1E"/>
    <w:rsid w:val="00E306E9"/>
    <w:rsid w:val="00E307DC"/>
    <w:rsid w:val="00E334B9"/>
    <w:rsid w:val="00E33752"/>
    <w:rsid w:val="00E33905"/>
    <w:rsid w:val="00E342D1"/>
    <w:rsid w:val="00E34B96"/>
    <w:rsid w:val="00E37502"/>
    <w:rsid w:val="00E42977"/>
    <w:rsid w:val="00E43074"/>
    <w:rsid w:val="00E431C8"/>
    <w:rsid w:val="00E44926"/>
    <w:rsid w:val="00E44E09"/>
    <w:rsid w:val="00E45D53"/>
    <w:rsid w:val="00E46DBD"/>
    <w:rsid w:val="00E51708"/>
    <w:rsid w:val="00E51BD7"/>
    <w:rsid w:val="00E53139"/>
    <w:rsid w:val="00E53A8F"/>
    <w:rsid w:val="00E5435E"/>
    <w:rsid w:val="00E55A81"/>
    <w:rsid w:val="00E56DA8"/>
    <w:rsid w:val="00E60ACC"/>
    <w:rsid w:val="00E60C4B"/>
    <w:rsid w:val="00E60E21"/>
    <w:rsid w:val="00E63F59"/>
    <w:rsid w:val="00E66638"/>
    <w:rsid w:val="00E6706E"/>
    <w:rsid w:val="00E7211D"/>
    <w:rsid w:val="00E74703"/>
    <w:rsid w:val="00E757CA"/>
    <w:rsid w:val="00E75D48"/>
    <w:rsid w:val="00E773CD"/>
    <w:rsid w:val="00E774C9"/>
    <w:rsid w:val="00E80964"/>
    <w:rsid w:val="00E841A6"/>
    <w:rsid w:val="00E84BCB"/>
    <w:rsid w:val="00E85905"/>
    <w:rsid w:val="00E90DC4"/>
    <w:rsid w:val="00E9163F"/>
    <w:rsid w:val="00E91CB7"/>
    <w:rsid w:val="00E925A1"/>
    <w:rsid w:val="00E956E8"/>
    <w:rsid w:val="00EA022D"/>
    <w:rsid w:val="00EA0F2C"/>
    <w:rsid w:val="00EA19CB"/>
    <w:rsid w:val="00EA2C8F"/>
    <w:rsid w:val="00EA5D64"/>
    <w:rsid w:val="00EA613A"/>
    <w:rsid w:val="00EA6A8C"/>
    <w:rsid w:val="00EB3067"/>
    <w:rsid w:val="00EB353E"/>
    <w:rsid w:val="00EB56E0"/>
    <w:rsid w:val="00EB5DDF"/>
    <w:rsid w:val="00EB6E66"/>
    <w:rsid w:val="00EB713E"/>
    <w:rsid w:val="00EB7E92"/>
    <w:rsid w:val="00EC00D0"/>
    <w:rsid w:val="00EC0BBF"/>
    <w:rsid w:val="00EC3CEC"/>
    <w:rsid w:val="00EC4625"/>
    <w:rsid w:val="00EC6F58"/>
    <w:rsid w:val="00ED139E"/>
    <w:rsid w:val="00ED1759"/>
    <w:rsid w:val="00ED263F"/>
    <w:rsid w:val="00ED27A5"/>
    <w:rsid w:val="00ED445D"/>
    <w:rsid w:val="00ED461C"/>
    <w:rsid w:val="00EE37A2"/>
    <w:rsid w:val="00EE3B12"/>
    <w:rsid w:val="00EE4785"/>
    <w:rsid w:val="00EE5E91"/>
    <w:rsid w:val="00EE5F8C"/>
    <w:rsid w:val="00EE73BC"/>
    <w:rsid w:val="00EF00AA"/>
    <w:rsid w:val="00F0026A"/>
    <w:rsid w:val="00F021E7"/>
    <w:rsid w:val="00F026C1"/>
    <w:rsid w:val="00F039D1"/>
    <w:rsid w:val="00F05BEC"/>
    <w:rsid w:val="00F05D0F"/>
    <w:rsid w:val="00F05DB4"/>
    <w:rsid w:val="00F13358"/>
    <w:rsid w:val="00F1456D"/>
    <w:rsid w:val="00F15387"/>
    <w:rsid w:val="00F15D8B"/>
    <w:rsid w:val="00F17D58"/>
    <w:rsid w:val="00F228F5"/>
    <w:rsid w:val="00F24143"/>
    <w:rsid w:val="00F241BE"/>
    <w:rsid w:val="00F24962"/>
    <w:rsid w:val="00F25038"/>
    <w:rsid w:val="00F25F0C"/>
    <w:rsid w:val="00F3124A"/>
    <w:rsid w:val="00F31D41"/>
    <w:rsid w:val="00F34539"/>
    <w:rsid w:val="00F35005"/>
    <w:rsid w:val="00F364CB"/>
    <w:rsid w:val="00F36B3E"/>
    <w:rsid w:val="00F37601"/>
    <w:rsid w:val="00F4220F"/>
    <w:rsid w:val="00F43F58"/>
    <w:rsid w:val="00F45507"/>
    <w:rsid w:val="00F46014"/>
    <w:rsid w:val="00F47670"/>
    <w:rsid w:val="00F51371"/>
    <w:rsid w:val="00F51AF6"/>
    <w:rsid w:val="00F54EFC"/>
    <w:rsid w:val="00F56113"/>
    <w:rsid w:val="00F5640F"/>
    <w:rsid w:val="00F56735"/>
    <w:rsid w:val="00F60BE0"/>
    <w:rsid w:val="00F615F9"/>
    <w:rsid w:val="00F620BE"/>
    <w:rsid w:val="00F64DC5"/>
    <w:rsid w:val="00F7116A"/>
    <w:rsid w:val="00F73938"/>
    <w:rsid w:val="00F73E87"/>
    <w:rsid w:val="00F7407A"/>
    <w:rsid w:val="00F74224"/>
    <w:rsid w:val="00F747A9"/>
    <w:rsid w:val="00F76696"/>
    <w:rsid w:val="00F77A84"/>
    <w:rsid w:val="00F814A7"/>
    <w:rsid w:val="00F87905"/>
    <w:rsid w:val="00F9229E"/>
    <w:rsid w:val="00F92724"/>
    <w:rsid w:val="00F92A12"/>
    <w:rsid w:val="00F9523B"/>
    <w:rsid w:val="00F9560B"/>
    <w:rsid w:val="00F95755"/>
    <w:rsid w:val="00F96E67"/>
    <w:rsid w:val="00F96E92"/>
    <w:rsid w:val="00FA13CB"/>
    <w:rsid w:val="00FA2BE9"/>
    <w:rsid w:val="00FA31AE"/>
    <w:rsid w:val="00FA4FCD"/>
    <w:rsid w:val="00FA51C5"/>
    <w:rsid w:val="00FB2973"/>
    <w:rsid w:val="00FB42CF"/>
    <w:rsid w:val="00FB7B5E"/>
    <w:rsid w:val="00FC07DD"/>
    <w:rsid w:val="00FC2B86"/>
    <w:rsid w:val="00FC48B5"/>
    <w:rsid w:val="00FC4CA2"/>
    <w:rsid w:val="00FC7B2A"/>
    <w:rsid w:val="00FD1096"/>
    <w:rsid w:val="00FD3D67"/>
    <w:rsid w:val="00FD536A"/>
    <w:rsid w:val="00FE4145"/>
    <w:rsid w:val="00FE506F"/>
    <w:rsid w:val="00FE5F2D"/>
    <w:rsid w:val="00FE6F53"/>
    <w:rsid w:val="00FE743E"/>
    <w:rsid w:val="00FF0810"/>
    <w:rsid w:val="00FF11E6"/>
    <w:rsid w:val="00FF1A8B"/>
    <w:rsid w:val="00FF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862"/>
    <w:pPr>
      <w:spacing w:after="0" w:line="240" w:lineRule="auto"/>
    </w:pPr>
    <w:rPr>
      <w:sz w:val="20"/>
      <w:szCs w:val="24"/>
      <w:lang w:val="en-AU" w:eastAsia="en-AU"/>
    </w:rPr>
  </w:style>
  <w:style w:type="paragraph" w:styleId="Heading1">
    <w:name w:val="heading 1"/>
    <w:basedOn w:val="Normal"/>
    <w:next w:val="BodyText"/>
    <w:link w:val="Heading1Char"/>
    <w:uiPriority w:val="99"/>
    <w:qFormat/>
    <w:rsid w:val="00CF2862"/>
    <w:pPr>
      <w:keepNext/>
      <w:pageBreakBefore/>
      <w:numPr>
        <w:numId w:val="11"/>
      </w:numPr>
      <w:tabs>
        <w:tab w:val="num" w:pos="0"/>
      </w:tabs>
      <w:spacing w:after="1460" w:line="540" w:lineRule="atLeast"/>
      <w:ind w:hanging="454"/>
      <w:outlineLvl w:val="0"/>
    </w:pPr>
    <w:rPr>
      <w:rFonts w:ascii="Franklin Gothic Book" w:hAnsi="Franklin Gothic Book"/>
      <w:color w:val="AD495D"/>
      <w:spacing w:val="-10"/>
      <w:kern w:val="28"/>
      <w:sz w:val="50"/>
      <w:szCs w:val="50"/>
    </w:rPr>
  </w:style>
  <w:style w:type="paragraph" w:styleId="Heading2">
    <w:name w:val="heading 2"/>
    <w:basedOn w:val="Heading1"/>
    <w:next w:val="BodyText"/>
    <w:link w:val="Heading2Char"/>
    <w:uiPriority w:val="99"/>
    <w:qFormat/>
    <w:rsid w:val="00CF2862"/>
    <w:pPr>
      <w:pageBreakBefore w:val="0"/>
      <w:numPr>
        <w:ilvl w:val="1"/>
      </w:numPr>
      <w:tabs>
        <w:tab w:val="num" w:pos="709"/>
      </w:tabs>
      <w:spacing w:before="460" w:after="100" w:line="320" w:lineRule="atLeast"/>
      <w:ind w:left="709" w:hanging="709"/>
      <w:outlineLvl w:val="1"/>
    </w:pPr>
    <w:rPr>
      <w:rFonts w:ascii="Franklin Gothic Demi" w:hAnsi="Franklin Gothic Demi"/>
      <w:spacing w:val="0"/>
      <w:sz w:val="28"/>
      <w:szCs w:val="28"/>
    </w:rPr>
  </w:style>
  <w:style w:type="paragraph" w:styleId="Heading3">
    <w:name w:val="heading 3"/>
    <w:basedOn w:val="Heading2"/>
    <w:next w:val="BodyText"/>
    <w:link w:val="Heading3Char"/>
    <w:uiPriority w:val="99"/>
    <w:qFormat/>
    <w:rsid w:val="00CF2862"/>
    <w:pPr>
      <w:numPr>
        <w:ilvl w:val="2"/>
      </w:numPr>
      <w:tabs>
        <w:tab w:val="num" w:pos="0"/>
      </w:tabs>
      <w:spacing w:before="380" w:after="0" w:line="280" w:lineRule="atLeast"/>
      <w:ind w:left="0" w:firstLine="0"/>
      <w:outlineLvl w:val="2"/>
    </w:pPr>
    <w:rPr>
      <w:rFonts w:ascii="Franklin Gothic Medium" w:hAnsi="Franklin Gothic Medium"/>
      <w:sz w:val="24"/>
      <w:szCs w:val="24"/>
    </w:rPr>
  </w:style>
  <w:style w:type="paragraph" w:styleId="Heading4">
    <w:name w:val="heading 4"/>
    <w:basedOn w:val="Heading3"/>
    <w:next w:val="BodyText"/>
    <w:link w:val="Heading4Char"/>
    <w:uiPriority w:val="99"/>
    <w:qFormat/>
    <w:rsid w:val="00CF2862"/>
    <w:pPr>
      <w:numPr>
        <w:ilvl w:val="3"/>
      </w:numPr>
      <w:tabs>
        <w:tab w:val="num" w:pos="0"/>
      </w:tabs>
      <w:spacing w:before="360" w:line="260" w:lineRule="atLeast"/>
      <w:outlineLvl w:val="3"/>
    </w:pPr>
    <w:rPr>
      <w:color w:val="5A9A98"/>
      <w:sz w:val="22"/>
      <w:szCs w:val="22"/>
    </w:rPr>
  </w:style>
  <w:style w:type="paragraph" w:styleId="Heading5">
    <w:name w:val="heading 5"/>
    <w:basedOn w:val="BodyText"/>
    <w:next w:val="BodyText"/>
    <w:link w:val="Heading5Char"/>
    <w:uiPriority w:val="99"/>
    <w:qFormat/>
    <w:rsid w:val="00CF2862"/>
    <w:pPr>
      <w:keepNext/>
      <w:numPr>
        <w:ilvl w:val="4"/>
        <w:numId w:val="11"/>
      </w:numPr>
      <w:spacing w:before="320" w:after="0"/>
      <w:outlineLvl w:val="4"/>
    </w:pPr>
    <w:rPr>
      <w:b/>
      <w:color w:val="54534A"/>
    </w:rPr>
  </w:style>
  <w:style w:type="paragraph" w:styleId="Heading6">
    <w:name w:val="heading 6"/>
    <w:basedOn w:val="Heading1"/>
    <w:next w:val="BodyText"/>
    <w:link w:val="Heading6Char"/>
    <w:uiPriority w:val="99"/>
    <w:qFormat/>
    <w:rsid w:val="00CF2862"/>
    <w:pPr>
      <w:numPr>
        <w:ilvl w:val="5"/>
      </w:numPr>
      <w:tabs>
        <w:tab w:val="num" w:pos="709"/>
      </w:tabs>
      <w:ind w:firstLine="0"/>
      <w:outlineLvl w:val="5"/>
    </w:pPr>
    <w:rPr>
      <w:bCs/>
    </w:rPr>
  </w:style>
  <w:style w:type="paragraph" w:styleId="Heading7">
    <w:name w:val="heading 7"/>
    <w:basedOn w:val="Heading2"/>
    <w:next w:val="BodyText"/>
    <w:link w:val="Heading7Char"/>
    <w:uiPriority w:val="99"/>
    <w:qFormat/>
    <w:rsid w:val="00CF2862"/>
    <w:pPr>
      <w:numPr>
        <w:ilvl w:val="6"/>
      </w:numPr>
      <w:tabs>
        <w:tab w:val="num" w:pos="0"/>
      </w:tabs>
      <w:ind w:left="0" w:firstLine="0"/>
      <w:outlineLvl w:val="6"/>
    </w:pPr>
  </w:style>
  <w:style w:type="paragraph" w:styleId="Heading8">
    <w:name w:val="heading 8"/>
    <w:basedOn w:val="Heading3"/>
    <w:next w:val="BodyText"/>
    <w:link w:val="Heading8Char"/>
    <w:uiPriority w:val="99"/>
    <w:qFormat/>
    <w:rsid w:val="00CF2862"/>
    <w:pPr>
      <w:numPr>
        <w:ilvl w:val="7"/>
      </w:numPr>
      <w:outlineLvl w:val="7"/>
    </w:pPr>
  </w:style>
  <w:style w:type="paragraph" w:styleId="Heading9">
    <w:name w:val="heading 9"/>
    <w:basedOn w:val="Heading4"/>
    <w:next w:val="BodyText"/>
    <w:link w:val="Heading9Char"/>
    <w:uiPriority w:val="99"/>
    <w:qFormat/>
    <w:rsid w:val="00CF2862"/>
    <w:pPr>
      <w:numPr>
        <w:ilvl w:val="8"/>
      </w:numPr>
      <w:tabs>
        <w:tab w:val="num" w:pos="0"/>
      </w:tabs>
      <w:outlineLvl w:val="8"/>
    </w:pPr>
  </w:style>
  <w:style w:type="character" w:default="1" w:styleId="DefaultParagraphFont">
    <w:name w:val="Default Paragraph Font"/>
    <w:link w:val="CharChar2"/>
    <w:uiPriority w:val="99"/>
    <w:semiHidden/>
    <w:locked/>
    <w:rsid w:val="00CF28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Franklin Gothic Book" w:hAnsi="Franklin Gothic Book" w:cs="Times New Roman"/>
      <w:color w:val="AD495D"/>
      <w:spacing w:val="-10"/>
      <w:kern w:val="28"/>
      <w:sz w:val="50"/>
      <w:szCs w:val="50"/>
      <w:lang w:val="en-AU" w:eastAsia="en-AU"/>
    </w:rPr>
  </w:style>
  <w:style w:type="character" w:customStyle="1" w:styleId="Heading2Char">
    <w:name w:val="Heading 2 Char"/>
    <w:basedOn w:val="DefaultParagraphFont"/>
    <w:link w:val="Heading2"/>
    <w:uiPriority w:val="99"/>
    <w:locked/>
    <w:rPr>
      <w:rFonts w:ascii="Franklin Gothic Demi" w:hAnsi="Franklin Gothic Demi" w:cs="Times New Roman"/>
      <w:color w:val="AD495D"/>
      <w:kern w:val="28"/>
      <w:sz w:val="28"/>
      <w:szCs w:val="28"/>
      <w:lang w:val="en-AU" w:eastAsia="en-AU"/>
    </w:rPr>
  </w:style>
  <w:style w:type="character" w:customStyle="1" w:styleId="Heading3Char">
    <w:name w:val="Heading 3 Char"/>
    <w:basedOn w:val="DefaultParagraphFont"/>
    <w:link w:val="Heading3"/>
    <w:uiPriority w:val="99"/>
    <w:locked/>
    <w:rPr>
      <w:rFonts w:ascii="Franklin Gothic Medium" w:hAnsi="Franklin Gothic Medium" w:cs="Times New Roman"/>
      <w:color w:val="AD495D"/>
      <w:kern w:val="28"/>
      <w:sz w:val="24"/>
      <w:szCs w:val="24"/>
      <w:lang w:val="en-AU" w:eastAsia="en-AU"/>
    </w:rPr>
  </w:style>
  <w:style w:type="character" w:customStyle="1" w:styleId="Heading4Char">
    <w:name w:val="Heading 4 Char"/>
    <w:basedOn w:val="DefaultParagraphFont"/>
    <w:link w:val="Heading4"/>
    <w:uiPriority w:val="99"/>
    <w:locked/>
    <w:rPr>
      <w:rFonts w:ascii="Franklin Gothic Medium" w:hAnsi="Franklin Gothic Medium" w:cs="Times New Roman"/>
      <w:color w:val="5A9A98"/>
      <w:kern w:val="28"/>
      <w:lang w:val="en-AU" w:eastAsia="en-AU"/>
    </w:rPr>
  </w:style>
  <w:style w:type="character" w:customStyle="1" w:styleId="Heading5Char">
    <w:name w:val="Heading 5 Char"/>
    <w:basedOn w:val="DefaultParagraphFont"/>
    <w:link w:val="Heading5"/>
    <w:uiPriority w:val="99"/>
    <w:locked/>
    <w:rPr>
      <w:rFonts w:ascii="Georgia" w:hAnsi="Georgia" w:cs="Times New Roman"/>
      <w:b/>
      <w:color w:val="54534A"/>
      <w:sz w:val="19"/>
      <w:szCs w:val="19"/>
      <w:lang w:val="en-AU" w:eastAsia="en-AU"/>
    </w:rPr>
  </w:style>
  <w:style w:type="character" w:customStyle="1" w:styleId="Heading6Char">
    <w:name w:val="Heading 6 Char"/>
    <w:basedOn w:val="DefaultParagraphFont"/>
    <w:link w:val="Heading6"/>
    <w:uiPriority w:val="99"/>
    <w:locked/>
    <w:rPr>
      <w:rFonts w:ascii="Franklin Gothic Book" w:hAnsi="Franklin Gothic Book" w:cs="Times New Roman"/>
      <w:bCs/>
      <w:color w:val="AD495D"/>
      <w:spacing w:val="-10"/>
      <w:kern w:val="28"/>
      <w:sz w:val="50"/>
      <w:szCs w:val="50"/>
      <w:lang w:val="en-AU" w:eastAsia="en-AU"/>
    </w:rPr>
  </w:style>
  <w:style w:type="character" w:customStyle="1" w:styleId="Heading7Char">
    <w:name w:val="Heading 7 Char"/>
    <w:basedOn w:val="DefaultParagraphFont"/>
    <w:link w:val="Heading7"/>
    <w:uiPriority w:val="99"/>
    <w:locked/>
    <w:rPr>
      <w:rFonts w:ascii="Franklin Gothic Demi" w:hAnsi="Franklin Gothic Demi" w:cs="Times New Roman"/>
      <w:color w:val="AD495D"/>
      <w:kern w:val="28"/>
      <w:sz w:val="28"/>
      <w:szCs w:val="28"/>
      <w:lang w:val="en-AU" w:eastAsia="en-AU"/>
    </w:rPr>
  </w:style>
  <w:style w:type="character" w:customStyle="1" w:styleId="Heading8Char">
    <w:name w:val="Heading 8 Char"/>
    <w:basedOn w:val="DefaultParagraphFont"/>
    <w:link w:val="Heading8"/>
    <w:uiPriority w:val="99"/>
    <w:locked/>
    <w:rPr>
      <w:rFonts w:ascii="Franklin Gothic Medium" w:hAnsi="Franklin Gothic Medium" w:cs="Times New Roman"/>
      <w:color w:val="AD495D"/>
      <w:kern w:val="28"/>
      <w:sz w:val="24"/>
      <w:szCs w:val="24"/>
      <w:lang w:val="en-AU" w:eastAsia="en-AU"/>
    </w:rPr>
  </w:style>
  <w:style w:type="character" w:customStyle="1" w:styleId="Heading9Char">
    <w:name w:val="Heading 9 Char"/>
    <w:basedOn w:val="DefaultParagraphFont"/>
    <w:link w:val="Heading9"/>
    <w:uiPriority w:val="99"/>
    <w:locked/>
    <w:rPr>
      <w:rFonts w:ascii="Franklin Gothic Medium" w:hAnsi="Franklin Gothic Medium" w:cs="Times New Roman"/>
      <w:color w:val="5A9A98"/>
      <w:kern w:val="28"/>
      <w:lang w:val="en-AU" w:eastAsia="en-AU"/>
    </w:rPr>
  </w:style>
  <w:style w:type="paragraph" w:styleId="BodyText">
    <w:name w:val="Body Text"/>
    <w:basedOn w:val="Normal"/>
    <w:link w:val="BodyTextChar"/>
    <w:uiPriority w:val="99"/>
    <w:rsid w:val="00CF2862"/>
    <w:pPr>
      <w:spacing w:before="80" w:after="80" w:line="280" w:lineRule="atLeast"/>
    </w:pPr>
    <w:rPr>
      <w:rFonts w:ascii="Georgia" w:hAnsi="Georgia"/>
      <w:sz w:val="19"/>
      <w:szCs w:val="19"/>
    </w:rPr>
  </w:style>
  <w:style w:type="character" w:customStyle="1" w:styleId="BodyTextChar">
    <w:name w:val="Body Text Char"/>
    <w:basedOn w:val="DefaultParagraphFont"/>
    <w:link w:val="BodyText"/>
    <w:uiPriority w:val="99"/>
    <w:locked/>
    <w:rsid w:val="00CF2862"/>
    <w:rPr>
      <w:rFonts w:ascii="Georgia" w:hAnsi="Georgia" w:cs="Times New Roman"/>
      <w:sz w:val="19"/>
      <w:szCs w:val="19"/>
      <w:lang w:val="en-AU" w:eastAsia="en-AU" w:bidi="ar-SA"/>
    </w:rPr>
  </w:style>
  <w:style w:type="character" w:customStyle="1" w:styleId="DraftingNote">
    <w:name w:val="Drafting Note"/>
    <w:basedOn w:val="DefaultParagraphFont"/>
    <w:uiPriority w:val="99"/>
    <w:rsid w:val="00CF2862"/>
    <w:rPr>
      <w:rFonts w:ascii="Georgia" w:hAnsi="Georgia" w:cs="Times New Roman"/>
      <w:b/>
      <w:color w:val="FF0000"/>
      <w:sz w:val="19"/>
      <w:szCs w:val="19"/>
      <w:u w:val="dotted"/>
    </w:rPr>
  </w:style>
  <w:style w:type="paragraph" w:customStyle="1" w:styleId="Heading1unnumbered">
    <w:name w:val="Heading 1 unnumbered"/>
    <w:basedOn w:val="Heading1"/>
    <w:next w:val="BodyText"/>
    <w:uiPriority w:val="99"/>
    <w:rsid w:val="00CF2862"/>
    <w:pPr>
      <w:numPr>
        <w:numId w:val="0"/>
      </w:numPr>
    </w:pPr>
  </w:style>
  <w:style w:type="paragraph" w:customStyle="1" w:styleId="Heading2unnumbered">
    <w:name w:val="Heading 2 unnumbered"/>
    <w:basedOn w:val="Heading2"/>
    <w:next w:val="BodyText"/>
    <w:uiPriority w:val="99"/>
    <w:rsid w:val="00CF2862"/>
    <w:pPr>
      <w:numPr>
        <w:ilvl w:val="0"/>
        <w:numId w:val="0"/>
      </w:numPr>
    </w:pPr>
  </w:style>
  <w:style w:type="paragraph" w:customStyle="1" w:styleId="Heading3nonumber">
    <w:name w:val="Heading 3 (no number)"/>
    <w:basedOn w:val="Heading3"/>
    <w:next w:val="BodyText"/>
    <w:uiPriority w:val="99"/>
    <w:semiHidden/>
    <w:rsid w:val="006A5D8A"/>
    <w:pPr>
      <w:numPr>
        <w:ilvl w:val="0"/>
        <w:numId w:val="0"/>
      </w:numPr>
    </w:pPr>
    <w:rPr>
      <w:rFonts w:ascii="Franklin Gothic Demi" w:hAnsi="Franklin Gothic Demi"/>
    </w:rPr>
  </w:style>
  <w:style w:type="paragraph" w:styleId="ListBullet">
    <w:name w:val="List Bullet"/>
    <w:basedOn w:val="BodyText"/>
    <w:uiPriority w:val="99"/>
    <w:rsid w:val="00CF2862"/>
    <w:pPr>
      <w:numPr>
        <w:numId w:val="6"/>
      </w:numPr>
      <w:tabs>
        <w:tab w:val="clear" w:pos="360"/>
        <w:tab w:val="num" w:pos="284"/>
      </w:tabs>
      <w:spacing w:before="0"/>
      <w:ind w:left="284" w:hanging="284"/>
    </w:pPr>
  </w:style>
  <w:style w:type="paragraph" w:styleId="ListBullet2">
    <w:name w:val="List Bullet 2"/>
    <w:basedOn w:val="ListBullet"/>
    <w:uiPriority w:val="99"/>
    <w:rsid w:val="00CF2862"/>
    <w:pPr>
      <w:numPr>
        <w:numId w:val="7"/>
      </w:numPr>
      <w:tabs>
        <w:tab w:val="clear" w:pos="360"/>
        <w:tab w:val="num" w:pos="567"/>
      </w:tabs>
      <w:ind w:left="567" w:hanging="283"/>
    </w:pPr>
  </w:style>
  <w:style w:type="paragraph" w:styleId="ListNumber">
    <w:name w:val="List Number"/>
    <w:basedOn w:val="ListBullet"/>
    <w:uiPriority w:val="99"/>
    <w:rsid w:val="00CF2862"/>
    <w:pPr>
      <w:numPr>
        <w:numId w:val="12"/>
      </w:numPr>
      <w:tabs>
        <w:tab w:val="num" w:pos="284"/>
      </w:tabs>
    </w:pPr>
  </w:style>
  <w:style w:type="paragraph" w:styleId="ListNumber2">
    <w:name w:val="List Number 2"/>
    <w:basedOn w:val="ListNumber"/>
    <w:uiPriority w:val="99"/>
    <w:rsid w:val="00CF2862"/>
    <w:pPr>
      <w:numPr>
        <w:numId w:val="13"/>
      </w:numPr>
      <w:tabs>
        <w:tab w:val="num" w:pos="567"/>
      </w:tabs>
      <w:ind w:left="567" w:hanging="283"/>
    </w:pPr>
  </w:style>
  <w:style w:type="paragraph" w:styleId="Quote">
    <w:name w:val="Quote"/>
    <w:basedOn w:val="BodyText"/>
    <w:next w:val="BodyText"/>
    <w:link w:val="QuoteChar"/>
    <w:uiPriority w:val="99"/>
    <w:qFormat/>
    <w:rsid w:val="00CF2862"/>
    <w:pPr>
      <w:spacing w:before="0" w:line="260" w:lineRule="atLeast"/>
      <w:ind w:left="284"/>
    </w:pPr>
    <w:rPr>
      <w:sz w:val="17"/>
      <w:szCs w:val="17"/>
    </w:rPr>
  </w:style>
  <w:style w:type="character" w:customStyle="1" w:styleId="QuoteChar">
    <w:name w:val="Quote Char"/>
    <w:basedOn w:val="DefaultParagraphFont"/>
    <w:link w:val="Quote"/>
    <w:uiPriority w:val="29"/>
    <w:locked/>
    <w:rPr>
      <w:rFonts w:cs="Times New Roman"/>
      <w:i/>
      <w:iCs/>
      <w:color w:val="000000" w:themeColor="text1"/>
      <w:sz w:val="24"/>
      <w:szCs w:val="24"/>
      <w:lang w:val="en-AU" w:eastAsia="en-AU"/>
    </w:rPr>
  </w:style>
  <w:style w:type="paragraph" w:customStyle="1" w:styleId="Heading7unnumbered">
    <w:name w:val="Heading 7 unnumbered"/>
    <w:basedOn w:val="Heading7"/>
    <w:next w:val="BodyText"/>
    <w:uiPriority w:val="99"/>
    <w:semiHidden/>
    <w:rsid w:val="00CF2862"/>
    <w:pPr>
      <w:numPr>
        <w:ilvl w:val="0"/>
        <w:numId w:val="0"/>
      </w:numPr>
    </w:pPr>
  </w:style>
  <w:style w:type="paragraph" w:customStyle="1" w:styleId="Reference">
    <w:name w:val="Reference"/>
    <w:basedOn w:val="BodyText"/>
    <w:uiPriority w:val="99"/>
    <w:rsid w:val="00CF2862"/>
    <w:pPr>
      <w:keepLines/>
      <w:spacing w:before="60" w:after="60" w:line="260" w:lineRule="atLeast"/>
      <w:ind w:left="284" w:hanging="284"/>
    </w:pPr>
    <w:rPr>
      <w:sz w:val="17"/>
      <w:szCs w:val="17"/>
    </w:rPr>
  </w:style>
  <w:style w:type="paragraph" w:styleId="Title">
    <w:name w:val="Title"/>
    <w:basedOn w:val="Normal"/>
    <w:next w:val="Subtitle"/>
    <w:link w:val="TitleChar"/>
    <w:uiPriority w:val="99"/>
    <w:qFormat/>
    <w:rsid w:val="00CF2862"/>
    <w:pPr>
      <w:pageBreakBefore/>
      <w:spacing w:before="1800" w:line="640" w:lineRule="atLeast"/>
      <w:ind w:left="2381" w:right="-1418"/>
    </w:pPr>
    <w:rPr>
      <w:rFonts w:ascii="Franklin Gothic Book" w:hAnsi="Franklin Gothic Book"/>
      <w:color w:val="5A9A98"/>
      <w:kern w:val="28"/>
      <w:sz w:val="50"/>
      <w:szCs w:val="50"/>
    </w:rPr>
  </w:style>
  <w:style w:type="character" w:customStyle="1" w:styleId="TitleChar">
    <w:name w:val="Title Char"/>
    <w:basedOn w:val="DefaultParagraphFont"/>
    <w:link w:val="Title"/>
    <w:uiPriority w:val="99"/>
    <w:locked/>
    <w:rsid w:val="00CF2862"/>
    <w:rPr>
      <w:rFonts w:ascii="Franklin Gothic Book" w:hAnsi="Franklin Gothic Book" w:cs="Times New Roman"/>
      <w:color w:val="5A9A98"/>
      <w:kern w:val="28"/>
      <w:sz w:val="50"/>
      <w:szCs w:val="50"/>
      <w:lang w:val="en-AU" w:eastAsia="en-AU" w:bidi="ar-SA"/>
    </w:rPr>
  </w:style>
  <w:style w:type="paragraph" w:styleId="Subtitle">
    <w:name w:val="Subtitle"/>
    <w:basedOn w:val="Title"/>
    <w:next w:val="Date"/>
    <w:link w:val="SubtitleChar"/>
    <w:uiPriority w:val="99"/>
    <w:qFormat/>
    <w:rsid w:val="00CF2862"/>
    <w:pPr>
      <w:pageBreakBefore w:val="0"/>
      <w:spacing w:before="200" w:line="380" w:lineRule="atLeast"/>
    </w:pPr>
    <w:rPr>
      <w:sz w:val="32"/>
      <w:szCs w:val="32"/>
    </w:rPr>
  </w:style>
  <w:style w:type="character" w:customStyle="1" w:styleId="SubtitleChar">
    <w:name w:val="Subtitle Char"/>
    <w:basedOn w:val="TitleChar"/>
    <w:link w:val="Subtitle"/>
    <w:uiPriority w:val="99"/>
    <w:locked/>
    <w:rsid w:val="00CF2862"/>
    <w:rPr>
      <w:rFonts w:ascii="Franklin Gothic Book" w:hAnsi="Franklin Gothic Book" w:cs="Times New Roman"/>
      <w:color w:val="5A9A98"/>
      <w:kern w:val="28"/>
      <w:sz w:val="32"/>
      <w:szCs w:val="32"/>
      <w:lang w:val="en-AU" w:eastAsia="en-AU" w:bidi="ar-SA"/>
    </w:rPr>
  </w:style>
  <w:style w:type="paragraph" w:customStyle="1" w:styleId="Contents">
    <w:name w:val="Contents"/>
    <w:basedOn w:val="Normal"/>
    <w:next w:val="BodyText"/>
    <w:uiPriority w:val="99"/>
    <w:rsid w:val="00CF2862"/>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uiPriority w:val="99"/>
    <w:rsid w:val="00CF2862"/>
    <w:pPr>
      <w:spacing w:after="600"/>
    </w:pPr>
    <w:rPr>
      <w:sz w:val="24"/>
      <w:szCs w:val="24"/>
    </w:rPr>
  </w:style>
  <w:style w:type="character" w:customStyle="1" w:styleId="DateChar">
    <w:name w:val="Date Char"/>
    <w:basedOn w:val="SubtitleChar"/>
    <w:link w:val="Date"/>
    <w:uiPriority w:val="99"/>
    <w:locked/>
    <w:rsid w:val="00CF2862"/>
    <w:rPr>
      <w:rFonts w:ascii="Franklin Gothic Book" w:hAnsi="Franklin Gothic Book" w:cs="Times New Roman"/>
      <w:color w:val="5A9A98"/>
      <w:kern w:val="28"/>
      <w:sz w:val="24"/>
      <w:szCs w:val="24"/>
      <w:lang w:val="en-AU" w:eastAsia="en-AU" w:bidi="ar-SA"/>
    </w:rPr>
  </w:style>
  <w:style w:type="paragraph" w:styleId="Footer">
    <w:name w:val="footer"/>
    <w:basedOn w:val="Normal"/>
    <w:link w:val="FooterChar"/>
    <w:uiPriority w:val="99"/>
    <w:rsid w:val="00CF2862"/>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locked/>
    <w:rPr>
      <w:rFonts w:cs="Times New Roman"/>
      <w:sz w:val="24"/>
      <w:szCs w:val="24"/>
      <w:lang w:val="en-AU" w:eastAsia="en-AU"/>
    </w:rPr>
  </w:style>
  <w:style w:type="paragraph" w:styleId="Header">
    <w:name w:val="header"/>
    <w:basedOn w:val="Normal"/>
    <w:link w:val="HeaderChar"/>
    <w:uiPriority w:val="99"/>
    <w:rsid w:val="00CF2862"/>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locked/>
    <w:rPr>
      <w:rFonts w:cs="Times New Roman"/>
      <w:sz w:val="24"/>
      <w:szCs w:val="24"/>
      <w:lang w:val="en-AU" w:eastAsia="en-AU"/>
    </w:rPr>
  </w:style>
  <w:style w:type="character" w:styleId="PageNumber">
    <w:name w:val="page number"/>
    <w:basedOn w:val="DefaultParagraphFont"/>
    <w:uiPriority w:val="99"/>
    <w:rsid w:val="00CF2862"/>
    <w:rPr>
      <w:rFonts w:ascii="Franklin Gothic Medium" w:hAnsi="Franklin Gothic Medium" w:cs="Times New Roman"/>
      <w:color w:val="54534A"/>
      <w:sz w:val="14"/>
      <w:szCs w:val="14"/>
    </w:rPr>
  </w:style>
  <w:style w:type="paragraph" w:styleId="TOC1">
    <w:name w:val="toc 1"/>
    <w:basedOn w:val="BodyText"/>
    <w:next w:val="BodyText"/>
    <w:uiPriority w:val="99"/>
    <w:rsid w:val="00CF2862"/>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99"/>
    <w:rsid w:val="00CF2862"/>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uiPriority w:val="99"/>
    <w:semiHidden/>
    <w:rsid w:val="00CF2862"/>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uiPriority w:val="99"/>
    <w:rsid w:val="00CF2862"/>
    <w:rPr>
      <w:rFonts w:ascii="Franklin Gothic Book" w:hAnsi="Franklin Gothic Book" w:cs="Times New Roman"/>
      <w:color w:val="auto"/>
      <w:sz w:val="17"/>
      <w:szCs w:val="17"/>
    </w:rPr>
  </w:style>
  <w:style w:type="paragraph" w:customStyle="1" w:styleId="Invisiblepara">
    <w:name w:val="Invisible para"/>
    <w:basedOn w:val="Normal"/>
    <w:uiPriority w:val="99"/>
    <w:semiHidden/>
    <w:rsid w:val="00CF2862"/>
    <w:pPr>
      <w:keepNext/>
      <w:spacing w:before="320" w:line="80" w:lineRule="exact"/>
    </w:pPr>
    <w:rPr>
      <w:sz w:val="21"/>
      <w:szCs w:val="20"/>
    </w:rPr>
  </w:style>
  <w:style w:type="paragraph" w:styleId="Caption">
    <w:name w:val="caption"/>
    <w:basedOn w:val="Normal"/>
    <w:next w:val="BodyText"/>
    <w:uiPriority w:val="99"/>
    <w:qFormat/>
    <w:rsid w:val="00CF2862"/>
    <w:pPr>
      <w:keepNext/>
      <w:spacing w:before="360" w:after="80" w:line="230" w:lineRule="exact"/>
    </w:pPr>
    <w:rPr>
      <w:rFonts w:ascii="Franklin Gothic Demi" w:hAnsi="Franklin Gothic Demi"/>
      <w:color w:val="7E6D5F"/>
      <w:sz w:val="19"/>
      <w:szCs w:val="19"/>
    </w:rPr>
  </w:style>
  <w:style w:type="paragraph" w:customStyle="1" w:styleId="BoxListBullet">
    <w:name w:val="Box List Bullet"/>
    <w:basedOn w:val="BoxText"/>
    <w:uiPriority w:val="99"/>
    <w:rsid w:val="00CF2862"/>
    <w:pPr>
      <w:keepLines/>
      <w:numPr>
        <w:numId w:val="1"/>
      </w:numPr>
      <w:tabs>
        <w:tab w:val="clear" w:pos="360"/>
        <w:tab w:val="num" w:pos="284"/>
      </w:tabs>
      <w:spacing w:before="0"/>
      <w:ind w:left="284" w:hanging="284"/>
    </w:pPr>
    <w:rPr>
      <w:szCs w:val="20"/>
    </w:rPr>
  </w:style>
  <w:style w:type="character" w:customStyle="1" w:styleId="NoteLabel">
    <w:name w:val="Note Label"/>
    <w:basedOn w:val="DefaultParagraphFont"/>
    <w:uiPriority w:val="99"/>
    <w:rsid w:val="00CF2862"/>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uiPriority w:val="99"/>
    <w:rsid w:val="006A5D8A"/>
    <w:pPr>
      <w:spacing w:after="0" w:line="180" w:lineRule="atLeast"/>
    </w:pPr>
    <w:rPr>
      <w:sz w:val="14"/>
      <w:szCs w:val="14"/>
    </w:rPr>
  </w:style>
  <w:style w:type="paragraph" w:customStyle="1" w:styleId="TableTextEntries">
    <w:name w:val="Table Text Entries"/>
    <w:basedOn w:val="Normal"/>
    <w:uiPriority w:val="99"/>
    <w:rsid w:val="00CF2862"/>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uiPriority w:val="99"/>
    <w:rsid w:val="00C47CCC"/>
    <w:pPr>
      <w:spacing w:after="60"/>
    </w:pPr>
  </w:style>
  <w:style w:type="paragraph" w:customStyle="1" w:styleId="BoxHeading1">
    <w:name w:val="Box Heading 1"/>
    <w:basedOn w:val="BoxText"/>
    <w:next w:val="BoxText"/>
    <w:uiPriority w:val="99"/>
    <w:rsid w:val="00CF2862"/>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CF2862"/>
    <w:pPr>
      <w:spacing w:before="140"/>
    </w:pPr>
    <w:rPr>
      <w:rFonts w:ascii="Franklin Gothic Book" w:hAnsi="Franklin Gothic Book"/>
      <w:i/>
      <w:color w:val="auto"/>
    </w:rPr>
  </w:style>
  <w:style w:type="paragraph" w:customStyle="1" w:styleId="TableListBullet">
    <w:name w:val="Table List Bullet"/>
    <w:basedOn w:val="TableTextEntries"/>
    <w:uiPriority w:val="99"/>
    <w:rsid w:val="00CF2862"/>
    <w:pPr>
      <w:numPr>
        <w:numId w:val="5"/>
      </w:numPr>
      <w:tabs>
        <w:tab w:val="clear" w:pos="360"/>
        <w:tab w:val="num" w:pos="227"/>
      </w:tabs>
      <w:ind w:left="227" w:hanging="227"/>
    </w:pPr>
  </w:style>
  <w:style w:type="paragraph" w:styleId="TableofFigures">
    <w:name w:val="table of figures"/>
    <w:basedOn w:val="BodyText"/>
    <w:next w:val="BodyText"/>
    <w:uiPriority w:val="99"/>
    <w:semiHidden/>
    <w:rsid w:val="00CF2862"/>
    <w:pPr>
      <w:tabs>
        <w:tab w:val="left" w:pos="1077"/>
        <w:tab w:val="right" w:pos="8505"/>
      </w:tabs>
      <w:spacing w:before="60" w:line="260" w:lineRule="atLeast"/>
      <w:ind w:left="1077" w:right="567" w:hanging="1077"/>
    </w:pPr>
  </w:style>
  <w:style w:type="paragraph" w:styleId="TOC3">
    <w:name w:val="toc 3"/>
    <w:basedOn w:val="TOC2"/>
    <w:next w:val="BodyText"/>
    <w:uiPriority w:val="99"/>
    <w:rsid w:val="00CF2862"/>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rsid w:val="00CF2862"/>
    <w:pPr>
      <w:jc w:val="right"/>
    </w:pPr>
  </w:style>
  <w:style w:type="paragraph" w:customStyle="1" w:styleId="Recommendation">
    <w:name w:val="Recommendation"/>
    <w:basedOn w:val="BodyText"/>
    <w:next w:val="BodyText"/>
    <w:uiPriority w:val="99"/>
    <w:semiHidden/>
    <w:rsid w:val="00CF2862"/>
    <w:pPr>
      <w:tabs>
        <w:tab w:val="left" w:pos="284"/>
      </w:tabs>
      <w:ind w:left="284" w:hanging="284"/>
    </w:pPr>
    <w:rPr>
      <w:rFonts w:eastAsia="MS Mincho" w:cs="MS Mincho"/>
      <w:b/>
    </w:rPr>
  </w:style>
  <w:style w:type="paragraph" w:styleId="TOC6">
    <w:name w:val="toc 6"/>
    <w:basedOn w:val="BodyText"/>
    <w:next w:val="BodyText"/>
    <w:uiPriority w:val="99"/>
    <w:rsid w:val="00CF2862"/>
    <w:pPr>
      <w:tabs>
        <w:tab w:val="left" w:pos="284"/>
        <w:tab w:val="right" w:pos="8222"/>
      </w:tabs>
      <w:ind w:left="284" w:right="567" w:hanging="284"/>
    </w:pPr>
  </w:style>
  <w:style w:type="character" w:styleId="CommentReference">
    <w:name w:val="annotation reference"/>
    <w:basedOn w:val="DefaultParagraphFont"/>
    <w:uiPriority w:val="99"/>
    <w:rsid w:val="00CF2862"/>
    <w:rPr>
      <w:rFonts w:ascii="Franklin Gothic Medium" w:hAnsi="Franklin Gothic Medium" w:cs="Times New Roman"/>
      <w:vanish/>
      <w:color w:val="FF00FF"/>
      <w:sz w:val="16"/>
      <w:szCs w:val="16"/>
    </w:rPr>
  </w:style>
  <w:style w:type="paragraph" w:styleId="CommentText">
    <w:name w:val="annotation text"/>
    <w:basedOn w:val="BodyText"/>
    <w:link w:val="CommentTextChar"/>
    <w:uiPriority w:val="99"/>
    <w:rsid w:val="00CF2862"/>
    <w:pPr>
      <w:spacing w:line="240" w:lineRule="atLeast"/>
    </w:pPr>
  </w:style>
  <w:style w:type="character" w:customStyle="1" w:styleId="CommentTextChar">
    <w:name w:val="Comment Text Char"/>
    <w:basedOn w:val="DefaultParagraphFont"/>
    <w:link w:val="CommentText"/>
    <w:uiPriority w:val="99"/>
    <w:semiHidden/>
    <w:locked/>
    <w:rPr>
      <w:rFonts w:cs="Times New Roman"/>
      <w:sz w:val="20"/>
      <w:szCs w:val="20"/>
      <w:lang w:val="en-AU" w:eastAsia="en-AU"/>
    </w:rPr>
  </w:style>
  <w:style w:type="character" w:styleId="FootnoteReference">
    <w:name w:val="footnote reference"/>
    <w:basedOn w:val="DefaultParagraphFont"/>
    <w:uiPriority w:val="99"/>
    <w:rsid w:val="00CF2862"/>
    <w:rPr>
      <w:rFonts w:ascii="Franklin Gothic Book" w:hAnsi="Franklin Gothic Book" w:cs="Times New Roman"/>
      <w:w w:val="100"/>
      <w:position w:val="6"/>
      <w:sz w:val="14"/>
      <w:szCs w:val="14"/>
      <w:vertAlign w:val="baseline"/>
    </w:rPr>
  </w:style>
  <w:style w:type="paragraph" w:styleId="FootnoteText">
    <w:name w:val="footnote text"/>
    <w:basedOn w:val="BodyText"/>
    <w:link w:val="FootnoteTextChar"/>
    <w:uiPriority w:val="99"/>
    <w:rsid w:val="00CF286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basedOn w:val="DefaultParagraphFont"/>
    <w:link w:val="FootnoteText"/>
    <w:uiPriority w:val="99"/>
    <w:semiHidden/>
    <w:locked/>
    <w:rPr>
      <w:rFonts w:cs="Times New Roman"/>
      <w:sz w:val="20"/>
      <w:szCs w:val="20"/>
      <w:lang w:val="en-AU" w:eastAsia="en-AU"/>
    </w:rPr>
  </w:style>
  <w:style w:type="character" w:styleId="Hyperlink">
    <w:name w:val="Hyperlink"/>
    <w:basedOn w:val="DefaultParagraphFont"/>
    <w:uiPriority w:val="99"/>
    <w:semiHidden/>
    <w:rsid w:val="00CF2862"/>
    <w:rPr>
      <w:rFonts w:cs="Times New Roman"/>
      <w:color w:val="00467F"/>
      <w:u w:val="none"/>
    </w:rPr>
  </w:style>
  <w:style w:type="paragraph" w:customStyle="1" w:styleId="ChartText">
    <w:name w:val="Chart Text"/>
    <w:basedOn w:val="BodyText"/>
    <w:uiPriority w:val="99"/>
    <w:semiHidden/>
    <w:rsid w:val="00CF2862"/>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CF2862"/>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CF2862"/>
    <w:pPr>
      <w:spacing w:line="210" w:lineRule="exact"/>
    </w:pPr>
    <w:rPr>
      <w:caps/>
      <w:sz w:val="19"/>
    </w:rPr>
  </w:style>
  <w:style w:type="paragraph" w:customStyle="1" w:styleId="ChartListBullet">
    <w:name w:val="Chart List Bullet"/>
    <w:basedOn w:val="TableListBullet"/>
    <w:uiPriority w:val="99"/>
    <w:semiHidden/>
    <w:rsid w:val="00CF2862"/>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CF2862"/>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CF2862"/>
    <w:pPr>
      <w:tabs>
        <w:tab w:val="num" w:pos="227"/>
      </w:tabs>
      <w:spacing w:before="60"/>
      <w:ind w:left="227" w:hanging="227"/>
    </w:pPr>
  </w:style>
  <w:style w:type="paragraph" w:styleId="TOC7">
    <w:name w:val="toc 7"/>
    <w:basedOn w:val="TOC1"/>
    <w:next w:val="TOC1"/>
    <w:uiPriority w:val="99"/>
    <w:rsid w:val="0097190C"/>
    <w:pPr>
      <w:tabs>
        <w:tab w:val="left" w:pos="1418"/>
      </w:tabs>
      <w:ind w:left="1418" w:hanging="1418"/>
    </w:pPr>
  </w:style>
  <w:style w:type="paragraph" w:customStyle="1" w:styleId="Author">
    <w:name w:val="Author"/>
    <w:basedOn w:val="Date"/>
    <w:link w:val="AuthorCharChar"/>
    <w:uiPriority w:val="99"/>
    <w:rsid w:val="00CF2862"/>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uiPriority w:val="99"/>
    <w:rsid w:val="00CF2862"/>
    <w:pPr>
      <w:spacing w:before="0"/>
    </w:pPr>
    <w:rPr>
      <w:rFonts w:ascii="Franklin Gothic Book" w:hAnsi="Franklin Gothic Book"/>
    </w:rPr>
  </w:style>
  <w:style w:type="paragraph" w:customStyle="1" w:styleId="CharChar">
    <w:name w:val="Char Char"/>
    <w:basedOn w:val="BoxText"/>
    <w:uiPriority w:val="99"/>
    <w:semiHidden/>
    <w:rsid w:val="00CF2862"/>
  </w:style>
  <w:style w:type="paragraph" w:customStyle="1" w:styleId="Client">
    <w:name w:val="Client"/>
    <w:basedOn w:val="Author"/>
    <w:uiPriority w:val="99"/>
    <w:semiHidden/>
    <w:rsid w:val="00CF2862"/>
    <w:rPr>
      <w:color w:val="auto"/>
      <w:sz w:val="20"/>
      <w:szCs w:val="20"/>
    </w:rPr>
  </w:style>
  <w:style w:type="paragraph" w:customStyle="1" w:styleId="TableDataEntries">
    <w:name w:val="Table Data Entries"/>
    <w:basedOn w:val="TableTextEntries"/>
    <w:uiPriority w:val="99"/>
    <w:rsid w:val="00CF2862"/>
    <w:pPr>
      <w:jc w:val="right"/>
    </w:pPr>
  </w:style>
  <w:style w:type="paragraph" w:customStyle="1" w:styleId="TableDataColumnHeading">
    <w:name w:val="Table Data Column Heading"/>
    <w:basedOn w:val="TableDataEntries"/>
    <w:uiPriority w:val="99"/>
    <w:rsid w:val="00CF2862"/>
    <w:pPr>
      <w:spacing w:before="80" w:after="80"/>
    </w:pPr>
    <w:rPr>
      <w:rFonts w:ascii="Franklin Gothic Medium" w:hAnsi="Franklin Gothic Medium"/>
    </w:rPr>
  </w:style>
  <w:style w:type="paragraph" w:customStyle="1" w:styleId="TableHeading1">
    <w:name w:val="Table Heading 1"/>
    <w:basedOn w:val="TableTextEntries"/>
    <w:next w:val="TableTextEntries"/>
    <w:uiPriority w:val="99"/>
    <w:rsid w:val="00CF2862"/>
    <w:pPr>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CF2862"/>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CF2862"/>
    <w:pPr>
      <w:numPr>
        <w:numId w:val="14"/>
      </w:numPr>
      <w:tabs>
        <w:tab w:val="num" w:pos="454"/>
      </w:tabs>
      <w:ind w:left="454"/>
    </w:pPr>
  </w:style>
  <w:style w:type="paragraph" w:customStyle="1" w:styleId="TableListNumber">
    <w:name w:val="Table List Number"/>
    <w:basedOn w:val="TableTextEntries"/>
    <w:uiPriority w:val="99"/>
    <w:rsid w:val="00CF2862"/>
    <w:pPr>
      <w:numPr>
        <w:numId w:val="15"/>
      </w:numPr>
      <w:tabs>
        <w:tab w:val="num" w:pos="227"/>
      </w:tabs>
      <w:ind w:left="227" w:hanging="227"/>
    </w:pPr>
  </w:style>
  <w:style w:type="paragraph" w:customStyle="1" w:styleId="TableListNumber2">
    <w:name w:val="Table List Number 2"/>
    <w:basedOn w:val="TableListNumber"/>
    <w:uiPriority w:val="99"/>
    <w:rsid w:val="00CF2862"/>
    <w:pPr>
      <w:numPr>
        <w:numId w:val="16"/>
      </w:numPr>
      <w:tabs>
        <w:tab w:val="num" w:pos="454"/>
      </w:tabs>
      <w:ind w:left="454"/>
    </w:pPr>
  </w:style>
  <w:style w:type="paragraph" w:customStyle="1" w:styleId="TableTextColumnHeading">
    <w:name w:val="Table Text Column Heading"/>
    <w:basedOn w:val="TableDataColumnHeading"/>
    <w:uiPriority w:val="99"/>
    <w:rsid w:val="00CF2862"/>
    <w:pPr>
      <w:jc w:val="left"/>
    </w:pPr>
  </w:style>
  <w:style w:type="paragraph" w:customStyle="1" w:styleId="TableUnit">
    <w:name w:val="Table Unit"/>
    <w:basedOn w:val="TableDataColumnHeading"/>
    <w:next w:val="TableDataEntries"/>
    <w:uiPriority w:val="99"/>
    <w:rsid w:val="00CF2862"/>
    <w:pPr>
      <w:keepNext/>
    </w:pPr>
    <w:rPr>
      <w:rFonts w:ascii="Franklin Gothic Book" w:hAnsi="Franklin Gothic Book"/>
    </w:rPr>
  </w:style>
  <w:style w:type="paragraph" w:customStyle="1" w:styleId="NoteNumber">
    <w:name w:val="Note Number"/>
    <w:basedOn w:val="TableTextEntries"/>
    <w:link w:val="NoteNumberCharChar"/>
    <w:uiPriority w:val="99"/>
    <w:rsid w:val="00CF2862"/>
    <w:pPr>
      <w:numPr>
        <w:numId w:val="18"/>
      </w:numPr>
      <w:tabs>
        <w:tab w:val="num" w:pos="170"/>
      </w:tabs>
      <w:spacing w:after="0" w:line="180" w:lineRule="atLeast"/>
    </w:pPr>
    <w:rPr>
      <w:sz w:val="14"/>
      <w:szCs w:val="14"/>
    </w:rPr>
  </w:style>
  <w:style w:type="character" w:styleId="FollowedHyperlink">
    <w:name w:val="FollowedHyperlink"/>
    <w:basedOn w:val="DefaultParagraphFont"/>
    <w:uiPriority w:val="99"/>
    <w:semiHidden/>
    <w:rsid w:val="00CF2862"/>
    <w:rPr>
      <w:rFonts w:cs="Times New Roman"/>
      <w:color w:val="333399"/>
      <w:u w:val="none"/>
    </w:rPr>
  </w:style>
  <w:style w:type="paragraph" w:customStyle="1" w:styleId="Blurb">
    <w:name w:val="Blurb"/>
    <w:basedOn w:val="Caption"/>
    <w:uiPriority w:val="99"/>
    <w:rsid w:val="00CF2862"/>
    <w:pPr>
      <w:spacing w:before="180" w:after="0" w:line="280" w:lineRule="atLeast"/>
    </w:pPr>
    <w:rPr>
      <w:color w:val="FFFFFF"/>
    </w:rPr>
  </w:style>
  <w:style w:type="paragraph" w:customStyle="1" w:styleId="Figure">
    <w:name w:val="Figure"/>
    <w:basedOn w:val="BodyText"/>
    <w:next w:val="BodyText"/>
    <w:uiPriority w:val="99"/>
    <w:rsid w:val="00CF2862"/>
    <w:pPr>
      <w:spacing w:before="0" w:line="200" w:lineRule="atLeast"/>
    </w:pPr>
    <w:rPr>
      <w:sz w:val="18"/>
      <w:szCs w:val="18"/>
    </w:rPr>
  </w:style>
  <w:style w:type="paragraph" w:customStyle="1" w:styleId="BoxListBullet2">
    <w:name w:val="Box List Bullet 2"/>
    <w:basedOn w:val="BoxListBullet"/>
    <w:uiPriority w:val="99"/>
    <w:rsid w:val="00CF2862"/>
    <w:pPr>
      <w:numPr>
        <w:numId w:val="2"/>
      </w:numPr>
      <w:tabs>
        <w:tab w:val="clear" w:pos="643"/>
        <w:tab w:val="num" w:pos="567"/>
      </w:tabs>
      <w:ind w:left="567" w:hanging="283"/>
    </w:pPr>
    <w:rPr>
      <w:szCs w:val="18"/>
    </w:rPr>
  </w:style>
  <w:style w:type="paragraph" w:customStyle="1" w:styleId="BoxText">
    <w:name w:val="Box Text"/>
    <w:basedOn w:val="Normal"/>
    <w:uiPriority w:val="99"/>
    <w:rsid w:val="00CF2862"/>
    <w:pPr>
      <w:spacing w:before="60" w:after="60" w:line="260" w:lineRule="atLeast"/>
    </w:pPr>
    <w:rPr>
      <w:rFonts w:ascii="Franklin Gothic Book" w:hAnsi="Franklin Gothic Book"/>
      <w:sz w:val="18"/>
      <w:szCs w:val="18"/>
    </w:rPr>
  </w:style>
  <w:style w:type="paragraph" w:customStyle="1" w:styleId="BoxListNumber">
    <w:name w:val="Box List Number"/>
    <w:basedOn w:val="BoxText"/>
    <w:uiPriority w:val="99"/>
    <w:rsid w:val="00CF2862"/>
    <w:pPr>
      <w:numPr>
        <w:numId w:val="3"/>
      </w:numPr>
      <w:tabs>
        <w:tab w:val="clear" w:pos="360"/>
        <w:tab w:val="num" w:pos="284"/>
      </w:tabs>
      <w:spacing w:before="0"/>
      <w:ind w:left="284" w:hanging="284"/>
    </w:pPr>
  </w:style>
  <w:style w:type="paragraph" w:customStyle="1" w:styleId="BoxListNumber2">
    <w:name w:val="Box List Number 2"/>
    <w:basedOn w:val="BoxListNumber"/>
    <w:uiPriority w:val="99"/>
    <w:rsid w:val="00CF2862"/>
    <w:pPr>
      <w:numPr>
        <w:numId w:val="4"/>
      </w:numPr>
      <w:tabs>
        <w:tab w:val="clear" w:pos="643"/>
        <w:tab w:val="num" w:pos="567"/>
      </w:tabs>
      <w:ind w:left="567" w:hanging="283"/>
    </w:pPr>
  </w:style>
  <w:style w:type="paragraph" w:customStyle="1" w:styleId="BoxNoteSource">
    <w:name w:val="Box Note/Source"/>
    <w:basedOn w:val="BoxText"/>
    <w:uiPriority w:val="99"/>
    <w:rsid w:val="00CF2862"/>
    <w:pPr>
      <w:spacing w:before="100" w:after="100" w:line="180" w:lineRule="atLeast"/>
    </w:pPr>
    <w:rPr>
      <w:sz w:val="14"/>
      <w:szCs w:val="14"/>
    </w:rPr>
  </w:style>
  <w:style w:type="paragraph" w:customStyle="1" w:styleId="BoxQuote">
    <w:name w:val="Box Quote"/>
    <w:basedOn w:val="BoxText"/>
    <w:next w:val="BoxText"/>
    <w:uiPriority w:val="99"/>
    <w:rsid w:val="00CF2862"/>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uiPriority w:val="99"/>
    <w:locked/>
    <w:rsid w:val="00CF2862"/>
    <w:rPr>
      <w:rFonts w:ascii="Franklin Gothic Book" w:hAnsi="Franklin Gothic Book" w:cs="Times New Roman"/>
      <w:sz w:val="17"/>
      <w:szCs w:val="17"/>
      <w:lang w:val="en-AU" w:eastAsia="x-none"/>
    </w:rPr>
  </w:style>
  <w:style w:type="character" w:customStyle="1" w:styleId="NoteCharChar">
    <w:name w:val="Note Char Char"/>
    <w:basedOn w:val="DefaultParagraphFont"/>
    <w:link w:val="Note"/>
    <w:uiPriority w:val="99"/>
    <w:locked/>
    <w:rsid w:val="006A5D8A"/>
    <w:rPr>
      <w:rFonts w:ascii="Franklin Gothic Book" w:hAnsi="Franklin Gothic Book" w:cs="Times New Roman"/>
      <w:sz w:val="14"/>
      <w:szCs w:val="14"/>
      <w:lang w:val="en-AU" w:eastAsia="en-US" w:bidi="ar-SA"/>
    </w:rPr>
  </w:style>
  <w:style w:type="character" w:customStyle="1" w:styleId="NoteNumberCharChar">
    <w:name w:val="Note Number Char Char"/>
    <w:basedOn w:val="DefaultParagraphFont"/>
    <w:link w:val="NoteNumber"/>
    <w:uiPriority w:val="99"/>
    <w:locked/>
    <w:rsid w:val="00CF2862"/>
    <w:rPr>
      <w:rFonts w:ascii="Franklin Gothic Book" w:hAnsi="Franklin Gothic Book" w:cs="Times New Roman"/>
      <w:sz w:val="14"/>
      <w:szCs w:val="14"/>
      <w:lang w:val="en-AU" w:eastAsia="x-none"/>
    </w:rPr>
  </w:style>
  <w:style w:type="character" w:customStyle="1" w:styleId="AuthorCharChar">
    <w:name w:val="Author Char Char"/>
    <w:basedOn w:val="DateChar"/>
    <w:link w:val="Author"/>
    <w:uiPriority w:val="99"/>
    <w:locked/>
    <w:rsid w:val="00CF2862"/>
    <w:rPr>
      <w:rFonts w:ascii="Franklin Gothic Medium" w:hAnsi="Franklin Gothic Medium" w:cs="Times New Roman"/>
      <w:color w:val="5A9A98"/>
      <w:spacing w:val="-2"/>
      <w:kern w:val="28"/>
      <w:sz w:val="24"/>
      <w:szCs w:val="24"/>
      <w:lang w:val="en-AU" w:eastAsia="en-AU" w:bidi="ar-SA"/>
    </w:rPr>
  </w:style>
  <w:style w:type="character" w:customStyle="1" w:styleId="PositionCharChar">
    <w:name w:val="Position Char Char"/>
    <w:basedOn w:val="AuthorCharChar"/>
    <w:link w:val="Position"/>
    <w:uiPriority w:val="99"/>
    <w:locked/>
    <w:rsid w:val="00CF2862"/>
    <w:rPr>
      <w:rFonts w:ascii="Franklin Gothic Book" w:hAnsi="Franklin Gothic Book" w:cs="Times New Roman"/>
      <w:color w:val="5A9A98"/>
      <w:spacing w:val="-2"/>
      <w:kern w:val="28"/>
      <w:sz w:val="24"/>
      <w:szCs w:val="24"/>
      <w:lang w:val="en-AU" w:eastAsia="en-AU" w:bidi="ar-SA"/>
    </w:rPr>
  </w:style>
  <w:style w:type="paragraph" w:customStyle="1" w:styleId="Appendix">
    <w:name w:val="Appendix"/>
    <w:basedOn w:val="Normal"/>
    <w:uiPriority w:val="99"/>
    <w:rsid w:val="00CF2862"/>
    <w:rPr>
      <w:rFonts w:ascii="Franklin Gothic Medium" w:hAnsi="Franklin Gothic Medium"/>
      <w:color w:val="7E6D5F"/>
      <w:sz w:val="32"/>
      <w:szCs w:val="32"/>
    </w:rPr>
  </w:style>
  <w:style w:type="paragraph" w:customStyle="1" w:styleId="Photocaption">
    <w:name w:val="Photo caption"/>
    <w:basedOn w:val="Normal"/>
    <w:next w:val="BodyText"/>
    <w:uiPriority w:val="99"/>
    <w:rsid w:val="00CF2862"/>
    <w:pPr>
      <w:spacing w:before="140" w:after="240" w:line="180" w:lineRule="exact"/>
    </w:pPr>
    <w:rPr>
      <w:rFonts w:ascii="Franklin Gothic Medium" w:hAnsi="Franklin Gothic Medium"/>
      <w:color w:val="54534A"/>
      <w:sz w:val="14"/>
      <w:szCs w:val="14"/>
    </w:rPr>
  </w:style>
  <w:style w:type="paragraph" w:customStyle="1" w:styleId="CharChar2">
    <w:name w:val="Char Char2"/>
    <w:basedOn w:val="Normal"/>
    <w:link w:val="DefaultParagraphFont"/>
    <w:uiPriority w:val="99"/>
    <w:semiHidden/>
    <w:rsid w:val="00CF2862"/>
    <w:pPr>
      <w:spacing w:before="180" w:line="280" w:lineRule="atLeast"/>
    </w:pPr>
    <w:rPr>
      <w:rFonts w:ascii="Arial" w:hAnsi="Arial"/>
      <w:sz w:val="22"/>
      <w:szCs w:val="20"/>
      <w:lang w:eastAsia="en-US"/>
    </w:rPr>
  </w:style>
  <w:style w:type="table" w:styleId="TableGrid">
    <w:name w:val="Table Grid"/>
    <w:basedOn w:val="TableNormal"/>
    <w:uiPriority w:val="99"/>
    <w:rsid w:val="00CF286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sectiontitles3">
    <w:name w:val="bodysectiontitles3"/>
    <w:basedOn w:val="DefaultParagraphFont"/>
    <w:uiPriority w:val="99"/>
    <w:rsid w:val="00255424"/>
    <w:rPr>
      <w:rFonts w:cs="Times New Roman"/>
      <w:color w:val="666666"/>
      <w:sz w:val="26"/>
      <w:szCs w:val="26"/>
    </w:rPr>
  </w:style>
  <w:style w:type="character" w:styleId="Emphasis">
    <w:name w:val="Emphasis"/>
    <w:basedOn w:val="DefaultParagraphFont"/>
    <w:uiPriority w:val="99"/>
    <w:qFormat/>
    <w:rsid w:val="00F7407A"/>
    <w:rPr>
      <w:rFonts w:cs="Times New Roman"/>
      <w:b/>
      <w:bCs/>
    </w:rPr>
  </w:style>
  <w:style w:type="paragraph" w:styleId="CommentSubject">
    <w:name w:val="annotation subject"/>
    <w:basedOn w:val="CommentText"/>
    <w:next w:val="CommentText"/>
    <w:link w:val="CommentSubjectChar"/>
    <w:uiPriority w:val="99"/>
    <w:semiHidden/>
    <w:rsid w:val="00D344AC"/>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AU" w:eastAsia="en-AU"/>
    </w:rPr>
  </w:style>
  <w:style w:type="paragraph" w:styleId="BalloonText">
    <w:name w:val="Balloon Text"/>
    <w:basedOn w:val="Normal"/>
    <w:link w:val="BalloonTextChar"/>
    <w:uiPriority w:val="99"/>
    <w:semiHidden/>
    <w:rsid w:val="00D344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eastAsia="en-AU"/>
    </w:rPr>
  </w:style>
  <w:style w:type="paragraph" w:customStyle="1" w:styleId="H3">
    <w:name w:val="H3"/>
    <w:basedOn w:val="Heading4"/>
    <w:qFormat/>
    <w:rsid w:val="00877C04"/>
    <w:pPr>
      <w:numPr>
        <w:numId w:val="14"/>
      </w:numPr>
      <w:tabs>
        <w:tab w:val="num" w:pos="0"/>
      </w:tabs>
    </w:pPr>
    <w:rPr>
      <w:color w:val="auto"/>
    </w:rPr>
  </w:style>
  <w:style w:type="paragraph" w:customStyle="1" w:styleId="H1">
    <w:name w:val="H1"/>
    <w:basedOn w:val="Contents"/>
    <w:qFormat/>
    <w:rsid w:val="00092D69"/>
    <w:rPr>
      <w:noProof/>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862"/>
    <w:pPr>
      <w:spacing w:after="0" w:line="240" w:lineRule="auto"/>
    </w:pPr>
    <w:rPr>
      <w:sz w:val="20"/>
      <w:szCs w:val="24"/>
      <w:lang w:val="en-AU" w:eastAsia="en-AU"/>
    </w:rPr>
  </w:style>
  <w:style w:type="paragraph" w:styleId="Heading1">
    <w:name w:val="heading 1"/>
    <w:basedOn w:val="Normal"/>
    <w:next w:val="BodyText"/>
    <w:link w:val="Heading1Char"/>
    <w:uiPriority w:val="99"/>
    <w:qFormat/>
    <w:rsid w:val="00CF2862"/>
    <w:pPr>
      <w:keepNext/>
      <w:pageBreakBefore/>
      <w:numPr>
        <w:numId w:val="11"/>
      </w:numPr>
      <w:tabs>
        <w:tab w:val="num" w:pos="0"/>
      </w:tabs>
      <w:spacing w:after="1460" w:line="540" w:lineRule="atLeast"/>
      <w:ind w:hanging="454"/>
      <w:outlineLvl w:val="0"/>
    </w:pPr>
    <w:rPr>
      <w:rFonts w:ascii="Franklin Gothic Book" w:hAnsi="Franklin Gothic Book"/>
      <w:color w:val="AD495D"/>
      <w:spacing w:val="-10"/>
      <w:kern w:val="28"/>
      <w:sz w:val="50"/>
      <w:szCs w:val="50"/>
    </w:rPr>
  </w:style>
  <w:style w:type="paragraph" w:styleId="Heading2">
    <w:name w:val="heading 2"/>
    <w:basedOn w:val="Heading1"/>
    <w:next w:val="BodyText"/>
    <w:link w:val="Heading2Char"/>
    <w:uiPriority w:val="99"/>
    <w:qFormat/>
    <w:rsid w:val="00CF2862"/>
    <w:pPr>
      <w:pageBreakBefore w:val="0"/>
      <w:numPr>
        <w:ilvl w:val="1"/>
      </w:numPr>
      <w:tabs>
        <w:tab w:val="num" w:pos="709"/>
      </w:tabs>
      <w:spacing w:before="460" w:after="100" w:line="320" w:lineRule="atLeast"/>
      <w:ind w:left="709" w:hanging="709"/>
      <w:outlineLvl w:val="1"/>
    </w:pPr>
    <w:rPr>
      <w:rFonts w:ascii="Franklin Gothic Demi" w:hAnsi="Franklin Gothic Demi"/>
      <w:spacing w:val="0"/>
      <w:sz w:val="28"/>
      <w:szCs w:val="28"/>
    </w:rPr>
  </w:style>
  <w:style w:type="paragraph" w:styleId="Heading3">
    <w:name w:val="heading 3"/>
    <w:basedOn w:val="Heading2"/>
    <w:next w:val="BodyText"/>
    <w:link w:val="Heading3Char"/>
    <w:uiPriority w:val="99"/>
    <w:qFormat/>
    <w:rsid w:val="00CF2862"/>
    <w:pPr>
      <w:numPr>
        <w:ilvl w:val="2"/>
      </w:numPr>
      <w:tabs>
        <w:tab w:val="num" w:pos="0"/>
      </w:tabs>
      <w:spacing w:before="380" w:after="0" w:line="280" w:lineRule="atLeast"/>
      <w:ind w:left="0" w:firstLine="0"/>
      <w:outlineLvl w:val="2"/>
    </w:pPr>
    <w:rPr>
      <w:rFonts w:ascii="Franklin Gothic Medium" w:hAnsi="Franklin Gothic Medium"/>
      <w:sz w:val="24"/>
      <w:szCs w:val="24"/>
    </w:rPr>
  </w:style>
  <w:style w:type="paragraph" w:styleId="Heading4">
    <w:name w:val="heading 4"/>
    <w:basedOn w:val="Heading3"/>
    <w:next w:val="BodyText"/>
    <w:link w:val="Heading4Char"/>
    <w:uiPriority w:val="99"/>
    <w:qFormat/>
    <w:rsid w:val="00CF2862"/>
    <w:pPr>
      <w:numPr>
        <w:ilvl w:val="3"/>
      </w:numPr>
      <w:tabs>
        <w:tab w:val="num" w:pos="0"/>
      </w:tabs>
      <w:spacing w:before="360" w:line="260" w:lineRule="atLeast"/>
      <w:outlineLvl w:val="3"/>
    </w:pPr>
    <w:rPr>
      <w:color w:val="5A9A98"/>
      <w:sz w:val="22"/>
      <w:szCs w:val="22"/>
    </w:rPr>
  </w:style>
  <w:style w:type="paragraph" w:styleId="Heading5">
    <w:name w:val="heading 5"/>
    <w:basedOn w:val="BodyText"/>
    <w:next w:val="BodyText"/>
    <w:link w:val="Heading5Char"/>
    <w:uiPriority w:val="99"/>
    <w:qFormat/>
    <w:rsid w:val="00CF2862"/>
    <w:pPr>
      <w:keepNext/>
      <w:numPr>
        <w:ilvl w:val="4"/>
        <w:numId w:val="11"/>
      </w:numPr>
      <w:spacing w:before="320" w:after="0"/>
      <w:outlineLvl w:val="4"/>
    </w:pPr>
    <w:rPr>
      <w:b/>
      <w:color w:val="54534A"/>
    </w:rPr>
  </w:style>
  <w:style w:type="paragraph" w:styleId="Heading6">
    <w:name w:val="heading 6"/>
    <w:basedOn w:val="Heading1"/>
    <w:next w:val="BodyText"/>
    <w:link w:val="Heading6Char"/>
    <w:uiPriority w:val="99"/>
    <w:qFormat/>
    <w:rsid w:val="00CF2862"/>
    <w:pPr>
      <w:numPr>
        <w:ilvl w:val="5"/>
      </w:numPr>
      <w:tabs>
        <w:tab w:val="num" w:pos="709"/>
      </w:tabs>
      <w:ind w:firstLine="0"/>
      <w:outlineLvl w:val="5"/>
    </w:pPr>
    <w:rPr>
      <w:bCs/>
    </w:rPr>
  </w:style>
  <w:style w:type="paragraph" w:styleId="Heading7">
    <w:name w:val="heading 7"/>
    <w:basedOn w:val="Heading2"/>
    <w:next w:val="BodyText"/>
    <w:link w:val="Heading7Char"/>
    <w:uiPriority w:val="99"/>
    <w:qFormat/>
    <w:rsid w:val="00CF2862"/>
    <w:pPr>
      <w:numPr>
        <w:ilvl w:val="6"/>
      </w:numPr>
      <w:tabs>
        <w:tab w:val="num" w:pos="0"/>
      </w:tabs>
      <w:ind w:left="0" w:firstLine="0"/>
      <w:outlineLvl w:val="6"/>
    </w:pPr>
  </w:style>
  <w:style w:type="paragraph" w:styleId="Heading8">
    <w:name w:val="heading 8"/>
    <w:basedOn w:val="Heading3"/>
    <w:next w:val="BodyText"/>
    <w:link w:val="Heading8Char"/>
    <w:uiPriority w:val="99"/>
    <w:qFormat/>
    <w:rsid w:val="00CF2862"/>
    <w:pPr>
      <w:numPr>
        <w:ilvl w:val="7"/>
      </w:numPr>
      <w:outlineLvl w:val="7"/>
    </w:pPr>
  </w:style>
  <w:style w:type="paragraph" w:styleId="Heading9">
    <w:name w:val="heading 9"/>
    <w:basedOn w:val="Heading4"/>
    <w:next w:val="BodyText"/>
    <w:link w:val="Heading9Char"/>
    <w:uiPriority w:val="99"/>
    <w:qFormat/>
    <w:rsid w:val="00CF2862"/>
    <w:pPr>
      <w:numPr>
        <w:ilvl w:val="8"/>
      </w:numPr>
      <w:tabs>
        <w:tab w:val="num" w:pos="0"/>
      </w:tabs>
      <w:outlineLvl w:val="8"/>
    </w:pPr>
  </w:style>
  <w:style w:type="character" w:default="1" w:styleId="DefaultParagraphFont">
    <w:name w:val="Default Paragraph Font"/>
    <w:link w:val="CharChar2"/>
    <w:uiPriority w:val="99"/>
    <w:semiHidden/>
    <w:locked/>
    <w:rsid w:val="00CF28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Franklin Gothic Book" w:hAnsi="Franklin Gothic Book" w:cs="Times New Roman"/>
      <w:color w:val="AD495D"/>
      <w:spacing w:val="-10"/>
      <w:kern w:val="28"/>
      <w:sz w:val="50"/>
      <w:szCs w:val="50"/>
      <w:lang w:val="en-AU" w:eastAsia="en-AU"/>
    </w:rPr>
  </w:style>
  <w:style w:type="character" w:customStyle="1" w:styleId="Heading2Char">
    <w:name w:val="Heading 2 Char"/>
    <w:basedOn w:val="DefaultParagraphFont"/>
    <w:link w:val="Heading2"/>
    <w:uiPriority w:val="99"/>
    <w:locked/>
    <w:rPr>
      <w:rFonts w:ascii="Franklin Gothic Demi" w:hAnsi="Franklin Gothic Demi" w:cs="Times New Roman"/>
      <w:color w:val="AD495D"/>
      <w:kern w:val="28"/>
      <w:sz w:val="28"/>
      <w:szCs w:val="28"/>
      <w:lang w:val="en-AU" w:eastAsia="en-AU"/>
    </w:rPr>
  </w:style>
  <w:style w:type="character" w:customStyle="1" w:styleId="Heading3Char">
    <w:name w:val="Heading 3 Char"/>
    <w:basedOn w:val="DefaultParagraphFont"/>
    <w:link w:val="Heading3"/>
    <w:uiPriority w:val="99"/>
    <w:locked/>
    <w:rPr>
      <w:rFonts w:ascii="Franklin Gothic Medium" w:hAnsi="Franklin Gothic Medium" w:cs="Times New Roman"/>
      <w:color w:val="AD495D"/>
      <w:kern w:val="28"/>
      <w:sz w:val="24"/>
      <w:szCs w:val="24"/>
      <w:lang w:val="en-AU" w:eastAsia="en-AU"/>
    </w:rPr>
  </w:style>
  <w:style w:type="character" w:customStyle="1" w:styleId="Heading4Char">
    <w:name w:val="Heading 4 Char"/>
    <w:basedOn w:val="DefaultParagraphFont"/>
    <w:link w:val="Heading4"/>
    <w:uiPriority w:val="99"/>
    <w:locked/>
    <w:rPr>
      <w:rFonts w:ascii="Franklin Gothic Medium" w:hAnsi="Franklin Gothic Medium" w:cs="Times New Roman"/>
      <w:color w:val="5A9A98"/>
      <w:kern w:val="28"/>
      <w:lang w:val="en-AU" w:eastAsia="en-AU"/>
    </w:rPr>
  </w:style>
  <w:style w:type="character" w:customStyle="1" w:styleId="Heading5Char">
    <w:name w:val="Heading 5 Char"/>
    <w:basedOn w:val="DefaultParagraphFont"/>
    <w:link w:val="Heading5"/>
    <w:uiPriority w:val="99"/>
    <w:locked/>
    <w:rPr>
      <w:rFonts w:ascii="Georgia" w:hAnsi="Georgia" w:cs="Times New Roman"/>
      <w:b/>
      <w:color w:val="54534A"/>
      <w:sz w:val="19"/>
      <w:szCs w:val="19"/>
      <w:lang w:val="en-AU" w:eastAsia="en-AU"/>
    </w:rPr>
  </w:style>
  <w:style w:type="character" w:customStyle="1" w:styleId="Heading6Char">
    <w:name w:val="Heading 6 Char"/>
    <w:basedOn w:val="DefaultParagraphFont"/>
    <w:link w:val="Heading6"/>
    <w:uiPriority w:val="99"/>
    <w:locked/>
    <w:rPr>
      <w:rFonts w:ascii="Franklin Gothic Book" w:hAnsi="Franklin Gothic Book" w:cs="Times New Roman"/>
      <w:bCs/>
      <w:color w:val="AD495D"/>
      <w:spacing w:val="-10"/>
      <w:kern w:val="28"/>
      <w:sz w:val="50"/>
      <w:szCs w:val="50"/>
      <w:lang w:val="en-AU" w:eastAsia="en-AU"/>
    </w:rPr>
  </w:style>
  <w:style w:type="character" w:customStyle="1" w:styleId="Heading7Char">
    <w:name w:val="Heading 7 Char"/>
    <w:basedOn w:val="DefaultParagraphFont"/>
    <w:link w:val="Heading7"/>
    <w:uiPriority w:val="99"/>
    <w:locked/>
    <w:rPr>
      <w:rFonts w:ascii="Franklin Gothic Demi" w:hAnsi="Franklin Gothic Demi" w:cs="Times New Roman"/>
      <w:color w:val="AD495D"/>
      <w:kern w:val="28"/>
      <w:sz w:val="28"/>
      <w:szCs w:val="28"/>
      <w:lang w:val="en-AU" w:eastAsia="en-AU"/>
    </w:rPr>
  </w:style>
  <w:style w:type="character" w:customStyle="1" w:styleId="Heading8Char">
    <w:name w:val="Heading 8 Char"/>
    <w:basedOn w:val="DefaultParagraphFont"/>
    <w:link w:val="Heading8"/>
    <w:uiPriority w:val="99"/>
    <w:locked/>
    <w:rPr>
      <w:rFonts w:ascii="Franklin Gothic Medium" w:hAnsi="Franklin Gothic Medium" w:cs="Times New Roman"/>
      <w:color w:val="AD495D"/>
      <w:kern w:val="28"/>
      <w:sz w:val="24"/>
      <w:szCs w:val="24"/>
      <w:lang w:val="en-AU" w:eastAsia="en-AU"/>
    </w:rPr>
  </w:style>
  <w:style w:type="character" w:customStyle="1" w:styleId="Heading9Char">
    <w:name w:val="Heading 9 Char"/>
    <w:basedOn w:val="DefaultParagraphFont"/>
    <w:link w:val="Heading9"/>
    <w:uiPriority w:val="99"/>
    <w:locked/>
    <w:rPr>
      <w:rFonts w:ascii="Franklin Gothic Medium" w:hAnsi="Franklin Gothic Medium" w:cs="Times New Roman"/>
      <w:color w:val="5A9A98"/>
      <w:kern w:val="28"/>
      <w:lang w:val="en-AU" w:eastAsia="en-AU"/>
    </w:rPr>
  </w:style>
  <w:style w:type="paragraph" w:styleId="BodyText">
    <w:name w:val="Body Text"/>
    <w:basedOn w:val="Normal"/>
    <w:link w:val="BodyTextChar"/>
    <w:uiPriority w:val="99"/>
    <w:rsid w:val="00CF2862"/>
    <w:pPr>
      <w:spacing w:before="80" w:after="80" w:line="280" w:lineRule="atLeast"/>
    </w:pPr>
    <w:rPr>
      <w:rFonts w:ascii="Georgia" w:hAnsi="Georgia"/>
      <w:sz w:val="19"/>
      <w:szCs w:val="19"/>
    </w:rPr>
  </w:style>
  <w:style w:type="character" w:customStyle="1" w:styleId="BodyTextChar">
    <w:name w:val="Body Text Char"/>
    <w:basedOn w:val="DefaultParagraphFont"/>
    <w:link w:val="BodyText"/>
    <w:uiPriority w:val="99"/>
    <w:locked/>
    <w:rsid w:val="00CF2862"/>
    <w:rPr>
      <w:rFonts w:ascii="Georgia" w:hAnsi="Georgia" w:cs="Times New Roman"/>
      <w:sz w:val="19"/>
      <w:szCs w:val="19"/>
      <w:lang w:val="en-AU" w:eastAsia="en-AU" w:bidi="ar-SA"/>
    </w:rPr>
  </w:style>
  <w:style w:type="character" w:customStyle="1" w:styleId="DraftingNote">
    <w:name w:val="Drafting Note"/>
    <w:basedOn w:val="DefaultParagraphFont"/>
    <w:uiPriority w:val="99"/>
    <w:rsid w:val="00CF2862"/>
    <w:rPr>
      <w:rFonts w:ascii="Georgia" w:hAnsi="Georgia" w:cs="Times New Roman"/>
      <w:b/>
      <w:color w:val="FF0000"/>
      <w:sz w:val="19"/>
      <w:szCs w:val="19"/>
      <w:u w:val="dotted"/>
    </w:rPr>
  </w:style>
  <w:style w:type="paragraph" w:customStyle="1" w:styleId="Heading1unnumbered">
    <w:name w:val="Heading 1 unnumbered"/>
    <w:basedOn w:val="Heading1"/>
    <w:next w:val="BodyText"/>
    <w:uiPriority w:val="99"/>
    <w:rsid w:val="00CF2862"/>
    <w:pPr>
      <w:numPr>
        <w:numId w:val="0"/>
      </w:numPr>
    </w:pPr>
  </w:style>
  <w:style w:type="paragraph" w:customStyle="1" w:styleId="Heading2unnumbered">
    <w:name w:val="Heading 2 unnumbered"/>
    <w:basedOn w:val="Heading2"/>
    <w:next w:val="BodyText"/>
    <w:uiPriority w:val="99"/>
    <w:rsid w:val="00CF2862"/>
    <w:pPr>
      <w:numPr>
        <w:ilvl w:val="0"/>
        <w:numId w:val="0"/>
      </w:numPr>
    </w:pPr>
  </w:style>
  <w:style w:type="paragraph" w:customStyle="1" w:styleId="Heading3nonumber">
    <w:name w:val="Heading 3 (no number)"/>
    <w:basedOn w:val="Heading3"/>
    <w:next w:val="BodyText"/>
    <w:uiPriority w:val="99"/>
    <w:semiHidden/>
    <w:rsid w:val="006A5D8A"/>
    <w:pPr>
      <w:numPr>
        <w:ilvl w:val="0"/>
        <w:numId w:val="0"/>
      </w:numPr>
    </w:pPr>
    <w:rPr>
      <w:rFonts w:ascii="Franklin Gothic Demi" w:hAnsi="Franklin Gothic Demi"/>
    </w:rPr>
  </w:style>
  <w:style w:type="paragraph" w:styleId="ListBullet">
    <w:name w:val="List Bullet"/>
    <w:basedOn w:val="BodyText"/>
    <w:uiPriority w:val="99"/>
    <w:rsid w:val="00CF2862"/>
    <w:pPr>
      <w:numPr>
        <w:numId w:val="6"/>
      </w:numPr>
      <w:tabs>
        <w:tab w:val="clear" w:pos="360"/>
        <w:tab w:val="num" w:pos="284"/>
      </w:tabs>
      <w:spacing w:before="0"/>
      <w:ind w:left="284" w:hanging="284"/>
    </w:pPr>
  </w:style>
  <w:style w:type="paragraph" w:styleId="ListBullet2">
    <w:name w:val="List Bullet 2"/>
    <w:basedOn w:val="ListBullet"/>
    <w:uiPriority w:val="99"/>
    <w:rsid w:val="00CF2862"/>
    <w:pPr>
      <w:numPr>
        <w:numId w:val="7"/>
      </w:numPr>
      <w:tabs>
        <w:tab w:val="clear" w:pos="360"/>
        <w:tab w:val="num" w:pos="567"/>
      </w:tabs>
      <w:ind w:left="567" w:hanging="283"/>
    </w:pPr>
  </w:style>
  <w:style w:type="paragraph" w:styleId="ListNumber">
    <w:name w:val="List Number"/>
    <w:basedOn w:val="ListBullet"/>
    <w:uiPriority w:val="99"/>
    <w:rsid w:val="00CF2862"/>
    <w:pPr>
      <w:numPr>
        <w:numId w:val="12"/>
      </w:numPr>
      <w:tabs>
        <w:tab w:val="num" w:pos="284"/>
      </w:tabs>
    </w:pPr>
  </w:style>
  <w:style w:type="paragraph" w:styleId="ListNumber2">
    <w:name w:val="List Number 2"/>
    <w:basedOn w:val="ListNumber"/>
    <w:uiPriority w:val="99"/>
    <w:rsid w:val="00CF2862"/>
    <w:pPr>
      <w:numPr>
        <w:numId w:val="13"/>
      </w:numPr>
      <w:tabs>
        <w:tab w:val="num" w:pos="567"/>
      </w:tabs>
      <w:ind w:left="567" w:hanging="283"/>
    </w:pPr>
  </w:style>
  <w:style w:type="paragraph" w:styleId="Quote">
    <w:name w:val="Quote"/>
    <w:basedOn w:val="BodyText"/>
    <w:next w:val="BodyText"/>
    <w:link w:val="QuoteChar"/>
    <w:uiPriority w:val="99"/>
    <w:qFormat/>
    <w:rsid w:val="00CF2862"/>
    <w:pPr>
      <w:spacing w:before="0" w:line="260" w:lineRule="atLeast"/>
      <w:ind w:left="284"/>
    </w:pPr>
    <w:rPr>
      <w:sz w:val="17"/>
      <w:szCs w:val="17"/>
    </w:rPr>
  </w:style>
  <w:style w:type="character" w:customStyle="1" w:styleId="QuoteChar">
    <w:name w:val="Quote Char"/>
    <w:basedOn w:val="DefaultParagraphFont"/>
    <w:link w:val="Quote"/>
    <w:uiPriority w:val="29"/>
    <w:locked/>
    <w:rPr>
      <w:rFonts w:cs="Times New Roman"/>
      <w:i/>
      <w:iCs/>
      <w:color w:val="000000" w:themeColor="text1"/>
      <w:sz w:val="24"/>
      <w:szCs w:val="24"/>
      <w:lang w:val="en-AU" w:eastAsia="en-AU"/>
    </w:rPr>
  </w:style>
  <w:style w:type="paragraph" w:customStyle="1" w:styleId="Heading7unnumbered">
    <w:name w:val="Heading 7 unnumbered"/>
    <w:basedOn w:val="Heading7"/>
    <w:next w:val="BodyText"/>
    <w:uiPriority w:val="99"/>
    <w:semiHidden/>
    <w:rsid w:val="00CF2862"/>
    <w:pPr>
      <w:numPr>
        <w:ilvl w:val="0"/>
        <w:numId w:val="0"/>
      </w:numPr>
    </w:pPr>
  </w:style>
  <w:style w:type="paragraph" w:customStyle="1" w:styleId="Reference">
    <w:name w:val="Reference"/>
    <w:basedOn w:val="BodyText"/>
    <w:uiPriority w:val="99"/>
    <w:rsid w:val="00CF2862"/>
    <w:pPr>
      <w:keepLines/>
      <w:spacing w:before="60" w:after="60" w:line="260" w:lineRule="atLeast"/>
      <w:ind w:left="284" w:hanging="284"/>
    </w:pPr>
    <w:rPr>
      <w:sz w:val="17"/>
      <w:szCs w:val="17"/>
    </w:rPr>
  </w:style>
  <w:style w:type="paragraph" w:styleId="Title">
    <w:name w:val="Title"/>
    <w:basedOn w:val="Normal"/>
    <w:next w:val="Subtitle"/>
    <w:link w:val="TitleChar"/>
    <w:uiPriority w:val="99"/>
    <w:qFormat/>
    <w:rsid w:val="00CF2862"/>
    <w:pPr>
      <w:pageBreakBefore/>
      <w:spacing w:before="1800" w:line="640" w:lineRule="atLeast"/>
      <w:ind w:left="2381" w:right="-1418"/>
    </w:pPr>
    <w:rPr>
      <w:rFonts w:ascii="Franklin Gothic Book" w:hAnsi="Franklin Gothic Book"/>
      <w:color w:val="5A9A98"/>
      <w:kern w:val="28"/>
      <w:sz w:val="50"/>
      <w:szCs w:val="50"/>
    </w:rPr>
  </w:style>
  <w:style w:type="character" w:customStyle="1" w:styleId="TitleChar">
    <w:name w:val="Title Char"/>
    <w:basedOn w:val="DefaultParagraphFont"/>
    <w:link w:val="Title"/>
    <w:uiPriority w:val="99"/>
    <w:locked/>
    <w:rsid w:val="00CF2862"/>
    <w:rPr>
      <w:rFonts w:ascii="Franklin Gothic Book" w:hAnsi="Franklin Gothic Book" w:cs="Times New Roman"/>
      <w:color w:val="5A9A98"/>
      <w:kern w:val="28"/>
      <w:sz w:val="50"/>
      <w:szCs w:val="50"/>
      <w:lang w:val="en-AU" w:eastAsia="en-AU" w:bidi="ar-SA"/>
    </w:rPr>
  </w:style>
  <w:style w:type="paragraph" w:styleId="Subtitle">
    <w:name w:val="Subtitle"/>
    <w:basedOn w:val="Title"/>
    <w:next w:val="Date"/>
    <w:link w:val="SubtitleChar"/>
    <w:uiPriority w:val="99"/>
    <w:qFormat/>
    <w:rsid w:val="00CF2862"/>
    <w:pPr>
      <w:pageBreakBefore w:val="0"/>
      <w:spacing w:before="200" w:line="380" w:lineRule="atLeast"/>
    </w:pPr>
    <w:rPr>
      <w:sz w:val="32"/>
      <w:szCs w:val="32"/>
    </w:rPr>
  </w:style>
  <w:style w:type="character" w:customStyle="1" w:styleId="SubtitleChar">
    <w:name w:val="Subtitle Char"/>
    <w:basedOn w:val="TitleChar"/>
    <w:link w:val="Subtitle"/>
    <w:uiPriority w:val="99"/>
    <w:locked/>
    <w:rsid w:val="00CF2862"/>
    <w:rPr>
      <w:rFonts w:ascii="Franklin Gothic Book" w:hAnsi="Franklin Gothic Book" w:cs="Times New Roman"/>
      <w:color w:val="5A9A98"/>
      <w:kern w:val="28"/>
      <w:sz w:val="32"/>
      <w:szCs w:val="32"/>
      <w:lang w:val="en-AU" w:eastAsia="en-AU" w:bidi="ar-SA"/>
    </w:rPr>
  </w:style>
  <w:style w:type="paragraph" w:customStyle="1" w:styleId="Contents">
    <w:name w:val="Contents"/>
    <w:basedOn w:val="Normal"/>
    <w:next w:val="BodyText"/>
    <w:uiPriority w:val="99"/>
    <w:rsid w:val="00CF2862"/>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uiPriority w:val="99"/>
    <w:rsid w:val="00CF2862"/>
    <w:pPr>
      <w:spacing w:after="600"/>
    </w:pPr>
    <w:rPr>
      <w:sz w:val="24"/>
      <w:szCs w:val="24"/>
    </w:rPr>
  </w:style>
  <w:style w:type="character" w:customStyle="1" w:styleId="DateChar">
    <w:name w:val="Date Char"/>
    <w:basedOn w:val="SubtitleChar"/>
    <w:link w:val="Date"/>
    <w:uiPriority w:val="99"/>
    <w:locked/>
    <w:rsid w:val="00CF2862"/>
    <w:rPr>
      <w:rFonts w:ascii="Franklin Gothic Book" w:hAnsi="Franklin Gothic Book" w:cs="Times New Roman"/>
      <w:color w:val="5A9A98"/>
      <w:kern w:val="28"/>
      <w:sz w:val="24"/>
      <w:szCs w:val="24"/>
      <w:lang w:val="en-AU" w:eastAsia="en-AU" w:bidi="ar-SA"/>
    </w:rPr>
  </w:style>
  <w:style w:type="paragraph" w:styleId="Footer">
    <w:name w:val="footer"/>
    <w:basedOn w:val="Normal"/>
    <w:link w:val="FooterChar"/>
    <w:uiPriority w:val="99"/>
    <w:rsid w:val="00CF2862"/>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locked/>
    <w:rPr>
      <w:rFonts w:cs="Times New Roman"/>
      <w:sz w:val="24"/>
      <w:szCs w:val="24"/>
      <w:lang w:val="en-AU" w:eastAsia="en-AU"/>
    </w:rPr>
  </w:style>
  <w:style w:type="paragraph" w:styleId="Header">
    <w:name w:val="header"/>
    <w:basedOn w:val="Normal"/>
    <w:link w:val="HeaderChar"/>
    <w:uiPriority w:val="99"/>
    <w:rsid w:val="00CF2862"/>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locked/>
    <w:rPr>
      <w:rFonts w:cs="Times New Roman"/>
      <w:sz w:val="24"/>
      <w:szCs w:val="24"/>
      <w:lang w:val="en-AU" w:eastAsia="en-AU"/>
    </w:rPr>
  </w:style>
  <w:style w:type="character" w:styleId="PageNumber">
    <w:name w:val="page number"/>
    <w:basedOn w:val="DefaultParagraphFont"/>
    <w:uiPriority w:val="99"/>
    <w:rsid w:val="00CF2862"/>
    <w:rPr>
      <w:rFonts w:ascii="Franklin Gothic Medium" w:hAnsi="Franklin Gothic Medium" w:cs="Times New Roman"/>
      <w:color w:val="54534A"/>
      <w:sz w:val="14"/>
      <w:szCs w:val="14"/>
    </w:rPr>
  </w:style>
  <w:style w:type="paragraph" w:styleId="TOC1">
    <w:name w:val="toc 1"/>
    <w:basedOn w:val="BodyText"/>
    <w:next w:val="BodyText"/>
    <w:uiPriority w:val="99"/>
    <w:rsid w:val="00CF2862"/>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99"/>
    <w:rsid w:val="00CF2862"/>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uiPriority w:val="99"/>
    <w:semiHidden/>
    <w:rsid w:val="00CF2862"/>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uiPriority w:val="99"/>
    <w:rsid w:val="00CF2862"/>
    <w:rPr>
      <w:rFonts w:ascii="Franklin Gothic Book" w:hAnsi="Franklin Gothic Book" w:cs="Times New Roman"/>
      <w:color w:val="auto"/>
      <w:sz w:val="17"/>
      <w:szCs w:val="17"/>
    </w:rPr>
  </w:style>
  <w:style w:type="paragraph" w:customStyle="1" w:styleId="Invisiblepara">
    <w:name w:val="Invisible para"/>
    <w:basedOn w:val="Normal"/>
    <w:uiPriority w:val="99"/>
    <w:semiHidden/>
    <w:rsid w:val="00CF2862"/>
    <w:pPr>
      <w:keepNext/>
      <w:spacing w:before="320" w:line="80" w:lineRule="exact"/>
    </w:pPr>
    <w:rPr>
      <w:sz w:val="21"/>
      <w:szCs w:val="20"/>
    </w:rPr>
  </w:style>
  <w:style w:type="paragraph" w:styleId="Caption">
    <w:name w:val="caption"/>
    <w:basedOn w:val="Normal"/>
    <w:next w:val="BodyText"/>
    <w:uiPriority w:val="99"/>
    <w:qFormat/>
    <w:rsid w:val="00CF2862"/>
    <w:pPr>
      <w:keepNext/>
      <w:spacing w:before="360" w:after="80" w:line="230" w:lineRule="exact"/>
    </w:pPr>
    <w:rPr>
      <w:rFonts w:ascii="Franklin Gothic Demi" w:hAnsi="Franklin Gothic Demi"/>
      <w:color w:val="7E6D5F"/>
      <w:sz w:val="19"/>
      <w:szCs w:val="19"/>
    </w:rPr>
  </w:style>
  <w:style w:type="paragraph" w:customStyle="1" w:styleId="BoxListBullet">
    <w:name w:val="Box List Bullet"/>
    <w:basedOn w:val="BoxText"/>
    <w:uiPriority w:val="99"/>
    <w:rsid w:val="00CF2862"/>
    <w:pPr>
      <w:keepLines/>
      <w:numPr>
        <w:numId w:val="1"/>
      </w:numPr>
      <w:tabs>
        <w:tab w:val="clear" w:pos="360"/>
        <w:tab w:val="num" w:pos="284"/>
      </w:tabs>
      <w:spacing w:before="0"/>
      <w:ind w:left="284" w:hanging="284"/>
    </w:pPr>
    <w:rPr>
      <w:szCs w:val="20"/>
    </w:rPr>
  </w:style>
  <w:style w:type="character" w:customStyle="1" w:styleId="NoteLabel">
    <w:name w:val="Note Label"/>
    <w:basedOn w:val="DefaultParagraphFont"/>
    <w:uiPriority w:val="99"/>
    <w:rsid w:val="00CF2862"/>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uiPriority w:val="99"/>
    <w:rsid w:val="006A5D8A"/>
    <w:pPr>
      <w:spacing w:after="0" w:line="180" w:lineRule="atLeast"/>
    </w:pPr>
    <w:rPr>
      <w:sz w:val="14"/>
      <w:szCs w:val="14"/>
    </w:rPr>
  </w:style>
  <w:style w:type="paragraph" w:customStyle="1" w:styleId="TableTextEntries">
    <w:name w:val="Table Text Entries"/>
    <w:basedOn w:val="Normal"/>
    <w:uiPriority w:val="99"/>
    <w:rsid w:val="00CF2862"/>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uiPriority w:val="99"/>
    <w:rsid w:val="00C47CCC"/>
    <w:pPr>
      <w:spacing w:after="60"/>
    </w:pPr>
  </w:style>
  <w:style w:type="paragraph" w:customStyle="1" w:styleId="BoxHeading1">
    <w:name w:val="Box Heading 1"/>
    <w:basedOn w:val="BoxText"/>
    <w:next w:val="BoxText"/>
    <w:uiPriority w:val="99"/>
    <w:rsid w:val="00CF2862"/>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CF2862"/>
    <w:pPr>
      <w:spacing w:before="140"/>
    </w:pPr>
    <w:rPr>
      <w:rFonts w:ascii="Franklin Gothic Book" w:hAnsi="Franklin Gothic Book"/>
      <w:i/>
      <w:color w:val="auto"/>
    </w:rPr>
  </w:style>
  <w:style w:type="paragraph" w:customStyle="1" w:styleId="TableListBullet">
    <w:name w:val="Table List Bullet"/>
    <w:basedOn w:val="TableTextEntries"/>
    <w:uiPriority w:val="99"/>
    <w:rsid w:val="00CF2862"/>
    <w:pPr>
      <w:numPr>
        <w:numId w:val="5"/>
      </w:numPr>
      <w:tabs>
        <w:tab w:val="clear" w:pos="360"/>
        <w:tab w:val="num" w:pos="227"/>
      </w:tabs>
      <w:ind w:left="227" w:hanging="227"/>
    </w:pPr>
  </w:style>
  <w:style w:type="paragraph" w:styleId="TableofFigures">
    <w:name w:val="table of figures"/>
    <w:basedOn w:val="BodyText"/>
    <w:next w:val="BodyText"/>
    <w:uiPriority w:val="99"/>
    <w:semiHidden/>
    <w:rsid w:val="00CF2862"/>
    <w:pPr>
      <w:tabs>
        <w:tab w:val="left" w:pos="1077"/>
        <w:tab w:val="right" w:pos="8505"/>
      </w:tabs>
      <w:spacing w:before="60" w:line="260" w:lineRule="atLeast"/>
      <w:ind w:left="1077" w:right="567" w:hanging="1077"/>
    </w:pPr>
  </w:style>
  <w:style w:type="paragraph" w:styleId="TOC3">
    <w:name w:val="toc 3"/>
    <w:basedOn w:val="TOC2"/>
    <w:next w:val="BodyText"/>
    <w:uiPriority w:val="99"/>
    <w:rsid w:val="00CF2862"/>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rsid w:val="00CF2862"/>
    <w:pPr>
      <w:jc w:val="right"/>
    </w:pPr>
  </w:style>
  <w:style w:type="paragraph" w:customStyle="1" w:styleId="Recommendation">
    <w:name w:val="Recommendation"/>
    <w:basedOn w:val="BodyText"/>
    <w:next w:val="BodyText"/>
    <w:uiPriority w:val="99"/>
    <w:semiHidden/>
    <w:rsid w:val="00CF2862"/>
    <w:pPr>
      <w:tabs>
        <w:tab w:val="left" w:pos="284"/>
      </w:tabs>
      <w:ind w:left="284" w:hanging="284"/>
    </w:pPr>
    <w:rPr>
      <w:rFonts w:eastAsia="MS Mincho" w:cs="MS Mincho"/>
      <w:b/>
    </w:rPr>
  </w:style>
  <w:style w:type="paragraph" w:styleId="TOC6">
    <w:name w:val="toc 6"/>
    <w:basedOn w:val="BodyText"/>
    <w:next w:val="BodyText"/>
    <w:uiPriority w:val="99"/>
    <w:rsid w:val="00CF2862"/>
    <w:pPr>
      <w:tabs>
        <w:tab w:val="left" w:pos="284"/>
        <w:tab w:val="right" w:pos="8222"/>
      </w:tabs>
      <w:ind w:left="284" w:right="567" w:hanging="284"/>
    </w:pPr>
  </w:style>
  <w:style w:type="character" w:styleId="CommentReference">
    <w:name w:val="annotation reference"/>
    <w:basedOn w:val="DefaultParagraphFont"/>
    <w:uiPriority w:val="99"/>
    <w:rsid w:val="00CF2862"/>
    <w:rPr>
      <w:rFonts w:ascii="Franklin Gothic Medium" w:hAnsi="Franklin Gothic Medium" w:cs="Times New Roman"/>
      <w:vanish/>
      <w:color w:val="FF00FF"/>
      <w:sz w:val="16"/>
      <w:szCs w:val="16"/>
    </w:rPr>
  </w:style>
  <w:style w:type="paragraph" w:styleId="CommentText">
    <w:name w:val="annotation text"/>
    <w:basedOn w:val="BodyText"/>
    <w:link w:val="CommentTextChar"/>
    <w:uiPriority w:val="99"/>
    <w:rsid w:val="00CF2862"/>
    <w:pPr>
      <w:spacing w:line="240" w:lineRule="atLeast"/>
    </w:pPr>
  </w:style>
  <w:style w:type="character" w:customStyle="1" w:styleId="CommentTextChar">
    <w:name w:val="Comment Text Char"/>
    <w:basedOn w:val="DefaultParagraphFont"/>
    <w:link w:val="CommentText"/>
    <w:uiPriority w:val="99"/>
    <w:semiHidden/>
    <w:locked/>
    <w:rPr>
      <w:rFonts w:cs="Times New Roman"/>
      <w:sz w:val="20"/>
      <w:szCs w:val="20"/>
      <w:lang w:val="en-AU" w:eastAsia="en-AU"/>
    </w:rPr>
  </w:style>
  <w:style w:type="character" w:styleId="FootnoteReference">
    <w:name w:val="footnote reference"/>
    <w:basedOn w:val="DefaultParagraphFont"/>
    <w:uiPriority w:val="99"/>
    <w:rsid w:val="00CF2862"/>
    <w:rPr>
      <w:rFonts w:ascii="Franklin Gothic Book" w:hAnsi="Franklin Gothic Book" w:cs="Times New Roman"/>
      <w:w w:val="100"/>
      <w:position w:val="6"/>
      <w:sz w:val="14"/>
      <w:szCs w:val="14"/>
      <w:vertAlign w:val="baseline"/>
    </w:rPr>
  </w:style>
  <w:style w:type="paragraph" w:styleId="FootnoteText">
    <w:name w:val="footnote text"/>
    <w:basedOn w:val="BodyText"/>
    <w:link w:val="FootnoteTextChar"/>
    <w:uiPriority w:val="99"/>
    <w:rsid w:val="00CF286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basedOn w:val="DefaultParagraphFont"/>
    <w:link w:val="FootnoteText"/>
    <w:uiPriority w:val="99"/>
    <w:semiHidden/>
    <w:locked/>
    <w:rPr>
      <w:rFonts w:cs="Times New Roman"/>
      <w:sz w:val="20"/>
      <w:szCs w:val="20"/>
      <w:lang w:val="en-AU" w:eastAsia="en-AU"/>
    </w:rPr>
  </w:style>
  <w:style w:type="character" w:styleId="Hyperlink">
    <w:name w:val="Hyperlink"/>
    <w:basedOn w:val="DefaultParagraphFont"/>
    <w:uiPriority w:val="99"/>
    <w:semiHidden/>
    <w:rsid w:val="00CF2862"/>
    <w:rPr>
      <w:rFonts w:cs="Times New Roman"/>
      <w:color w:val="00467F"/>
      <w:u w:val="none"/>
    </w:rPr>
  </w:style>
  <w:style w:type="paragraph" w:customStyle="1" w:styleId="ChartText">
    <w:name w:val="Chart Text"/>
    <w:basedOn w:val="BodyText"/>
    <w:uiPriority w:val="99"/>
    <w:semiHidden/>
    <w:rsid w:val="00CF2862"/>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CF2862"/>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CF2862"/>
    <w:pPr>
      <w:spacing w:line="210" w:lineRule="exact"/>
    </w:pPr>
    <w:rPr>
      <w:caps/>
      <w:sz w:val="19"/>
    </w:rPr>
  </w:style>
  <w:style w:type="paragraph" w:customStyle="1" w:styleId="ChartListBullet">
    <w:name w:val="Chart List Bullet"/>
    <w:basedOn w:val="TableListBullet"/>
    <w:uiPriority w:val="99"/>
    <w:semiHidden/>
    <w:rsid w:val="00CF2862"/>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CF2862"/>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CF2862"/>
    <w:pPr>
      <w:tabs>
        <w:tab w:val="num" w:pos="227"/>
      </w:tabs>
      <w:spacing w:before="60"/>
      <w:ind w:left="227" w:hanging="227"/>
    </w:pPr>
  </w:style>
  <w:style w:type="paragraph" w:styleId="TOC7">
    <w:name w:val="toc 7"/>
    <w:basedOn w:val="TOC1"/>
    <w:next w:val="TOC1"/>
    <w:uiPriority w:val="99"/>
    <w:rsid w:val="0097190C"/>
    <w:pPr>
      <w:tabs>
        <w:tab w:val="left" w:pos="1418"/>
      </w:tabs>
      <w:ind w:left="1418" w:hanging="1418"/>
    </w:pPr>
  </w:style>
  <w:style w:type="paragraph" w:customStyle="1" w:styleId="Author">
    <w:name w:val="Author"/>
    <w:basedOn w:val="Date"/>
    <w:link w:val="AuthorCharChar"/>
    <w:uiPriority w:val="99"/>
    <w:rsid w:val="00CF2862"/>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uiPriority w:val="99"/>
    <w:rsid w:val="00CF2862"/>
    <w:pPr>
      <w:spacing w:before="0"/>
    </w:pPr>
    <w:rPr>
      <w:rFonts w:ascii="Franklin Gothic Book" w:hAnsi="Franklin Gothic Book"/>
    </w:rPr>
  </w:style>
  <w:style w:type="paragraph" w:customStyle="1" w:styleId="CharChar">
    <w:name w:val="Char Char"/>
    <w:basedOn w:val="BoxText"/>
    <w:uiPriority w:val="99"/>
    <w:semiHidden/>
    <w:rsid w:val="00CF2862"/>
  </w:style>
  <w:style w:type="paragraph" w:customStyle="1" w:styleId="Client">
    <w:name w:val="Client"/>
    <w:basedOn w:val="Author"/>
    <w:uiPriority w:val="99"/>
    <w:semiHidden/>
    <w:rsid w:val="00CF2862"/>
    <w:rPr>
      <w:color w:val="auto"/>
      <w:sz w:val="20"/>
      <w:szCs w:val="20"/>
    </w:rPr>
  </w:style>
  <w:style w:type="paragraph" w:customStyle="1" w:styleId="TableDataEntries">
    <w:name w:val="Table Data Entries"/>
    <w:basedOn w:val="TableTextEntries"/>
    <w:uiPriority w:val="99"/>
    <w:rsid w:val="00CF2862"/>
    <w:pPr>
      <w:jc w:val="right"/>
    </w:pPr>
  </w:style>
  <w:style w:type="paragraph" w:customStyle="1" w:styleId="TableDataColumnHeading">
    <w:name w:val="Table Data Column Heading"/>
    <w:basedOn w:val="TableDataEntries"/>
    <w:uiPriority w:val="99"/>
    <w:rsid w:val="00CF2862"/>
    <w:pPr>
      <w:spacing w:before="80" w:after="80"/>
    </w:pPr>
    <w:rPr>
      <w:rFonts w:ascii="Franklin Gothic Medium" w:hAnsi="Franklin Gothic Medium"/>
    </w:rPr>
  </w:style>
  <w:style w:type="paragraph" w:customStyle="1" w:styleId="TableHeading1">
    <w:name w:val="Table Heading 1"/>
    <w:basedOn w:val="TableTextEntries"/>
    <w:next w:val="TableTextEntries"/>
    <w:uiPriority w:val="99"/>
    <w:rsid w:val="00CF2862"/>
    <w:pPr>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CF2862"/>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CF2862"/>
    <w:pPr>
      <w:numPr>
        <w:numId w:val="14"/>
      </w:numPr>
      <w:tabs>
        <w:tab w:val="num" w:pos="454"/>
      </w:tabs>
      <w:ind w:left="454"/>
    </w:pPr>
  </w:style>
  <w:style w:type="paragraph" w:customStyle="1" w:styleId="TableListNumber">
    <w:name w:val="Table List Number"/>
    <w:basedOn w:val="TableTextEntries"/>
    <w:uiPriority w:val="99"/>
    <w:rsid w:val="00CF2862"/>
    <w:pPr>
      <w:numPr>
        <w:numId w:val="15"/>
      </w:numPr>
      <w:tabs>
        <w:tab w:val="num" w:pos="227"/>
      </w:tabs>
      <w:ind w:left="227" w:hanging="227"/>
    </w:pPr>
  </w:style>
  <w:style w:type="paragraph" w:customStyle="1" w:styleId="TableListNumber2">
    <w:name w:val="Table List Number 2"/>
    <w:basedOn w:val="TableListNumber"/>
    <w:uiPriority w:val="99"/>
    <w:rsid w:val="00CF2862"/>
    <w:pPr>
      <w:numPr>
        <w:numId w:val="16"/>
      </w:numPr>
      <w:tabs>
        <w:tab w:val="num" w:pos="454"/>
      </w:tabs>
      <w:ind w:left="454"/>
    </w:pPr>
  </w:style>
  <w:style w:type="paragraph" w:customStyle="1" w:styleId="TableTextColumnHeading">
    <w:name w:val="Table Text Column Heading"/>
    <w:basedOn w:val="TableDataColumnHeading"/>
    <w:uiPriority w:val="99"/>
    <w:rsid w:val="00CF2862"/>
    <w:pPr>
      <w:jc w:val="left"/>
    </w:pPr>
  </w:style>
  <w:style w:type="paragraph" w:customStyle="1" w:styleId="TableUnit">
    <w:name w:val="Table Unit"/>
    <w:basedOn w:val="TableDataColumnHeading"/>
    <w:next w:val="TableDataEntries"/>
    <w:uiPriority w:val="99"/>
    <w:rsid w:val="00CF2862"/>
    <w:pPr>
      <w:keepNext/>
    </w:pPr>
    <w:rPr>
      <w:rFonts w:ascii="Franklin Gothic Book" w:hAnsi="Franklin Gothic Book"/>
    </w:rPr>
  </w:style>
  <w:style w:type="paragraph" w:customStyle="1" w:styleId="NoteNumber">
    <w:name w:val="Note Number"/>
    <w:basedOn w:val="TableTextEntries"/>
    <w:link w:val="NoteNumberCharChar"/>
    <w:uiPriority w:val="99"/>
    <w:rsid w:val="00CF2862"/>
    <w:pPr>
      <w:numPr>
        <w:numId w:val="18"/>
      </w:numPr>
      <w:tabs>
        <w:tab w:val="num" w:pos="170"/>
      </w:tabs>
      <w:spacing w:after="0" w:line="180" w:lineRule="atLeast"/>
    </w:pPr>
    <w:rPr>
      <w:sz w:val="14"/>
      <w:szCs w:val="14"/>
    </w:rPr>
  </w:style>
  <w:style w:type="character" w:styleId="FollowedHyperlink">
    <w:name w:val="FollowedHyperlink"/>
    <w:basedOn w:val="DefaultParagraphFont"/>
    <w:uiPriority w:val="99"/>
    <w:semiHidden/>
    <w:rsid w:val="00CF2862"/>
    <w:rPr>
      <w:rFonts w:cs="Times New Roman"/>
      <w:color w:val="333399"/>
      <w:u w:val="none"/>
    </w:rPr>
  </w:style>
  <w:style w:type="paragraph" w:customStyle="1" w:styleId="Blurb">
    <w:name w:val="Blurb"/>
    <w:basedOn w:val="Caption"/>
    <w:uiPriority w:val="99"/>
    <w:rsid w:val="00CF2862"/>
    <w:pPr>
      <w:spacing w:before="180" w:after="0" w:line="280" w:lineRule="atLeast"/>
    </w:pPr>
    <w:rPr>
      <w:color w:val="FFFFFF"/>
    </w:rPr>
  </w:style>
  <w:style w:type="paragraph" w:customStyle="1" w:styleId="Figure">
    <w:name w:val="Figure"/>
    <w:basedOn w:val="BodyText"/>
    <w:next w:val="BodyText"/>
    <w:uiPriority w:val="99"/>
    <w:rsid w:val="00CF2862"/>
    <w:pPr>
      <w:spacing w:before="0" w:line="200" w:lineRule="atLeast"/>
    </w:pPr>
    <w:rPr>
      <w:sz w:val="18"/>
      <w:szCs w:val="18"/>
    </w:rPr>
  </w:style>
  <w:style w:type="paragraph" w:customStyle="1" w:styleId="BoxListBullet2">
    <w:name w:val="Box List Bullet 2"/>
    <w:basedOn w:val="BoxListBullet"/>
    <w:uiPriority w:val="99"/>
    <w:rsid w:val="00CF2862"/>
    <w:pPr>
      <w:numPr>
        <w:numId w:val="2"/>
      </w:numPr>
      <w:tabs>
        <w:tab w:val="clear" w:pos="643"/>
        <w:tab w:val="num" w:pos="567"/>
      </w:tabs>
      <w:ind w:left="567" w:hanging="283"/>
    </w:pPr>
    <w:rPr>
      <w:szCs w:val="18"/>
    </w:rPr>
  </w:style>
  <w:style w:type="paragraph" w:customStyle="1" w:styleId="BoxText">
    <w:name w:val="Box Text"/>
    <w:basedOn w:val="Normal"/>
    <w:uiPriority w:val="99"/>
    <w:rsid w:val="00CF2862"/>
    <w:pPr>
      <w:spacing w:before="60" w:after="60" w:line="260" w:lineRule="atLeast"/>
    </w:pPr>
    <w:rPr>
      <w:rFonts w:ascii="Franklin Gothic Book" w:hAnsi="Franklin Gothic Book"/>
      <w:sz w:val="18"/>
      <w:szCs w:val="18"/>
    </w:rPr>
  </w:style>
  <w:style w:type="paragraph" w:customStyle="1" w:styleId="BoxListNumber">
    <w:name w:val="Box List Number"/>
    <w:basedOn w:val="BoxText"/>
    <w:uiPriority w:val="99"/>
    <w:rsid w:val="00CF2862"/>
    <w:pPr>
      <w:numPr>
        <w:numId w:val="3"/>
      </w:numPr>
      <w:tabs>
        <w:tab w:val="clear" w:pos="360"/>
        <w:tab w:val="num" w:pos="284"/>
      </w:tabs>
      <w:spacing w:before="0"/>
      <w:ind w:left="284" w:hanging="284"/>
    </w:pPr>
  </w:style>
  <w:style w:type="paragraph" w:customStyle="1" w:styleId="BoxListNumber2">
    <w:name w:val="Box List Number 2"/>
    <w:basedOn w:val="BoxListNumber"/>
    <w:uiPriority w:val="99"/>
    <w:rsid w:val="00CF2862"/>
    <w:pPr>
      <w:numPr>
        <w:numId w:val="4"/>
      </w:numPr>
      <w:tabs>
        <w:tab w:val="clear" w:pos="643"/>
        <w:tab w:val="num" w:pos="567"/>
      </w:tabs>
      <w:ind w:left="567" w:hanging="283"/>
    </w:pPr>
  </w:style>
  <w:style w:type="paragraph" w:customStyle="1" w:styleId="BoxNoteSource">
    <w:name w:val="Box Note/Source"/>
    <w:basedOn w:val="BoxText"/>
    <w:uiPriority w:val="99"/>
    <w:rsid w:val="00CF2862"/>
    <w:pPr>
      <w:spacing w:before="100" w:after="100" w:line="180" w:lineRule="atLeast"/>
    </w:pPr>
    <w:rPr>
      <w:sz w:val="14"/>
      <w:szCs w:val="14"/>
    </w:rPr>
  </w:style>
  <w:style w:type="paragraph" w:customStyle="1" w:styleId="BoxQuote">
    <w:name w:val="Box Quote"/>
    <w:basedOn w:val="BoxText"/>
    <w:next w:val="BoxText"/>
    <w:uiPriority w:val="99"/>
    <w:rsid w:val="00CF2862"/>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uiPriority w:val="99"/>
    <w:locked/>
    <w:rsid w:val="00CF2862"/>
    <w:rPr>
      <w:rFonts w:ascii="Franklin Gothic Book" w:hAnsi="Franklin Gothic Book" w:cs="Times New Roman"/>
      <w:sz w:val="17"/>
      <w:szCs w:val="17"/>
      <w:lang w:val="en-AU" w:eastAsia="x-none"/>
    </w:rPr>
  </w:style>
  <w:style w:type="character" w:customStyle="1" w:styleId="NoteCharChar">
    <w:name w:val="Note Char Char"/>
    <w:basedOn w:val="DefaultParagraphFont"/>
    <w:link w:val="Note"/>
    <w:uiPriority w:val="99"/>
    <w:locked/>
    <w:rsid w:val="006A5D8A"/>
    <w:rPr>
      <w:rFonts w:ascii="Franklin Gothic Book" w:hAnsi="Franklin Gothic Book" w:cs="Times New Roman"/>
      <w:sz w:val="14"/>
      <w:szCs w:val="14"/>
      <w:lang w:val="en-AU" w:eastAsia="en-US" w:bidi="ar-SA"/>
    </w:rPr>
  </w:style>
  <w:style w:type="character" w:customStyle="1" w:styleId="NoteNumberCharChar">
    <w:name w:val="Note Number Char Char"/>
    <w:basedOn w:val="DefaultParagraphFont"/>
    <w:link w:val="NoteNumber"/>
    <w:uiPriority w:val="99"/>
    <w:locked/>
    <w:rsid w:val="00CF2862"/>
    <w:rPr>
      <w:rFonts w:ascii="Franklin Gothic Book" w:hAnsi="Franklin Gothic Book" w:cs="Times New Roman"/>
      <w:sz w:val="14"/>
      <w:szCs w:val="14"/>
      <w:lang w:val="en-AU" w:eastAsia="x-none"/>
    </w:rPr>
  </w:style>
  <w:style w:type="character" w:customStyle="1" w:styleId="AuthorCharChar">
    <w:name w:val="Author Char Char"/>
    <w:basedOn w:val="DateChar"/>
    <w:link w:val="Author"/>
    <w:uiPriority w:val="99"/>
    <w:locked/>
    <w:rsid w:val="00CF2862"/>
    <w:rPr>
      <w:rFonts w:ascii="Franklin Gothic Medium" w:hAnsi="Franklin Gothic Medium" w:cs="Times New Roman"/>
      <w:color w:val="5A9A98"/>
      <w:spacing w:val="-2"/>
      <w:kern w:val="28"/>
      <w:sz w:val="24"/>
      <w:szCs w:val="24"/>
      <w:lang w:val="en-AU" w:eastAsia="en-AU" w:bidi="ar-SA"/>
    </w:rPr>
  </w:style>
  <w:style w:type="character" w:customStyle="1" w:styleId="PositionCharChar">
    <w:name w:val="Position Char Char"/>
    <w:basedOn w:val="AuthorCharChar"/>
    <w:link w:val="Position"/>
    <w:uiPriority w:val="99"/>
    <w:locked/>
    <w:rsid w:val="00CF2862"/>
    <w:rPr>
      <w:rFonts w:ascii="Franklin Gothic Book" w:hAnsi="Franklin Gothic Book" w:cs="Times New Roman"/>
      <w:color w:val="5A9A98"/>
      <w:spacing w:val="-2"/>
      <w:kern w:val="28"/>
      <w:sz w:val="24"/>
      <w:szCs w:val="24"/>
      <w:lang w:val="en-AU" w:eastAsia="en-AU" w:bidi="ar-SA"/>
    </w:rPr>
  </w:style>
  <w:style w:type="paragraph" w:customStyle="1" w:styleId="Appendix">
    <w:name w:val="Appendix"/>
    <w:basedOn w:val="Normal"/>
    <w:uiPriority w:val="99"/>
    <w:rsid w:val="00CF2862"/>
    <w:rPr>
      <w:rFonts w:ascii="Franklin Gothic Medium" w:hAnsi="Franklin Gothic Medium"/>
      <w:color w:val="7E6D5F"/>
      <w:sz w:val="32"/>
      <w:szCs w:val="32"/>
    </w:rPr>
  </w:style>
  <w:style w:type="paragraph" w:customStyle="1" w:styleId="Photocaption">
    <w:name w:val="Photo caption"/>
    <w:basedOn w:val="Normal"/>
    <w:next w:val="BodyText"/>
    <w:uiPriority w:val="99"/>
    <w:rsid w:val="00CF2862"/>
    <w:pPr>
      <w:spacing w:before="140" w:after="240" w:line="180" w:lineRule="exact"/>
    </w:pPr>
    <w:rPr>
      <w:rFonts w:ascii="Franklin Gothic Medium" w:hAnsi="Franklin Gothic Medium"/>
      <w:color w:val="54534A"/>
      <w:sz w:val="14"/>
      <w:szCs w:val="14"/>
    </w:rPr>
  </w:style>
  <w:style w:type="paragraph" w:customStyle="1" w:styleId="CharChar2">
    <w:name w:val="Char Char2"/>
    <w:basedOn w:val="Normal"/>
    <w:link w:val="DefaultParagraphFont"/>
    <w:uiPriority w:val="99"/>
    <w:semiHidden/>
    <w:rsid w:val="00CF2862"/>
    <w:pPr>
      <w:spacing w:before="180" w:line="280" w:lineRule="atLeast"/>
    </w:pPr>
    <w:rPr>
      <w:rFonts w:ascii="Arial" w:hAnsi="Arial"/>
      <w:sz w:val="22"/>
      <w:szCs w:val="20"/>
      <w:lang w:eastAsia="en-US"/>
    </w:rPr>
  </w:style>
  <w:style w:type="table" w:styleId="TableGrid">
    <w:name w:val="Table Grid"/>
    <w:basedOn w:val="TableNormal"/>
    <w:uiPriority w:val="99"/>
    <w:rsid w:val="00CF286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sectiontitles3">
    <w:name w:val="bodysectiontitles3"/>
    <w:basedOn w:val="DefaultParagraphFont"/>
    <w:uiPriority w:val="99"/>
    <w:rsid w:val="00255424"/>
    <w:rPr>
      <w:rFonts w:cs="Times New Roman"/>
      <w:color w:val="666666"/>
      <w:sz w:val="26"/>
      <w:szCs w:val="26"/>
    </w:rPr>
  </w:style>
  <w:style w:type="character" w:styleId="Emphasis">
    <w:name w:val="Emphasis"/>
    <w:basedOn w:val="DefaultParagraphFont"/>
    <w:uiPriority w:val="99"/>
    <w:qFormat/>
    <w:rsid w:val="00F7407A"/>
    <w:rPr>
      <w:rFonts w:cs="Times New Roman"/>
      <w:b/>
      <w:bCs/>
    </w:rPr>
  </w:style>
  <w:style w:type="paragraph" w:styleId="CommentSubject">
    <w:name w:val="annotation subject"/>
    <w:basedOn w:val="CommentText"/>
    <w:next w:val="CommentText"/>
    <w:link w:val="CommentSubjectChar"/>
    <w:uiPriority w:val="99"/>
    <w:semiHidden/>
    <w:rsid w:val="00D344AC"/>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AU" w:eastAsia="en-AU"/>
    </w:rPr>
  </w:style>
  <w:style w:type="paragraph" w:styleId="BalloonText">
    <w:name w:val="Balloon Text"/>
    <w:basedOn w:val="Normal"/>
    <w:link w:val="BalloonTextChar"/>
    <w:uiPriority w:val="99"/>
    <w:semiHidden/>
    <w:rsid w:val="00D344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eastAsia="en-AU"/>
    </w:rPr>
  </w:style>
  <w:style w:type="paragraph" w:customStyle="1" w:styleId="H3">
    <w:name w:val="H3"/>
    <w:basedOn w:val="Heading4"/>
    <w:qFormat/>
    <w:rsid w:val="00877C04"/>
    <w:pPr>
      <w:numPr>
        <w:numId w:val="14"/>
      </w:numPr>
      <w:tabs>
        <w:tab w:val="num" w:pos="0"/>
      </w:tabs>
    </w:pPr>
    <w:rPr>
      <w:color w:val="auto"/>
    </w:rPr>
  </w:style>
  <w:style w:type="paragraph" w:customStyle="1" w:styleId="H1">
    <w:name w:val="H1"/>
    <w:basedOn w:val="Contents"/>
    <w:qFormat/>
    <w:rsid w:val="00092D69"/>
    <w:rPr>
      <w:noProof/>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0559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cca" TargetMode="External"/><Relationship Id="rId13" Type="http://schemas.openxmlformats.org/officeDocument/2006/relationships/image" Target="media/image3.e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ustomXml" Target="../customXml/item2.xml"/><Relationship Id="rId10" Type="http://schemas.openxmlformats.org/officeDocument/2006/relationships/hyperlink" Target="http://www.ausaid.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usaid.gov.au/publications" TargetMode="External"/><Relationship Id="rId14" Type="http://schemas.openxmlformats.org/officeDocument/2006/relationships/image" Target="media/image4.emf"/><Relationship Id="rId22"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20New%20look\1%20Report%20(by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4F86A4-0F27-40C7-8BD4-6D30EF19A032}"/>
</file>

<file path=customXml/itemProps2.xml><?xml version="1.0" encoding="utf-8"?>
<ds:datastoreItem xmlns:ds="http://schemas.openxmlformats.org/officeDocument/2006/customXml" ds:itemID="{27AC2391-50C8-4951-9DCB-17CBF13153B7}"/>
</file>

<file path=customXml/itemProps3.xml><?xml version="1.0" encoding="utf-8"?>
<ds:datastoreItem xmlns:ds="http://schemas.openxmlformats.org/officeDocument/2006/customXml" ds:itemID="{610147AB-E73C-4744-B17C-B0F77173C3C5}"/>
</file>

<file path=docProps/app.xml><?xml version="1.0" encoding="utf-8"?>
<Properties xmlns="http://schemas.openxmlformats.org/officeDocument/2006/extended-properties" xmlns:vt="http://schemas.openxmlformats.org/officeDocument/2006/docPropsVTypes">
  <Template>1 Report (byWord)</Template>
  <TotalTime>2</TotalTime>
  <Pages>24</Pages>
  <Words>7023</Words>
  <Characters>40037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46967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Judy Fenelon</dc:creator>
  <cp:lastModifiedBy>MKhattab</cp:lastModifiedBy>
  <cp:revision>3</cp:revision>
  <cp:lastPrinted>2008-11-25T15:45:00Z</cp:lastPrinted>
  <dcterms:created xsi:type="dcterms:W3CDTF">2013-07-09T11:15:00Z</dcterms:created>
  <dcterms:modified xsi:type="dcterms:W3CDTF">2013-07-09T11:17:00Z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304400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WCMSCountry">
    <vt:lpwstr/>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TemplateUrl">
    <vt:lpwstr/>
  </property>
  <property fmtid="{D5CDD505-2E9C-101B-9397-08002B2CF9AE}" pid="34" name="Audience">
    <vt:lpwstr/>
  </property>
  <property fmtid="{D5CDD505-2E9C-101B-9397-08002B2CF9AE}" pid="35" name="WCMSDescription">
    <vt:lpwstr/>
  </property>
  <property fmtid="{D5CDD505-2E9C-101B-9397-08002B2CF9AE}" pid="37" name="WCMSOtherCategory">
    <vt:lpwstr/>
  </property>
  <property fmtid="{D5CDD505-2E9C-101B-9397-08002B2CF9AE}" pid="38" name="AusAIDPageDescriptionMetadata">
    <vt:lpwstr/>
  </property>
  <property fmtid="{D5CDD505-2E9C-101B-9397-08002B2CF9AE}" pid="39" name="WCMSTheme">
    <vt:lpwstr/>
  </property>
  <property fmtid="{D5CDD505-2E9C-101B-9397-08002B2CF9AE}" pid="40" name="WCMSISBNISSN">
    <vt:lpwstr/>
  </property>
  <property fmtid="{D5CDD505-2E9C-101B-9397-08002B2CF9AE}" pid="41" name="PublishingContactPicture">
    <vt:lpwstr/>
  </property>
  <property fmtid="{D5CDD505-2E9C-101B-9397-08002B2CF9AE}" pid="42" name="PublishingVariationGroupID">
    <vt:lpwstr/>
  </property>
  <property fmtid="{D5CDD505-2E9C-101B-9397-08002B2CF9AE}" pid="43" name="AusAIDIdentifierMetadata">
    <vt:lpwstr/>
  </property>
  <property fmtid="{D5CDD505-2E9C-101B-9397-08002B2CF9AE}" pid="44" name="PublishingContactName">
    <vt:lpwstr/>
  </property>
  <property fmtid="{D5CDD505-2E9C-101B-9397-08002B2CF9AE}" pid="45" name="WCMSRegion">
    <vt:lpwstr/>
  </property>
  <property fmtid="{D5CDD505-2E9C-101B-9397-08002B2CF9AE}" pid="46" name="WCMSPublicationAuthor">
    <vt:lpwstr/>
  </property>
</Properties>
</file>