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15" w:rsidRPr="00317682" w:rsidRDefault="009B0215" w:rsidP="009B0215">
      <w:pPr>
        <w:pStyle w:val="Title"/>
        <w:rPr>
          <w:noProof/>
          <w:color w:val="000000"/>
        </w:rPr>
      </w:pPr>
      <w:r w:rsidRPr="00317682">
        <w:rPr>
          <w:color w:val="000000"/>
          <w:spacing w:val="-4"/>
        </w:rPr>
        <w:t>Governance annual thematic performance report 2007–08</w:t>
      </w:r>
    </w:p>
    <w:p w:rsidR="009B0215" w:rsidRPr="00317682" w:rsidRDefault="00B35E8F" w:rsidP="00B35E8F">
      <w:pPr>
        <w:pStyle w:val="Date"/>
        <w:spacing w:before="480" w:after="480"/>
        <w:rPr>
          <w:rFonts w:ascii="Franklin Gothic Medium" w:hAnsi="Franklin Gothic Medium"/>
          <w:color w:val="000000"/>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-8255</wp:posOffset>
                </wp:positionH>
                <wp:positionV relativeFrom="paragraph">
                  <wp:posOffset>6235700</wp:posOffset>
                </wp:positionV>
                <wp:extent cx="7560310" cy="385445"/>
                <wp:effectExtent l="1270" t="0" r="1270" b="0"/>
                <wp:wrapNone/>
                <wp:docPr id="3"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65pt;margin-top:491pt;width:595.3pt;height:3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7Ygw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" stroked="f">
                <w10:wrap anchorx="page"/>
              </v:rect>
            </w:pict>
          </mc:Fallback>
        </mc:AlternateContent>
      </w:r>
      <w:r w:rsidR="009B0215" w:rsidRPr="00317682">
        <w:rPr>
          <w:rFonts w:ascii="Franklin Gothic Medium" w:hAnsi="Franklin Gothic Medium"/>
          <w:color w:val="000000"/>
        </w:rPr>
        <w:t>November 2008</w:t>
      </w:r>
    </w:p>
    <w:p w:rsidR="00317682" w:rsidRPr="00317682" w:rsidRDefault="00317682" w:rsidP="00B35E8F">
      <w:pPr>
        <w:pStyle w:val="Author"/>
        <w:spacing w:before="720"/>
        <w:rPr>
          <w:color w:val="000000"/>
        </w:rPr>
      </w:pPr>
      <w:r w:rsidRPr="00317682">
        <w:rPr>
          <w:color w:val="000000"/>
        </w:rPr>
        <w:t xml:space="preserve">Australian Government – </w:t>
      </w:r>
      <w:proofErr w:type="spellStart"/>
      <w:r w:rsidRPr="00317682">
        <w:rPr>
          <w:color w:val="000000"/>
        </w:rPr>
        <w:t>AusAID</w:t>
      </w:r>
      <w:proofErr w:type="spellEnd"/>
      <w:r w:rsidRPr="00317682">
        <w:rPr>
          <w:color w:val="000000"/>
        </w:rPr>
        <w:t xml:space="preserve"> </w:t>
      </w:r>
    </w:p>
    <w:p w:rsidR="009B0215" w:rsidRPr="00317682" w:rsidRDefault="009B0215" w:rsidP="009B0215">
      <w:pPr>
        <w:pStyle w:val="BoxText"/>
        <w:pageBreakBefore/>
        <w:spacing w:before="300"/>
        <w:ind w:right="1134"/>
        <w:rPr>
          <w:color w:val="000000"/>
        </w:rPr>
      </w:pPr>
      <w:r w:rsidRPr="00317682">
        <w:rPr>
          <w:color w:val="000000"/>
        </w:rPr>
        <w:lastRenderedPageBreak/>
        <w:t>© Commonwealth of Australia 2008</w:t>
      </w:r>
    </w:p>
    <w:p w:rsidR="009B0215" w:rsidRPr="00317682" w:rsidRDefault="009B0215" w:rsidP="009B0215">
      <w:pPr>
        <w:pStyle w:val="BoxText"/>
        <w:ind w:right="1134"/>
        <w:rPr>
          <w:color w:val="000000"/>
        </w:rPr>
      </w:pPr>
      <w:r w:rsidRPr="00317682">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317682">
        <w:rPr>
          <w:i/>
          <w:color w:val="000000"/>
        </w:rPr>
        <w:t>Copyright Act 1968</w:t>
      </w:r>
      <w:r w:rsidRPr="00317682">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8" w:history="1">
        <w:r w:rsidRPr="00317682">
          <w:rPr>
            <w:color w:val="000000"/>
          </w:rPr>
          <w:t>http://www.ag.gov.au/cca</w:t>
        </w:r>
      </w:hyperlink>
    </w:p>
    <w:p w:rsidR="009B0215" w:rsidRPr="00317682" w:rsidRDefault="009B0215" w:rsidP="009B0215">
      <w:pPr>
        <w:pStyle w:val="BoxText"/>
        <w:spacing w:before="400" w:after="0"/>
        <w:ind w:right="1134"/>
        <w:rPr>
          <w:color w:val="000000"/>
        </w:rPr>
      </w:pPr>
      <w:r w:rsidRPr="00317682">
        <w:rPr>
          <w:color w:val="000000"/>
        </w:rPr>
        <w:t>ISBN 978 1 921285 6</w:t>
      </w:r>
      <w:r w:rsidR="00C41CF5" w:rsidRPr="00317682">
        <w:rPr>
          <w:color w:val="000000"/>
        </w:rPr>
        <w:t>6 0</w:t>
      </w:r>
    </w:p>
    <w:p w:rsidR="009B0215" w:rsidRPr="00317682" w:rsidRDefault="009B0215" w:rsidP="009B0215">
      <w:pPr>
        <w:pStyle w:val="BoxText"/>
        <w:spacing w:before="400"/>
        <w:ind w:right="1134"/>
        <w:rPr>
          <w:color w:val="000000"/>
        </w:rPr>
      </w:pPr>
      <w:r w:rsidRPr="00317682">
        <w:rPr>
          <w:color w:val="000000"/>
        </w:rPr>
        <w:t>Published by the Australian Agency for International Development (</w:t>
      </w:r>
      <w:proofErr w:type="spellStart"/>
      <w:r w:rsidRPr="00317682">
        <w:rPr>
          <w:color w:val="000000"/>
        </w:rPr>
        <w:t>AusAID</w:t>
      </w:r>
      <w:proofErr w:type="spellEnd"/>
      <w:r w:rsidRPr="00317682">
        <w:rPr>
          <w:color w:val="000000"/>
        </w:rPr>
        <w:t xml:space="preserve">), </w:t>
      </w:r>
      <w:smartTag w:uri="urn:schemas-microsoft-com:office:smarttags" w:element="place">
        <w:smartTag w:uri="urn:schemas-microsoft-com:office:smarttags" w:element="City">
          <w:r w:rsidRPr="00317682">
            <w:rPr>
              <w:color w:val="000000"/>
            </w:rPr>
            <w:t>Canberra</w:t>
          </w:r>
        </w:smartTag>
      </w:smartTag>
      <w:r w:rsidRPr="00317682">
        <w:rPr>
          <w:color w:val="000000"/>
        </w:rPr>
        <w:t xml:space="preserve">, </w:t>
      </w:r>
      <w:proofErr w:type="gramStart"/>
      <w:r w:rsidRPr="00317682">
        <w:rPr>
          <w:color w:val="000000"/>
        </w:rPr>
        <w:t>November</w:t>
      </w:r>
      <w:proofErr w:type="gramEnd"/>
      <w:r w:rsidRPr="00317682">
        <w:rPr>
          <w:color w:val="000000"/>
        </w:rPr>
        <w:t xml:space="preserve"> 2008.</w:t>
      </w:r>
    </w:p>
    <w:p w:rsidR="009B0215" w:rsidRPr="00317682" w:rsidRDefault="009B0215" w:rsidP="009B0215">
      <w:pPr>
        <w:pStyle w:val="BoxText"/>
        <w:ind w:right="1134"/>
        <w:rPr>
          <w:color w:val="000000"/>
        </w:rPr>
      </w:pPr>
      <w:r w:rsidRPr="00317682">
        <w:rPr>
          <w:color w:val="000000"/>
        </w:rPr>
        <w:t xml:space="preserve">This document is online at </w:t>
      </w:r>
      <w:hyperlink r:id="rId9" w:history="1">
        <w:r w:rsidRPr="00317682">
          <w:rPr>
            <w:color w:val="000000"/>
          </w:rPr>
          <w:t>www.ausaid.gov.au/publications</w:t>
        </w:r>
      </w:hyperlink>
    </w:p>
    <w:p w:rsidR="009B0215" w:rsidRPr="00317682" w:rsidRDefault="009B0215" w:rsidP="009B0215">
      <w:pPr>
        <w:pStyle w:val="BoxText"/>
        <w:spacing w:before="400" w:after="400"/>
        <w:ind w:right="1134"/>
        <w:rPr>
          <w:color w:val="000000"/>
        </w:rPr>
      </w:pPr>
      <w:r w:rsidRPr="00317682">
        <w:rPr>
          <w:color w:val="000000"/>
        </w:rPr>
        <w:t xml:space="preserve">Annual Thematic Performance Reports are prepared in accordance with </w:t>
      </w:r>
      <w:proofErr w:type="spellStart"/>
      <w:r w:rsidRPr="00317682">
        <w:rPr>
          <w:color w:val="000000"/>
        </w:rPr>
        <w:t>AusAID’s</w:t>
      </w:r>
      <w:proofErr w:type="spellEnd"/>
      <w:r w:rsidRPr="00317682">
        <w:rPr>
          <w:color w:val="000000"/>
        </w:rPr>
        <w:t xml:space="preserve"> Performance Assessment and Evaluation Policy. The reports are self-assessments and represent the views of </w:t>
      </w:r>
      <w:proofErr w:type="spellStart"/>
      <w:r w:rsidR="00C21F83" w:rsidRPr="00317682">
        <w:rPr>
          <w:color w:val="000000"/>
        </w:rPr>
        <w:t>AusAID</w:t>
      </w:r>
      <w:proofErr w:type="spellEnd"/>
      <w:r w:rsidR="00C21F83" w:rsidRPr="00317682">
        <w:rPr>
          <w:color w:val="000000"/>
        </w:rPr>
        <w:t>.</w:t>
      </w:r>
    </w:p>
    <w:p w:rsidR="009B0215" w:rsidRPr="00317682" w:rsidRDefault="009B0215" w:rsidP="009B0215">
      <w:pPr>
        <w:pStyle w:val="BoxText"/>
        <w:ind w:right="2418"/>
        <w:rPr>
          <w:color w:val="000000"/>
        </w:rPr>
      </w:pPr>
      <w:r w:rsidRPr="00317682">
        <w:rPr>
          <w:color w:val="000000"/>
        </w:rPr>
        <w:t>For further more information about the Australian Government’s international development program, contact:</w:t>
      </w:r>
    </w:p>
    <w:p w:rsidR="009B0215" w:rsidRPr="00317682" w:rsidRDefault="009B0215" w:rsidP="009B0215">
      <w:pPr>
        <w:pStyle w:val="BoxText"/>
        <w:spacing w:after="0"/>
        <w:ind w:right="1134"/>
        <w:rPr>
          <w:color w:val="000000"/>
        </w:rPr>
      </w:pPr>
      <w:r w:rsidRPr="00317682">
        <w:rPr>
          <w:color w:val="000000"/>
        </w:rPr>
        <w:t>Communications Section</w:t>
      </w:r>
    </w:p>
    <w:p w:rsidR="009B0215" w:rsidRPr="00317682" w:rsidRDefault="009B0215" w:rsidP="009B0215">
      <w:pPr>
        <w:pStyle w:val="BoxText"/>
        <w:spacing w:before="0" w:after="0"/>
        <w:ind w:right="1134"/>
        <w:rPr>
          <w:color w:val="000000"/>
        </w:rPr>
      </w:pPr>
      <w:proofErr w:type="spellStart"/>
      <w:r w:rsidRPr="00317682">
        <w:rPr>
          <w:color w:val="000000"/>
        </w:rPr>
        <w:t>AusAID</w:t>
      </w:r>
      <w:proofErr w:type="spellEnd"/>
    </w:p>
    <w:p w:rsidR="009B0215" w:rsidRPr="00317682" w:rsidRDefault="009B0215" w:rsidP="009B0215">
      <w:pPr>
        <w:pStyle w:val="BoxText"/>
        <w:spacing w:before="0" w:after="0"/>
        <w:ind w:right="1134"/>
        <w:rPr>
          <w:color w:val="000000"/>
        </w:rPr>
      </w:pPr>
      <w:r w:rsidRPr="00317682">
        <w:rPr>
          <w:color w:val="000000"/>
        </w:rPr>
        <w:t xml:space="preserve">GPO </w:t>
      </w:r>
      <w:smartTag w:uri="urn:schemas-microsoft-com:office:smarttags" w:element="address">
        <w:smartTag w:uri="urn:schemas-microsoft-com:office:smarttags" w:element="Street">
          <w:r w:rsidRPr="00317682">
            <w:rPr>
              <w:color w:val="000000"/>
            </w:rPr>
            <w:t>Box</w:t>
          </w:r>
        </w:smartTag>
        <w:r w:rsidRPr="00317682">
          <w:rPr>
            <w:color w:val="000000"/>
          </w:rPr>
          <w:t xml:space="preserve"> 887</w:t>
        </w:r>
      </w:smartTag>
    </w:p>
    <w:p w:rsidR="009B0215" w:rsidRPr="00317682" w:rsidRDefault="009B0215" w:rsidP="009B0215">
      <w:pPr>
        <w:pStyle w:val="BoxText"/>
        <w:spacing w:before="0"/>
        <w:ind w:right="1134"/>
        <w:rPr>
          <w:color w:val="000000"/>
        </w:rPr>
      </w:pPr>
      <w:smartTag w:uri="urn:schemas-microsoft-com:office:smarttags" w:element="place">
        <w:smartTag w:uri="urn:schemas-microsoft-com:office:smarttags" w:element="City">
          <w:r w:rsidRPr="00317682">
            <w:rPr>
              <w:color w:val="000000"/>
            </w:rPr>
            <w:t>Canberra</w:t>
          </w:r>
        </w:smartTag>
      </w:smartTag>
      <w:r w:rsidRPr="00317682">
        <w:rPr>
          <w:color w:val="000000"/>
        </w:rPr>
        <w:t xml:space="preserve"> ACT 2601</w:t>
      </w:r>
    </w:p>
    <w:p w:rsidR="009B0215" w:rsidRPr="00317682" w:rsidRDefault="009B0215" w:rsidP="009B0215">
      <w:pPr>
        <w:pStyle w:val="BoxText"/>
        <w:spacing w:after="0"/>
        <w:ind w:right="1134"/>
        <w:rPr>
          <w:color w:val="000000"/>
        </w:rPr>
      </w:pPr>
      <w:proofErr w:type="gramStart"/>
      <w:r w:rsidRPr="00317682">
        <w:rPr>
          <w:color w:val="000000"/>
        </w:rPr>
        <w:t>Phone</w:t>
      </w:r>
      <w:proofErr w:type="gramEnd"/>
      <w:r w:rsidRPr="00317682">
        <w:rPr>
          <w:rFonts w:ascii="Arial Unicode MS" w:eastAsia="Arial Unicode MS" w:hAnsi="Arial Unicode MS" w:cs="Arial Unicode MS" w:hint="eastAsia"/>
          <w:color w:val="000000"/>
        </w:rPr>
        <w:t> </w:t>
      </w:r>
      <w:r w:rsidRPr="00317682">
        <w:rPr>
          <w:color w:val="000000"/>
        </w:rPr>
        <w:t>(02) 6206 4000</w:t>
      </w:r>
    </w:p>
    <w:p w:rsidR="009B0215" w:rsidRPr="00317682" w:rsidRDefault="009B0215" w:rsidP="009B0215">
      <w:pPr>
        <w:pStyle w:val="BoxText"/>
        <w:spacing w:before="0" w:after="0"/>
        <w:ind w:right="1134"/>
        <w:rPr>
          <w:color w:val="000000"/>
        </w:rPr>
      </w:pPr>
      <w:proofErr w:type="gramStart"/>
      <w:r w:rsidRPr="00317682">
        <w:rPr>
          <w:color w:val="000000"/>
        </w:rPr>
        <w:t>Facsimile</w:t>
      </w:r>
      <w:proofErr w:type="gramEnd"/>
      <w:r w:rsidRPr="00317682">
        <w:rPr>
          <w:rFonts w:ascii="Arial Unicode MS" w:eastAsia="Arial Unicode MS" w:hAnsi="Arial Unicode MS" w:cs="Arial Unicode MS" w:hint="eastAsia"/>
          <w:color w:val="000000"/>
        </w:rPr>
        <w:t> </w:t>
      </w:r>
      <w:r w:rsidRPr="00317682">
        <w:rPr>
          <w:color w:val="000000"/>
        </w:rPr>
        <w:t>(02) 6206 4880</w:t>
      </w:r>
    </w:p>
    <w:p w:rsidR="009B0215" w:rsidRPr="00317682" w:rsidRDefault="00B35E8F" w:rsidP="009B0215">
      <w:pPr>
        <w:pStyle w:val="BoxText"/>
        <w:spacing w:before="0"/>
        <w:ind w:right="1134"/>
        <w:rPr>
          <w:color w:val="00000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-3175</wp:posOffset>
                </wp:positionH>
                <wp:positionV relativeFrom="paragraph">
                  <wp:posOffset>2078990</wp:posOffset>
                </wp:positionV>
                <wp:extent cx="7560310" cy="385445"/>
                <wp:effectExtent l="0" t="0" r="0" b="0"/>
                <wp:wrapNone/>
                <wp:docPr id="2" name="Rectangle 3"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 style="position:absolute;margin-left:-.25pt;margin-top:163.7pt;width:595.3pt;height:3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Fagw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" stroked="f">
                <w10:wrap anchorx="page"/>
              </v:rect>
            </w:pict>
          </mc:Fallback>
        </mc:AlternateContent>
      </w:r>
      <w:r w:rsidR="009B0215" w:rsidRPr="00317682">
        <w:rPr>
          <w:color w:val="000000"/>
        </w:rPr>
        <w:t>Internet</w:t>
      </w:r>
      <w:r w:rsidR="009B0215" w:rsidRPr="00317682">
        <w:rPr>
          <w:rFonts w:ascii="Arial Unicode MS" w:eastAsia="Arial Unicode MS" w:hAnsi="Arial Unicode MS" w:cs="Arial Unicode MS" w:hint="eastAsia"/>
          <w:color w:val="000000"/>
        </w:rPr>
        <w:t> </w:t>
      </w:r>
      <w:hyperlink r:id="rId10" w:history="1">
        <w:r w:rsidR="009B0215" w:rsidRPr="00317682">
          <w:rPr>
            <w:color w:val="000000"/>
          </w:rPr>
          <w:t>www.</w:t>
        </w:r>
        <w:bookmarkStart w:id="0" w:name="_Hlt536343294"/>
        <w:r w:rsidR="009B0215" w:rsidRPr="00317682">
          <w:rPr>
            <w:color w:val="000000"/>
          </w:rPr>
          <w:t>a</w:t>
        </w:r>
        <w:bookmarkEnd w:id="0"/>
        <w:r w:rsidR="009B0215" w:rsidRPr="00317682">
          <w:rPr>
            <w:color w:val="000000"/>
          </w:rPr>
          <w:t>u</w:t>
        </w:r>
        <w:bookmarkStart w:id="1" w:name="_Hlt536343388"/>
        <w:r w:rsidR="009B0215" w:rsidRPr="00317682">
          <w:rPr>
            <w:color w:val="000000"/>
          </w:rPr>
          <w:t>s</w:t>
        </w:r>
        <w:bookmarkStart w:id="2" w:name="_Hlt536343250"/>
        <w:bookmarkEnd w:id="1"/>
        <w:r w:rsidR="009B0215" w:rsidRPr="00317682">
          <w:rPr>
            <w:color w:val="000000"/>
          </w:rPr>
          <w:t>a</w:t>
        </w:r>
        <w:bookmarkStart w:id="3" w:name="_Hlt536343212"/>
        <w:bookmarkEnd w:id="2"/>
        <w:r w:rsidR="009B0215" w:rsidRPr="00317682">
          <w:rPr>
            <w:color w:val="000000"/>
          </w:rPr>
          <w:t>i</w:t>
        </w:r>
        <w:bookmarkStart w:id="4" w:name="_Hlt536343325"/>
        <w:bookmarkEnd w:id="3"/>
        <w:r w:rsidR="009B0215" w:rsidRPr="00317682">
          <w:rPr>
            <w:color w:val="000000"/>
          </w:rPr>
          <w:t>d</w:t>
        </w:r>
        <w:bookmarkEnd w:id="4"/>
        <w:r w:rsidR="009B0215" w:rsidRPr="00317682">
          <w:rPr>
            <w:color w:val="000000"/>
          </w:rPr>
          <w:t>.go</w:t>
        </w:r>
        <w:bookmarkStart w:id="5" w:name="_Hlt86200017"/>
        <w:r w:rsidR="009B0215" w:rsidRPr="00317682">
          <w:rPr>
            <w:color w:val="000000"/>
          </w:rPr>
          <w:t>v</w:t>
        </w:r>
        <w:bookmarkEnd w:id="5"/>
        <w:r w:rsidR="009B0215" w:rsidRPr="00317682">
          <w:rPr>
            <w:color w:val="000000"/>
          </w:rPr>
          <w:t>.au</w:t>
        </w:r>
      </w:hyperlink>
    </w:p>
    <w:p w:rsidR="00B35E8F" w:rsidRPr="00B35E8F" w:rsidRDefault="00CC2117" w:rsidP="00B35E8F">
      <w:pPr>
        <w:pStyle w:val="H1"/>
      </w:pPr>
      <w:r w:rsidRPr="00B35E8F">
        <w:lastRenderedPageBreak/>
        <w:t>Contents</w:t>
      </w:r>
    </w:p>
    <w:p w:rsidR="00FE316A" w:rsidRPr="00317682" w:rsidRDefault="00CC2117">
      <w:pPr>
        <w:pStyle w:val="TOC1"/>
        <w:rPr>
          <w:rFonts w:ascii="Times New Roman" w:hAnsi="Times New Roman"/>
          <w:noProof/>
          <w:color w:val="000000"/>
          <w:lang w:val="en-US" w:eastAsia="en-US"/>
        </w:rPr>
      </w:pPr>
      <w:r w:rsidRPr="00317682">
        <w:rPr>
          <w:color w:val="000000"/>
        </w:rPr>
        <w:fldChar w:fldCharType="begin"/>
      </w:r>
      <w:r w:rsidRPr="00317682">
        <w:rPr>
          <w:color w:val="000000"/>
        </w:rPr>
        <w:instrText xml:space="preserve"> TOC \o "1-</w:instrText>
      </w:r>
      <w:r w:rsidR="00BB3F3C" w:rsidRPr="00317682">
        <w:rPr>
          <w:color w:val="000000"/>
        </w:rPr>
        <w:instrText>2</w:instrText>
      </w:r>
      <w:r w:rsidRPr="00317682">
        <w:rPr>
          <w:color w:val="000000"/>
        </w:rPr>
        <w:instrText xml:space="preserve">" \t </w:instrText>
      </w:r>
      <w:r w:rsidRPr="00317682">
        <w:rPr>
          <w:color w:val="000000"/>
        </w:rPr>
        <w:fldChar w:fldCharType="separate"/>
      </w:r>
      <w:r w:rsidR="00FE316A" w:rsidRPr="00317682">
        <w:rPr>
          <w:noProof/>
          <w:color w:val="000000"/>
        </w:rPr>
        <w:t xml:space="preserve">Abbreviations </w:t>
      </w:r>
      <w:r w:rsidR="00FE316A" w:rsidRPr="00317682">
        <w:rPr>
          <w:noProof/>
          <w:color w:val="000000"/>
        </w:rPr>
        <w:tab/>
      </w:r>
      <w:r w:rsidR="00FE316A" w:rsidRPr="00317682">
        <w:rPr>
          <w:noProof/>
          <w:color w:val="000000"/>
        </w:rPr>
        <w:fldChar w:fldCharType="begin"/>
      </w:r>
      <w:r w:rsidR="00FE316A" w:rsidRPr="00317682">
        <w:rPr>
          <w:noProof/>
          <w:color w:val="000000"/>
        </w:rPr>
        <w:instrText xml:space="preserve"> PAGEREF _Toc222041478 \h </w:instrText>
      </w:r>
      <w:r w:rsidR="00FE316A" w:rsidRPr="00317682">
        <w:rPr>
          <w:noProof/>
          <w:color w:val="000000"/>
        </w:rPr>
      </w:r>
      <w:r w:rsidR="00FE316A" w:rsidRPr="00317682">
        <w:rPr>
          <w:noProof/>
          <w:color w:val="000000"/>
        </w:rPr>
        <w:fldChar w:fldCharType="separate"/>
      </w:r>
      <w:r w:rsidR="00FE316A" w:rsidRPr="00317682">
        <w:rPr>
          <w:noProof/>
          <w:color w:val="000000"/>
        </w:rPr>
        <w:t>4</w:t>
      </w:r>
      <w:r w:rsidR="00FE316A" w:rsidRPr="00317682">
        <w:rPr>
          <w:noProof/>
          <w:color w:val="000000"/>
        </w:rPr>
        <w:fldChar w:fldCharType="end"/>
      </w:r>
    </w:p>
    <w:p w:rsidR="00FE316A" w:rsidRPr="00317682" w:rsidRDefault="00FE316A">
      <w:pPr>
        <w:pStyle w:val="TOC1"/>
        <w:rPr>
          <w:rFonts w:ascii="Times New Roman" w:hAnsi="Times New Roman"/>
          <w:noProof/>
          <w:color w:val="000000"/>
          <w:lang w:val="en-US" w:eastAsia="en-US"/>
        </w:rPr>
      </w:pPr>
      <w:r w:rsidRPr="00317682">
        <w:rPr>
          <w:noProof/>
          <w:color w:val="000000"/>
        </w:rPr>
        <w:t xml:space="preserve">Overview of the governance sector </w:t>
      </w:r>
      <w:r w:rsidRPr="00317682">
        <w:rPr>
          <w:noProof/>
          <w:color w:val="000000"/>
        </w:rPr>
        <w:tab/>
      </w:r>
      <w:r w:rsidRPr="00317682">
        <w:rPr>
          <w:noProof/>
          <w:color w:val="000000"/>
        </w:rPr>
        <w:fldChar w:fldCharType="begin"/>
      </w:r>
      <w:r w:rsidRPr="00317682">
        <w:rPr>
          <w:noProof/>
          <w:color w:val="000000"/>
        </w:rPr>
        <w:instrText xml:space="preserve"> PAGEREF _Toc222041479 \h </w:instrText>
      </w:r>
      <w:r w:rsidRPr="00317682">
        <w:rPr>
          <w:noProof/>
          <w:color w:val="000000"/>
        </w:rPr>
      </w:r>
      <w:r w:rsidRPr="00317682">
        <w:rPr>
          <w:noProof/>
          <w:color w:val="000000"/>
        </w:rPr>
        <w:fldChar w:fldCharType="separate"/>
      </w:r>
      <w:r w:rsidRPr="00317682">
        <w:rPr>
          <w:noProof/>
          <w:color w:val="000000"/>
        </w:rPr>
        <w:t>5</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lang w:val="en-US"/>
        </w:rPr>
        <w:t>Governance in the Asia-Pacific region</w:t>
      </w:r>
      <w:r w:rsidRPr="00317682">
        <w:rPr>
          <w:noProof/>
          <w:color w:val="000000"/>
        </w:rPr>
        <w:tab/>
      </w:r>
      <w:r w:rsidRPr="00317682">
        <w:rPr>
          <w:noProof/>
          <w:color w:val="000000"/>
        </w:rPr>
        <w:fldChar w:fldCharType="begin"/>
      </w:r>
      <w:r w:rsidRPr="00317682">
        <w:rPr>
          <w:noProof/>
          <w:color w:val="000000"/>
        </w:rPr>
        <w:instrText xml:space="preserve"> PAGEREF _Toc222041480 \h </w:instrText>
      </w:r>
      <w:r w:rsidRPr="00317682">
        <w:rPr>
          <w:noProof/>
          <w:color w:val="000000"/>
        </w:rPr>
      </w:r>
      <w:r w:rsidRPr="00317682">
        <w:rPr>
          <w:noProof/>
          <w:color w:val="000000"/>
        </w:rPr>
        <w:fldChar w:fldCharType="separate"/>
      </w:r>
      <w:r w:rsidRPr="00317682">
        <w:rPr>
          <w:noProof/>
          <w:color w:val="000000"/>
        </w:rPr>
        <w:t>5</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Governance programming</w:t>
      </w:r>
      <w:r w:rsidRPr="00317682">
        <w:rPr>
          <w:noProof/>
          <w:color w:val="000000"/>
        </w:rPr>
        <w:tab/>
      </w:r>
      <w:r w:rsidRPr="00317682">
        <w:rPr>
          <w:noProof/>
          <w:color w:val="000000"/>
        </w:rPr>
        <w:fldChar w:fldCharType="begin"/>
      </w:r>
      <w:r w:rsidRPr="00317682">
        <w:rPr>
          <w:noProof/>
          <w:color w:val="000000"/>
        </w:rPr>
        <w:instrText xml:space="preserve"> PAGEREF _Toc222041481 \h </w:instrText>
      </w:r>
      <w:r w:rsidRPr="00317682">
        <w:rPr>
          <w:noProof/>
          <w:color w:val="000000"/>
        </w:rPr>
      </w:r>
      <w:r w:rsidRPr="00317682">
        <w:rPr>
          <w:noProof/>
          <w:color w:val="000000"/>
        </w:rPr>
        <w:fldChar w:fldCharType="separate"/>
      </w:r>
      <w:r w:rsidRPr="00317682">
        <w:rPr>
          <w:noProof/>
          <w:color w:val="000000"/>
        </w:rPr>
        <w:t>7</w:t>
      </w:r>
      <w:r w:rsidRPr="00317682">
        <w:rPr>
          <w:noProof/>
          <w:color w:val="000000"/>
        </w:rPr>
        <w:fldChar w:fldCharType="end"/>
      </w:r>
    </w:p>
    <w:p w:rsidR="00FE316A" w:rsidRPr="00317682" w:rsidRDefault="00FE316A">
      <w:pPr>
        <w:pStyle w:val="TOC1"/>
        <w:rPr>
          <w:rFonts w:ascii="Times New Roman" w:hAnsi="Times New Roman"/>
          <w:noProof/>
          <w:color w:val="000000"/>
          <w:lang w:val="en-US" w:eastAsia="en-US"/>
        </w:rPr>
      </w:pPr>
      <w:r w:rsidRPr="00317682">
        <w:rPr>
          <w:noProof/>
          <w:color w:val="000000"/>
        </w:rPr>
        <w:t xml:space="preserve">Performance of governance activities </w:t>
      </w:r>
      <w:r w:rsidRPr="00317682">
        <w:rPr>
          <w:noProof/>
          <w:color w:val="000000"/>
        </w:rPr>
        <w:tab/>
      </w:r>
      <w:r w:rsidRPr="00317682">
        <w:rPr>
          <w:noProof/>
          <w:color w:val="000000"/>
        </w:rPr>
        <w:fldChar w:fldCharType="begin"/>
      </w:r>
      <w:r w:rsidRPr="00317682">
        <w:rPr>
          <w:noProof/>
          <w:color w:val="000000"/>
        </w:rPr>
        <w:instrText xml:space="preserve"> PAGEREF _Toc222041482 \h </w:instrText>
      </w:r>
      <w:r w:rsidRPr="00317682">
        <w:rPr>
          <w:noProof/>
          <w:color w:val="000000"/>
        </w:rPr>
      </w:r>
      <w:r w:rsidRPr="00317682">
        <w:rPr>
          <w:noProof/>
          <w:color w:val="000000"/>
        </w:rPr>
        <w:fldChar w:fldCharType="separate"/>
      </w:r>
      <w:r w:rsidRPr="00317682">
        <w:rPr>
          <w:noProof/>
          <w:color w:val="000000"/>
        </w:rPr>
        <w:t>10</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Improving economic and financial management</w:t>
      </w:r>
      <w:r w:rsidRPr="00317682">
        <w:rPr>
          <w:noProof/>
          <w:color w:val="000000"/>
        </w:rPr>
        <w:tab/>
      </w:r>
      <w:r w:rsidRPr="00317682">
        <w:rPr>
          <w:noProof/>
          <w:color w:val="000000"/>
        </w:rPr>
        <w:fldChar w:fldCharType="begin"/>
      </w:r>
      <w:r w:rsidRPr="00317682">
        <w:rPr>
          <w:noProof/>
          <w:color w:val="000000"/>
        </w:rPr>
        <w:instrText xml:space="preserve"> PAGEREF _Toc222041483 \h </w:instrText>
      </w:r>
      <w:r w:rsidRPr="00317682">
        <w:rPr>
          <w:noProof/>
          <w:color w:val="000000"/>
        </w:rPr>
      </w:r>
      <w:r w:rsidRPr="00317682">
        <w:rPr>
          <w:noProof/>
          <w:color w:val="000000"/>
        </w:rPr>
        <w:fldChar w:fldCharType="separate"/>
      </w:r>
      <w:r w:rsidRPr="00317682">
        <w:rPr>
          <w:noProof/>
          <w:color w:val="000000"/>
        </w:rPr>
        <w:t>11</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Increasing public sector effectiveness</w:t>
      </w:r>
      <w:r w:rsidRPr="00317682">
        <w:rPr>
          <w:noProof/>
          <w:color w:val="000000"/>
        </w:rPr>
        <w:tab/>
      </w:r>
      <w:r w:rsidRPr="00317682">
        <w:rPr>
          <w:noProof/>
          <w:color w:val="000000"/>
        </w:rPr>
        <w:fldChar w:fldCharType="begin"/>
      </w:r>
      <w:r w:rsidRPr="00317682">
        <w:rPr>
          <w:noProof/>
          <w:color w:val="000000"/>
        </w:rPr>
        <w:instrText xml:space="preserve"> PAGEREF _Toc222041484 \h </w:instrText>
      </w:r>
      <w:r w:rsidRPr="00317682">
        <w:rPr>
          <w:noProof/>
          <w:color w:val="000000"/>
        </w:rPr>
      </w:r>
      <w:r w:rsidRPr="00317682">
        <w:rPr>
          <w:noProof/>
          <w:color w:val="000000"/>
        </w:rPr>
        <w:fldChar w:fldCharType="separate"/>
      </w:r>
      <w:r w:rsidRPr="00317682">
        <w:rPr>
          <w:noProof/>
          <w:color w:val="000000"/>
        </w:rPr>
        <w:t>14</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Strengthening law and justice</w:t>
      </w:r>
      <w:r w:rsidRPr="00317682">
        <w:rPr>
          <w:noProof/>
          <w:color w:val="000000"/>
        </w:rPr>
        <w:tab/>
      </w:r>
      <w:r w:rsidRPr="00317682">
        <w:rPr>
          <w:noProof/>
          <w:color w:val="000000"/>
        </w:rPr>
        <w:fldChar w:fldCharType="begin"/>
      </w:r>
      <w:r w:rsidRPr="00317682">
        <w:rPr>
          <w:noProof/>
          <w:color w:val="000000"/>
        </w:rPr>
        <w:instrText xml:space="preserve"> PAGEREF _Toc222041485 \h </w:instrText>
      </w:r>
      <w:r w:rsidRPr="00317682">
        <w:rPr>
          <w:noProof/>
          <w:color w:val="000000"/>
        </w:rPr>
      </w:r>
      <w:r w:rsidRPr="00317682">
        <w:rPr>
          <w:noProof/>
          <w:color w:val="000000"/>
        </w:rPr>
        <w:fldChar w:fldCharType="separate"/>
      </w:r>
      <w:r w:rsidRPr="00317682">
        <w:rPr>
          <w:noProof/>
          <w:color w:val="000000"/>
        </w:rPr>
        <w:t>17</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Developing civil society</w:t>
      </w:r>
      <w:r w:rsidRPr="00317682">
        <w:rPr>
          <w:noProof/>
          <w:color w:val="000000"/>
        </w:rPr>
        <w:tab/>
      </w:r>
      <w:r w:rsidRPr="00317682">
        <w:rPr>
          <w:noProof/>
          <w:color w:val="000000"/>
        </w:rPr>
        <w:fldChar w:fldCharType="begin"/>
      </w:r>
      <w:r w:rsidRPr="00317682">
        <w:rPr>
          <w:noProof/>
          <w:color w:val="000000"/>
        </w:rPr>
        <w:instrText xml:space="preserve"> PAGEREF _Toc222041486 \h </w:instrText>
      </w:r>
      <w:r w:rsidRPr="00317682">
        <w:rPr>
          <w:noProof/>
          <w:color w:val="000000"/>
        </w:rPr>
      </w:r>
      <w:r w:rsidRPr="00317682">
        <w:rPr>
          <w:noProof/>
          <w:color w:val="000000"/>
        </w:rPr>
        <w:fldChar w:fldCharType="separate"/>
      </w:r>
      <w:r w:rsidRPr="00317682">
        <w:rPr>
          <w:noProof/>
          <w:color w:val="000000"/>
        </w:rPr>
        <w:t>21</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Improving democratic processes</w:t>
      </w:r>
      <w:r w:rsidRPr="00317682">
        <w:rPr>
          <w:noProof/>
          <w:color w:val="000000"/>
        </w:rPr>
        <w:tab/>
      </w:r>
      <w:r w:rsidRPr="00317682">
        <w:rPr>
          <w:noProof/>
          <w:color w:val="000000"/>
        </w:rPr>
        <w:fldChar w:fldCharType="begin"/>
      </w:r>
      <w:r w:rsidRPr="00317682">
        <w:rPr>
          <w:noProof/>
          <w:color w:val="000000"/>
        </w:rPr>
        <w:instrText xml:space="preserve"> PAGEREF _Toc222041487 \h </w:instrText>
      </w:r>
      <w:r w:rsidRPr="00317682">
        <w:rPr>
          <w:noProof/>
          <w:color w:val="000000"/>
        </w:rPr>
      </w:r>
      <w:r w:rsidRPr="00317682">
        <w:rPr>
          <w:noProof/>
          <w:color w:val="000000"/>
        </w:rPr>
        <w:fldChar w:fldCharType="separate"/>
      </w:r>
      <w:r w:rsidRPr="00317682">
        <w:rPr>
          <w:noProof/>
          <w:color w:val="000000"/>
        </w:rPr>
        <w:t>25</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Combating corruption</w:t>
      </w:r>
      <w:r w:rsidRPr="00317682">
        <w:rPr>
          <w:noProof/>
          <w:color w:val="000000"/>
        </w:rPr>
        <w:tab/>
      </w:r>
      <w:r w:rsidRPr="00317682">
        <w:rPr>
          <w:noProof/>
          <w:color w:val="000000"/>
        </w:rPr>
        <w:fldChar w:fldCharType="begin"/>
      </w:r>
      <w:r w:rsidRPr="00317682">
        <w:rPr>
          <w:noProof/>
          <w:color w:val="000000"/>
        </w:rPr>
        <w:instrText xml:space="preserve"> PAGEREF _Toc222041488 \h </w:instrText>
      </w:r>
      <w:r w:rsidRPr="00317682">
        <w:rPr>
          <w:noProof/>
          <w:color w:val="000000"/>
        </w:rPr>
      </w:r>
      <w:r w:rsidRPr="00317682">
        <w:rPr>
          <w:noProof/>
          <w:color w:val="000000"/>
        </w:rPr>
        <w:fldChar w:fldCharType="separate"/>
      </w:r>
      <w:r w:rsidRPr="00317682">
        <w:rPr>
          <w:noProof/>
          <w:color w:val="000000"/>
        </w:rPr>
        <w:t>28</w:t>
      </w:r>
      <w:r w:rsidRPr="00317682">
        <w:rPr>
          <w:noProof/>
          <w:color w:val="000000"/>
        </w:rPr>
        <w:fldChar w:fldCharType="end"/>
      </w:r>
    </w:p>
    <w:p w:rsidR="00FE316A" w:rsidRPr="00317682" w:rsidRDefault="00FE316A">
      <w:pPr>
        <w:pStyle w:val="TOC1"/>
        <w:rPr>
          <w:rFonts w:ascii="Times New Roman" w:hAnsi="Times New Roman"/>
          <w:noProof/>
          <w:color w:val="000000"/>
          <w:lang w:val="en-US" w:eastAsia="en-US"/>
        </w:rPr>
      </w:pPr>
      <w:r w:rsidRPr="00317682">
        <w:rPr>
          <w:noProof/>
          <w:color w:val="000000"/>
        </w:rPr>
        <w:t xml:space="preserve">Quality of governance activities </w:t>
      </w:r>
      <w:r w:rsidRPr="00317682">
        <w:rPr>
          <w:noProof/>
          <w:color w:val="000000"/>
        </w:rPr>
        <w:tab/>
      </w:r>
      <w:r w:rsidRPr="00317682">
        <w:rPr>
          <w:noProof/>
          <w:color w:val="000000"/>
        </w:rPr>
        <w:fldChar w:fldCharType="begin"/>
      </w:r>
      <w:r w:rsidRPr="00317682">
        <w:rPr>
          <w:noProof/>
          <w:color w:val="000000"/>
        </w:rPr>
        <w:instrText xml:space="preserve"> PAGEREF _Toc222041489 \h </w:instrText>
      </w:r>
      <w:r w:rsidRPr="00317682">
        <w:rPr>
          <w:noProof/>
          <w:color w:val="000000"/>
        </w:rPr>
      </w:r>
      <w:r w:rsidRPr="00317682">
        <w:rPr>
          <w:noProof/>
          <w:color w:val="000000"/>
        </w:rPr>
        <w:fldChar w:fldCharType="separate"/>
      </w:r>
      <w:r w:rsidRPr="00317682">
        <w:rPr>
          <w:noProof/>
          <w:color w:val="000000"/>
        </w:rPr>
        <w:t>31</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Overall assessment of the governance portfolio</w:t>
      </w:r>
      <w:r w:rsidRPr="00317682">
        <w:rPr>
          <w:noProof/>
          <w:color w:val="000000"/>
        </w:rPr>
        <w:tab/>
      </w:r>
      <w:r w:rsidRPr="00317682">
        <w:rPr>
          <w:noProof/>
          <w:color w:val="000000"/>
        </w:rPr>
        <w:fldChar w:fldCharType="begin"/>
      </w:r>
      <w:r w:rsidRPr="00317682">
        <w:rPr>
          <w:noProof/>
          <w:color w:val="000000"/>
        </w:rPr>
        <w:instrText xml:space="preserve"> PAGEREF _Toc222041490 \h </w:instrText>
      </w:r>
      <w:r w:rsidRPr="00317682">
        <w:rPr>
          <w:noProof/>
          <w:color w:val="000000"/>
        </w:rPr>
      </w:r>
      <w:r w:rsidRPr="00317682">
        <w:rPr>
          <w:noProof/>
          <w:color w:val="000000"/>
        </w:rPr>
        <w:fldChar w:fldCharType="separate"/>
      </w:r>
      <w:r w:rsidRPr="00317682">
        <w:rPr>
          <w:noProof/>
          <w:color w:val="000000"/>
        </w:rPr>
        <w:t>31</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Relative performance of economic governance and public sector management categories</w:t>
      </w:r>
      <w:r w:rsidRPr="00317682">
        <w:rPr>
          <w:noProof/>
          <w:color w:val="000000"/>
        </w:rPr>
        <w:tab/>
      </w:r>
      <w:r w:rsidRPr="00317682">
        <w:rPr>
          <w:noProof/>
          <w:color w:val="000000"/>
        </w:rPr>
        <w:fldChar w:fldCharType="begin"/>
      </w:r>
      <w:r w:rsidRPr="00317682">
        <w:rPr>
          <w:noProof/>
          <w:color w:val="000000"/>
        </w:rPr>
        <w:instrText xml:space="preserve"> PAGEREF _Toc222041491 \h </w:instrText>
      </w:r>
      <w:r w:rsidRPr="00317682">
        <w:rPr>
          <w:noProof/>
          <w:color w:val="000000"/>
        </w:rPr>
      </w:r>
      <w:r w:rsidRPr="00317682">
        <w:rPr>
          <w:noProof/>
          <w:color w:val="000000"/>
        </w:rPr>
        <w:fldChar w:fldCharType="separate"/>
      </w:r>
      <w:r w:rsidRPr="00317682">
        <w:rPr>
          <w:noProof/>
          <w:color w:val="000000"/>
        </w:rPr>
        <w:t>31</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Relative performance of civil society and political governance categories</w:t>
      </w:r>
      <w:r w:rsidRPr="00317682">
        <w:rPr>
          <w:noProof/>
          <w:color w:val="000000"/>
        </w:rPr>
        <w:tab/>
      </w:r>
      <w:r w:rsidRPr="00317682">
        <w:rPr>
          <w:noProof/>
          <w:color w:val="000000"/>
        </w:rPr>
        <w:fldChar w:fldCharType="begin"/>
      </w:r>
      <w:r w:rsidRPr="00317682">
        <w:rPr>
          <w:noProof/>
          <w:color w:val="000000"/>
        </w:rPr>
        <w:instrText xml:space="preserve"> PAGEREF _Toc222041492 \h </w:instrText>
      </w:r>
      <w:r w:rsidRPr="00317682">
        <w:rPr>
          <w:noProof/>
          <w:color w:val="000000"/>
        </w:rPr>
      </w:r>
      <w:r w:rsidRPr="00317682">
        <w:rPr>
          <w:noProof/>
          <w:color w:val="000000"/>
        </w:rPr>
        <w:fldChar w:fldCharType="separate"/>
      </w:r>
      <w:r w:rsidRPr="00317682">
        <w:rPr>
          <w:noProof/>
          <w:color w:val="000000"/>
        </w:rPr>
        <w:t>32</w:t>
      </w:r>
      <w:r w:rsidRPr="00317682">
        <w:rPr>
          <w:noProof/>
          <w:color w:val="000000"/>
        </w:rPr>
        <w:fldChar w:fldCharType="end"/>
      </w:r>
    </w:p>
    <w:p w:rsidR="00FE316A" w:rsidRPr="00317682" w:rsidRDefault="00FE316A">
      <w:pPr>
        <w:pStyle w:val="TOC2"/>
        <w:rPr>
          <w:rFonts w:ascii="Times New Roman" w:hAnsi="Times New Roman"/>
          <w:noProof/>
          <w:color w:val="000000"/>
          <w:sz w:val="24"/>
          <w:szCs w:val="24"/>
          <w:lang w:val="en-US" w:eastAsia="en-US"/>
        </w:rPr>
      </w:pPr>
      <w:r w:rsidRPr="00317682">
        <w:rPr>
          <w:noProof/>
          <w:color w:val="000000"/>
        </w:rPr>
        <w:t>Relative performance of law and justice category</w:t>
      </w:r>
      <w:r w:rsidRPr="00317682">
        <w:rPr>
          <w:noProof/>
          <w:color w:val="000000"/>
        </w:rPr>
        <w:tab/>
      </w:r>
      <w:r w:rsidRPr="00317682">
        <w:rPr>
          <w:noProof/>
          <w:color w:val="000000"/>
        </w:rPr>
        <w:fldChar w:fldCharType="begin"/>
      </w:r>
      <w:r w:rsidRPr="00317682">
        <w:rPr>
          <w:noProof/>
          <w:color w:val="000000"/>
        </w:rPr>
        <w:instrText xml:space="preserve"> PAGEREF _Toc222041493 \h </w:instrText>
      </w:r>
      <w:r w:rsidRPr="00317682">
        <w:rPr>
          <w:noProof/>
          <w:color w:val="000000"/>
        </w:rPr>
      </w:r>
      <w:r w:rsidRPr="00317682">
        <w:rPr>
          <w:noProof/>
          <w:color w:val="000000"/>
        </w:rPr>
        <w:fldChar w:fldCharType="separate"/>
      </w:r>
      <w:r w:rsidRPr="00317682">
        <w:rPr>
          <w:noProof/>
          <w:color w:val="000000"/>
        </w:rPr>
        <w:t>32</w:t>
      </w:r>
      <w:r w:rsidRPr="00317682">
        <w:rPr>
          <w:noProof/>
          <w:color w:val="000000"/>
        </w:rPr>
        <w:fldChar w:fldCharType="end"/>
      </w:r>
    </w:p>
    <w:p w:rsidR="00CC2117" w:rsidRPr="00317682" w:rsidRDefault="00CC2117">
      <w:pPr>
        <w:pStyle w:val="TOC2"/>
        <w:rPr>
          <w:color w:val="000000"/>
        </w:rPr>
      </w:pPr>
      <w:r w:rsidRPr="00317682">
        <w:rPr>
          <w:color w:val="000000"/>
        </w:rPr>
        <w:fldChar w:fldCharType="end"/>
      </w:r>
    </w:p>
    <w:p w:rsidR="0064333E" w:rsidRPr="00317682" w:rsidRDefault="0064333E" w:rsidP="00B35E8F">
      <w:pPr>
        <w:pStyle w:val="Heading1unnumbered"/>
        <w:spacing w:after="1680"/>
        <w:rPr>
          <w:noProof/>
          <w:color w:val="000000"/>
        </w:rPr>
      </w:pPr>
      <w:bookmarkStart w:id="6" w:name="_Toc211920497"/>
      <w:bookmarkStart w:id="7" w:name="_Toc222041478"/>
      <w:r w:rsidRPr="00317682">
        <w:rPr>
          <w:color w:val="000000"/>
        </w:rPr>
        <w:lastRenderedPageBreak/>
        <w:t>Abbreviations</w:t>
      </w:r>
      <w:bookmarkEnd w:id="6"/>
      <w:bookmarkEnd w:id="7"/>
    </w:p>
    <w:p w:rsidR="0064333E" w:rsidRPr="00317682" w:rsidRDefault="0064333E" w:rsidP="00366B87">
      <w:pPr>
        <w:pStyle w:val="BodyText"/>
        <w:tabs>
          <w:tab w:val="left" w:pos="1440"/>
        </w:tabs>
        <w:ind w:left="1440" w:hanging="1440"/>
        <w:rPr>
          <w:color w:val="000000"/>
        </w:rPr>
      </w:pPr>
      <w:r w:rsidRPr="00317682">
        <w:rPr>
          <w:color w:val="000000"/>
        </w:rPr>
        <w:t>AFP</w:t>
      </w:r>
      <w:r w:rsidR="00366B87" w:rsidRPr="00317682">
        <w:rPr>
          <w:color w:val="000000"/>
        </w:rPr>
        <w:tab/>
      </w:r>
      <w:r w:rsidRPr="00317682">
        <w:rPr>
          <w:color w:val="000000"/>
        </w:rPr>
        <w:t>Australian Federal Police</w:t>
      </w:r>
    </w:p>
    <w:p w:rsidR="0064333E" w:rsidRPr="00317682" w:rsidRDefault="0064333E" w:rsidP="00366B87">
      <w:pPr>
        <w:pStyle w:val="BodyText"/>
        <w:tabs>
          <w:tab w:val="left" w:pos="1440"/>
        </w:tabs>
        <w:ind w:left="1440" w:hanging="1440"/>
        <w:rPr>
          <w:color w:val="000000"/>
        </w:rPr>
      </w:pPr>
      <w:r w:rsidRPr="00317682">
        <w:rPr>
          <w:color w:val="000000"/>
        </w:rPr>
        <w:t>AIPRD</w:t>
      </w:r>
      <w:r w:rsidR="00366B87" w:rsidRPr="00317682">
        <w:rPr>
          <w:color w:val="000000"/>
        </w:rPr>
        <w:tab/>
      </w:r>
      <w:r w:rsidR="003F20A5" w:rsidRPr="00317682">
        <w:rPr>
          <w:color w:val="000000"/>
        </w:rPr>
        <w:t>Australia–</w:t>
      </w:r>
      <w:r w:rsidRPr="00317682">
        <w:rPr>
          <w:color w:val="000000"/>
        </w:rPr>
        <w:t>Indonesia Partnership for Reconstruction and Development</w:t>
      </w:r>
    </w:p>
    <w:p w:rsidR="0064333E" w:rsidRPr="00317682" w:rsidRDefault="0064333E" w:rsidP="00366B87">
      <w:pPr>
        <w:pStyle w:val="BodyText"/>
        <w:tabs>
          <w:tab w:val="left" w:pos="1440"/>
        </w:tabs>
        <w:ind w:left="1440" w:hanging="1440"/>
        <w:rPr>
          <w:color w:val="000000"/>
        </w:rPr>
      </w:pPr>
      <w:r w:rsidRPr="00317682">
        <w:rPr>
          <w:color w:val="000000"/>
        </w:rPr>
        <w:t>DAC</w:t>
      </w:r>
      <w:r w:rsidR="00366B87" w:rsidRPr="00317682">
        <w:rPr>
          <w:color w:val="000000"/>
        </w:rPr>
        <w:tab/>
      </w:r>
      <w:r w:rsidRPr="00317682">
        <w:rPr>
          <w:color w:val="000000"/>
        </w:rPr>
        <w:t>OECD Development Assistance Committee</w:t>
      </w:r>
    </w:p>
    <w:p w:rsidR="0064333E" w:rsidRPr="00317682" w:rsidRDefault="0064333E" w:rsidP="00366B87">
      <w:pPr>
        <w:pStyle w:val="BodyText"/>
        <w:tabs>
          <w:tab w:val="left" w:pos="1440"/>
        </w:tabs>
        <w:ind w:left="1440" w:hanging="1440"/>
        <w:rPr>
          <w:color w:val="000000"/>
        </w:rPr>
      </w:pPr>
      <w:r w:rsidRPr="00317682">
        <w:rPr>
          <w:color w:val="000000"/>
        </w:rPr>
        <w:t>LOGICA</w:t>
      </w:r>
      <w:r w:rsidR="00366B87" w:rsidRPr="00317682">
        <w:rPr>
          <w:color w:val="000000"/>
        </w:rPr>
        <w:tab/>
      </w:r>
      <w:r w:rsidRPr="00317682">
        <w:rPr>
          <w:color w:val="000000"/>
        </w:rPr>
        <w:t>Local Governance and Infrastructure for Communities in Aceh</w:t>
      </w:r>
    </w:p>
    <w:p w:rsidR="0064333E" w:rsidRPr="00317682" w:rsidRDefault="0064333E" w:rsidP="00366B87">
      <w:pPr>
        <w:pStyle w:val="BodyText"/>
        <w:tabs>
          <w:tab w:val="left" w:pos="1440"/>
        </w:tabs>
        <w:ind w:left="1440" w:hanging="1440"/>
        <w:rPr>
          <w:color w:val="000000"/>
        </w:rPr>
      </w:pPr>
      <w:r w:rsidRPr="00317682">
        <w:rPr>
          <w:color w:val="000000"/>
        </w:rPr>
        <w:t>ODA</w:t>
      </w:r>
      <w:r w:rsidR="00366B87" w:rsidRPr="00317682">
        <w:rPr>
          <w:color w:val="000000"/>
        </w:rPr>
        <w:tab/>
      </w:r>
      <w:r w:rsidR="00B36A64" w:rsidRPr="00317682">
        <w:rPr>
          <w:color w:val="000000"/>
        </w:rPr>
        <w:t>official development assistance</w:t>
      </w:r>
    </w:p>
    <w:p w:rsidR="008C674F" w:rsidRPr="00317682" w:rsidRDefault="008C674F" w:rsidP="00366B87">
      <w:pPr>
        <w:pStyle w:val="BodyText"/>
        <w:tabs>
          <w:tab w:val="left" w:pos="1440"/>
        </w:tabs>
        <w:ind w:left="1440" w:hanging="1440"/>
        <w:rPr>
          <w:color w:val="000000"/>
        </w:rPr>
      </w:pPr>
      <w:r w:rsidRPr="00317682">
        <w:rPr>
          <w:color w:val="000000"/>
        </w:rPr>
        <w:t>OECD</w:t>
      </w:r>
      <w:r w:rsidRPr="00317682">
        <w:rPr>
          <w:color w:val="000000"/>
        </w:rPr>
        <w:tab/>
        <w:t>Organisation for Economic Co-operation and Development</w:t>
      </w:r>
    </w:p>
    <w:p w:rsidR="0064333E" w:rsidRPr="00317682" w:rsidRDefault="0064333E" w:rsidP="00366B87">
      <w:pPr>
        <w:pStyle w:val="BodyText"/>
        <w:tabs>
          <w:tab w:val="left" w:pos="1440"/>
        </w:tabs>
        <w:ind w:left="1440" w:hanging="1440"/>
        <w:rPr>
          <w:color w:val="000000"/>
        </w:rPr>
      </w:pPr>
      <w:r w:rsidRPr="00317682">
        <w:rPr>
          <w:color w:val="000000"/>
        </w:rPr>
        <w:t>PNG</w:t>
      </w:r>
      <w:r w:rsidR="00366B87" w:rsidRPr="00317682">
        <w:rPr>
          <w:color w:val="000000"/>
        </w:rPr>
        <w:tab/>
      </w:r>
      <w:smartTag w:uri="urn:schemas-microsoft-com:office:smarttags" w:element="place">
        <w:smartTag w:uri="urn:schemas-microsoft-com:office:smarttags" w:element="country-region">
          <w:r w:rsidRPr="00317682">
            <w:rPr>
              <w:color w:val="000000"/>
            </w:rPr>
            <w:t>Papua New Guinea</w:t>
          </w:r>
        </w:smartTag>
      </w:smartTag>
    </w:p>
    <w:p w:rsidR="0064333E" w:rsidRPr="00317682" w:rsidRDefault="0064333E" w:rsidP="00366B87">
      <w:pPr>
        <w:pStyle w:val="BodyText"/>
        <w:tabs>
          <w:tab w:val="left" w:pos="1440"/>
        </w:tabs>
        <w:ind w:left="1440" w:hanging="1440"/>
        <w:rPr>
          <w:color w:val="000000"/>
        </w:rPr>
      </w:pPr>
      <w:r w:rsidRPr="00317682">
        <w:rPr>
          <w:color w:val="000000"/>
        </w:rPr>
        <w:t>RAMSI</w:t>
      </w:r>
      <w:r w:rsidR="00366B87" w:rsidRPr="00317682">
        <w:rPr>
          <w:color w:val="000000"/>
        </w:rPr>
        <w:tab/>
      </w:r>
      <w:r w:rsidRPr="00317682">
        <w:rPr>
          <w:color w:val="000000"/>
        </w:rPr>
        <w:t xml:space="preserve">Regional Assistance </w:t>
      </w:r>
      <w:smartTag w:uri="urn:schemas-microsoft-com:office:smarttags" w:element="City">
        <w:r w:rsidRPr="00317682">
          <w:rPr>
            <w:color w:val="000000"/>
          </w:rPr>
          <w:t>Mission</w:t>
        </w:r>
      </w:smartTag>
      <w:r w:rsidRPr="00317682">
        <w:rPr>
          <w:color w:val="000000"/>
        </w:rPr>
        <w:t xml:space="preserve"> </w:t>
      </w:r>
      <w:r w:rsidR="008C123A" w:rsidRPr="00317682">
        <w:rPr>
          <w:color w:val="000000"/>
        </w:rPr>
        <w:t xml:space="preserve">to </w:t>
      </w:r>
      <w:smartTag w:uri="urn:schemas-microsoft-com:office:smarttags" w:element="place">
        <w:smartTag w:uri="urn:schemas-microsoft-com:office:smarttags" w:element="country-region">
          <w:r w:rsidRPr="00317682">
            <w:rPr>
              <w:color w:val="000000"/>
            </w:rPr>
            <w:t>Solomon Islands</w:t>
          </w:r>
        </w:smartTag>
      </w:smartTag>
    </w:p>
    <w:p w:rsidR="0064333E" w:rsidRPr="00317682" w:rsidRDefault="0064333E" w:rsidP="00366B87">
      <w:pPr>
        <w:pStyle w:val="BodyText"/>
        <w:tabs>
          <w:tab w:val="left" w:pos="1440"/>
        </w:tabs>
        <w:ind w:left="1440" w:hanging="1440"/>
        <w:rPr>
          <w:color w:val="000000"/>
        </w:rPr>
      </w:pPr>
      <w:r w:rsidRPr="00317682">
        <w:rPr>
          <w:color w:val="000000"/>
        </w:rPr>
        <w:t>QAI</w:t>
      </w:r>
      <w:r w:rsidR="00366B87" w:rsidRPr="00317682">
        <w:rPr>
          <w:color w:val="000000"/>
        </w:rPr>
        <w:tab/>
        <w:t>quality at implementation</w:t>
      </w:r>
    </w:p>
    <w:p w:rsidR="0064333E" w:rsidRPr="00317682" w:rsidRDefault="0064333E" w:rsidP="00366B87">
      <w:pPr>
        <w:pStyle w:val="BodyText"/>
        <w:tabs>
          <w:tab w:val="left" w:pos="1440"/>
        </w:tabs>
        <w:ind w:left="1440" w:hanging="1440"/>
        <w:rPr>
          <w:color w:val="000000"/>
        </w:rPr>
      </w:pPr>
      <w:r w:rsidRPr="00317682">
        <w:rPr>
          <w:color w:val="000000"/>
        </w:rPr>
        <w:t>UNDP</w:t>
      </w:r>
      <w:r w:rsidR="00366B87" w:rsidRPr="00317682">
        <w:rPr>
          <w:color w:val="000000"/>
        </w:rPr>
        <w:tab/>
      </w:r>
      <w:r w:rsidRPr="00317682">
        <w:rPr>
          <w:color w:val="000000"/>
        </w:rPr>
        <w:t>United Nations Development Program</w:t>
      </w:r>
      <w:r w:rsidR="00366B87" w:rsidRPr="00317682">
        <w:rPr>
          <w:color w:val="000000"/>
        </w:rPr>
        <w:t>me</w:t>
      </w:r>
    </w:p>
    <w:p w:rsidR="006969AB" w:rsidRPr="00317682" w:rsidRDefault="006969AB" w:rsidP="00366B87">
      <w:pPr>
        <w:pStyle w:val="BodyText"/>
        <w:tabs>
          <w:tab w:val="left" w:pos="1440"/>
        </w:tabs>
        <w:ind w:left="1440" w:hanging="1440"/>
        <w:rPr>
          <w:color w:val="000000"/>
        </w:rPr>
      </w:pPr>
      <w:r w:rsidRPr="00317682">
        <w:rPr>
          <w:color w:val="000000"/>
        </w:rPr>
        <w:t>USAID</w:t>
      </w:r>
      <w:r w:rsidRPr="00317682">
        <w:rPr>
          <w:color w:val="000000"/>
        </w:rPr>
        <w:tab/>
      </w:r>
      <w:r w:rsidR="00BD26EA" w:rsidRPr="00317682">
        <w:rPr>
          <w:color w:val="000000"/>
        </w:rPr>
        <w:t>United States Agency for International Development</w:t>
      </w:r>
    </w:p>
    <w:p w:rsidR="0064333E" w:rsidRPr="00317682" w:rsidRDefault="0064333E" w:rsidP="00366B87">
      <w:pPr>
        <w:pStyle w:val="BodyText"/>
        <w:tabs>
          <w:tab w:val="left" w:pos="1440"/>
        </w:tabs>
        <w:ind w:left="1440" w:hanging="1440"/>
        <w:rPr>
          <w:color w:val="000000"/>
        </w:rPr>
      </w:pPr>
      <w:r w:rsidRPr="00317682">
        <w:rPr>
          <w:color w:val="000000"/>
        </w:rPr>
        <w:t>WASPOLA</w:t>
      </w:r>
      <w:r w:rsidR="00366B87" w:rsidRPr="00317682">
        <w:rPr>
          <w:color w:val="000000"/>
        </w:rPr>
        <w:tab/>
      </w:r>
      <w:r w:rsidRPr="00317682">
        <w:rPr>
          <w:color w:val="000000"/>
        </w:rPr>
        <w:t>Water and Sanitation Policy Formulation and Action Planning Project</w:t>
      </w:r>
    </w:p>
    <w:p w:rsidR="00CC2117" w:rsidRPr="00317682" w:rsidRDefault="00CC2117" w:rsidP="00B35E8F">
      <w:pPr>
        <w:pStyle w:val="Heading1unnumbered"/>
        <w:spacing w:after="1680"/>
        <w:rPr>
          <w:noProof/>
          <w:color w:val="000000"/>
        </w:rPr>
      </w:pPr>
      <w:bookmarkStart w:id="8" w:name="_Toc222041479"/>
      <w:r w:rsidRPr="00317682">
        <w:rPr>
          <w:color w:val="000000"/>
        </w:rPr>
        <w:lastRenderedPageBreak/>
        <w:t>Overview of the governance sector</w:t>
      </w:r>
      <w:bookmarkEnd w:id="8"/>
    </w:p>
    <w:p w:rsidR="00CC2117" w:rsidRPr="00317682" w:rsidRDefault="003F20A5" w:rsidP="00C16EB4">
      <w:pPr>
        <w:pStyle w:val="Heading2unnumbered"/>
        <w:spacing w:before="120"/>
        <w:rPr>
          <w:color w:val="000000"/>
          <w:lang w:val="en-US"/>
        </w:rPr>
      </w:pPr>
      <w:bookmarkStart w:id="9" w:name="_Toc202340872"/>
      <w:bookmarkStart w:id="10" w:name="_Toc207514533"/>
      <w:bookmarkStart w:id="11" w:name="_Toc222041480"/>
      <w:r w:rsidRPr="00317682">
        <w:rPr>
          <w:color w:val="000000"/>
          <w:lang w:val="en-US"/>
        </w:rPr>
        <w:t>Governance in the Asia-</w:t>
      </w:r>
      <w:r w:rsidR="00CC2117" w:rsidRPr="00317682">
        <w:rPr>
          <w:color w:val="000000"/>
          <w:lang w:val="en-US"/>
        </w:rPr>
        <w:t>Pacific region</w:t>
      </w:r>
      <w:bookmarkEnd w:id="9"/>
      <w:bookmarkEnd w:id="10"/>
      <w:bookmarkEnd w:id="11"/>
    </w:p>
    <w:p w:rsidR="00CC2117" w:rsidRPr="00317682" w:rsidRDefault="00CC2117" w:rsidP="006E6B0D">
      <w:pPr>
        <w:pStyle w:val="BodyText"/>
        <w:spacing w:before="70" w:after="70"/>
        <w:rPr>
          <w:color w:val="000000"/>
        </w:rPr>
      </w:pPr>
      <w:r w:rsidRPr="00317682">
        <w:rPr>
          <w:color w:val="000000"/>
        </w:rPr>
        <w:t xml:space="preserve">Governance is characterised as </w:t>
      </w:r>
      <w:r w:rsidR="00DB56CC" w:rsidRPr="00317682">
        <w:rPr>
          <w:color w:val="000000"/>
        </w:rPr>
        <w:t>‘</w:t>
      </w:r>
      <w:r w:rsidRPr="00317682">
        <w:rPr>
          <w:color w:val="000000"/>
        </w:rPr>
        <w:t>the manner in which the state acquires and exercises its authority to provide public goods and services</w:t>
      </w:r>
      <w:r w:rsidR="00DB56CC" w:rsidRPr="00317682">
        <w:rPr>
          <w:color w:val="000000"/>
        </w:rPr>
        <w:t>’</w:t>
      </w:r>
      <w:r w:rsidRPr="00317682">
        <w:rPr>
          <w:color w:val="000000"/>
        </w:rPr>
        <w:t>.</w:t>
      </w:r>
      <w:r w:rsidRPr="00317682">
        <w:rPr>
          <w:rStyle w:val="FootnoteReference"/>
          <w:color w:val="000000"/>
          <w:sz w:val="12"/>
        </w:rPr>
        <w:footnoteReference w:id="2"/>
      </w:r>
      <w:r w:rsidRPr="00317682">
        <w:rPr>
          <w:color w:val="000000"/>
        </w:rPr>
        <w:t xml:space="preserve"> Governance matters because</w:t>
      </w:r>
      <w:r w:rsidR="00DB56CC" w:rsidRPr="00317682">
        <w:rPr>
          <w:color w:val="000000"/>
        </w:rPr>
        <w:t>,</w:t>
      </w:r>
      <w:r w:rsidRPr="00317682">
        <w:rPr>
          <w:color w:val="000000"/>
        </w:rPr>
        <w:t xml:space="preserve"> by its character</w:t>
      </w:r>
      <w:r w:rsidR="00DB56CC" w:rsidRPr="00317682">
        <w:rPr>
          <w:color w:val="000000"/>
        </w:rPr>
        <w:t>,</w:t>
      </w:r>
      <w:r w:rsidRPr="00317682">
        <w:rPr>
          <w:color w:val="000000"/>
        </w:rPr>
        <w:t xml:space="preserve"> it either enables or impedes the achievement of broader development goals such as </w:t>
      </w:r>
      <w:r w:rsidR="00DB56CC" w:rsidRPr="00317682">
        <w:rPr>
          <w:color w:val="000000"/>
        </w:rPr>
        <w:t xml:space="preserve">economic </w:t>
      </w:r>
      <w:r w:rsidRPr="00317682">
        <w:rPr>
          <w:color w:val="000000"/>
        </w:rPr>
        <w:t>growth, poverty reduction and improvements in health and education.</w:t>
      </w:r>
      <w:r w:rsidRPr="00317682">
        <w:rPr>
          <w:rStyle w:val="FootnoteReference"/>
          <w:color w:val="000000"/>
          <w:sz w:val="12"/>
        </w:rPr>
        <w:footnoteReference w:id="3"/>
      </w:r>
      <w:r w:rsidRPr="00317682">
        <w:rPr>
          <w:color w:val="000000"/>
        </w:rPr>
        <w:t xml:space="preserve"> Governance is</w:t>
      </w:r>
      <w:r w:rsidR="003F20A5" w:rsidRPr="00317682">
        <w:rPr>
          <w:color w:val="000000"/>
        </w:rPr>
        <w:t>,</w:t>
      </w:r>
      <w:r w:rsidRPr="00317682">
        <w:rPr>
          <w:color w:val="000000"/>
        </w:rPr>
        <w:t xml:space="preserve"> in effect</w:t>
      </w:r>
      <w:r w:rsidR="003F20A5" w:rsidRPr="00317682">
        <w:rPr>
          <w:color w:val="000000"/>
        </w:rPr>
        <w:t>,</w:t>
      </w:r>
      <w:r w:rsidRPr="00317682">
        <w:rPr>
          <w:color w:val="000000"/>
        </w:rPr>
        <w:t xml:space="preserve"> the medium through which development occurs.</w:t>
      </w:r>
    </w:p>
    <w:p w:rsidR="00CC2117" w:rsidRPr="00317682" w:rsidRDefault="00CC2117" w:rsidP="006E6B0D">
      <w:pPr>
        <w:pStyle w:val="BodyText"/>
        <w:spacing w:before="70" w:after="70"/>
        <w:rPr>
          <w:color w:val="000000"/>
        </w:rPr>
      </w:pPr>
      <w:r w:rsidRPr="00317682">
        <w:rPr>
          <w:color w:val="000000"/>
        </w:rPr>
        <w:t xml:space="preserve">A broad suite of tools has been developed over the </w:t>
      </w:r>
      <w:r w:rsidR="00DB56CC" w:rsidRPr="00317682">
        <w:rPr>
          <w:color w:val="000000"/>
        </w:rPr>
        <w:t>p</w:t>
      </w:r>
      <w:r w:rsidRPr="00317682">
        <w:rPr>
          <w:color w:val="000000"/>
        </w:rPr>
        <w:t xml:space="preserve">ast decade for measuring governance performance </w:t>
      </w:r>
      <w:r w:rsidR="00DB56CC" w:rsidRPr="00317682">
        <w:rPr>
          <w:color w:val="000000"/>
        </w:rPr>
        <w:t xml:space="preserve">of </w:t>
      </w:r>
      <w:r w:rsidRPr="00317682">
        <w:rPr>
          <w:color w:val="000000"/>
        </w:rPr>
        <w:t xml:space="preserve">countries over time. Best known are the World Bank’s </w:t>
      </w:r>
      <w:r w:rsidR="00725C2E" w:rsidRPr="00317682">
        <w:rPr>
          <w:color w:val="000000"/>
        </w:rPr>
        <w:t>world governance indicators,</w:t>
      </w:r>
      <w:r w:rsidRPr="00317682">
        <w:rPr>
          <w:color w:val="000000"/>
        </w:rPr>
        <w:t xml:space="preserve"> which cover 212 countries and territories and draw from 311 variables extracted from 33 separate data sources that are prepared by 30 different organisations.</w:t>
      </w:r>
      <w:r w:rsidRPr="00317682">
        <w:rPr>
          <w:rStyle w:val="FootnoteReference"/>
          <w:color w:val="000000"/>
          <w:sz w:val="12"/>
        </w:rPr>
        <w:footnoteReference w:id="4"/>
      </w:r>
      <w:r w:rsidR="00C16EB4" w:rsidRPr="00317682">
        <w:rPr>
          <w:color w:val="000000"/>
        </w:rPr>
        <w:t xml:space="preserve"> </w:t>
      </w:r>
      <w:r w:rsidRPr="00317682">
        <w:rPr>
          <w:color w:val="000000"/>
        </w:rPr>
        <w:t xml:space="preserve">The </w:t>
      </w:r>
      <w:r w:rsidR="00725C2E" w:rsidRPr="00317682">
        <w:rPr>
          <w:color w:val="000000"/>
        </w:rPr>
        <w:t xml:space="preserve">indicators </w:t>
      </w:r>
      <w:r w:rsidRPr="00317682">
        <w:rPr>
          <w:color w:val="000000"/>
        </w:rPr>
        <w:t>measure six dimensions of governance: ‘voice and accountability’</w:t>
      </w:r>
      <w:r w:rsidR="00725C2E" w:rsidRPr="00317682">
        <w:rPr>
          <w:color w:val="000000"/>
        </w:rPr>
        <w:t>,</w:t>
      </w:r>
      <w:r w:rsidRPr="00317682">
        <w:rPr>
          <w:color w:val="000000"/>
        </w:rPr>
        <w:t xml:space="preserve"> ‘political stability and absence of violence’</w:t>
      </w:r>
      <w:r w:rsidR="00725C2E" w:rsidRPr="00317682">
        <w:rPr>
          <w:color w:val="000000"/>
        </w:rPr>
        <w:t>,</w:t>
      </w:r>
      <w:r w:rsidRPr="00317682">
        <w:rPr>
          <w:color w:val="000000"/>
        </w:rPr>
        <w:t xml:space="preserve"> ‘government effectiveness’</w:t>
      </w:r>
      <w:r w:rsidR="00725C2E" w:rsidRPr="00317682">
        <w:rPr>
          <w:color w:val="000000"/>
        </w:rPr>
        <w:t>,</w:t>
      </w:r>
      <w:r w:rsidRPr="00317682">
        <w:rPr>
          <w:color w:val="000000"/>
        </w:rPr>
        <w:t xml:space="preserve"> ‘regulatory quality’</w:t>
      </w:r>
      <w:r w:rsidR="00725C2E" w:rsidRPr="00317682">
        <w:rPr>
          <w:color w:val="000000"/>
        </w:rPr>
        <w:t>,</w:t>
      </w:r>
      <w:r w:rsidRPr="00317682">
        <w:rPr>
          <w:color w:val="000000"/>
        </w:rPr>
        <w:t xml:space="preserve"> ‘rule of law’ and ‘control of corruption’. The results for the countries </w:t>
      </w:r>
      <w:r w:rsidR="00DB56CC" w:rsidRPr="00317682">
        <w:rPr>
          <w:color w:val="000000"/>
        </w:rPr>
        <w:t xml:space="preserve">to </w:t>
      </w:r>
      <w:r w:rsidRPr="00317682">
        <w:rPr>
          <w:color w:val="000000"/>
        </w:rPr>
        <w:t xml:space="preserve">which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 provides bilateral assistance are in Table</w:t>
      </w:r>
      <w:r w:rsidR="00725C2E" w:rsidRPr="00317682">
        <w:rPr>
          <w:color w:val="000000"/>
        </w:rPr>
        <w:t> </w:t>
      </w:r>
      <w:r w:rsidRPr="00317682">
        <w:rPr>
          <w:color w:val="000000"/>
        </w:rPr>
        <w:t>1.</w:t>
      </w:r>
      <w:r w:rsidRPr="00317682">
        <w:rPr>
          <w:rStyle w:val="FootnoteReference"/>
          <w:color w:val="000000"/>
          <w:sz w:val="12"/>
        </w:rPr>
        <w:footnoteReference w:id="5"/>
      </w:r>
    </w:p>
    <w:p w:rsidR="00CC2117" w:rsidRPr="00317682" w:rsidRDefault="00CC2117" w:rsidP="006E6B0D">
      <w:pPr>
        <w:pStyle w:val="BodyText"/>
        <w:spacing w:before="70" w:after="70"/>
        <w:rPr>
          <w:color w:val="000000"/>
        </w:rPr>
      </w:pPr>
      <w:r w:rsidRPr="00317682">
        <w:rPr>
          <w:color w:val="000000"/>
        </w:rPr>
        <w:t xml:space="preserve">The results provide some marked contrasts between countries. For example, the single party states of East Asia rank very low on voice and accountability, although </w:t>
      </w:r>
      <w:smartTag w:uri="urn:schemas-microsoft-com:office:smarttags" w:element="country-region">
        <w:r w:rsidRPr="00317682">
          <w:rPr>
            <w:color w:val="000000"/>
          </w:rPr>
          <w:t>Vietnam</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China</w:t>
          </w:r>
        </w:smartTag>
      </w:smartTag>
      <w:r w:rsidRPr="00317682">
        <w:rPr>
          <w:color w:val="000000"/>
        </w:rPr>
        <w:t xml:space="preserve"> track rather better on ‘government effectiveness’, ‘regulatory quality’ and ‘rule of law’. </w:t>
      </w:r>
      <w:smartTag w:uri="urn:schemas-microsoft-com:office:smarttags" w:element="country-region">
        <w:r w:rsidRPr="00317682">
          <w:rPr>
            <w:color w:val="000000"/>
          </w:rPr>
          <w:t>Solomon Islands</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Papua New Guinea</w:t>
          </w:r>
        </w:smartTag>
      </w:smartTag>
      <w:r w:rsidRPr="00317682">
        <w:rPr>
          <w:color w:val="000000"/>
        </w:rPr>
        <w:t xml:space="preserve"> show the reverse pattern, tracking around the midpoint on ‘voice and accountability’ but ranking poorly on the other three dimensions. With some exceptions, the Pacific states track well on ‘political stability and absence of violence’, but only Samoa </w:t>
      </w:r>
      <w:r w:rsidR="00C41CF5" w:rsidRPr="00317682">
        <w:rPr>
          <w:color w:val="000000"/>
        </w:rPr>
        <w:t xml:space="preserve">and </w:t>
      </w:r>
      <w:smartTag w:uri="urn:schemas-microsoft-com:office:smarttags" w:element="place">
        <w:smartTag w:uri="urn:schemas-microsoft-com:office:smarttags" w:element="country-region">
          <w:r w:rsidR="00C41CF5" w:rsidRPr="00317682">
            <w:rPr>
              <w:color w:val="000000"/>
            </w:rPr>
            <w:t>Fiji</w:t>
          </w:r>
        </w:smartTag>
      </w:smartTag>
      <w:r w:rsidR="00C41CF5" w:rsidRPr="00317682">
        <w:rPr>
          <w:color w:val="000000"/>
        </w:rPr>
        <w:t xml:space="preserve"> </w:t>
      </w:r>
      <w:r w:rsidRPr="00317682">
        <w:rPr>
          <w:color w:val="000000"/>
        </w:rPr>
        <w:t xml:space="preserve">rank above the midpoint on ‘government effectiveness’. </w:t>
      </w:r>
    </w:p>
    <w:p w:rsidR="00CC2117" w:rsidRPr="00317682" w:rsidRDefault="00CC2117" w:rsidP="006E6B0D">
      <w:pPr>
        <w:pStyle w:val="BodyText"/>
        <w:spacing w:before="70" w:after="70"/>
        <w:rPr>
          <w:color w:val="000000"/>
        </w:rPr>
      </w:pPr>
      <w:r w:rsidRPr="00317682">
        <w:rPr>
          <w:color w:val="000000"/>
        </w:rPr>
        <w:t>Some countries</w:t>
      </w:r>
      <w:r w:rsidR="006E6B0D" w:rsidRPr="00317682">
        <w:rPr>
          <w:color w:val="000000"/>
        </w:rPr>
        <w:t>—</w:t>
      </w:r>
      <w:r w:rsidRPr="00317682">
        <w:rPr>
          <w:color w:val="000000"/>
        </w:rPr>
        <w:t xml:space="preserve">including </w:t>
      </w:r>
      <w:smartTag w:uri="urn:schemas-microsoft-com:office:smarttags" w:element="country-region">
        <w:r w:rsidRPr="00317682">
          <w:rPr>
            <w:color w:val="000000"/>
          </w:rPr>
          <w:t>Burma</w:t>
        </w:r>
      </w:smartTag>
      <w:r w:rsidRPr="00317682">
        <w:rPr>
          <w:color w:val="000000"/>
        </w:rPr>
        <w:t xml:space="preserve">, </w:t>
      </w:r>
      <w:smartTag w:uri="urn:schemas-microsoft-com:office:smarttags" w:element="country-region">
        <w:r w:rsidRPr="00317682">
          <w:rPr>
            <w:color w:val="000000"/>
          </w:rPr>
          <w:t>Iraq</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Afghanistan</w:t>
          </w:r>
        </w:smartTag>
      </w:smartTag>
      <w:r w:rsidR="006E6B0D" w:rsidRPr="00317682">
        <w:rPr>
          <w:color w:val="000000"/>
        </w:rPr>
        <w:t>—</w:t>
      </w:r>
      <w:r w:rsidRPr="00317682">
        <w:rPr>
          <w:color w:val="000000"/>
        </w:rPr>
        <w:t xml:space="preserve">perform poorly over all dimensions of governance. </w:t>
      </w:r>
      <w:smartTag w:uri="urn:schemas-microsoft-com:office:smarttags" w:element="country-region">
        <w:r w:rsidRPr="00317682">
          <w:rPr>
            <w:color w:val="000000"/>
          </w:rPr>
          <w:t>Burma</w:t>
        </w:r>
      </w:smartTag>
      <w:r w:rsidRPr="00317682">
        <w:rPr>
          <w:color w:val="000000"/>
        </w:rPr>
        <w:t xml:space="preserve">’s performance is so poor that it ranks second last to </w:t>
      </w:r>
      <w:smartTag w:uri="urn:schemas-microsoft-com:office:smarttags" w:element="country-region">
        <w:r w:rsidRPr="00317682">
          <w:rPr>
            <w:color w:val="000000"/>
          </w:rPr>
          <w:t>Somalia</w:t>
        </w:r>
      </w:smartTag>
      <w:r w:rsidRPr="00317682">
        <w:rPr>
          <w:color w:val="000000"/>
        </w:rPr>
        <w:t xml:space="preserve"> in the </w:t>
      </w:r>
      <w:r w:rsidRPr="00317682">
        <w:rPr>
          <w:color w:val="000000"/>
        </w:rPr>
        <w:lastRenderedPageBreak/>
        <w:t>Bertelsmann Transformation Index</w:t>
      </w:r>
      <w:r w:rsidRPr="00317682">
        <w:rPr>
          <w:rStyle w:val="FootnoteReference"/>
          <w:color w:val="000000"/>
          <w:sz w:val="12"/>
        </w:rPr>
        <w:footnoteReference w:id="6"/>
      </w:r>
      <w:r w:rsidRPr="00317682">
        <w:rPr>
          <w:color w:val="000000"/>
        </w:rPr>
        <w:t xml:space="preserve"> of 125 countries; </w:t>
      </w:r>
      <w:smartTag w:uri="urn:schemas-microsoft-com:office:smarttags" w:element="country-region">
        <w:r w:rsidRPr="00317682">
          <w:rPr>
            <w:color w:val="000000"/>
          </w:rPr>
          <w:t>Afghanistan</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Iraq</w:t>
          </w:r>
        </w:smartTag>
      </w:smartTag>
      <w:r w:rsidRPr="00317682">
        <w:rPr>
          <w:color w:val="000000"/>
        </w:rPr>
        <w:t xml:space="preserve"> do not fare much better with rankings of 119 and 116 respectively. </w:t>
      </w:r>
    </w:p>
    <w:p w:rsidR="00CC2117" w:rsidRPr="00317682" w:rsidRDefault="00CC2117" w:rsidP="006E6B0D">
      <w:pPr>
        <w:pStyle w:val="Caption"/>
        <w:rPr>
          <w:rStyle w:val="NoteLabel"/>
          <w:color w:val="000000"/>
        </w:rPr>
      </w:pPr>
      <w:r w:rsidRPr="00317682">
        <w:rPr>
          <w:color w:val="000000"/>
        </w:rPr>
        <w:t xml:space="preserve">Table </w:t>
      </w:r>
      <w:r w:rsidRPr="00317682">
        <w:rPr>
          <w:color w:val="000000"/>
        </w:rPr>
        <w:fldChar w:fldCharType="begin"/>
      </w:r>
      <w:r w:rsidRPr="00317682">
        <w:rPr>
          <w:color w:val="000000"/>
        </w:rPr>
        <w:instrText xml:space="preserve"> SEQ Table \* MERGEFORMAT </w:instrText>
      </w:r>
      <w:r w:rsidRPr="00317682">
        <w:rPr>
          <w:color w:val="000000"/>
        </w:rPr>
        <w:fldChar w:fldCharType="separate"/>
      </w:r>
      <w:r w:rsidR="00FE316A" w:rsidRPr="00317682">
        <w:rPr>
          <w:noProof/>
          <w:color w:val="000000"/>
        </w:rPr>
        <w:t>1</w:t>
      </w:r>
      <w:r w:rsidRPr="00317682">
        <w:rPr>
          <w:color w:val="000000"/>
        </w:rPr>
        <w:fldChar w:fldCharType="end"/>
      </w:r>
      <w:r w:rsidRPr="00317682">
        <w:rPr>
          <w:color w:val="000000"/>
        </w:rPr>
        <w:t>: World governance indicators for 2006</w:t>
      </w:r>
      <w:r w:rsidR="000B2461" w:rsidRPr="00317682">
        <w:rPr>
          <w:rStyle w:val="NoteLabel"/>
          <w:color w:val="000000"/>
        </w:rPr>
        <w:t>a</w:t>
      </w:r>
    </w:p>
    <w:tbl>
      <w:tblPr>
        <w:tblStyle w:val="TableGrid"/>
        <w:tblW w:w="793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1"/>
        <w:tblDescription w:val="World governance indicators for 2006"/>
      </w:tblPr>
      <w:tblGrid>
        <w:gridCol w:w="1540"/>
        <w:gridCol w:w="1148"/>
        <w:gridCol w:w="1330"/>
        <w:gridCol w:w="1078"/>
        <w:gridCol w:w="974"/>
        <w:gridCol w:w="957"/>
        <w:gridCol w:w="910"/>
      </w:tblGrid>
      <w:tr w:rsidR="00990BBE" w:rsidRPr="00317682" w:rsidTr="00B35E8F">
        <w:trPr>
          <w:cantSplit/>
          <w:tblHeader/>
        </w:trPr>
        <w:tc>
          <w:tcPr>
            <w:tcW w:w="1540" w:type="dxa"/>
            <w:tcBorders>
              <w:bottom w:val="single" w:sz="12" w:space="0" w:color="auto"/>
            </w:tcBorders>
            <w:shd w:val="clear" w:color="auto" w:fill="DDCF56"/>
            <w:tcMar>
              <w:left w:w="57" w:type="dxa"/>
              <w:right w:w="57" w:type="dxa"/>
            </w:tcMar>
          </w:tcPr>
          <w:p w:rsidR="00CC2117" w:rsidRPr="00317682" w:rsidRDefault="00CC2117" w:rsidP="00990BBE">
            <w:pPr>
              <w:pStyle w:val="TableDataColumnHeading"/>
              <w:jc w:val="left"/>
              <w:rPr>
                <w:color w:val="000000"/>
              </w:rPr>
            </w:pPr>
            <w:r w:rsidRPr="00317682">
              <w:rPr>
                <w:color w:val="000000"/>
              </w:rPr>
              <w:t xml:space="preserve">Region and </w:t>
            </w:r>
            <w:r w:rsidR="00C41CF5" w:rsidRPr="00317682">
              <w:rPr>
                <w:color w:val="000000"/>
              </w:rPr>
              <w:br/>
            </w:r>
            <w:r w:rsidRPr="00317682">
              <w:rPr>
                <w:color w:val="000000"/>
              </w:rPr>
              <w:t>country</w:t>
            </w:r>
          </w:p>
        </w:tc>
        <w:tc>
          <w:tcPr>
            <w:tcW w:w="1148" w:type="dxa"/>
            <w:tcBorders>
              <w:bottom w:val="single" w:sz="12" w:space="0" w:color="auto"/>
            </w:tcBorders>
            <w:shd w:val="clear" w:color="auto" w:fill="DDCF56"/>
            <w:tcMar>
              <w:left w:w="57" w:type="dxa"/>
              <w:right w:w="57" w:type="dxa"/>
            </w:tcMar>
          </w:tcPr>
          <w:p w:rsidR="00CC2117" w:rsidRPr="00317682" w:rsidRDefault="00CC2117" w:rsidP="00744A18">
            <w:pPr>
              <w:pStyle w:val="TableDataColumnHeading"/>
              <w:jc w:val="center"/>
              <w:rPr>
                <w:color w:val="000000"/>
              </w:rPr>
            </w:pPr>
            <w:r w:rsidRPr="00317682">
              <w:rPr>
                <w:color w:val="000000"/>
              </w:rPr>
              <w:t>Voice and accountability</w:t>
            </w:r>
          </w:p>
        </w:tc>
        <w:tc>
          <w:tcPr>
            <w:tcW w:w="1330" w:type="dxa"/>
            <w:tcBorders>
              <w:bottom w:val="single" w:sz="12" w:space="0" w:color="auto"/>
            </w:tcBorders>
            <w:shd w:val="clear" w:color="auto" w:fill="DDCF56"/>
            <w:tcMar>
              <w:left w:w="57" w:type="dxa"/>
              <w:right w:w="57" w:type="dxa"/>
            </w:tcMar>
          </w:tcPr>
          <w:p w:rsidR="00CC2117" w:rsidRPr="00317682" w:rsidRDefault="00CC2117" w:rsidP="00744A18">
            <w:pPr>
              <w:pStyle w:val="TableDataColumnHeading"/>
              <w:jc w:val="center"/>
              <w:rPr>
                <w:color w:val="000000"/>
              </w:rPr>
            </w:pPr>
            <w:r w:rsidRPr="00317682">
              <w:rPr>
                <w:color w:val="000000"/>
              </w:rPr>
              <w:t>Political stability and absence of violence</w:t>
            </w:r>
          </w:p>
        </w:tc>
        <w:tc>
          <w:tcPr>
            <w:tcW w:w="1078" w:type="dxa"/>
            <w:tcBorders>
              <w:bottom w:val="single" w:sz="12" w:space="0" w:color="auto"/>
            </w:tcBorders>
            <w:shd w:val="clear" w:color="auto" w:fill="DDCF56"/>
            <w:tcMar>
              <w:left w:w="57" w:type="dxa"/>
              <w:right w:w="57" w:type="dxa"/>
            </w:tcMar>
          </w:tcPr>
          <w:p w:rsidR="00CC2117" w:rsidRPr="00317682" w:rsidRDefault="00CC2117" w:rsidP="00744A18">
            <w:pPr>
              <w:pStyle w:val="TableDataColumnHeading"/>
              <w:jc w:val="center"/>
              <w:rPr>
                <w:color w:val="000000"/>
              </w:rPr>
            </w:pPr>
            <w:r w:rsidRPr="00317682">
              <w:rPr>
                <w:color w:val="000000"/>
              </w:rPr>
              <w:t>Government effectiveness</w:t>
            </w:r>
          </w:p>
        </w:tc>
        <w:tc>
          <w:tcPr>
            <w:tcW w:w="974" w:type="dxa"/>
            <w:tcBorders>
              <w:bottom w:val="single" w:sz="12" w:space="0" w:color="auto"/>
            </w:tcBorders>
            <w:shd w:val="clear" w:color="auto" w:fill="DDCF56"/>
            <w:tcMar>
              <w:left w:w="57" w:type="dxa"/>
              <w:right w:w="57" w:type="dxa"/>
            </w:tcMar>
          </w:tcPr>
          <w:p w:rsidR="00CC2117" w:rsidRPr="00317682" w:rsidRDefault="00CC2117" w:rsidP="00744A18">
            <w:pPr>
              <w:pStyle w:val="TableDataColumnHeading"/>
              <w:jc w:val="center"/>
              <w:rPr>
                <w:color w:val="000000"/>
              </w:rPr>
            </w:pPr>
            <w:r w:rsidRPr="00317682">
              <w:rPr>
                <w:color w:val="000000"/>
              </w:rPr>
              <w:t>Regulatory quality</w:t>
            </w:r>
          </w:p>
        </w:tc>
        <w:tc>
          <w:tcPr>
            <w:tcW w:w="957" w:type="dxa"/>
            <w:tcBorders>
              <w:bottom w:val="single" w:sz="12" w:space="0" w:color="auto"/>
            </w:tcBorders>
            <w:shd w:val="clear" w:color="auto" w:fill="DDCF56"/>
            <w:tcMar>
              <w:left w:w="57" w:type="dxa"/>
              <w:right w:w="57" w:type="dxa"/>
            </w:tcMar>
          </w:tcPr>
          <w:p w:rsidR="00CC2117" w:rsidRPr="00317682" w:rsidRDefault="00CC2117" w:rsidP="00744A18">
            <w:pPr>
              <w:pStyle w:val="TableDataColumnHeading"/>
              <w:jc w:val="center"/>
              <w:rPr>
                <w:color w:val="000000"/>
              </w:rPr>
            </w:pPr>
            <w:r w:rsidRPr="00317682">
              <w:rPr>
                <w:color w:val="000000"/>
              </w:rPr>
              <w:t xml:space="preserve">Rule </w:t>
            </w:r>
            <w:r w:rsidR="00C41CF5" w:rsidRPr="00317682">
              <w:rPr>
                <w:color w:val="000000"/>
              </w:rPr>
              <w:br/>
            </w:r>
            <w:r w:rsidRPr="00317682">
              <w:rPr>
                <w:color w:val="000000"/>
              </w:rPr>
              <w:t>of</w:t>
            </w:r>
            <w:r w:rsidR="00C41CF5" w:rsidRPr="00317682">
              <w:rPr>
                <w:color w:val="000000"/>
              </w:rPr>
              <w:t> </w:t>
            </w:r>
            <w:r w:rsidRPr="00317682">
              <w:rPr>
                <w:color w:val="000000"/>
              </w:rPr>
              <w:t>law</w:t>
            </w:r>
          </w:p>
        </w:tc>
        <w:tc>
          <w:tcPr>
            <w:tcW w:w="910" w:type="dxa"/>
            <w:tcBorders>
              <w:bottom w:val="single" w:sz="12" w:space="0" w:color="auto"/>
            </w:tcBorders>
            <w:shd w:val="clear" w:color="auto" w:fill="DDCF56"/>
            <w:tcMar>
              <w:left w:w="57" w:type="dxa"/>
              <w:right w:w="57" w:type="dxa"/>
            </w:tcMar>
          </w:tcPr>
          <w:p w:rsidR="00CC2117" w:rsidRPr="00317682" w:rsidRDefault="00CC2117" w:rsidP="00744A18">
            <w:pPr>
              <w:pStyle w:val="TableDataColumnHeading"/>
              <w:jc w:val="center"/>
              <w:rPr>
                <w:color w:val="000000"/>
              </w:rPr>
            </w:pPr>
            <w:r w:rsidRPr="00317682">
              <w:rPr>
                <w:color w:val="000000"/>
              </w:rPr>
              <w:t>Control of corruption</w:t>
            </w:r>
          </w:p>
        </w:tc>
      </w:tr>
      <w:tr w:rsidR="00990BBE" w:rsidRPr="00317682" w:rsidTr="00B35E8F">
        <w:trPr>
          <w:cantSplit/>
        </w:trPr>
        <w:tc>
          <w:tcPr>
            <w:tcW w:w="1540"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smartTag w:uri="urn:schemas-microsoft-com:office:smarttags" w:element="place">
              <w:r w:rsidRPr="00317682">
                <w:rPr>
                  <w:color w:val="000000"/>
                </w:rPr>
                <w:t>East Asia</w:t>
              </w:r>
            </w:smartTag>
          </w:p>
        </w:tc>
        <w:tc>
          <w:tcPr>
            <w:tcW w:w="1148"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p>
        </w:tc>
        <w:tc>
          <w:tcPr>
            <w:tcW w:w="1330"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p>
        </w:tc>
        <w:tc>
          <w:tcPr>
            <w:tcW w:w="1078"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p>
        </w:tc>
        <w:tc>
          <w:tcPr>
            <w:tcW w:w="974"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p>
        </w:tc>
        <w:tc>
          <w:tcPr>
            <w:tcW w:w="957"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p>
        </w:tc>
        <w:tc>
          <w:tcPr>
            <w:tcW w:w="910" w:type="dxa"/>
            <w:tcBorders>
              <w:top w:val="single" w:sz="12" w:space="0" w:color="auto"/>
            </w:tcBorders>
            <w:shd w:val="clear" w:color="auto" w:fill="F5F1CC"/>
            <w:tcMar>
              <w:left w:w="57" w:type="dxa"/>
              <w:right w:w="57" w:type="dxa"/>
            </w:tcMar>
          </w:tcPr>
          <w:p w:rsidR="00CC2117" w:rsidRPr="00317682" w:rsidRDefault="00CC2117" w:rsidP="00725C2E">
            <w:pPr>
              <w:pStyle w:val="TableHeading1"/>
              <w:rPr>
                <w:color w:val="000000"/>
              </w:rPr>
            </w:pP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Burma</w:t>
                </w:r>
              </w:smartTag>
            </w:smartTag>
          </w:p>
        </w:tc>
        <w:tc>
          <w:tcPr>
            <w:tcW w:w="1148" w:type="dxa"/>
            <w:shd w:val="clear" w:color="auto" w:fill="AD495D"/>
            <w:tcMar>
              <w:left w:w="57" w:type="dxa"/>
              <w:right w:w="57" w:type="dxa"/>
            </w:tcMar>
          </w:tcPr>
          <w:p w:rsidR="00CC2117" w:rsidRPr="00317682" w:rsidRDefault="00CC2117" w:rsidP="00744A18">
            <w:pPr>
              <w:pStyle w:val="TableDataEntries"/>
              <w:ind w:right="340"/>
              <w:rPr>
                <w:color w:val="000000"/>
              </w:rPr>
            </w:pPr>
            <w:r w:rsidRPr="00317682">
              <w:rPr>
                <w:color w:val="000000"/>
              </w:rPr>
              <w:t>0</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24</w:t>
            </w:r>
          </w:p>
        </w:tc>
        <w:tc>
          <w:tcPr>
            <w:tcW w:w="1078" w:type="dxa"/>
            <w:shd w:val="clear" w:color="auto" w:fill="AD495D"/>
            <w:tcMar>
              <w:left w:w="57" w:type="dxa"/>
              <w:right w:w="57" w:type="dxa"/>
            </w:tcMar>
          </w:tcPr>
          <w:p w:rsidR="00CC2117" w:rsidRPr="00317682" w:rsidRDefault="00CC2117" w:rsidP="00744A18">
            <w:pPr>
              <w:pStyle w:val="TableDataEntries"/>
              <w:ind w:right="284"/>
              <w:rPr>
                <w:color w:val="000000"/>
              </w:rPr>
            </w:pPr>
            <w:r w:rsidRPr="00317682">
              <w:rPr>
                <w:color w:val="000000"/>
              </w:rPr>
              <w:t>2.8</w:t>
            </w:r>
          </w:p>
        </w:tc>
        <w:tc>
          <w:tcPr>
            <w:tcW w:w="974"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1</w:t>
            </w:r>
          </w:p>
        </w:tc>
        <w:tc>
          <w:tcPr>
            <w:tcW w:w="957"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3.8</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1</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Cambodia</w:t>
                </w:r>
              </w:smartTag>
            </w:smartTag>
          </w:p>
        </w:tc>
        <w:tc>
          <w:tcPr>
            <w:tcW w:w="1148" w:type="dxa"/>
            <w:shd w:val="clear" w:color="auto" w:fill="F26631"/>
            <w:tcMar>
              <w:left w:w="57" w:type="dxa"/>
              <w:right w:w="57" w:type="dxa"/>
            </w:tcMar>
          </w:tcPr>
          <w:p w:rsidR="00CC2117" w:rsidRPr="00317682" w:rsidRDefault="00CC2117" w:rsidP="00744A18">
            <w:pPr>
              <w:pStyle w:val="TableDataEntries"/>
              <w:ind w:right="340"/>
              <w:rPr>
                <w:color w:val="000000"/>
              </w:rPr>
            </w:pPr>
            <w:r w:rsidRPr="00317682">
              <w:rPr>
                <w:color w:val="000000"/>
              </w:rPr>
              <w:t>21.6</w:t>
            </w:r>
          </w:p>
        </w:tc>
        <w:tc>
          <w:tcPr>
            <w:tcW w:w="1330" w:type="dxa"/>
            <w:shd w:val="clear" w:color="auto" w:fill="DDCF56"/>
            <w:tcMar>
              <w:left w:w="57" w:type="dxa"/>
              <w:right w:w="57" w:type="dxa"/>
            </w:tcMar>
          </w:tcPr>
          <w:p w:rsidR="00CC2117" w:rsidRPr="00317682" w:rsidRDefault="00CC2117" w:rsidP="00744A18">
            <w:pPr>
              <w:pStyle w:val="TableDataEntries"/>
              <w:ind w:right="425"/>
              <w:rPr>
                <w:color w:val="000000"/>
              </w:rPr>
            </w:pPr>
            <w:r w:rsidRPr="00317682">
              <w:rPr>
                <w:color w:val="000000"/>
              </w:rPr>
              <w:t>29.3</w:t>
            </w:r>
          </w:p>
        </w:tc>
        <w:tc>
          <w:tcPr>
            <w:tcW w:w="1078" w:type="dxa"/>
            <w:shd w:val="clear" w:color="auto" w:fill="F26631"/>
            <w:tcMar>
              <w:left w:w="57" w:type="dxa"/>
              <w:right w:w="57" w:type="dxa"/>
            </w:tcMar>
          </w:tcPr>
          <w:p w:rsidR="00CC2117" w:rsidRPr="00317682" w:rsidRDefault="00CC2117" w:rsidP="00744A18">
            <w:pPr>
              <w:pStyle w:val="TableDataEntries"/>
              <w:ind w:right="284"/>
              <w:rPr>
                <w:color w:val="000000"/>
              </w:rPr>
            </w:pPr>
            <w:r w:rsidRPr="00317682">
              <w:rPr>
                <w:color w:val="000000"/>
              </w:rPr>
              <w:t>15.2</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26.8</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12.4</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7.3</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China</w:t>
                </w:r>
              </w:smartTag>
            </w:smartTag>
          </w:p>
        </w:tc>
        <w:tc>
          <w:tcPr>
            <w:tcW w:w="1148" w:type="dxa"/>
            <w:shd w:val="clear" w:color="auto" w:fill="AD495D"/>
            <w:tcMar>
              <w:left w:w="57" w:type="dxa"/>
              <w:right w:w="57" w:type="dxa"/>
            </w:tcMar>
          </w:tcPr>
          <w:p w:rsidR="00CC2117" w:rsidRPr="00317682" w:rsidRDefault="00CC2117" w:rsidP="00744A18">
            <w:pPr>
              <w:pStyle w:val="TableDataEntries"/>
              <w:ind w:right="340"/>
              <w:rPr>
                <w:color w:val="000000"/>
              </w:rPr>
            </w:pPr>
            <w:r w:rsidRPr="00317682">
              <w:rPr>
                <w:color w:val="000000"/>
              </w:rPr>
              <w:t>4.8</w:t>
            </w:r>
          </w:p>
        </w:tc>
        <w:tc>
          <w:tcPr>
            <w:tcW w:w="1330" w:type="dxa"/>
            <w:shd w:val="clear" w:color="auto" w:fill="DDCF56"/>
            <w:tcMar>
              <w:left w:w="57" w:type="dxa"/>
              <w:right w:w="57" w:type="dxa"/>
            </w:tcMar>
          </w:tcPr>
          <w:p w:rsidR="00CC2117" w:rsidRPr="00317682" w:rsidRDefault="00CC2117" w:rsidP="00744A18">
            <w:pPr>
              <w:pStyle w:val="TableDataEntries"/>
              <w:ind w:right="425"/>
              <w:rPr>
                <w:color w:val="000000"/>
              </w:rPr>
            </w:pPr>
            <w:r w:rsidRPr="00317682">
              <w:rPr>
                <w:color w:val="000000"/>
              </w:rPr>
              <w:t>33.2</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55.5</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46.3</w:t>
            </w:r>
          </w:p>
        </w:tc>
        <w:tc>
          <w:tcPr>
            <w:tcW w:w="957"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45.2</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37.9</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r w:rsidRPr="00317682">
                <w:rPr>
                  <w:color w:val="000000"/>
                </w:rPr>
                <w:t>East Timor</w:t>
              </w:r>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38.5</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16.8</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26.5</w:t>
            </w:r>
          </w:p>
        </w:tc>
        <w:tc>
          <w:tcPr>
            <w:tcW w:w="974"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6.8</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11.4</w:t>
            </w:r>
          </w:p>
        </w:tc>
        <w:tc>
          <w:tcPr>
            <w:tcW w:w="910" w:type="dxa"/>
            <w:shd w:val="clear" w:color="auto" w:fill="F26631"/>
            <w:tcMar>
              <w:left w:w="57" w:type="dxa"/>
              <w:right w:w="57" w:type="dxa"/>
            </w:tcMar>
          </w:tcPr>
          <w:p w:rsidR="00CC2117" w:rsidRPr="00317682" w:rsidRDefault="00CC2117" w:rsidP="00744A18">
            <w:pPr>
              <w:pStyle w:val="TableDataEntries"/>
              <w:ind w:right="227"/>
              <w:rPr>
                <w:color w:val="000000"/>
              </w:rPr>
            </w:pPr>
            <w:r w:rsidRPr="00317682">
              <w:rPr>
                <w:color w:val="000000"/>
              </w:rPr>
              <w:t>19.9</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Indonesia</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41.3</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14.9</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40.8</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43.4</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23.3</w:t>
            </w:r>
          </w:p>
        </w:tc>
        <w:tc>
          <w:tcPr>
            <w:tcW w:w="910" w:type="dxa"/>
            <w:shd w:val="clear" w:color="auto" w:fill="F26631"/>
            <w:tcMar>
              <w:left w:w="57" w:type="dxa"/>
              <w:right w:w="57" w:type="dxa"/>
            </w:tcMar>
          </w:tcPr>
          <w:p w:rsidR="00CC2117" w:rsidRPr="00317682" w:rsidRDefault="00CC2117" w:rsidP="00744A18">
            <w:pPr>
              <w:pStyle w:val="TableDataEntries"/>
              <w:ind w:right="227"/>
              <w:rPr>
                <w:color w:val="000000"/>
              </w:rPr>
            </w:pPr>
            <w:r w:rsidRPr="00317682">
              <w:rPr>
                <w:color w:val="000000"/>
              </w:rPr>
              <w:t>23.3</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Laos</w:t>
                </w:r>
              </w:smartTag>
            </w:smartTag>
          </w:p>
        </w:tc>
        <w:tc>
          <w:tcPr>
            <w:tcW w:w="1148" w:type="dxa"/>
            <w:shd w:val="clear" w:color="auto" w:fill="AD495D"/>
            <w:tcMar>
              <w:left w:w="57" w:type="dxa"/>
              <w:right w:w="57" w:type="dxa"/>
            </w:tcMar>
          </w:tcPr>
          <w:p w:rsidR="00CC2117" w:rsidRPr="00317682" w:rsidRDefault="00CC2117" w:rsidP="00744A18">
            <w:pPr>
              <w:pStyle w:val="TableDataEntries"/>
              <w:ind w:right="340"/>
              <w:rPr>
                <w:color w:val="000000"/>
              </w:rPr>
            </w:pPr>
            <w:r w:rsidRPr="00317682">
              <w:rPr>
                <w:color w:val="000000"/>
              </w:rPr>
              <w:t>6.3</w:t>
            </w:r>
          </w:p>
        </w:tc>
        <w:tc>
          <w:tcPr>
            <w:tcW w:w="1330" w:type="dxa"/>
            <w:shd w:val="clear" w:color="auto" w:fill="DDCF56"/>
            <w:tcMar>
              <w:left w:w="57" w:type="dxa"/>
              <w:right w:w="57" w:type="dxa"/>
            </w:tcMar>
          </w:tcPr>
          <w:p w:rsidR="00CC2117" w:rsidRPr="00317682" w:rsidRDefault="00CC2117" w:rsidP="00744A18">
            <w:pPr>
              <w:pStyle w:val="TableDataEntries"/>
              <w:ind w:right="425"/>
              <w:rPr>
                <w:color w:val="000000"/>
              </w:rPr>
            </w:pPr>
            <w:r w:rsidRPr="00317682">
              <w:rPr>
                <w:color w:val="000000"/>
              </w:rPr>
              <w:t>42.8</w:t>
            </w:r>
          </w:p>
        </w:tc>
        <w:tc>
          <w:tcPr>
            <w:tcW w:w="1078" w:type="dxa"/>
            <w:shd w:val="clear" w:color="auto" w:fill="F26631"/>
            <w:tcMar>
              <w:left w:w="57" w:type="dxa"/>
              <w:right w:w="57" w:type="dxa"/>
            </w:tcMar>
          </w:tcPr>
          <w:p w:rsidR="00CC2117" w:rsidRPr="00317682" w:rsidRDefault="00CC2117" w:rsidP="00744A18">
            <w:pPr>
              <w:pStyle w:val="TableDataEntries"/>
              <w:ind w:right="284"/>
              <w:rPr>
                <w:color w:val="000000"/>
              </w:rPr>
            </w:pPr>
            <w:r w:rsidRPr="00317682">
              <w:rPr>
                <w:color w:val="000000"/>
              </w:rPr>
              <w:t>18.5</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14.1</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17.1</w:t>
            </w:r>
          </w:p>
        </w:tc>
        <w:tc>
          <w:tcPr>
            <w:tcW w:w="910" w:type="dxa"/>
            <w:shd w:val="clear" w:color="auto" w:fill="F26631"/>
            <w:tcMar>
              <w:left w:w="57" w:type="dxa"/>
              <w:right w:w="57" w:type="dxa"/>
            </w:tcMar>
          </w:tcPr>
          <w:p w:rsidR="00CC2117" w:rsidRPr="00317682" w:rsidRDefault="00CC2117" w:rsidP="00744A18">
            <w:pPr>
              <w:pStyle w:val="TableDataEntries"/>
              <w:ind w:right="227"/>
              <w:rPr>
                <w:color w:val="000000"/>
              </w:rPr>
            </w:pPr>
            <w:r w:rsidRPr="00317682">
              <w:rPr>
                <w:color w:val="000000"/>
              </w:rPr>
              <w:t>13.1</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Mongolia</w:t>
                </w:r>
              </w:smartTag>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53.4</w:t>
            </w:r>
          </w:p>
        </w:tc>
        <w:tc>
          <w:tcPr>
            <w:tcW w:w="1330" w:type="dxa"/>
            <w:shd w:val="clear" w:color="auto" w:fill="AB9C8F"/>
            <w:tcMar>
              <w:left w:w="57" w:type="dxa"/>
              <w:right w:w="57" w:type="dxa"/>
            </w:tcMar>
          </w:tcPr>
          <w:p w:rsidR="00CC2117" w:rsidRPr="00317682" w:rsidRDefault="00CC2117" w:rsidP="00744A18">
            <w:pPr>
              <w:pStyle w:val="TableDataEntries"/>
              <w:ind w:right="425"/>
              <w:rPr>
                <w:color w:val="000000"/>
              </w:rPr>
            </w:pPr>
            <w:r w:rsidRPr="00317682">
              <w:rPr>
                <w:color w:val="000000"/>
              </w:rPr>
              <w:t>71.6</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36.5</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42</w:t>
            </w:r>
          </w:p>
        </w:tc>
        <w:tc>
          <w:tcPr>
            <w:tcW w:w="957"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46.7</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37.4</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Philippines</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44.2</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11.1</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55</w:t>
            </w:r>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52.2</w:t>
            </w:r>
          </w:p>
        </w:tc>
        <w:tc>
          <w:tcPr>
            <w:tcW w:w="957"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41.9</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27.2</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Thailand</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32.2</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16.3</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64.9</w:t>
            </w:r>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62.4</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55.2</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50.5</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Vietnam</w:t>
                </w:r>
              </w:smartTag>
            </w:smartTag>
          </w:p>
        </w:tc>
        <w:tc>
          <w:tcPr>
            <w:tcW w:w="1148" w:type="dxa"/>
            <w:shd w:val="clear" w:color="auto" w:fill="AD495D"/>
            <w:tcMar>
              <w:left w:w="57" w:type="dxa"/>
              <w:right w:w="57" w:type="dxa"/>
            </w:tcMar>
          </w:tcPr>
          <w:p w:rsidR="00CC2117" w:rsidRPr="00317682" w:rsidRDefault="00CC2117" w:rsidP="00744A18">
            <w:pPr>
              <w:pStyle w:val="TableDataEntries"/>
              <w:ind w:right="340"/>
              <w:rPr>
                <w:color w:val="000000"/>
              </w:rPr>
            </w:pPr>
            <w:r w:rsidRPr="00317682">
              <w:rPr>
                <w:color w:val="000000"/>
              </w:rPr>
              <w:t>8.2</w:t>
            </w:r>
          </w:p>
        </w:tc>
        <w:tc>
          <w:tcPr>
            <w:tcW w:w="1330" w:type="dxa"/>
            <w:shd w:val="clear" w:color="auto" w:fill="AB9C8F"/>
            <w:tcMar>
              <w:left w:w="57" w:type="dxa"/>
              <w:right w:w="57" w:type="dxa"/>
            </w:tcMar>
          </w:tcPr>
          <w:p w:rsidR="00CC2117" w:rsidRPr="00317682" w:rsidRDefault="00CC2117" w:rsidP="00744A18">
            <w:pPr>
              <w:pStyle w:val="TableDataEntries"/>
              <w:ind w:right="425"/>
              <w:rPr>
                <w:color w:val="000000"/>
              </w:rPr>
            </w:pPr>
            <w:r w:rsidRPr="00317682">
              <w:rPr>
                <w:color w:val="000000"/>
              </w:rPr>
              <w:t>59.6</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41.7</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31.2</w:t>
            </w:r>
          </w:p>
        </w:tc>
        <w:tc>
          <w:tcPr>
            <w:tcW w:w="957"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44.8</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29.1</w:t>
            </w:r>
          </w:p>
        </w:tc>
      </w:tr>
      <w:tr w:rsidR="00DF4F88" w:rsidRPr="00317682" w:rsidTr="00B35E8F">
        <w:trPr>
          <w:cantSplit/>
        </w:trPr>
        <w:tc>
          <w:tcPr>
            <w:tcW w:w="1540" w:type="dxa"/>
            <w:shd w:val="clear" w:color="auto" w:fill="F5F1CC"/>
            <w:tcMar>
              <w:left w:w="57" w:type="dxa"/>
              <w:right w:w="57" w:type="dxa"/>
            </w:tcMar>
          </w:tcPr>
          <w:p w:rsidR="00CC2117" w:rsidRPr="00317682" w:rsidRDefault="00CC2117" w:rsidP="00725C2E">
            <w:pPr>
              <w:pStyle w:val="TableHeading1"/>
              <w:rPr>
                <w:color w:val="000000"/>
              </w:rPr>
            </w:pPr>
            <w:smartTag w:uri="urn:schemas-microsoft-com:office:smarttags" w:element="place">
              <w:r w:rsidRPr="00317682">
                <w:rPr>
                  <w:color w:val="000000"/>
                </w:rPr>
                <w:t>South Asia</w:t>
              </w:r>
            </w:smartTag>
          </w:p>
        </w:tc>
        <w:tc>
          <w:tcPr>
            <w:tcW w:w="1148" w:type="dxa"/>
            <w:shd w:val="clear" w:color="auto" w:fill="F5F1CC"/>
            <w:tcMar>
              <w:left w:w="57" w:type="dxa"/>
              <w:right w:w="57" w:type="dxa"/>
            </w:tcMar>
          </w:tcPr>
          <w:p w:rsidR="00CC2117" w:rsidRPr="00317682" w:rsidRDefault="00CC2117" w:rsidP="00744A18">
            <w:pPr>
              <w:pStyle w:val="TableHeading1"/>
              <w:ind w:right="340"/>
              <w:rPr>
                <w:color w:val="000000"/>
              </w:rPr>
            </w:pPr>
          </w:p>
        </w:tc>
        <w:tc>
          <w:tcPr>
            <w:tcW w:w="1330" w:type="dxa"/>
            <w:shd w:val="clear" w:color="auto" w:fill="F5F1CC"/>
            <w:tcMar>
              <w:left w:w="57" w:type="dxa"/>
              <w:right w:w="57" w:type="dxa"/>
            </w:tcMar>
          </w:tcPr>
          <w:p w:rsidR="00CC2117" w:rsidRPr="00317682" w:rsidRDefault="00CC2117" w:rsidP="00744A18">
            <w:pPr>
              <w:pStyle w:val="TableHeading1"/>
              <w:ind w:right="425"/>
              <w:rPr>
                <w:color w:val="000000"/>
              </w:rPr>
            </w:pPr>
          </w:p>
        </w:tc>
        <w:tc>
          <w:tcPr>
            <w:tcW w:w="1078" w:type="dxa"/>
            <w:shd w:val="clear" w:color="auto" w:fill="F5F1CC"/>
            <w:tcMar>
              <w:left w:w="57" w:type="dxa"/>
              <w:right w:w="57" w:type="dxa"/>
            </w:tcMar>
          </w:tcPr>
          <w:p w:rsidR="00CC2117" w:rsidRPr="00317682" w:rsidRDefault="00CC2117" w:rsidP="00744A18">
            <w:pPr>
              <w:pStyle w:val="TableHeading1"/>
              <w:ind w:right="284"/>
              <w:rPr>
                <w:color w:val="000000"/>
              </w:rPr>
            </w:pPr>
          </w:p>
        </w:tc>
        <w:tc>
          <w:tcPr>
            <w:tcW w:w="974" w:type="dxa"/>
            <w:shd w:val="clear" w:color="auto" w:fill="F5F1CC"/>
            <w:tcMar>
              <w:left w:w="57" w:type="dxa"/>
              <w:right w:w="57" w:type="dxa"/>
            </w:tcMar>
          </w:tcPr>
          <w:p w:rsidR="00CC2117" w:rsidRPr="00317682" w:rsidRDefault="00CC2117" w:rsidP="00744A18">
            <w:pPr>
              <w:pStyle w:val="TableHeading1"/>
              <w:ind w:right="255"/>
              <w:rPr>
                <w:color w:val="000000"/>
              </w:rPr>
            </w:pPr>
          </w:p>
        </w:tc>
        <w:tc>
          <w:tcPr>
            <w:tcW w:w="957" w:type="dxa"/>
            <w:shd w:val="clear" w:color="auto" w:fill="F5F1CC"/>
            <w:tcMar>
              <w:left w:w="57" w:type="dxa"/>
              <w:right w:w="57" w:type="dxa"/>
            </w:tcMar>
          </w:tcPr>
          <w:p w:rsidR="00CC2117" w:rsidRPr="00317682" w:rsidRDefault="00CC2117" w:rsidP="00744A18">
            <w:pPr>
              <w:pStyle w:val="TableHeading1"/>
              <w:ind w:right="255"/>
              <w:rPr>
                <w:color w:val="000000"/>
              </w:rPr>
            </w:pPr>
          </w:p>
        </w:tc>
        <w:tc>
          <w:tcPr>
            <w:tcW w:w="910" w:type="dxa"/>
            <w:shd w:val="clear" w:color="auto" w:fill="F5F1CC"/>
            <w:tcMar>
              <w:left w:w="57" w:type="dxa"/>
              <w:right w:w="57" w:type="dxa"/>
            </w:tcMar>
          </w:tcPr>
          <w:p w:rsidR="00CC2117" w:rsidRPr="00317682" w:rsidRDefault="00CC2117" w:rsidP="00744A18">
            <w:pPr>
              <w:pStyle w:val="TableHeading1"/>
              <w:ind w:right="227"/>
              <w:rPr>
                <w:color w:val="000000"/>
              </w:rPr>
            </w:pP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Bangladesh</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30.8</w:t>
            </w:r>
          </w:p>
        </w:tc>
        <w:tc>
          <w:tcPr>
            <w:tcW w:w="1330" w:type="dxa"/>
            <w:shd w:val="clear" w:color="auto" w:fill="AD495D"/>
            <w:tcMar>
              <w:left w:w="57" w:type="dxa"/>
              <w:right w:w="57" w:type="dxa"/>
            </w:tcMar>
          </w:tcPr>
          <w:p w:rsidR="00CC2117" w:rsidRPr="00317682" w:rsidRDefault="00CC2117" w:rsidP="00744A18">
            <w:pPr>
              <w:pStyle w:val="TableDataEntries"/>
              <w:ind w:right="425"/>
              <w:rPr>
                <w:color w:val="000000"/>
              </w:rPr>
            </w:pPr>
            <w:r w:rsidRPr="00317682">
              <w:rPr>
                <w:color w:val="000000"/>
              </w:rPr>
              <w:t>8.7</w:t>
            </w:r>
          </w:p>
        </w:tc>
        <w:tc>
          <w:tcPr>
            <w:tcW w:w="1078" w:type="dxa"/>
            <w:shd w:val="clear" w:color="auto" w:fill="F26631"/>
            <w:tcMar>
              <w:left w:w="57" w:type="dxa"/>
              <w:right w:w="57" w:type="dxa"/>
            </w:tcMar>
          </w:tcPr>
          <w:p w:rsidR="00CC2117" w:rsidRPr="00317682" w:rsidRDefault="00CC2117" w:rsidP="00744A18">
            <w:pPr>
              <w:pStyle w:val="TableDataEntries"/>
              <w:ind w:right="284"/>
              <w:rPr>
                <w:color w:val="000000"/>
              </w:rPr>
            </w:pPr>
            <w:r w:rsidRPr="00317682">
              <w:rPr>
                <w:color w:val="000000"/>
              </w:rPr>
              <w:t>23.7</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20</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22.9</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4.9</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Bhutan</w:t>
                </w:r>
              </w:smartTag>
            </w:smartTag>
          </w:p>
        </w:tc>
        <w:tc>
          <w:tcPr>
            <w:tcW w:w="1148" w:type="dxa"/>
            <w:shd w:val="clear" w:color="auto" w:fill="F26631"/>
            <w:tcMar>
              <w:left w:w="57" w:type="dxa"/>
              <w:right w:w="57" w:type="dxa"/>
            </w:tcMar>
          </w:tcPr>
          <w:p w:rsidR="00CC2117" w:rsidRPr="00317682" w:rsidRDefault="00CC2117" w:rsidP="00744A18">
            <w:pPr>
              <w:pStyle w:val="TableDataEntries"/>
              <w:ind w:right="340"/>
              <w:rPr>
                <w:color w:val="000000"/>
              </w:rPr>
            </w:pPr>
            <w:r w:rsidRPr="00317682">
              <w:rPr>
                <w:color w:val="000000"/>
              </w:rPr>
              <w:t>22.6</w:t>
            </w:r>
          </w:p>
        </w:tc>
        <w:tc>
          <w:tcPr>
            <w:tcW w:w="1330" w:type="dxa"/>
            <w:shd w:val="clear" w:color="auto" w:fill="B5D3D2"/>
            <w:tcMar>
              <w:left w:w="57" w:type="dxa"/>
              <w:right w:w="57" w:type="dxa"/>
            </w:tcMar>
          </w:tcPr>
          <w:p w:rsidR="00CC2117" w:rsidRPr="00317682" w:rsidRDefault="00CC2117" w:rsidP="00744A18">
            <w:pPr>
              <w:pStyle w:val="TableDataEntries"/>
              <w:ind w:right="425"/>
              <w:rPr>
                <w:color w:val="000000"/>
              </w:rPr>
            </w:pPr>
            <w:r w:rsidRPr="00317682">
              <w:rPr>
                <w:color w:val="000000"/>
              </w:rPr>
              <w:t>95.2</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65.9</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47.3</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68.1</w:t>
            </w:r>
          </w:p>
        </w:tc>
        <w:tc>
          <w:tcPr>
            <w:tcW w:w="910" w:type="dxa"/>
            <w:shd w:val="clear" w:color="auto" w:fill="B5D3D2"/>
            <w:tcMar>
              <w:left w:w="57" w:type="dxa"/>
              <w:right w:w="57" w:type="dxa"/>
            </w:tcMar>
          </w:tcPr>
          <w:p w:rsidR="00CC2117" w:rsidRPr="00317682" w:rsidRDefault="00CC2117" w:rsidP="00744A18">
            <w:pPr>
              <w:pStyle w:val="TableDataEntries"/>
              <w:ind w:right="227"/>
              <w:rPr>
                <w:color w:val="000000"/>
              </w:rPr>
            </w:pPr>
            <w:r w:rsidRPr="00317682">
              <w:rPr>
                <w:color w:val="000000"/>
              </w:rPr>
              <w:t>80.6</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India</w:t>
                </w:r>
              </w:smartTag>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58.2</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22.1</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54</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48.3</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57.1</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52.9</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Maldives</w:t>
                </w:r>
              </w:smartTag>
            </w:smartTag>
          </w:p>
        </w:tc>
        <w:tc>
          <w:tcPr>
            <w:tcW w:w="1148" w:type="dxa"/>
            <w:shd w:val="clear" w:color="auto" w:fill="F26631"/>
            <w:tcMar>
              <w:left w:w="57" w:type="dxa"/>
              <w:right w:w="57" w:type="dxa"/>
            </w:tcMar>
          </w:tcPr>
          <w:p w:rsidR="00CC2117" w:rsidRPr="00317682" w:rsidRDefault="00CC2117" w:rsidP="00744A18">
            <w:pPr>
              <w:pStyle w:val="TableDataEntries"/>
              <w:ind w:right="340"/>
              <w:rPr>
                <w:color w:val="000000"/>
              </w:rPr>
            </w:pPr>
            <w:r w:rsidRPr="00317682">
              <w:rPr>
                <w:color w:val="000000"/>
              </w:rPr>
              <w:t>20.2</w:t>
            </w:r>
          </w:p>
        </w:tc>
        <w:tc>
          <w:tcPr>
            <w:tcW w:w="1330" w:type="dxa"/>
            <w:shd w:val="clear" w:color="auto" w:fill="AB9C8F"/>
            <w:tcMar>
              <w:left w:w="57" w:type="dxa"/>
              <w:right w:w="57" w:type="dxa"/>
            </w:tcMar>
          </w:tcPr>
          <w:p w:rsidR="00CC2117" w:rsidRPr="00317682" w:rsidRDefault="00CC2117" w:rsidP="00744A18">
            <w:pPr>
              <w:pStyle w:val="TableDataEntries"/>
              <w:ind w:right="425"/>
              <w:rPr>
                <w:color w:val="000000"/>
              </w:rPr>
            </w:pPr>
            <w:r w:rsidRPr="00317682">
              <w:rPr>
                <w:color w:val="000000"/>
              </w:rPr>
              <w:t>72.1</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56.9</w:t>
            </w:r>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59.5</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58.1</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39.3</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Nepal</w:t>
                </w:r>
              </w:smartTag>
            </w:smartTag>
          </w:p>
        </w:tc>
        <w:tc>
          <w:tcPr>
            <w:tcW w:w="1148" w:type="dxa"/>
            <w:shd w:val="clear" w:color="auto" w:fill="F26631"/>
            <w:tcMar>
              <w:left w:w="57" w:type="dxa"/>
              <w:right w:w="57" w:type="dxa"/>
            </w:tcMar>
          </w:tcPr>
          <w:p w:rsidR="00CC2117" w:rsidRPr="00317682" w:rsidRDefault="00CC2117" w:rsidP="00744A18">
            <w:pPr>
              <w:pStyle w:val="TableDataEntries"/>
              <w:ind w:right="340"/>
              <w:rPr>
                <w:color w:val="000000"/>
              </w:rPr>
            </w:pPr>
            <w:r w:rsidRPr="00317682">
              <w:rPr>
                <w:color w:val="000000"/>
              </w:rPr>
              <w:t>13</w:t>
            </w:r>
          </w:p>
        </w:tc>
        <w:tc>
          <w:tcPr>
            <w:tcW w:w="1330" w:type="dxa"/>
            <w:shd w:val="clear" w:color="auto" w:fill="AD495D"/>
            <w:tcMar>
              <w:left w:w="57" w:type="dxa"/>
              <w:right w:w="57" w:type="dxa"/>
            </w:tcMar>
          </w:tcPr>
          <w:p w:rsidR="00CC2117" w:rsidRPr="00317682" w:rsidRDefault="00CC2117" w:rsidP="00744A18">
            <w:pPr>
              <w:pStyle w:val="TableDataEntries"/>
              <w:ind w:right="425"/>
              <w:rPr>
                <w:color w:val="000000"/>
              </w:rPr>
            </w:pPr>
            <w:r w:rsidRPr="00317682">
              <w:rPr>
                <w:color w:val="000000"/>
              </w:rPr>
              <w:t>1.9</w:t>
            </w:r>
          </w:p>
        </w:tc>
        <w:tc>
          <w:tcPr>
            <w:tcW w:w="1078" w:type="dxa"/>
            <w:shd w:val="clear" w:color="auto" w:fill="F26631"/>
            <w:tcMar>
              <w:left w:w="57" w:type="dxa"/>
              <w:right w:w="57" w:type="dxa"/>
            </w:tcMar>
          </w:tcPr>
          <w:p w:rsidR="00CC2117" w:rsidRPr="00317682" w:rsidRDefault="00CC2117" w:rsidP="00744A18">
            <w:pPr>
              <w:pStyle w:val="TableDataEntries"/>
              <w:ind w:right="284"/>
              <w:rPr>
                <w:color w:val="000000"/>
              </w:rPr>
            </w:pPr>
            <w:r w:rsidRPr="00317682">
              <w:rPr>
                <w:color w:val="000000"/>
              </w:rPr>
              <w:t>19</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28.8</w:t>
            </w:r>
          </w:p>
        </w:tc>
        <w:tc>
          <w:tcPr>
            <w:tcW w:w="957"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29</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25.2</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Pakistan</w:t>
                </w:r>
              </w:smartTag>
            </w:smartTag>
          </w:p>
        </w:tc>
        <w:tc>
          <w:tcPr>
            <w:tcW w:w="1148" w:type="dxa"/>
            <w:shd w:val="clear" w:color="auto" w:fill="F26631"/>
            <w:tcMar>
              <w:left w:w="57" w:type="dxa"/>
              <w:right w:w="57" w:type="dxa"/>
            </w:tcMar>
          </w:tcPr>
          <w:p w:rsidR="00CC2117" w:rsidRPr="00317682" w:rsidRDefault="00CC2117" w:rsidP="00744A18">
            <w:pPr>
              <w:pStyle w:val="TableDataEntries"/>
              <w:ind w:right="340"/>
              <w:rPr>
                <w:color w:val="000000"/>
              </w:rPr>
            </w:pPr>
            <w:r w:rsidRPr="00317682">
              <w:rPr>
                <w:color w:val="000000"/>
              </w:rPr>
              <w:t>12.5</w:t>
            </w:r>
          </w:p>
        </w:tc>
        <w:tc>
          <w:tcPr>
            <w:tcW w:w="1330" w:type="dxa"/>
            <w:shd w:val="clear" w:color="auto" w:fill="AD495D"/>
            <w:tcMar>
              <w:left w:w="57" w:type="dxa"/>
              <w:right w:w="57" w:type="dxa"/>
            </w:tcMar>
          </w:tcPr>
          <w:p w:rsidR="00CC2117" w:rsidRPr="00317682" w:rsidRDefault="00CC2117" w:rsidP="00744A18">
            <w:pPr>
              <w:pStyle w:val="TableDataEntries"/>
              <w:ind w:right="425"/>
              <w:rPr>
                <w:color w:val="000000"/>
              </w:rPr>
            </w:pPr>
            <w:r w:rsidRPr="00317682">
              <w:rPr>
                <w:color w:val="000000"/>
              </w:rPr>
              <w:t>4.8</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34.1</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38.5</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24.3</w:t>
            </w:r>
          </w:p>
        </w:tc>
        <w:tc>
          <w:tcPr>
            <w:tcW w:w="910" w:type="dxa"/>
            <w:shd w:val="clear" w:color="auto" w:fill="F26631"/>
            <w:tcMar>
              <w:left w:w="57" w:type="dxa"/>
              <w:right w:w="57" w:type="dxa"/>
            </w:tcMar>
          </w:tcPr>
          <w:p w:rsidR="00CC2117" w:rsidRPr="00317682" w:rsidRDefault="00CC2117" w:rsidP="00744A18">
            <w:pPr>
              <w:pStyle w:val="TableDataEntries"/>
              <w:ind w:right="227"/>
              <w:rPr>
                <w:color w:val="000000"/>
              </w:rPr>
            </w:pPr>
            <w:r w:rsidRPr="00317682">
              <w:rPr>
                <w:color w:val="000000"/>
              </w:rPr>
              <w:t>18</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Sri Lanka</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36.1</w:t>
            </w:r>
          </w:p>
        </w:tc>
        <w:tc>
          <w:tcPr>
            <w:tcW w:w="1330" w:type="dxa"/>
            <w:shd w:val="clear" w:color="auto" w:fill="AD495D"/>
            <w:tcMar>
              <w:left w:w="57" w:type="dxa"/>
              <w:right w:w="57" w:type="dxa"/>
            </w:tcMar>
          </w:tcPr>
          <w:p w:rsidR="00CC2117" w:rsidRPr="00317682" w:rsidRDefault="00CC2117" w:rsidP="00744A18">
            <w:pPr>
              <w:pStyle w:val="TableDataEntries"/>
              <w:ind w:right="425"/>
              <w:rPr>
                <w:color w:val="000000"/>
              </w:rPr>
            </w:pPr>
            <w:r w:rsidRPr="00317682">
              <w:rPr>
                <w:color w:val="000000"/>
              </w:rPr>
              <w:t>8.2</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42.2</w:t>
            </w:r>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50.2</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54.3</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48.5</w:t>
            </w:r>
          </w:p>
        </w:tc>
      </w:tr>
      <w:tr w:rsidR="00DF4F88" w:rsidRPr="00317682" w:rsidTr="00B35E8F">
        <w:trPr>
          <w:cantSplit/>
        </w:trPr>
        <w:tc>
          <w:tcPr>
            <w:tcW w:w="1540" w:type="dxa"/>
            <w:shd w:val="clear" w:color="auto" w:fill="F5F1CC"/>
            <w:tcMar>
              <w:left w:w="57" w:type="dxa"/>
              <w:right w:w="57" w:type="dxa"/>
            </w:tcMar>
          </w:tcPr>
          <w:p w:rsidR="00CC2117" w:rsidRPr="00317682" w:rsidRDefault="00CC2117" w:rsidP="00725C2E">
            <w:pPr>
              <w:pStyle w:val="TableHeading1"/>
              <w:rPr>
                <w:color w:val="000000"/>
              </w:rPr>
            </w:pPr>
            <w:r w:rsidRPr="00317682">
              <w:rPr>
                <w:color w:val="000000"/>
              </w:rPr>
              <w:t>Pacific</w:t>
            </w:r>
          </w:p>
        </w:tc>
        <w:tc>
          <w:tcPr>
            <w:tcW w:w="1148" w:type="dxa"/>
            <w:shd w:val="clear" w:color="auto" w:fill="F5F1CC"/>
            <w:tcMar>
              <w:left w:w="57" w:type="dxa"/>
              <w:right w:w="57" w:type="dxa"/>
            </w:tcMar>
          </w:tcPr>
          <w:p w:rsidR="00CC2117" w:rsidRPr="00317682" w:rsidRDefault="00CC2117" w:rsidP="00744A18">
            <w:pPr>
              <w:pStyle w:val="TableHeading1"/>
              <w:ind w:right="340"/>
              <w:rPr>
                <w:color w:val="000000"/>
              </w:rPr>
            </w:pPr>
          </w:p>
        </w:tc>
        <w:tc>
          <w:tcPr>
            <w:tcW w:w="1330" w:type="dxa"/>
            <w:shd w:val="clear" w:color="auto" w:fill="F5F1CC"/>
            <w:tcMar>
              <w:left w:w="57" w:type="dxa"/>
              <w:right w:w="57" w:type="dxa"/>
            </w:tcMar>
          </w:tcPr>
          <w:p w:rsidR="00CC2117" w:rsidRPr="00317682" w:rsidRDefault="00CC2117" w:rsidP="00744A18">
            <w:pPr>
              <w:pStyle w:val="TableHeading1"/>
              <w:ind w:right="425"/>
              <w:rPr>
                <w:color w:val="000000"/>
              </w:rPr>
            </w:pPr>
          </w:p>
        </w:tc>
        <w:tc>
          <w:tcPr>
            <w:tcW w:w="1078" w:type="dxa"/>
            <w:shd w:val="clear" w:color="auto" w:fill="F5F1CC"/>
            <w:tcMar>
              <w:left w:w="57" w:type="dxa"/>
              <w:right w:w="57" w:type="dxa"/>
            </w:tcMar>
          </w:tcPr>
          <w:p w:rsidR="00CC2117" w:rsidRPr="00317682" w:rsidRDefault="00CC2117" w:rsidP="00744A18">
            <w:pPr>
              <w:pStyle w:val="TableHeading1"/>
              <w:ind w:right="284"/>
              <w:rPr>
                <w:color w:val="000000"/>
              </w:rPr>
            </w:pPr>
          </w:p>
        </w:tc>
        <w:tc>
          <w:tcPr>
            <w:tcW w:w="974" w:type="dxa"/>
            <w:shd w:val="clear" w:color="auto" w:fill="F5F1CC"/>
            <w:tcMar>
              <w:left w:w="57" w:type="dxa"/>
              <w:right w:w="57" w:type="dxa"/>
            </w:tcMar>
          </w:tcPr>
          <w:p w:rsidR="00CC2117" w:rsidRPr="00317682" w:rsidRDefault="00CC2117" w:rsidP="00744A18">
            <w:pPr>
              <w:pStyle w:val="TableHeading1"/>
              <w:ind w:right="255"/>
              <w:rPr>
                <w:color w:val="000000"/>
              </w:rPr>
            </w:pPr>
          </w:p>
        </w:tc>
        <w:tc>
          <w:tcPr>
            <w:tcW w:w="957" w:type="dxa"/>
            <w:shd w:val="clear" w:color="auto" w:fill="F5F1CC"/>
            <w:tcMar>
              <w:left w:w="57" w:type="dxa"/>
              <w:right w:w="57" w:type="dxa"/>
            </w:tcMar>
          </w:tcPr>
          <w:p w:rsidR="00CC2117" w:rsidRPr="00317682" w:rsidRDefault="00CC2117" w:rsidP="00744A18">
            <w:pPr>
              <w:pStyle w:val="TableHeading1"/>
              <w:ind w:right="255"/>
              <w:rPr>
                <w:color w:val="000000"/>
              </w:rPr>
            </w:pPr>
          </w:p>
        </w:tc>
        <w:tc>
          <w:tcPr>
            <w:tcW w:w="910" w:type="dxa"/>
            <w:shd w:val="clear" w:color="auto" w:fill="F5F1CC"/>
            <w:tcMar>
              <w:left w:w="57" w:type="dxa"/>
              <w:right w:w="57" w:type="dxa"/>
            </w:tcMar>
          </w:tcPr>
          <w:p w:rsidR="00CC2117" w:rsidRPr="00317682" w:rsidRDefault="00CC2117" w:rsidP="00744A18">
            <w:pPr>
              <w:pStyle w:val="TableHeading1"/>
              <w:ind w:right="227"/>
              <w:rPr>
                <w:color w:val="000000"/>
              </w:rPr>
            </w:pP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r w:rsidRPr="00317682">
                <w:rPr>
                  <w:color w:val="000000"/>
                </w:rPr>
                <w:t>Cook Islands</w:t>
              </w:r>
            </w:smartTag>
          </w:p>
        </w:tc>
        <w:tc>
          <w:tcPr>
            <w:tcW w:w="1148" w:type="dxa"/>
            <w:tcMar>
              <w:left w:w="57" w:type="dxa"/>
              <w:right w:w="57" w:type="dxa"/>
            </w:tcMar>
          </w:tcPr>
          <w:p w:rsidR="00CC2117" w:rsidRPr="00317682" w:rsidRDefault="00E55CFC" w:rsidP="00744A18">
            <w:pPr>
              <w:pStyle w:val="TableDataEntries"/>
              <w:ind w:right="340"/>
              <w:rPr>
                <w:color w:val="000000"/>
              </w:rPr>
            </w:pPr>
            <w:proofErr w:type="spellStart"/>
            <w:r w:rsidRPr="00317682">
              <w:rPr>
                <w:color w:val="000000"/>
              </w:rPr>
              <w:t>na</w:t>
            </w:r>
            <w:proofErr w:type="spellEnd"/>
          </w:p>
        </w:tc>
        <w:tc>
          <w:tcPr>
            <w:tcW w:w="1330" w:type="dxa"/>
            <w:tcMar>
              <w:left w:w="57" w:type="dxa"/>
              <w:right w:w="57" w:type="dxa"/>
            </w:tcMar>
          </w:tcPr>
          <w:p w:rsidR="00CC2117" w:rsidRPr="00317682" w:rsidRDefault="00E55CFC" w:rsidP="00744A18">
            <w:pPr>
              <w:pStyle w:val="TableDataEntries"/>
              <w:ind w:right="425"/>
              <w:rPr>
                <w:color w:val="000000"/>
              </w:rPr>
            </w:pPr>
            <w:proofErr w:type="spellStart"/>
            <w:r w:rsidRPr="00317682">
              <w:rPr>
                <w:color w:val="000000"/>
              </w:rPr>
              <w:t>na</w:t>
            </w:r>
            <w:proofErr w:type="spellEnd"/>
          </w:p>
        </w:tc>
        <w:tc>
          <w:tcPr>
            <w:tcW w:w="1078" w:type="dxa"/>
            <w:tcMar>
              <w:left w:w="57" w:type="dxa"/>
              <w:right w:w="57" w:type="dxa"/>
            </w:tcMar>
          </w:tcPr>
          <w:p w:rsidR="00CC2117" w:rsidRPr="00317682" w:rsidRDefault="00E55CFC" w:rsidP="00744A18">
            <w:pPr>
              <w:pStyle w:val="TableDataEntries"/>
              <w:ind w:right="284"/>
              <w:rPr>
                <w:color w:val="000000"/>
              </w:rPr>
            </w:pPr>
            <w:proofErr w:type="spellStart"/>
            <w:r w:rsidRPr="00317682">
              <w:rPr>
                <w:color w:val="000000"/>
              </w:rPr>
              <w:t>na</w:t>
            </w:r>
            <w:proofErr w:type="spellEnd"/>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66.8</w:t>
            </w:r>
          </w:p>
        </w:tc>
        <w:tc>
          <w:tcPr>
            <w:tcW w:w="957" w:type="dxa"/>
            <w:shd w:val="clear" w:color="auto" w:fill="B5D3D2"/>
            <w:tcMar>
              <w:left w:w="57" w:type="dxa"/>
              <w:right w:w="57" w:type="dxa"/>
            </w:tcMar>
          </w:tcPr>
          <w:p w:rsidR="00CC2117" w:rsidRPr="00317682" w:rsidRDefault="00CC2117" w:rsidP="00744A18">
            <w:pPr>
              <w:pStyle w:val="TableDataEntries"/>
              <w:ind w:right="255"/>
              <w:rPr>
                <w:color w:val="000000"/>
              </w:rPr>
            </w:pPr>
            <w:r w:rsidRPr="00317682">
              <w:rPr>
                <w:color w:val="000000"/>
              </w:rPr>
              <w:t>84.3</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72.3</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Fiji</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34.6</w:t>
            </w:r>
          </w:p>
        </w:tc>
        <w:tc>
          <w:tcPr>
            <w:tcW w:w="1330" w:type="dxa"/>
            <w:shd w:val="clear" w:color="auto" w:fill="AB9C8F"/>
            <w:tcMar>
              <w:left w:w="57" w:type="dxa"/>
              <w:right w:w="57" w:type="dxa"/>
            </w:tcMar>
          </w:tcPr>
          <w:p w:rsidR="00CC2117" w:rsidRPr="00317682" w:rsidRDefault="00CC2117" w:rsidP="00744A18">
            <w:pPr>
              <w:pStyle w:val="TableDataEntries"/>
              <w:ind w:right="425"/>
              <w:rPr>
                <w:color w:val="000000"/>
              </w:rPr>
            </w:pPr>
            <w:r w:rsidRPr="00317682">
              <w:rPr>
                <w:color w:val="000000"/>
              </w:rPr>
              <w:t>50.5</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52.6</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39</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51.9</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45.6</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Kiribati</w:t>
                </w:r>
              </w:smartTag>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63</w:t>
            </w:r>
          </w:p>
        </w:tc>
        <w:tc>
          <w:tcPr>
            <w:tcW w:w="1330" w:type="dxa"/>
            <w:shd w:val="clear" w:color="auto" w:fill="5A9A98"/>
            <w:tcMar>
              <w:left w:w="57" w:type="dxa"/>
              <w:right w:w="57" w:type="dxa"/>
            </w:tcMar>
          </w:tcPr>
          <w:p w:rsidR="00CC2117" w:rsidRPr="00317682" w:rsidRDefault="00CC2117" w:rsidP="00744A18">
            <w:pPr>
              <w:pStyle w:val="TableDataEntries"/>
              <w:ind w:right="425"/>
              <w:rPr>
                <w:color w:val="000000"/>
              </w:rPr>
            </w:pPr>
            <w:r w:rsidRPr="00317682">
              <w:rPr>
                <w:color w:val="000000"/>
              </w:rPr>
              <w:t>96.2</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35.5</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17.1</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77.6</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59.2</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Micronesia</w:t>
                </w:r>
              </w:smartTag>
            </w:smartTag>
          </w:p>
        </w:tc>
        <w:tc>
          <w:tcPr>
            <w:tcW w:w="1148" w:type="dxa"/>
            <w:shd w:val="clear" w:color="auto" w:fill="B5D3D2"/>
            <w:tcMar>
              <w:left w:w="57" w:type="dxa"/>
              <w:right w:w="57" w:type="dxa"/>
            </w:tcMar>
          </w:tcPr>
          <w:p w:rsidR="00CC2117" w:rsidRPr="00317682" w:rsidRDefault="00CC2117" w:rsidP="00744A18">
            <w:pPr>
              <w:pStyle w:val="TableDataEntries"/>
              <w:ind w:right="340"/>
              <w:rPr>
                <w:color w:val="000000"/>
              </w:rPr>
            </w:pPr>
            <w:r w:rsidRPr="00317682">
              <w:rPr>
                <w:color w:val="000000"/>
              </w:rPr>
              <w:t>80.8</w:t>
            </w:r>
          </w:p>
        </w:tc>
        <w:tc>
          <w:tcPr>
            <w:tcW w:w="1330" w:type="dxa"/>
            <w:shd w:val="clear" w:color="auto" w:fill="B5D3D2"/>
            <w:tcMar>
              <w:left w:w="57" w:type="dxa"/>
              <w:right w:w="57" w:type="dxa"/>
            </w:tcMar>
          </w:tcPr>
          <w:p w:rsidR="00CC2117" w:rsidRPr="00317682" w:rsidRDefault="00CC2117" w:rsidP="00744A18">
            <w:pPr>
              <w:pStyle w:val="TableDataEntries"/>
              <w:ind w:right="425"/>
              <w:rPr>
                <w:color w:val="000000"/>
              </w:rPr>
            </w:pPr>
            <w:r w:rsidRPr="00317682">
              <w:rPr>
                <w:color w:val="000000"/>
              </w:rPr>
              <w:t>85.6</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47.9</w:t>
            </w:r>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56.6</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69.5</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50</w:t>
            </w:r>
          </w:p>
        </w:tc>
      </w:tr>
      <w:tr w:rsidR="00CC2117"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Nauru</w:t>
                </w:r>
              </w:smartTag>
            </w:smartTag>
          </w:p>
        </w:tc>
        <w:tc>
          <w:tcPr>
            <w:tcW w:w="1148" w:type="dxa"/>
            <w:shd w:val="clear" w:color="auto" w:fill="B5D3D2"/>
            <w:tcMar>
              <w:left w:w="57" w:type="dxa"/>
              <w:right w:w="57" w:type="dxa"/>
            </w:tcMar>
          </w:tcPr>
          <w:p w:rsidR="00CC2117" w:rsidRPr="00317682" w:rsidRDefault="00CC2117" w:rsidP="00744A18">
            <w:pPr>
              <w:pStyle w:val="TableDataEntries"/>
              <w:ind w:right="340"/>
              <w:rPr>
                <w:color w:val="000000"/>
              </w:rPr>
            </w:pPr>
            <w:r w:rsidRPr="00317682">
              <w:rPr>
                <w:color w:val="000000"/>
              </w:rPr>
              <w:t>81.7</w:t>
            </w:r>
          </w:p>
        </w:tc>
        <w:tc>
          <w:tcPr>
            <w:tcW w:w="1330" w:type="dxa"/>
            <w:shd w:val="clear" w:color="auto" w:fill="B5D3D2"/>
            <w:tcMar>
              <w:left w:w="57" w:type="dxa"/>
              <w:right w:w="57" w:type="dxa"/>
            </w:tcMar>
          </w:tcPr>
          <w:p w:rsidR="00CC2117" w:rsidRPr="00317682" w:rsidRDefault="00CC2117" w:rsidP="00744A18">
            <w:pPr>
              <w:pStyle w:val="TableDataEntries"/>
              <w:ind w:right="425"/>
              <w:rPr>
                <w:color w:val="000000"/>
              </w:rPr>
            </w:pPr>
            <w:r w:rsidRPr="00317682">
              <w:rPr>
                <w:color w:val="000000"/>
              </w:rPr>
              <w:t>86.1</w:t>
            </w:r>
          </w:p>
        </w:tc>
        <w:tc>
          <w:tcPr>
            <w:tcW w:w="1078" w:type="dxa"/>
            <w:shd w:val="clear" w:color="auto" w:fill="AD495D"/>
            <w:tcMar>
              <w:left w:w="57" w:type="dxa"/>
              <w:right w:w="57" w:type="dxa"/>
            </w:tcMar>
          </w:tcPr>
          <w:p w:rsidR="00CC2117" w:rsidRPr="00317682" w:rsidRDefault="00CC2117" w:rsidP="00744A18">
            <w:pPr>
              <w:pStyle w:val="TableDataEntries"/>
              <w:ind w:right="284"/>
              <w:rPr>
                <w:color w:val="000000"/>
              </w:rPr>
            </w:pPr>
            <w:r w:rsidRPr="00317682">
              <w:rPr>
                <w:color w:val="000000"/>
              </w:rPr>
              <w:t>9</w:t>
            </w:r>
          </w:p>
        </w:tc>
        <w:tc>
          <w:tcPr>
            <w:tcW w:w="974" w:type="dxa"/>
            <w:tcMar>
              <w:left w:w="57" w:type="dxa"/>
              <w:right w:w="57" w:type="dxa"/>
            </w:tcMar>
          </w:tcPr>
          <w:p w:rsidR="00CC2117" w:rsidRPr="00317682" w:rsidRDefault="00E55CFC" w:rsidP="00744A18">
            <w:pPr>
              <w:pStyle w:val="TableDataEntries"/>
              <w:ind w:right="255"/>
              <w:rPr>
                <w:color w:val="000000"/>
              </w:rPr>
            </w:pPr>
            <w:proofErr w:type="spellStart"/>
            <w:r w:rsidRPr="00317682">
              <w:rPr>
                <w:color w:val="000000"/>
              </w:rPr>
              <w:t>na</w:t>
            </w:r>
            <w:proofErr w:type="spellEnd"/>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70.5</w:t>
            </w:r>
          </w:p>
        </w:tc>
        <w:tc>
          <w:tcPr>
            <w:tcW w:w="910" w:type="dxa"/>
            <w:tcMar>
              <w:left w:w="57" w:type="dxa"/>
              <w:right w:w="57" w:type="dxa"/>
            </w:tcMar>
          </w:tcPr>
          <w:p w:rsidR="00CC2117" w:rsidRPr="00317682" w:rsidRDefault="00E55CFC" w:rsidP="00744A18">
            <w:pPr>
              <w:pStyle w:val="TableDataEntries"/>
              <w:ind w:right="227"/>
              <w:rPr>
                <w:color w:val="000000"/>
              </w:rPr>
            </w:pPr>
            <w:proofErr w:type="spellStart"/>
            <w:r w:rsidRPr="00317682">
              <w:rPr>
                <w:color w:val="000000"/>
              </w:rPr>
              <w:t>na</w:t>
            </w:r>
            <w:proofErr w:type="spellEnd"/>
          </w:p>
        </w:tc>
      </w:tr>
      <w:tr w:rsidR="00CC2117"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r w:rsidRPr="00317682">
                <w:rPr>
                  <w:color w:val="000000"/>
                </w:rPr>
                <w:t>Niue</w:t>
              </w:r>
            </w:smartTag>
            <w:r w:rsidRPr="00317682">
              <w:rPr>
                <w:color w:val="000000"/>
              </w:rPr>
              <w:t xml:space="preserve"> and Tokelau</w:t>
            </w:r>
          </w:p>
        </w:tc>
        <w:tc>
          <w:tcPr>
            <w:tcW w:w="1148" w:type="dxa"/>
            <w:tcMar>
              <w:left w:w="57" w:type="dxa"/>
              <w:right w:w="57" w:type="dxa"/>
            </w:tcMar>
          </w:tcPr>
          <w:p w:rsidR="00CC2117" w:rsidRPr="00317682" w:rsidRDefault="00E55CFC" w:rsidP="00744A18">
            <w:pPr>
              <w:pStyle w:val="TableDataEntries"/>
              <w:ind w:right="340"/>
              <w:rPr>
                <w:color w:val="000000"/>
              </w:rPr>
            </w:pPr>
            <w:proofErr w:type="spellStart"/>
            <w:r w:rsidRPr="00317682">
              <w:rPr>
                <w:color w:val="000000"/>
              </w:rPr>
              <w:t>na</w:t>
            </w:r>
            <w:proofErr w:type="spellEnd"/>
          </w:p>
        </w:tc>
        <w:tc>
          <w:tcPr>
            <w:tcW w:w="1330" w:type="dxa"/>
            <w:tcMar>
              <w:left w:w="57" w:type="dxa"/>
              <w:right w:w="57" w:type="dxa"/>
            </w:tcMar>
          </w:tcPr>
          <w:p w:rsidR="00CC2117" w:rsidRPr="00317682" w:rsidRDefault="00E55CFC" w:rsidP="00744A18">
            <w:pPr>
              <w:pStyle w:val="TableDataEntries"/>
              <w:ind w:right="425"/>
              <w:rPr>
                <w:color w:val="000000"/>
              </w:rPr>
            </w:pPr>
            <w:proofErr w:type="spellStart"/>
            <w:r w:rsidRPr="00317682">
              <w:rPr>
                <w:color w:val="000000"/>
              </w:rPr>
              <w:t>na</w:t>
            </w:r>
            <w:proofErr w:type="spellEnd"/>
          </w:p>
        </w:tc>
        <w:tc>
          <w:tcPr>
            <w:tcW w:w="1078" w:type="dxa"/>
            <w:tcMar>
              <w:left w:w="57" w:type="dxa"/>
              <w:right w:w="57" w:type="dxa"/>
            </w:tcMar>
          </w:tcPr>
          <w:p w:rsidR="00CC2117" w:rsidRPr="00317682" w:rsidRDefault="00E55CFC" w:rsidP="00744A18">
            <w:pPr>
              <w:pStyle w:val="TableDataEntries"/>
              <w:ind w:right="284"/>
              <w:rPr>
                <w:color w:val="000000"/>
              </w:rPr>
            </w:pPr>
            <w:proofErr w:type="spellStart"/>
            <w:r w:rsidRPr="00317682">
              <w:rPr>
                <w:color w:val="000000"/>
              </w:rPr>
              <w:t>na</w:t>
            </w:r>
            <w:proofErr w:type="spellEnd"/>
          </w:p>
        </w:tc>
        <w:tc>
          <w:tcPr>
            <w:tcW w:w="974" w:type="dxa"/>
            <w:tcMar>
              <w:left w:w="57" w:type="dxa"/>
              <w:right w:w="57" w:type="dxa"/>
            </w:tcMar>
          </w:tcPr>
          <w:p w:rsidR="00CC2117" w:rsidRPr="00317682" w:rsidRDefault="00E55CFC" w:rsidP="00744A18">
            <w:pPr>
              <w:pStyle w:val="TableDataEntries"/>
              <w:ind w:right="255"/>
              <w:rPr>
                <w:color w:val="000000"/>
              </w:rPr>
            </w:pPr>
            <w:proofErr w:type="spellStart"/>
            <w:r w:rsidRPr="00317682">
              <w:rPr>
                <w:color w:val="000000"/>
              </w:rPr>
              <w:t>na</w:t>
            </w:r>
            <w:proofErr w:type="spellEnd"/>
          </w:p>
        </w:tc>
        <w:tc>
          <w:tcPr>
            <w:tcW w:w="957" w:type="dxa"/>
            <w:tcMar>
              <w:left w:w="57" w:type="dxa"/>
              <w:right w:w="57" w:type="dxa"/>
            </w:tcMar>
          </w:tcPr>
          <w:p w:rsidR="00CC2117" w:rsidRPr="00317682" w:rsidRDefault="00E55CFC" w:rsidP="00744A18">
            <w:pPr>
              <w:pStyle w:val="TableDataEntries"/>
              <w:ind w:right="255"/>
              <w:rPr>
                <w:color w:val="000000"/>
              </w:rPr>
            </w:pPr>
            <w:proofErr w:type="spellStart"/>
            <w:r w:rsidRPr="00317682">
              <w:rPr>
                <w:color w:val="000000"/>
              </w:rPr>
              <w:t>na</w:t>
            </w:r>
            <w:proofErr w:type="spellEnd"/>
          </w:p>
        </w:tc>
        <w:tc>
          <w:tcPr>
            <w:tcW w:w="910" w:type="dxa"/>
            <w:tcMar>
              <w:left w:w="57" w:type="dxa"/>
              <w:right w:w="57" w:type="dxa"/>
            </w:tcMar>
          </w:tcPr>
          <w:p w:rsidR="00CC2117" w:rsidRPr="00317682" w:rsidRDefault="00E55CFC" w:rsidP="00744A18">
            <w:pPr>
              <w:pStyle w:val="TableDataEntries"/>
              <w:ind w:right="227"/>
              <w:rPr>
                <w:color w:val="000000"/>
              </w:rPr>
            </w:pPr>
            <w:proofErr w:type="spellStart"/>
            <w:r w:rsidRPr="00317682">
              <w:rPr>
                <w:color w:val="000000"/>
              </w:rPr>
              <w:t>na</w:t>
            </w:r>
            <w:proofErr w:type="spellEnd"/>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r w:rsidRPr="00317682">
                <w:rPr>
                  <w:color w:val="000000"/>
                </w:rPr>
                <w:t>Samoa</w:t>
              </w:r>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64.4</w:t>
            </w:r>
          </w:p>
        </w:tc>
        <w:tc>
          <w:tcPr>
            <w:tcW w:w="1330" w:type="dxa"/>
            <w:shd w:val="clear" w:color="auto" w:fill="B5D3D2"/>
            <w:tcMar>
              <w:left w:w="57" w:type="dxa"/>
              <w:right w:w="57" w:type="dxa"/>
            </w:tcMar>
          </w:tcPr>
          <w:p w:rsidR="00CC2117" w:rsidRPr="00317682" w:rsidRDefault="00CC2117" w:rsidP="00744A18">
            <w:pPr>
              <w:pStyle w:val="TableDataEntries"/>
              <w:ind w:right="425"/>
              <w:rPr>
                <w:color w:val="000000"/>
              </w:rPr>
            </w:pPr>
            <w:r w:rsidRPr="00317682">
              <w:rPr>
                <w:color w:val="000000"/>
              </w:rPr>
              <w:t>88.5</w:t>
            </w:r>
          </w:p>
        </w:tc>
        <w:tc>
          <w:tcPr>
            <w:tcW w:w="1078" w:type="dxa"/>
            <w:shd w:val="clear" w:color="auto" w:fill="AB9C8F"/>
            <w:tcMar>
              <w:left w:w="57" w:type="dxa"/>
              <w:right w:w="57" w:type="dxa"/>
            </w:tcMar>
          </w:tcPr>
          <w:p w:rsidR="00CC2117" w:rsidRPr="00317682" w:rsidRDefault="00CC2117" w:rsidP="00744A18">
            <w:pPr>
              <w:pStyle w:val="TableDataEntries"/>
              <w:ind w:right="284"/>
              <w:rPr>
                <w:color w:val="000000"/>
              </w:rPr>
            </w:pPr>
            <w:r w:rsidRPr="00317682">
              <w:rPr>
                <w:color w:val="000000"/>
              </w:rPr>
              <w:t>57.8</w:t>
            </w:r>
          </w:p>
        </w:tc>
        <w:tc>
          <w:tcPr>
            <w:tcW w:w="974"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53.2</w:t>
            </w:r>
          </w:p>
        </w:tc>
        <w:tc>
          <w:tcPr>
            <w:tcW w:w="957" w:type="dxa"/>
            <w:shd w:val="clear" w:color="auto" w:fill="B5D3D2"/>
            <w:tcMar>
              <w:left w:w="57" w:type="dxa"/>
              <w:right w:w="57" w:type="dxa"/>
            </w:tcMar>
          </w:tcPr>
          <w:p w:rsidR="00CC2117" w:rsidRPr="00317682" w:rsidRDefault="00CC2117" w:rsidP="00744A18">
            <w:pPr>
              <w:pStyle w:val="TableDataEntries"/>
              <w:ind w:right="255"/>
              <w:rPr>
                <w:color w:val="000000"/>
              </w:rPr>
            </w:pPr>
            <w:r w:rsidRPr="00317682">
              <w:rPr>
                <w:color w:val="000000"/>
              </w:rPr>
              <w:t>81</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63.1</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Solomon Islands</w:t>
                </w:r>
              </w:smartTag>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51.9</w:t>
            </w:r>
          </w:p>
        </w:tc>
        <w:tc>
          <w:tcPr>
            <w:tcW w:w="1330" w:type="dxa"/>
            <w:shd w:val="clear" w:color="auto" w:fill="AB9C8F"/>
            <w:tcMar>
              <w:left w:w="57" w:type="dxa"/>
              <w:right w:w="57" w:type="dxa"/>
            </w:tcMar>
          </w:tcPr>
          <w:p w:rsidR="00CC2117" w:rsidRPr="00317682" w:rsidRDefault="00CC2117" w:rsidP="00744A18">
            <w:pPr>
              <w:pStyle w:val="TableDataEntries"/>
              <w:ind w:right="425"/>
              <w:rPr>
                <w:color w:val="000000"/>
              </w:rPr>
            </w:pPr>
            <w:r w:rsidRPr="00317682">
              <w:rPr>
                <w:color w:val="000000"/>
              </w:rPr>
              <w:t>51</w:t>
            </w:r>
          </w:p>
        </w:tc>
        <w:tc>
          <w:tcPr>
            <w:tcW w:w="1078" w:type="dxa"/>
            <w:shd w:val="clear" w:color="auto" w:fill="F26631"/>
            <w:tcMar>
              <w:left w:w="57" w:type="dxa"/>
              <w:right w:w="57" w:type="dxa"/>
            </w:tcMar>
          </w:tcPr>
          <w:p w:rsidR="00CC2117" w:rsidRPr="00317682" w:rsidRDefault="00CC2117" w:rsidP="00744A18">
            <w:pPr>
              <w:pStyle w:val="TableDataEntries"/>
              <w:ind w:right="284"/>
              <w:rPr>
                <w:color w:val="000000"/>
              </w:rPr>
            </w:pPr>
            <w:r w:rsidRPr="00317682">
              <w:rPr>
                <w:color w:val="000000"/>
              </w:rPr>
              <w:t>18</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13.2</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20</w:t>
            </w:r>
          </w:p>
        </w:tc>
        <w:tc>
          <w:tcPr>
            <w:tcW w:w="910" w:type="dxa"/>
            <w:shd w:val="clear" w:color="auto" w:fill="DDCF56"/>
            <w:tcMar>
              <w:left w:w="57" w:type="dxa"/>
              <w:right w:w="57" w:type="dxa"/>
            </w:tcMar>
          </w:tcPr>
          <w:p w:rsidR="00CC2117" w:rsidRPr="00317682" w:rsidRDefault="00CC2117" w:rsidP="00744A18">
            <w:pPr>
              <w:pStyle w:val="TableDataEntries"/>
              <w:ind w:right="227"/>
              <w:rPr>
                <w:color w:val="000000"/>
              </w:rPr>
            </w:pPr>
            <w:r w:rsidRPr="00317682">
              <w:rPr>
                <w:color w:val="000000"/>
              </w:rPr>
              <w:t>49</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lastRenderedPageBreak/>
                  <w:t>Tonga</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46.2</w:t>
            </w:r>
          </w:p>
        </w:tc>
        <w:tc>
          <w:tcPr>
            <w:tcW w:w="1330" w:type="dxa"/>
            <w:shd w:val="clear" w:color="auto" w:fill="AB9C8F"/>
            <w:tcMar>
              <w:left w:w="57" w:type="dxa"/>
              <w:right w:w="57" w:type="dxa"/>
            </w:tcMar>
          </w:tcPr>
          <w:p w:rsidR="00CC2117" w:rsidRPr="00317682" w:rsidRDefault="00CC2117" w:rsidP="00744A18">
            <w:pPr>
              <w:pStyle w:val="TableDataEntries"/>
              <w:ind w:right="425"/>
              <w:rPr>
                <w:color w:val="000000"/>
              </w:rPr>
            </w:pPr>
            <w:r w:rsidRPr="00317682">
              <w:rPr>
                <w:color w:val="000000"/>
              </w:rPr>
              <w:t>66.3</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29.9</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22</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64.3</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5.3</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Tuvalu</w:t>
                </w:r>
              </w:smartTag>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71.2</w:t>
            </w:r>
          </w:p>
        </w:tc>
        <w:tc>
          <w:tcPr>
            <w:tcW w:w="1330" w:type="dxa"/>
            <w:shd w:val="clear" w:color="auto" w:fill="5A9A98"/>
            <w:tcMar>
              <w:left w:w="57" w:type="dxa"/>
              <w:right w:w="57" w:type="dxa"/>
            </w:tcMar>
          </w:tcPr>
          <w:p w:rsidR="00CC2117" w:rsidRPr="00317682" w:rsidRDefault="00CC2117" w:rsidP="00744A18">
            <w:pPr>
              <w:pStyle w:val="TableDataEntries"/>
              <w:ind w:right="425"/>
              <w:rPr>
                <w:color w:val="000000"/>
              </w:rPr>
            </w:pPr>
            <w:r w:rsidRPr="00317682">
              <w:rPr>
                <w:color w:val="000000"/>
              </w:rPr>
              <w:t>96.2</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45.5</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21.5</w:t>
            </w:r>
          </w:p>
        </w:tc>
        <w:tc>
          <w:tcPr>
            <w:tcW w:w="957" w:type="dxa"/>
            <w:shd w:val="clear" w:color="auto" w:fill="B5D3D2"/>
            <w:tcMar>
              <w:left w:w="57" w:type="dxa"/>
              <w:right w:w="57" w:type="dxa"/>
            </w:tcMar>
          </w:tcPr>
          <w:p w:rsidR="00CC2117" w:rsidRPr="00317682" w:rsidRDefault="00CC2117" w:rsidP="00744A18">
            <w:pPr>
              <w:pStyle w:val="TableDataEntries"/>
              <w:ind w:right="255"/>
              <w:rPr>
                <w:color w:val="000000"/>
              </w:rPr>
            </w:pPr>
            <w:r w:rsidRPr="00317682">
              <w:rPr>
                <w:color w:val="000000"/>
              </w:rPr>
              <w:t>83.8</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56.3</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Vanuatu</w:t>
                </w:r>
              </w:smartTag>
            </w:smartTag>
          </w:p>
        </w:tc>
        <w:tc>
          <w:tcPr>
            <w:tcW w:w="1148" w:type="dxa"/>
            <w:shd w:val="clear" w:color="auto" w:fill="AB9C8F"/>
            <w:tcMar>
              <w:left w:w="57" w:type="dxa"/>
              <w:right w:w="57" w:type="dxa"/>
            </w:tcMar>
          </w:tcPr>
          <w:p w:rsidR="00CC2117" w:rsidRPr="00317682" w:rsidRDefault="00CC2117" w:rsidP="00744A18">
            <w:pPr>
              <w:pStyle w:val="TableDataEntries"/>
              <w:ind w:right="340"/>
              <w:rPr>
                <w:color w:val="000000"/>
              </w:rPr>
            </w:pPr>
            <w:r w:rsidRPr="00317682">
              <w:rPr>
                <w:color w:val="000000"/>
              </w:rPr>
              <w:t>63.5</w:t>
            </w:r>
          </w:p>
        </w:tc>
        <w:tc>
          <w:tcPr>
            <w:tcW w:w="1330" w:type="dxa"/>
            <w:shd w:val="clear" w:color="auto" w:fill="5A9A98"/>
            <w:tcMar>
              <w:left w:w="57" w:type="dxa"/>
              <w:right w:w="57" w:type="dxa"/>
            </w:tcMar>
          </w:tcPr>
          <w:p w:rsidR="00CC2117" w:rsidRPr="00317682" w:rsidRDefault="00CC2117" w:rsidP="00744A18">
            <w:pPr>
              <w:pStyle w:val="TableDataEntries"/>
              <w:ind w:right="425"/>
              <w:rPr>
                <w:color w:val="000000"/>
              </w:rPr>
            </w:pPr>
            <w:r w:rsidRPr="00317682">
              <w:rPr>
                <w:color w:val="000000"/>
              </w:rPr>
              <w:t>96.2</w:t>
            </w:r>
          </w:p>
        </w:tc>
        <w:tc>
          <w:tcPr>
            <w:tcW w:w="1078" w:type="dxa"/>
            <w:shd w:val="clear" w:color="auto" w:fill="DDCF56"/>
            <w:tcMar>
              <w:left w:w="57" w:type="dxa"/>
              <w:right w:w="57" w:type="dxa"/>
            </w:tcMar>
          </w:tcPr>
          <w:p w:rsidR="00CC2117" w:rsidRPr="00317682" w:rsidRDefault="00CC2117" w:rsidP="00744A18">
            <w:pPr>
              <w:pStyle w:val="TableDataEntries"/>
              <w:ind w:right="284"/>
              <w:rPr>
                <w:color w:val="000000"/>
              </w:rPr>
            </w:pPr>
            <w:r w:rsidRPr="00317682">
              <w:rPr>
                <w:color w:val="000000"/>
              </w:rPr>
              <w:t>40.3</w:t>
            </w:r>
          </w:p>
        </w:tc>
        <w:tc>
          <w:tcPr>
            <w:tcW w:w="974" w:type="dxa"/>
            <w:shd w:val="clear" w:color="auto" w:fill="DDCF56"/>
            <w:tcMar>
              <w:left w:w="57" w:type="dxa"/>
              <w:right w:w="57" w:type="dxa"/>
            </w:tcMar>
          </w:tcPr>
          <w:p w:rsidR="00CC2117" w:rsidRPr="00317682" w:rsidRDefault="00CC2117" w:rsidP="00744A18">
            <w:pPr>
              <w:pStyle w:val="TableDataEntries"/>
              <w:ind w:right="255"/>
              <w:rPr>
                <w:color w:val="000000"/>
              </w:rPr>
            </w:pPr>
            <w:r w:rsidRPr="00317682">
              <w:rPr>
                <w:color w:val="000000"/>
              </w:rPr>
              <w:t>49.3</w:t>
            </w:r>
          </w:p>
        </w:tc>
        <w:tc>
          <w:tcPr>
            <w:tcW w:w="957" w:type="dxa"/>
            <w:shd w:val="clear" w:color="auto" w:fill="AB9C8F"/>
            <w:tcMar>
              <w:left w:w="57" w:type="dxa"/>
              <w:right w:w="57" w:type="dxa"/>
            </w:tcMar>
          </w:tcPr>
          <w:p w:rsidR="00CC2117" w:rsidRPr="00317682" w:rsidRDefault="00CC2117" w:rsidP="00744A18">
            <w:pPr>
              <w:pStyle w:val="TableDataEntries"/>
              <w:ind w:right="255"/>
              <w:rPr>
                <w:color w:val="000000"/>
              </w:rPr>
            </w:pPr>
            <w:r w:rsidRPr="00317682">
              <w:rPr>
                <w:color w:val="000000"/>
              </w:rPr>
              <w:t>62.9</w:t>
            </w:r>
          </w:p>
        </w:tc>
        <w:tc>
          <w:tcPr>
            <w:tcW w:w="910" w:type="dxa"/>
            <w:shd w:val="clear" w:color="auto" w:fill="AB9C8F"/>
            <w:tcMar>
              <w:left w:w="57" w:type="dxa"/>
              <w:right w:w="57" w:type="dxa"/>
            </w:tcMar>
          </w:tcPr>
          <w:p w:rsidR="00CC2117" w:rsidRPr="00317682" w:rsidRDefault="00CC2117" w:rsidP="00744A18">
            <w:pPr>
              <w:pStyle w:val="TableDataEntries"/>
              <w:ind w:right="227"/>
              <w:rPr>
                <w:color w:val="000000"/>
              </w:rPr>
            </w:pPr>
            <w:r w:rsidRPr="00317682">
              <w:rPr>
                <w:color w:val="000000"/>
              </w:rPr>
              <w:t>62.6</w:t>
            </w:r>
          </w:p>
        </w:tc>
      </w:tr>
      <w:tr w:rsidR="00CC2117"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Papua New Guinea</w:t>
                </w:r>
              </w:smartTag>
            </w:smartTag>
          </w:p>
        </w:tc>
        <w:tc>
          <w:tcPr>
            <w:tcW w:w="1148" w:type="dxa"/>
            <w:shd w:val="clear" w:color="auto" w:fill="DDCF56"/>
            <w:tcMar>
              <w:left w:w="57" w:type="dxa"/>
              <w:right w:w="57" w:type="dxa"/>
            </w:tcMar>
          </w:tcPr>
          <w:p w:rsidR="00CC2117" w:rsidRPr="00317682" w:rsidRDefault="00CC2117" w:rsidP="00744A18">
            <w:pPr>
              <w:pStyle w:val="TableDataEntries"/>
              <w:ind w:right="340"/>
              <w:rPr>
                <w:color w:val="000000"/>
              </w:rPr>
            </w:pPr>
            <w:r w:rsidRPr="00317682">
              <w:rPr>
                <w:color w:val="000000"/>
              </w:rPr>
              <w:t>48.6</w:t>
            </w:r>
          </w:p>
        </w:tc>
        <w:tc>
          <w:tcPr>
            <w:tcW w:w="1330" w:type="dxa"/>
            <w:shd w:val="clear" w:color="auto" w:fill="F26631"/>
            <w:tcMar>
              <w:left w:w="57" w:type="dxa"/>
              <w:right w:w="57" w:type="dxa"/>
            </w:tcMar>
          </w:tcPr>
          <w:p w:rsidR="00CC2117" w:rsidRPr="00317682" w:rsidRDefault="00CC2117" w:rsidP="00744A18">
            <w:pPr>
              <w:pStyle w:val="TableDataEntries"/>
              <w:ind w:right="425"/>
              <w:rPr>
                <w:color w:val="000000"/>
              </w:rPr>
            </w:pPr>
            <w:r w:rsidRPr="00317682">
              <w:rPr>
                <w:color w:val="000000"/>
              </w:rPr>
              <w:t>23.1</w:t>
            </w:r>
          </w:p>
        </w:tc>
        <w:tc>
          <w:tcPr>
            <w:tcW w:w="1078" w:type="dxa"/>
            <w:shd w:val="clear" w:color="auto" w:fill="F26631"/>
            <w:tcMar>
              <w:left w:w="57" w:type="dxa"/>
              <w:right w:w="57" w:type="dxa"/>
            </w:tcMar>
          </w:tcPr>
          <w:p w:rsidR="00CC2117" w:rsidRPr="00317682" w:rsidRDefault="00CC2117" w:rsidP="00744A18">
            <w:pPr>
              <w:pStyle w:val="TableDataEntries"/>
              <w:ind w:right="284"/>
              <w:rPr>
                <w:color w:val="000000"/>
              </w:rPr>
            </w:pPr>
            <w:r w:rsidRPr="00317682">
              <w:rPr>
                <w:color w:val="000000"/>
              </w:rPr>
              <w:t>23.2</w:t>
            </w:r>
          </w:p>
        </w:tc>
        <w:tc>
          <w:tcPr>
            <w:tcW w:w="974"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23.4</w:t>
            </w:r>
          </w:p>
        </w:tc>
        <w:tc>
          <w:tcPr>
            <w:tcW w:w="957" w:type="dxa"/>
            <w:shd w:val="clear" w:color="auto" w:fill="F26631"/>
            <w:tcMar>
              <w:left w:w="57" w:type="dxa"/>
              <w:right w:w="57" w:type="dxa"/>
            </w:tcMar>
          </w:tcPr>
          <w:p w:rsidR="00CC2117" w:rsidRPr="00317682" w:rsidRDefault="00CC2117" w:rsidP="00744A18">
            <w:pPr>
              <w:pStyle w:val="TableDataEntries"/>
              <w:ind w:right="255"/>
              <w:rPr>
                <w:color w:val="000000"/>
              </w:rPr>
            </w:pPr>
            <w:r w:rsidRPr="00317682">
              <w:rPr>
                <w:color w:val="000000"/>
              </w:rPr>
              <w:t>17.6</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9.2</w:t>
            </w:r>
          </w:p>
        </w:tc>
      </w:tr>
      <w:tr w:rsidR="00CC2117" w:rsidRPr="00317682" w:rsidTr="00B35E8F">
        <w:trPr>
          <w:cantSplit/>
        </w:trPr>
        <w:tc>
          <w:tcPr>
            <w:tcW w:w="1540" w:type="dxa"/>
            <w:shd w:val="clear" w:color="auto" w:fill="F5F1CC"/>
            <w:tcMar>
              <w:left w:w="57" w:type="dxa"/>
              <w:right w:w="57" w:type="dxa"/>
            </w:tcMar>
          </w:tcPr>
          <w:p w:rsidR="00CC2117" w:rsidRPr="00317682" w:rsidRDefault="00CC2117" w:rsidP="00725C2E">
            <w:pPr>
              <w:pStyle w:val="TableHeading1"/>
              <w:rPr>
                <w:color w:val="000000"/>
              </w:rPr>
            </w:pPr>
            <w:r w:rsidRPr="00317682">
              <w:rPr>
                <w:color w:val="000000"/>
              </w:rPr>
              <w:t>Africa/Middle East</w:t>
            </w:r>
          </w:p>
        </w:tc>
        <w:tc>
          <w:tcPr>
            <w:tcW w:w="1148" w:type="dxa"/>
            <w:shd w:val="clear" w:color="auto" w:fill="F5F1CC"/>
            <w:tcMar>
              <w:left w:w="57" w:type="dxa"/>
              <w:right w:w="57" w:type="dxa"/>
            </w:tcMar>
          </w:tcPr>
          <w:p w:rsidR="00CC2117" w:rsidRPr="00317682" w:rsidRDefault="00CC2117" w:rsidP="00744A18">
            <w:pPr>
              <w:pStyle w:val="TableHeading1"/>
              <w:ind w:right="340"/>
              <w:rPr>
                <w:color w:val="000000"/>
              </w:rPr>
            </w:pPr>
          </w:p>
        </w:tc>
        <w:tc>
          <w:tcPr>
            <w:tcW w:w="1330" w:type="dxa"/>
            <w:shd w:val="clear" w:color="auto" w:fill="F5F1CC"/>
            <w:tcMar>
              <w:left w:w="57" w:type="dxa"/>
              <w:right w:w="57" w:type="dxa"/>
            </w:tcMar>
          </w:tcPr>
          <w:p w:rsidR="00CC2117" w:rsidRPr="00317682" w:rsidRDefault="00CC2117" w:rsidP="00744A18">
            <w:pPr>
              <w:pStyle w:val="TableHeading1"/>
              <w:ind w:right="425"/>
              <w:rPr>
                <w:color w:val="000000"/>
              </w:rPr>
            </w:pPr>
          </w:p>
        </w:tc>
        <w:tc>
          <w:tcPr>
            <w:tcW w:w="1078" w:type="dxa"/>
            <w:shd w:val="clear" w:color="auto" w:fill="F5F1CC"/>
            <w:tcMar>
              <w:left w:w="57" w:type="dxa"/>
              <w:right w:w="57" w:type="dxa"/>
            </w:tcMar>
          </w:tcPr>
          <w:p w:rsidR="00CC2117" w:rsidRPr="00317682" w:rsidRDefault="00CC2117" w:rsidP="00744A18">
            <w:pPr>
              <w:pStyle w:val="TableHeading1"/>
              <w:ind w:right="284"/>
              <w:rPr>
                <w:color w:val="000000"/>
              </w:rPr>
            </w:pPr>
          </w:p>
        </w:tc>
        <w:tc>
          <w:tcPr>
            <w:tcW w:w="974" w:type="dxa"/>
            <w:shd w:val="clear" w:color="auto" w:fill="F5F1CC"/>
            <w:tcMar>
              <w:left w:w="57" w:type="dxa"/>
              <w:right w:w="57" w:type="dxa"/>
            </w:tcMar>
          </w:tcPr>
          <w:p w:rsidR="00CC2117" w:rsidRPr="00317682" w:rsidRDefault="00CC2117" w:rsidP="00744A18">
            <w:pPr>
              <w:pStyle w:val="TableHeading1"/>
              <w:ind w:right="255"/>
              <w:rPr>
                <w:color w:val="000000"/>
              </w:rPr>
            </w:pPr>
          </w:p>
        </w:tc>
        <w:tc>
          <w:tcPr>
            <w:tcW w:w="957" w:type="dxa"/>
            <w:shd w:val="clear" w:color="auto" w:fill="F5F1CC"/>
            <w:tcMar>
              <w:left w:w="57" w:type="dxa"/>
              <w:right w:w="57" w:type="dxa"/>
            </w:tcMar>
          </w:tcPr>
          <w:p w:rsidR="00CC2117" w:rsidRPr="00317682" w:rsidRDefault="00CC2117" w:rsidP="00744A18">
            <w:pPr>
              <w:pStyle w:val="TableHeading1"/>
              <w:ind w:right="255"/>
              <w:rPr>
                <w:color w:val="000000"/>
              </w:rPr>
            </w:pPr>
          </w:p>
        </w:tc>
        <w:tc>
          <w:tcPr>
            <w:tcW w:w="910" w:type="dxa"/>
            <w:shd w:val="clear" w:color="auto" w:fill="F5F1CC"/>
            <w:tcMar>
              <w:left w:w="57" w:type="dxa"/>
              <w:right w:w="57" w:type="dxa"/>
            </w:tcMar>
          </w:tcPr>
          <w:p w:rsidR="00CC2117" w:rsidRPr="00317682" w:rsidRDefault="00CC2117" w:rsidP="00744A18">
            <w:pPr>
              <w:pStyle w:val="TableHeading1"/>
              <w:ind w:right="227"/>
              <w:rPr>
                <w:color w:val="000000"/>
              </w:rPr>
            </w:pPr>
          </w:p>
        </w:tc>
      </w:tr>
      <w:tr w:rsidR="00CC2117"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Afghanistan</w:t>
                </w:r>
              </w:smartTag>
            </w:smartTag>
          </w:p>
        </w:tc>
        <w:tc>
          <w:tcPr>
            <w:tcW w:w="1148" w:type="dxa"/>
            <w:shd w:val="clear" w:color="auto" w:fill="F26631"/>
            <w:tcMar>
              <w:left w:w="57" w:type="dxa"/>
              <w:right w:w="57" w:type="dxa"/>
            </w:tcMar>
          </w:tcPr>
          <w:p w:rsidR="00CC2117" w:rsidRPr="00317682" w:rsidRDefault="00CC2117" w:rsidP="00744A18">
            <w:pPr>
              <w:pStyle w:val="TableDataEntries"/>
              <w:ind w:right="340"/>
              <w:rPr>
                <w:color w:val="000000"/>
              </w:rPr>
            </w:pPr>
            <w:r w:rsidRPr="00317682">
              <w:rPr>
                <w:color w:val="000000"/>
              </w:rPr>
              <w:t>10.6</w:t>
            </w:r>
          </w:p>
        </w:tc>
        <w:tc>
          <w:tcPr>
            <w:tcW w:w="1330" w:type="dxa"/>
            <w:shd w:val="clear" w:color="auto" w:fill="AD495D"/>
            <w:tcMar>
              <w:left w:w="57" w:type="dxa"/>
              <w:right w:w="57" w:type="dxa"/>
            </w:tcMar>
          </w:tcPr>
          <w:p w:rsidR="00CC2117" w:rsidRPr="00317682" w:rsidRDefault="00CC2117" w:rsidP="00744A18">
            <w:pPr>
              <w:pStyle w:val="TableDataEntries"/>
              <w:ind w:right="425"/>
              <w:rPr>
                <w:color w:val="000000"/>
              </w:rPr>
            </w:pPr>
            <w:r w:rsidRPr="00317682">
              <w:rPr>
                <w:color w:val="000000"/>
              </w:rPr>
              <w:t>1.4</w:t>
            </w:r>
          </w:p>
        </w:tc>
        <w:tc>
          <w:tcPr>
            <w:tcW w:w="1078" w:type="dxa"/>
            <w:shd w:val="clear" w:color="auto" w:fill="AD495D"/>
            <w:tcMar>
              <w:left w:w="57" w:type="dxa"/>
              <w:right w:w="57" w:type="dxa"/>
            </w:tcMar>
          </w:tcPr>
          <w:p w:rsidR="00CC2117" w:rsidRPr="00317682" w:rsidRDefault="00CC2117" w:rsidP="00744A18">
            <w:pPr>
              <w:pStyle w:val="TableDataEntries"/>
              <w:ind w:right="284"/>
              <w:rPr>
                <w:color w:val="000000"/>
              </w:rPr>
            </w:pPr>
            <w:r w:rsidRPr="00317682">
              <w:rPr>
                <w:color w:val="000000"/>
              </w:rPr>
              <w:t>5.7</w:t>
            </w:r>
          </w:p>
        </w:tc>
        <w:tc>
          <w:tcPr>
            <w:tcW w:w="974"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3.4</w:t>
            </w:r>
          </w:p>
        </w:tc>
        <w:tc>
          <w:tcPr>
            <w:tcW w:w="957"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0.5</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1.9</w:t>
            </w:r>
          </w:p>
        </w:tc>
      </w:tr>
      <w:tr w:rsidR="00DF4F88" w:rsidRPr="00317682" w:rsidTr="00B35E8F">
        <w:trPr>
          <w:cantSplit/>
        </w:trPr>
        <w:tc>
          <w:tcPr>
            <w:tcW w:w="1540" w:type="dxa"/>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country-region">
                <w:r w:rsidRPr="00317682">
                  <w:rPr>
                    <w:color w:val="000000"/>
                  </w:rPr>
                  <w:t>Iraq</w:t>
                </w:r>
              </w:smartTag>
            </w:smartTag>
          </w:p>
        </w:tc>
        <w:tc>
          <w:tcPr>
            <w:tcW w:w="1148" w:type="dxa"/>
            <w:shd w:val="clear" w:color="auto" w:fill="AD495D"/>
            <w:tcMar>
              <w:left w:w="57" w:type="dxa"/>
              <w:right w:w="57" w:type="dxa"/>
            </w:tcMar>
          </w:tcPr>
          <w:p w:rsidR="00CC2117" w:rsidRPr="00317682" w:rsidRDefault="00CC2117" w:rsidP="00744A18">
            <w:pPr>
              <w:pStyle w:val="TableDataEntries"/>
              <w:ind w:right="340"/>
              <w:rPr>
                <w:color w:val="000000"/>
              </w:rPr>
            </w:pPr>
            <w:r w:rsidRPr="00317682">
              <w:rPr>
                <w:color w:val="000000"/>
              </w:rPr>
              <w:t>7.7</w:t>
            </w:r>
          </w:p>
        </w:tc>
        <w:tc>
          <w:tcPr>
            <w:tcW w:w="1330" w:type="dxa"/>
            <w:shd w:val="clear" w:color="auto" w:fill="AD495D"/>
            <w:tcMar>
              <w:left w:w="57" w:type="dxa"/>
              <w:right w:w="57" w:type="dxa"/>
            </w:tcMar>
          </w:tcPr>
          <w:p w:rsidR="00CC2117" w:rsidRPr="00317682" w:rsidRDefault="00CC2117" w:rsidP="00744A18">
            <w:pPr>
              <w:pStyle w:val="TableDataEntries"/>
              <w:ind w:right="425"/>
              <w:rPr>
                <w:color w:val="000000"/>
              </w:rPr>
            </w:pPr>
            <w:r w:rsidRPr="00317682">
              <w:rPr>
                <w:color w:val="000000"/>
              </w:rPr>
              <w:t>0</w:t>
            </w:r>
          </w:p>
        </w:tc>
        <w:tc>
          <w:tcPr>
            <w:tcW w:w="1078" w:type="dxa"/>
            <w:shd w:val="clear" w:color="auto" w:fill="AD495D"/>
            <w:tcMar>
              <w:left w:w="57" w:type="dxa"/>
              <w:right w:w="57" w:type="dxa"/>
            </w:tcMar>
          </w:tcPr>
          <w:p w:rsidR="00CC2117" w:rsidRPr="00317682" w:rsidRDefault="00CC2117" w:rsidP="00744A18">
            <w:pPr>
              <w:pStyle w:val="TableDataEntries"/>
              <w:ind w:right="284"/>
              <w:rPr>
                <w:color w:val="000000"/>
              </w:rPr>
            </w:pPr>
            <w:r w:rsidRPr="00317682">
              <w:rPr>
                <w:color w:val="000000"/>
              </w:rPr>
              <w:t>1.4</w:t>
            </w:r>
          </w:p>
        </w:tc>
        <w:tc>
          <w:tcPr>
            <w:tcW w:w="974"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7.3</w:t>
            </w:r>
          </w:p>
        </w:tc>
        <w:tc>
          <w:tcPr>
            <w:tcW w:w="957" w:type="dxa"/>
            <w:shd w:val="clear" w:color="auto" w:fill="AD495D"/>
            <w:tcMar>
              <w:left w:w="57" w:type="dxa"/>
              <w:right w:w="57" w:type="dxa"/>
            </w:tcMar>
          </w:tcPr>
          <w:p w:rsidR="00CC2117" w:rsidRPr="00317682" w:rsidRDefault="00CC2117" w:rsidP="00744A18">
            <w:pPr>
              <w:pStyle w:val="TableDataEntries"/>
              <w:ind w:right="255"/>
              <w:rPr>
                <w:color w:val="000000"/>
              </w:rPr>
            </w:pPr>
            <w:r w:rsidRPr="00317682">
              <w:rPr>
                <w:color w:val="000000"/>
              </w:rPr>
              <w:t>1</w:t>
            </w:r>
          </w:p>
        </w:tc>
        <w:tc>
          <w:tcPr>
            <w:tcW w:w="910" w:type="dxa"/>
            <w:shd w:val="clear" w:color="auto" w:fill="AD495D"/>
            <w:tcMar>
              <w:left w:w="57" w:type="dxa"/>
              <w:right w:w="57" w:type="dxa"/>
            </w:tcMar>
          </w:tcPr>
          <w:p w:rsidR="00CC2117" w:rsidRPr="00317682" w:rsidRDefault="00CC2117" w:rsidP="00744A18">
            <w:pPr>
              <w:pStyle w:val="TableDataEntries"/>
              <w:ind w:right="227"/>
              <w:rPr>
                <w:color w:val="000000"/>
              </w:rPr>
            </w:pPr>
            <w:r w:rsidRPr="00317682">
              <w:rPr>
                <w:color w:val="000000"/>
              </w:rPr>
              <w:t>3.4</w:t>
            </w:r>
          </w:p>
        </w:tc>
      </w:tr>
      <w:tr w:rsidR="00CC2117" w:rsidRPr="00317682" w:rsidTr="00B35E8F">
        <w:trPr>
          <w:cantSplit/>
        </w:trPr>
        <w:tc>
          <w:tcPr>
            <w:tcW w:w="1540" w:type="dxa"/>
            <w:tcBorders>
              <w:bottom w:val="single" w:sz="12" w:space="0" w:color="auto"/>
            </w:tcBorders>
            <w:tcMar>
              <w:left w:w="57" w:type="dxa"/>
              <w:right w:w="57" w:type="dxa"/>
            </w:tcMar>
          </w:tcPr>
          <w:p w:rsidR="00CC2117" w:rsidRPr="00317682" w:rsidRDefault="00CC2117" w:rsidP="00990BBE">
            <w:pPr>
              <w:pStyle w:val="TableDataEntries"/>
              <w:jc w:val="left"/>
              <w:rPr>
                <w:color w:val="000000"/>
              </w:rPr>
            </w:pPr>
            <w:smartTag w:uri="urn:schemas-microsoft-com:office:smarttags" w:element="place">
              <w:smartTag w:uri="urn:schemas-microsoft-com:office:smarttags" w:element="PlaceName">
                <w:r w:rsidRPr="00317682">
                  <w:rPr>
                    <w:color w:val="000000"/>
                  </w:rPr>
                  <w:t>Palestinian</w:t>
                </w:r>
              </w:smartTag>
              <w:r w:rsidRPr="00317682">
                <w:rPr>
                  <w:color w:val="000000"/>
                </w:rPr>
                <w:t xml:space="preserve"> </w:t>
              </w:r>
              <w:smartTag w:uri="urn:schemas-microsoft-com:office:smarttags" w:element="PlaceType">
                <w:r w:rsidRPr="00317682">
                  <w:rPr>
                    <w:color w:val="000000"/>
                  </w:rPr>
                  <w:t>Territories</w:t>
                </w:r>
              </w:smartTag>
            </w:smartTag>
          </w:p>
        </w:tc>
        <w:tc>
          <w:tcPr>
            <w:tcW w:w="1148" w:type="dxa"/>
            <w:tcBorders>
              <w:bottom w:val="single" w:sz="12" w:space="0" w:color="auto"/>
            </w:tcBorders>
            <w:tcMar>
              <w:left w:w="57" w:type="dxa"/>
              <w:right w:w="57" w:type="dxa"/>
            </w:tcMar>
          </w:tcPr>
          <w:p w:rsidR="00CC2117" w:rsidRPr="00317682" w:rsidRDefault="00E55CFC" w:rsidP="00744A18">
            <w:pPr>
              <w:pStyle w:val="TableDataEntries"/>
              <w:ind w:right="340"/>
              <w:rPr>
                <w:color w:val="000000"/>
              </w:rPr>
            </w:pPr>
            <w:proofErr w:type="spellStart"/>
            <w:r w:rsidRPr="00317682">
              <w:rPr>
                <w:color w:val="000000"/>
              </w:rPr>
              <w:t>na</w:t>
            </w:r>
            <w:proofErr w:type="spellEnd"/>
          </w:p>
        </w:tc>
        <w:tc>
          <w:tcPr>
            <w:tcW w:w="1330" w:type="dxa"/>
            <w:tcBorders>
              <w:bottom w:val="single" w:sz="12" w:space="0" w:color="auto"/>
            </w:tcBorders>
            <w:tcMar>
              <w:left w:w="57" w:type="dxa"/>
              <w:right w:w="57" w:type="dxa"/>
            </w:tcMar>
          </w:tcPr>
          <w:p w:rsidR="00CC2117" w:rsidRPr="00317682" w:rsidRDefault="00E55CFC" w:rsidP="00744A18">
            <w:pPr>
              <w:pStyle w:val="TableDataEntries"/>
              <w:ind w:right="425"/>
              <w:rPr>
                <w:color w:val="000000"/>
              </w:rPr>
            </w:pPr>
            <w:proofErr w:type="spellStart"/>
            <w:r w:rsidRPr="00317682">
              <w:rPr>
                <w:color w:val="000000"/>
              </w:rPr>
              <w:t>na</w:t>
            </w:r>
            <w:proofErr w:type="spellEnd"/>
          </w:p>
        </w:tc>
        <w:tc>
          <w:tcPr>
            <w:tcW w:w="1078" w:type="dxa"/>
            <w:tcBorders>
              <w:bottom w:val="single" w:sz="12" w:space="0" w:color="auto"/>
            </w:tcBorders>
            <w:tcMar>
              <w:left w:w="57" w:type="dxa"/>
              <w:right w:w="57" w:type="dxa"/>
            </w:tcMar>
          </w:tcPr>
          <w:p w:rsidR="00CC2117" w:rsidRPr="00317682" w:rsidRDefault="00E55CFC" w:rsidP="00744A18">
            <w:pPr>
              <w:pStyle w:val="TableDataEntries"/>
              <w:ind w:right="284"/>
              <w:rPr>
                <w:color w:val="000000"/>
              </w:rPr>
            </w:pPr>
            <w:proofErr w:type="spellStart"/>
            <w:r w:rsidRPr="00317682">
              <w:rPr>
                <w:color w:val="000000"/>
              </w:rPr>
              <w:t>na</w:t>
            </w:r>
            <w:proofErr w:type="spellEnd"/>
          </w:p>
        </w:tc>
        <w:tc>
          <w:tcPr>
            <w:tcW w:w="974" w:type="dxa"/>
            <w:tcBorders>
              <w:bottom w:val="single" w:sz="12" w:space="0" w:color="auto"/>
            </w:tcBorders>
            <w:tcMar>
              <w:left w:w="57" w:type="dxa"/>
              <w:right w:w="57" w:type="dxa"/>
            </w:tcMar>
          </w:tcPr>
          <w:p w:rsidR="00CC2117" w:rsidRPr="00317682" w:rsidRDefault="00E55CFC" w:rsidP="00744A18">
            <w:pPr>
              <w:pStyle w:val="TableDataEntries"/>
              <w:ind w:right="255"/>
              <w:rPr>
                <w:color w:val="000000"/>
              </w:rPr>
            </w:pPr>
            <w:proofErr w:type="spellStart"/>
            <w:r w:rsidRPr="00317682">
              <w:rPr>
                <w:color w:val="000000"/>
              </w:rPr>
              <w:t>na</w:t>
            </w:r>
            <w:proofErr w:type="spellEnd"/>
          </w:p>
        </w:tc>
        <w:tc>
          <w:tcPr>
            <w:tcW w:w="957" w:type="dxa"/>
            <w:tcBorders>
              <w:bottom w:val="single" w:sz="12" w:space="0" w:color="auto"/>
            </w:tcBorders>
            <w:tcMar>
              <w:left w:w="57" w:type="dxa"/>
              <w:right w:w="57" w:type="dxa"/>
            </w:tcMar>
          </w:tcPr>
          <w:p w:rsidR="00CC2117" w:rsidRPr="00317682" w:rsidRDefault="00E55CFC" w:rsidP="00744A18">
            <w:pPr>
              <w:pStyle w:val="TableDataEntries"/>
              <w:ind w:right="255"/>
              <w:rPr>
                <w:color w:val="000000"/>
              </w:rPr>
            </w:pPr>
            <w:proofErr w:type="spellStart"/>
            <w:r w:rsidRPr="00317682">
              <w:rPr>
                <w:color w:val="000000"/>
              </w:rPr>
              <w:t>na</w:t>
            </w:r>
            <w:proofErr w:type="spellEnd"/>
          </w:p>
        </w:tc>
        <w:tc>
          <w:tcPr>
            <w:tcW w:w="910" w:type="dxa"/>
            <w:tcBorders>
              <w:bottom w:val="single" w:sz="12" w:space="0" w:color="auto"/>
            </w:tcBorders>
            <w:tcMar>
              <w:left w:w="57" w:type="dxa"/>
              <w:right w:w="57" w:type="dxa"/>
            </w:tcMar>
          </w:tcPr>
          <w:p w:rsidR="00CC2117" w:rsidRPr="00317682" w:rsidRDefault="00E55CFC" w:rsidP="00744A18">
            <w:pPr>
              <w:pStyle w:val="TableDataEntries"/>
              <w:ind w:right="227"/>
              <w:rPr>
                <w:color w:val="000000"/>
              </w:rPr>
            </w:pPr>
            <w:proofErr w:type="spellStart"/>
            <w:r w:rsidRPr="00317682">
              <w:rPr>
                <w:color w:val="000000"/>
              </w:rPr>
              <w:t>na</w:t>
            </w:r>
            <w:proofErr w:type="spellEnd"/>
          </w:p>
        </w:tc>
      </w:tr>
    </w:tbl>
    <w:p w:rsidR="00E5438F" w:rsidRPr="00317682" w:rsidRDefault="000B2461" w:rsidP="00E5438F">
      <w:pPr>
        <w:pStyle w:val="NoteNumber"/>
        <w:numPr>
          <w:ilvl w:val="0"/>
          <w:numId w:val="24"/>
        </w:numPr>
        <w:rPr>
          <w:color w:val="000000"/>
        </w:rPr>
      </w:pPr>
      <w:r w:rsidRPr="00317682">
        <w:rPr>
          <w:color w:val="000000"/>
        </w:rPr>
        <w:t xml:space="preserve">Scores are given as a percentile rank (0–100), with 100 being the highest and 0 being the lowest ranking. These indicators do not measure gendered dimensions of governance. This has particular implications for aspects such as ‘voice and accountability’ and the ability of the world governance indicators to provide an evidential base to help deal with the </w:t>
      </w:r>
      <w:r w:rsidR="006E6B0D" w:rsidRPr="00317682">
        <w:rPr>
          <w:color w:val="000000"/>
        </w:rPr>
        <w:t xml:space="preserve">significant </w:t>
      </w:r>
      <w:r w:rsidRPr="00317682">
        <w:rPr>
          <w:color w:val="000000"/>
        </w:rPr>
        <w:t xml:space="preserve">under-representation </w:t>
      </w:r>
      <w:r w:rsidR="006E6B0D" w:rsidRPr="00317682">
        <w:rPr>
          <w:color w:val="000000"/>
        </w:rPr>
        <w:t xml:space="preserve">of females </w:t>
      </w:r>
      <w:r w:rsidRPr="00317682">
        <w:rPr>
          <w:color w:val="000000"/>
        </w:rPr>
        <w:t xml:space="preserve">within political leadership in the Pacific. </w:t>
      </w:r>
      <w:proofErr w:type="spellStart"/>
      <w:proofErr w:type="gramStart"/>
      <w:r w:rsidRPr="00317682">
        <w:rPr>
          <w:color w:val="000000"/>
        </w:rPr>
        <w:t>na</w:t>
      </w:r>
      <w:proofErr w:type="spellEnd"/>
      <w:proofErr w:type="gramEnd"/>
      <w:r w:rsidRPr="00317682">
        <w:rPr>
          <w:color w:val="000000"/>
        </w:rPr>
        <w:t xml:space="preserve"> Not available.</w:t>
      </w:r>
    </w:p>
    <w:tbl>
      <w:tblPr>
        <w:tblpPr w:leftFromText="181" w:rightFromText="181" w:vertAnchor="page" w:horzAnchor="margin" w:tblpXSpec="center" w:tblpY="14876"/>
        <w:tblOverlap w:val="never"/>
        <w:tblW w:w="6070" w:type="dxa"/>
        <w:tblLayout w:type="fixed"/>
        <w:tblCellMar>
          <w:left w:w="0" w:type="dxa"/>
          <w:right w:w="0" w:type="dxa"/>
        </w:tblCellMar>
        <w:tblLook w:val="0000" w:firstRow="0" w:lastRow="0" w:firstColumn="0" w:lastColumn="0" w:noHBand="0" w:noVBand="0"/>
      </w:tblPr>
      <w:tblGrid>
        <w:gridCol w:w="285"/>
        <w:gridCol w:w="1809"/>
        <w:gridCol w:w="284"/>
        <w:gridCol w:w="1704"/>
        <w:gridCol w:w="284"/>
        <w:gridCol w:w="1704"/>
      </w:tblGrid>
      <w:tr w:rsidR="00E5438F" w:rsidRPr="00317682">
        <w:trPr>
          <w:cantSplit/>
        </w:trPr>
        <w:tc>
          <w:tcPr>
            <w:tcW w:w="285" w:type="dxa"/>
            <w:shd w:val="clear" w:color="auto" w:fill="5A9A98"/>
            <w:vAlign w:val="center"/>
          </w:tcPr>
          <w:p w:rsidR="00E5438F" w:rsidRPr="00317682" w:rsidRDefault="00E5438F" w:rsidP="00E5438F">
            <w:pPr>
              <w:pStyle w:val="Note"/>
              <w:rPr>
                <w:color w:val="000000"/>
              </w:rPr>
            </w:pPr>
          </w:p>
        </w:tc>
        <w:tc>
          <w:tcPr>
            <w:tcW w:w="1809" w:type="dxa"/>
            <w:vAlign w:val="center"/>
          </w:tcPr>
          <w:p w:rsidR="00E5438F" w:rsidRPr="00317682" w:rsidRDefault="00E5438F" w:rsidP="00E5438F">
            <w:pPr>
              <w:pStyle w:val="Note"/>
              <w:rPr>
                <w:color w:val="000000"/>
              </w:rPr>
            </w:pPr>
            <w:r w:rsidRPr="00317682">
              <w:rPr>
                <w:color w:val="000000"/>
              </w:rPr>
              <w:t> 90th–100th percentile</w:t>
            </w:r>
          </w:p>
        </w:tc>
        <w:tc>
          <w:tcPr>
            <w:tcW w:w="284" w:type="dxa"/>
            <w:shd w:val="clear" w:color="auto" w:fill="AB9C8F"/>
            <w:vAlign w:val="center"/>
          </w:tcPr>
          <w:p w:rsidR="00E5438F" w:rsidRPr="00317682" w:rsidRDefault="00E5438F" w:rsidP="00E5438F">
            <w:pPr>
              <w:pStyle w:val="Note"/>
              <w:rPr>
                <w:color w:val="000000"/>
              </w:rPr>
            </w:pPr>
          </w:p>
        </w:tc>
        <w:tc>
          <w:tcPr>
            <w:tcW w:w="1704" w:type="dxa"/>
            <w:vAlign w:val="center"/>
          </w:tcPr>
          <w:p w:rsidR="00E5438F" w:rsidRPr="00317682" w:rsidRDefault="00E5438F" w:rsidP="00E5438F">
            <w:pPr>
              <w:pStyle w:val="Note"/>
              <w:rPr>
                <w:color w:val="000000"/>
              </w:rPr>
            </w:pPr>
            <w:r w:rsidRPr="00317682">
              <w:rPr>
                <w:color w:val="000000"/>
              </w:rPr>
              <w:t> 50th–75th percentile</w:t>
            </w:r>
          </w:p>
        </w:tc>
        <w:tc>
          <w:tcPr>
            <w:tcW w:w="284" w:type="dxa"/>
            <w:shd w:val="clear" w:color="auto" w:fill="F26631"/>
            <w:vAlign w:val="center"/>
          </w:tcPr>
          <w:p w:rsidR="00E5438F" w:rsidRPr="00317682" w:rsidRDefault="00E5438F" w:rsidP="00E5438F">
            <w:pPr>
              <w:pStyle w:val="Note"/>
              <w:rPr>
                <w:color w:val="000000"/>
              </w:rPr>
            </w:pPr>
          </w:p>
        </w:tc>
        <w:tc>
          <w:tcPr>
            <w:tcW w:w="1704" w:type="dxa"/>
            <w:vAlign w:val="center"/>
          </w:tcPr>
          <w:p w:rsidR="00E5438F" w:rsidRPr="00317682" w:rsidRDefault="00E5438F" w:rsidP="00E5438F">
            <w:pPr>
              <w:pStyle w:val="Note"/>
              <w:rPr>
                <w:color w:val="000000"/>
              </w:rPr>
            </w:pPr>
            <w:r w:rsidRPr="00317682">
              <w:rPr>
                <w:color w:val="000000"/>
              </w:rPr>
              <w:t> 10th–25th percentile</w:t>
            </w:r>
          </w:p>
        </w:tc>
      </w:tr>
      <w:tr w:rsidR="00E5438F" w:rsidRPr="00317682">
        <w:trPr>
          <w:cantSplit/>
        </w:trPr>
        <w:tc>
          <w:tcPr>
            <w:tcW w:w="285" w:type="dxa"/>
            <w:shd w:val="clear" w:color="auto" w:fill="B5D3D2"/>
            <w:vAlign w:val="center"/>
          </w:tcPr>
          <w:p w:rsidR="00E5438F" w:rsidRPr="00317682" w:rsidRDefault="00E5438F" w:rsidP="00E5438F">
            <w:pPr>
              <w:pStyle w:val="Note"/>
              <w:rPr>
                <w:color w:val="000000"/>
              </w:rPr>
            </w:pPr>
          </w:p>
        </w:tc>
        <w:tc>
          <w:tcPr>
            <w:tcW w:w="1809" w:type="dxa"/>
            <w:vAlign w:val="center"/>
          </w:tcPr>
          <w:p w:rsidR="00E5438F" w:rsidRPr="00317682" w:rsidRDefault="00E5438F" w:rsidP="00E5438F">
            <w:pPr>
              <w:pStyle w:val="Note"/>
              <w:rPr>
                <w:color w:val="000000"/>
              </w:rPr>
            </w:pPr>
            <w:r w:rsidRPr="00317682">
              <w:rPr>
                <w:color w:val="000000"/>
              </w:rPr>
              <w:t> 75th–90th percentile</w:t>
            </w:r>
          </w:p>
        </w:tc>
        <w:tc>
          <w:tcPr>
            <w:tcW w:w="284" w:type="dxa"/>
            <w:shd w:val="clear" w:color="auto" w:fill="DDCF56"/>
            <w:vAlign w:val="center"/>
          </w:tcPr>
          <w:p w:rsidR="00E5438F" w:rsidRPr="00317682" w:rsidRDefault="00E5438F" w:rsidP="00E5438F">
            <w:pPr>
              <w:pStyle w:val="Note"/>
              <w:rPr>
                <w:color w:val="000000"/>
              </w:rPr>
            </w:pPr>
          </w:p>
        </w:tc>
        <w:tc>
          <w:tcPr>
            <w:tcW w:w="1704" w:type="dxa"/>
            <w:vAlign w:val="center"/>
          </w:tcPr>
          <w:p w:rsidR="00E5438F" w:rsidRPr="00317682" w:rsidRDefault="00E5438F" w:rsidP="00E5438F">
            <w:pPr>
              <w:pStyle w:val="Note"/>
              <w:rPr>
                <w:color w:val="000000"/>
              </w:rPr>
            </w:pPr>
            <w:r w:rsidRPr="00317682">
              <w:rPr>
                <w:color w:val="000000"/>
              </w:rPr>
              <w:t> 25th–50th percentile</w:t>
            </w:r>
          </w:p>
        </w:tc>
        <w:tc>
          <w:tcPr>
            <w:tcW w:w="284" w:type="dxa"/>
            <w:shd w:val="clear" w:color="auto" w:fill="AD495D"/>
            <w:vAlign w:val="center"/>
          </w:tcPr>
          <w:p w:rsidR="00E5438F" w:rsidRPr="00317682" w:rsidRDefault="00E5438F" w:rsidP="00E5438F">
            <w:pPr>
              <w:pStyle w:val="Note"/>
              <w:rPr>
                <w:color w:val="000000"/>
              </w:rPr>
            </w:pPr>
          </w:p>
        </w:tc>
        <w:tc>
          <w:tcPr>
            <w:tcW w:w="1704" w:type="dxa"/>
            <w:vAlign w:val="center"/>
          </w:tcPr>
          <w:p w:rsidR="00E5438F" w:rsidRPr="00317682" w:rsidRDefault="00E5438F" w:rsidP="00E5438F">
            <w:pPr>
              <w:pStyle w:val="Note"/>
              <w:rPr>
                <w:color w:val="000000"/>
              </w:rPr>
            </w:pPr>
            <w:r w:rsidRPr="00317682">
              <w:rPr>
                <w:color w:val="000000"/>
              </w:rPr>
              <w:t> 0th–10th percentile</w:t>
            </w:r>
          </w:p>
        </w:tc>
      </w:tr>
    </w:tbl>
    <w:p w:rsidR="00CC2117" w:rsidRPr="00317682" w:rsidRDefault="00CC2117" w:rsidP="00CC2117">
      <w:pPr>
        <w:pStyle w:val="Note"/>
        <w:rPr>
          <w:color w:val="000000"/>
        </w:rPr>
      </w:pPr>
      <w:r w:rsidRPr="00317682">
        <w:rPr>
          <w:color w:val="000000"/>
        </w:rPr>
        <w:t xml:space="preserve">Note: </w:t>
      </w:r>
    </w:p>
    <w:p w:rsidR="00650B00" w:rsidRPr="00317682" w:rsidRDefault="00F54D98" w:rsidP="00F54D98">
      <w:pPr>
        <w:pStyle w:val="Source"/>
        <w:rPr>
          <w:color w:val="000000"/>
        </w:rPr>
      </w:pPr>
      <w:r w:rsidRPr="00317682">
        <w:rPr>
          <w:color w:val="000000"/>
        </w:rPr>
        <w:t>Source: World Bank</w:t>
      </w:r>
      <w:r w:rsidR="00725C2E" w:rsidRPr="00317682">
        <w:rPr>
          <w:color w:val="000000"/>
        </w:rPr>
        <w:t>,</w:t>
      </w:r>
      <w:r w:rsidRPr="00317682">
        <w:rPr>
          <w:color w:val="000000"/>
        </w:rPr>
        <w:t xml:space="preserve"> </w:t>
      </w:r>
      <w:r w:rsidRPr="00317682">
        <w:rPr>
          <w:i/>
          <w:color w:val="000000"/>
        </w:rPr>
        <w:t xml:space="preserve">World </w:t>
      </w:r>
      <w:r w:rsidR="00C41CF5" w:rsidRPr="00317682">
        <w:rPr>
          <w:i/>
          <w:color w:val="000000"/>
        </w:rPr>
        <w:t xml:space="preserve">governance indicators </w:t>
      </w:r>
      <w:r w:rsidRPr="00317682">
        <w:rPr>
          <w:i/>
          <w:color w:val="000000"/>
        </w:rPr>
        <w:t>2007</w:t>
      </w:r>
      <w:r w:rsidR="00725C2E" w:rsidRPr="00317682">
        <w:rPr>
          <w:color w:val="000000"/>
        </w:rPr>
        <w:t>, 2007</w:t>
      </w:r>
      <w:r w:rsidRPr="00317682">
        <w:rPr>
          <w:color w:val="000000"/>
        </w:rPr>
        <w:t xml:space="preserve">. See also Daniel Kaufmann, </w:t>
      </w:r>
      <w:proofErr w:type="spellStart"/>
      <w:r w:rsidRPr="00317682">
        <w:rPr>
          <w:color w:val="000000"/>
        </w:rPr>
        <w:t>Aart</w:t>
      </w:r>
      <w:proofErr w:type="spellEnd"/>
      <w:r w:rsidRPr="00317682">
        <w:rPr>
          <w:color w:val="000000"/>
        </w:rPr>
        <w:t xml:space="preserve"> </w:t>
      </w:r>
      <w:proofErr w:type="spellStart"/>
      <w:r w:rsidRPr="00317682">
        <w:rPr>
          <w:color w:val="000000"/>
        </w:rPr>
        <w:t>Kraay</w:t>
      </w:r>
      <w:proofErr w:type="spellEnd"/>
      <w:r w:rsidRPr="00317682">
        <w:rPr>
          <w:color w:val="000000"/>
        </w:rPr>
        <w:t xml:space="preserve"> </w:t>
      </w:r>
      <w:r w:rsidR="00725C2E" w:rsidRPr="00317682">
        <w:rPr>
          <w:color w:val="000000"/>
        </w:rPr>
        <w:t>&amp;</w:t>
      </w:r>
      <w:r w:rsidRPr="00317682">
        <w:rPr>
          <w:color w:val="000000"/>
        </w:rPr>
        <w:t xml:space="preserve"> Massimo </w:t>
      </w:r>
      <w:proofErr w:type="spellStart"/>
      <w:r w:rsidRPr="00317682">
        <w:rPr>
          <w:color w:val="000000"/>
        </w:rPr>
        <w:t>Mastruzzi</w:t>
      </w:r>
      <w:proofErr w:type="spellEnd"/>
      <w:r w:rsidR="00725C2E" w:rsidRPr="00317682">
        <w:rPr>
          <w:color w:val="000000"/>
        </w:rPr>
        <w:t>,</w:t>
      </w:r>
      <w:r w:rsidRPr="00317682">
        <w:rPr>
          <w:color w:val="000000"/>
        </w:rPr>
        <w:t xml:space="preserve"> </w:t>
      </w:r>
      <w:r w:rsidRPr="00317682">
        <w:rPr>
          <w:i/>
          <w:color w:val="000000"/>
        </w:rPr>
        <w:t xml:space="preserve">Governance </w:t>
      </w:r>
      <w:r w:rsidR="006E6B0D" w:rsidRPr="00317682">
        <w:rPr>
          <w:i/>
          <w:color w:val="000000"/>
        </w:rPr>
        <w:t xml:space="preserve">matters </w:t>
      </w:r>
      <w:r w:rsidRPr="00317682">
        <w:rPr>
          <w:i/>
          <w:color w:val="000000"/>
        </w:rPr>
        <w:t xml:space="preserve">VI: </w:t>
      </w:r>
      <w:r w:rsidR="00725C2E" w:rsidRPr="00317682">
        <w:rPr>
          <w:i/>
          <w:color w:val="000000"/>
        </w:rPr>
        <w:t>aggregate and individual governance indicators 1996–</w:t>
      </w:r>
      <w:r w:rsidRPr="00317682">
        <w:rPr>
          <w:i/>
          <w:color w:val="000000"/>
        </w:rPr>
        <w:t>2006</w:t>
      </w:r>
      <w:r w:rsidRPr="00317682">
        <w:rPr>
          <w:color w:val="000000"/>
        </w:rPr>
        <w:t xml:space="preserve">, </w:t>
      </w:r>
      <w:r w:rsidRPr="00317682">
        <w:rPr>
          <w:color w:val="000000"/>
          <w:lang w:val="en-US"/>
        </w:rPr>
        <w:t xml:space="preserve">World Bank Policy Research Working Paper 4280, July 2007 </w:t>
      </w:r>
      <w:r w:rsidR="00725C2E" w:rsidRPr="00317682">
        <w:rPr>
          <w:color w:val="000000"/>
          <w:lang w:val="en-US"/>
        </w:rPr>
        <w:t>&lt;</w:t>
      </w:r>
      <w:r w:rsidRPr="00317682">
        <w:rPr>
          <w:color w:val="000000"/>
          <w:lang w:val="en-US"/>
        </w:rPr>
        <w:t>http://papers.ssrn.com/sol3/papers.cfm?abstract_id=1148386</w:t>
      </w:r>
      <w:r w:rsidR="00725C2E" w:rsidRPr="00317682">
        <w:rPr>
          <w:color w:val="000000"/>
          <w:lang w:val="en-US"/>
        </w:rPr>
        <w:t>&gt;</w:t>
      </w:r>
      <w:r w:rsidRPr="00317682">
        <w:rPr>
          <w:color w:val="000000"/>
        </w:rPr>
        <w:t xml:space="preserve">. </w:t>
      </w:r>
    </w:p>
    <w:p w:rsidR="00725C2E" w:rsidRPr="00317682" w:rsidRDefault="00725C2E" w:rsidP="00725C2E">
      <w:pPr>
        <w:pStyle w:val="BodyText"/>
        <w:rPr>
          <w:color w:val="000000"/>
        </w:rPr>
      </w:pPr>
      <w:r w:rsidRPr="00317682">
        <w:rPr>
          <w:color w:val="000000"/>
        </w:rPr>
        <w:t xml:space="preserve">Governance in the </w:t>
      </w:r>
      <w:r w:rsidR="00C41CF5" w:rsidRPr="00317682">
        <w:rPr>
          <w:color w:val="000000"/>
        </w:rPr>
        <w:t xml:space="preserve">Asia-Pacific </w:t>
      </w:r>
      <w:r w:rsidRPr="00317682">
        <w:rPr>
          <w:color w:val="000000"/>
        </w:rPr>
        <w:t xml:space="preserve">region is shaped not only by political history and economy, but also by culture and terrain. Ethno-linguistic diversity, as in </w:t>
      </w:r>
      <w:smartTag w:uri="urn:schemas-microsoft-com:office:smarttags" w:element="country-region">
        <w:r w:rsidRPr="00317682">
          <w:rPr>
            <w:color w:val="000000"/>
          </w:rPr>
          <w:t>Indonesia</w:t>
        </w:r>
      </w:smartTag>
      <w:r w:rsidRPr="00317682">
        <w:rPr>
          <w:color w:val="000000"/>
        </w:rPr>
        <w:t xml:space="preserve"> and parts of Melanesia, and geographic remoteness from the capital, as in the large archipelagos of </w:t>
      </w:r>
      <w:smartTag w:uri="urn:schemas-microsoft-com:office:smarttags" w:element="country-region">
        <w:r w:rsidRPr="00317682">
          <w:rPr>
            <w:color w:val="000000"/>
          </w:rPr>
          <w:t>Indonesia</w:t>
        </w:r>
      </w:smartTag>
      <w:r w:rsidRPr="00317682">
        <w:rPr>
          <w:color w:val="000000"/>
        </w:rPr>
        <w:t xml:space="preserve"> and the Pacific or the rugged terrain of </w:t>
      </w:r>
      <w:smartTag w:uri="urn:schemas-microsoft-com:office:smarttags" w:element="place">
        <w:smartTag w:uri="urn:schemas-microsoft-com:office:smarttags" w:element="country-region">
          <w:r w:rsidR="000834AF" w:rsidRPr="00317682">
            <w:rPr>
              <w:color w:val="000000"/>
            </w:rPr>
            <w:t>Papua New Guinea</w:t>
          </w:r>
        </w:smartTag>
      </w:smartTag>
      <w:r w:rsidRPr="00317682">
        <w:rPr>
          <w:color w:val="000000"/>
        </w:rPr>
        <w:t>, create specific challenges for governance and development. National</w:t>
      </w:r>
      <w:r w:rsidR="000834AF" w:rsidRPr="00317682">
        <w:rPr>
          <w:color w:val="000000"/>
        </w:rPr>
        <w:t>-</w:t>
      </w:r>
      <w:r w:rsidRPr="00317682">
        <w:rPr>
          <w:color w:val="000000"/>
        </w:rPr>
        <w:t xml:space="preserve">level indicators can mask significant variation at the </w:t>
      </w:r>
      <w:r w:rsidR="00530428" w:rsidRPr="00317682">
        <w:rPr>
          <w:color w:val="000000"/>
        </w:rPr>
        <w:t>sub</w:t>
      </w:r>
      <w:r w:rsidRPr="00317682">
        <w:rPr>
          <w:color w:val="000000"/>
        </w:rPr>
        <w:t>national level and the challenges of effective governance across a complex nation.</w:t>
      </w:r>
    </w:p>
    <w:p w:rsidR="00606966" w:rsidRPr="00317682" w:rsidRDefault="00606966" w:rsidP="00606966">
      <w:pPr>
        <w:pStyle w:val="BodyText"/>
        <w:rPr>
          <w:color w:val="000000"/>
        </w:rPr>
      </w:pPr>
      <w:r w:rsidRPr="00317682">
        <w:rPr>
          <w:color w:val="000000"/>
        </w:rPr>
        <w:t xml:space="preserve">Where governance is weak, the opportunities for corruption are increased. Corruption remains </w:t>
      </w:r>
      <w:r w:rsidR="00530428" w:rsidRPr="00317682">
        <w:rPr>
          <w:color w:val="000000"/>
        </w:rPr>
        <w:t>a serious challenge in the Asia-</w:t>
      </w:r>
      <w:r w:rsidRPr="00317682">
        <w:rPr>
          <w:color w:val="000000"/>
        </w:rPr>
        <w:t xml:space="preserve">Pacific </w:t>
      </w:r>
      <w:r w:rsidR="00530428" w:rsidRPr="00317682">
        <w:rPr>
          <w:color w:val="000000"/>
        </w:rPr>
        <w:t>region</w:t>
      </w:r>
      <w:r w:rsidRPr="00317682">
        <w:rPr>
          <w:color w:val="000000"/>
        </w:rPr>
        <w:t>.</w:t>
      </w:r>
      <w:r w:rsidR="00C16EB4" w:rsidRPr="00317682">
        <w:rPr>
          <w:color w:val="000000"/>
        </w:rPr>
        <w:t xml:space="preserve"> </w:t>
      </w:r>
      <w:r w:rsidR="000834AF" w:rsidRPr="00317682">
        <w:rPr>
          <w:color w:val="000000"/>
        </w:rPr>
        <w:t>O</w:t>
      </w:r>
      <w:r w:rsidRPr="00317682">
        <w:rPr>
          <w:color w:val="000000"/>
        </w:rPr>
        <w:t xml:space="preserve">f the 32 countries in the region ranked </w:t>
      </w:r>
      <w:r w:rsidR="00C41CF5" w:rsidRPr="00317682">
        <w:rPr>
          <w:color w:val="000000"/>
        </w:rPr>
        <w:t xml:space="preserve">in </w:t>
      </w:r>
      <w:r w:rsidRPr="00317682">
        <w:rPr>
          <w:color w:val="000000"/>
        </w:rPr>
        <w:t>Transparency International’s Corruption Perceptions Index</w:t>
      </w:r>
      <w:r w:rsidR="00C16EB4" w:rsidRPr="00317682">
        <w:rPr>
          <w:color w:val="000000"/>
        </w:rPr>
        <w:t xml:space="preserve"> </w:t>
      </w:r>
      <w:r w:rsidRPr="00317682">
        <w:rPr>
          <w:color w:val="000000"/>
        </w:rPr>
        <w:t>in 2007, 22 register scores below five ‘indicating that most of the countries in the region face serious perceived levels of domestic corruption’.</w:t>
      </w:r>
      <w:r w:rsidRPr="00317682">
        <w:rPr>
          <w:rStyle w:val="FootnoteReference"/>
          <w:color w:val="000000"/>
          <w:sz w:val="12"/>
        </w:rPr>
        <w:footnoteReference w:id="7"/>
      </w:r>
      <w:r w:rsidRPr="00317682">
        <w:rPr>
          <w:color w:val="000000"/>
        </w:rPr>
        <w:t xml:space="preserve"> While perceived levels do not necessarily reflect the actual extent of corruption in a given country, they do provide a useful gauge on which to measure how governments are being viewed by their citizens.</w:t>
      </w:r>
      <w:r w:rsidR="00C16EB4" w:rsidRPr="00317682">
        <w:rPr>
          <w:color w:val="000000"/>
        </w:rPr>
        <w:t xml:space="preserve"> </w:t>
      </w:r>
      <w:r w:rsidRPr="00317682">
        <w:rPr>
          <w:color w:val="000000"/>
        </w:rPr>
        <w:t>The c</w:t>
      </w:r>
      <w:r w:rsidR="00530428" w:rsidRPr="00317682">
        <w:rPr>
          <w:color w:val="000000"/>
        </w:rPr>
        <w:t>orruption challenge in the Asia-</w:t>
      </w:r>
      <w:r w:rsidRPr="00317682">
        <w:rPr>
          <w:color w:val="000000"/>
        </w:rPr>
        <w:t xml:space="preserve">Pacific </w:t>
      </w:r>
      <w:r w:rsidR="00530428" w:rsidRPr="00317682">
        <w:rPr>
          <w:color w:val="000000"/>
        </w:rPr>
        <w:t xml:space="preserve">region </w:t>
      </w:r>
      <w:r w:rsidRPr="00317682">
        <w:rPr>
          <w:color w:val="000000"/>
        </w:rPr>
        <w:t>is also reflected in the World Bank’s 2006 ‘control of corruption’ indicator, with Indonesia, East Timor and Laos falling in the lowest quart</w:t>
      </w:r>
      <w:r w:rsidR="00906E3A" w:rsidRPr="00317682">
        <w:rPr>
          <w:color w:val="000000"/>
        </w:rPr>
        <w:t>ile (bottom 25 per cent),</w:t>
      </w:r>
      <w:r w:rsidRPr="00317682">
        <w:rPr>
          <w:color w:val="000000"/>
        </w:rPr>
        <w:t xml:space="preserve"> and </w:t>
      </w:r>
      <w:r w:rsidR="00170336" w:rsidRPr="00317682">
        <w:rPr>
          <w:color w:val="000000"/>
        </w:rPr>
        <w:t>Papua </w:t>
      </w:r>
      <w:r w:rsidR="001B653E" w:rsidRPr="00317682">
        <w:rPr>
          <w:color w:val="000000"/>
        </w:rPr>
        <w:t>N</w:t>
      </w:r>
      <w:r w:rsidR="00906E3A" w:rsidRPr="00317682">
        <w:rPr>
          <w:color w:val="000000"/>
        </w:rPr>
        <w:t>ew Guinea</w:t>
      </w:r>
      <w:r w:rsidRPr="00317682">
        <w:rPr>
          <w:color w:val="000000"/>
        </w:rPr>
        <w:t xml:space="preserve">, Cambodia and Burma in the lowest </w:t>
      </w:r>
      <w:proofErr w:type="spellStart"/>
      <w:r w:rsidR="00906E3A" w:rsidRPr="00317682">
        <w:rPr>
          <w:color w:val="000000"/>
        </w:rPr>
        <w:t>dec</w:t>
      </w:r>
      <w:r w:rsidRPr="00317682">
        <w:rPr>
          <w:color w:val="000000"/>
        </w:rPr>
        <w:t>ile</w:t>
      </w:r>
      <w:proofErr w:type="spellEnd"/>
      <w:r w:rsidR="00906E3A" w:rsidRPr="00317682">
        <w:rPr>
          <w:color w:val="000000"/>
        </w:rPr>
        <w:t xml:space="preserve"> (bottom 10 per cent)</w:t>
      </w:r>
      <w:r w:rsidRPr="00317682">
        <w:rPr>
          <w:color w:val="000000"/>
        </w:rPr>
        <w:t>.</w:t>
      </w:r>
    </w:p>
    <w:p w:rsidR="00606966" w:rsidRPr="00317682" w:rsidRDefault="00606966" w:rsidP="006D106B">
      <w:pPr>
        <w:pStyle w:val="Heading2unnumbered"/>
        <w:spacing w:before="360"/>
        <w:rPr>
          <w:color w:val="000000"/>
        </w:rPr>
      </w:pPr>
      <w:bookmarkStart w:id="12" w:name="_Toc202340873"/>
      <w:bookmarkStart w:id="13" w:name="_Toc207514534"/>
      <w:bookmarkStart w:id="14" w:name="_Toc222041481"/>
      <w:r w:rsidRPr="00317682">
        <w:rPr>
          <w:color w:val="000000"/>
        </w:rPr>
        <w:lastRenderedPageBreak/>
        <w:t>Governance programming</w:t>
      </w:r>
      <w:bookmarkEnd w:id="12"/>
      <w:bookmarkEnd w:id="13"/>
      <w:bookmarkEnd w:id="14"/>
    </w:p>
    <w:p w:rsidR="00606966" w:rsidRPr="00317682" w:rsidRDefault="00606966" w:rsidP="00606966">
      <w:pPr>
        <w:pStyle w:val="BodyText"/>
        <w:rPr>
          <w:color w:val="000000"/>
          <w:spacing w:val="-2"/>
        </w:rPr>
      </w:pPr>
      <w:r w:rsidRPr="00317682">
        <w:rPr>
          <w:color w:val="000000"/>
          <w:spacing w:val="-2"/>
        </w:rPr>
        <w:t xml:space="preserve">The governance sector accounts for around one-third of </w:t>
      </w:r>
      <w:smartTag w:uri="urn:schemas-microsoft-com:office:smarttags" w:element="place">
        <w:smartTag w:uri="urn:schemas-microsoft-com:office:smarttags" w:element="country-region">
          <w:r w:rsidR="00C41CF5" w:rsidRPr="00317682">
            <w:rPr>
              <w:color w:val="000000"/>
              <w:spacing w:val="-2"/>
            </w:rPr>
            <w:t>Australia</w:t>
          </w:r>
        </w:smartTag>
      </w:smartTag>
      <w:r w:rsidR="00C41CF5" w:rsidRPr="00317682">
        <w:rPr>
          <w:color w:val="000000"/>
          <w:spacing w:val="-2"/>
        </w:rPr>
        <w:t xml:space="preserve">’s </w:t>
      </w:r>
      <w:r w:rsidR="006D106B" w:rsidRPr="00317682">
        <w:rPr>
          <w:color w:val="000000"/>
          <w:spacing w:val="-2"/>
        </w:rPr>
        <w:t xml:space="preserve">official development assistance </w:t>
      </w:r>
      <w:r w:rsidRPr="00317682">
        <w:rPr>
          <w:color w:val="000000"/>
          <w:spacing w:val="-2"/>
        </w:rPr>
        <w:t>(</w:t>
      </w:r>
      <w:r w:rsidR="006D106B" w:rsidRPr="00317682">
        <w:rPr>
          <w:color w:val="000000"/>
          <w:spacing w:val="-2"/>
        </w:rPr>
        <w:t>ODA</w:t>
      </w:r>
      <w:r w:rsidRPr="00317682">
        <w:rPr>
          <w:color w:val="000000"/>
          <w:spacing w:val="-2"/>
        </w:rPr>
        <w:t>).</w:t>
      </w:r>
      <w:r w:rsidR="00530428" w:rsidRPr="00317682">
        <w:rPr>
          <w:rStyle w:val="FootnoteReference"/>
          <w:color w:val="000000"/>
          <w:spacing w:val="-2"/>
          <w:sz w:val="12"/>
        </w:rPr>
        <w:footnoteReference w:id="8"/>
      </w:r>
      <w:r w:rsidRPr="00317682">
        <w:rPr>
          <w:color w:val="000000"/>
          <w:spacing w:val="-2"/>
        </w:rPr>
        <w:t xml:space="preserve"> </w:t>
      </w:r>
      <w:r w:rsidR="00BD6A33" w:rsidRPr="00317682">
        <w:rPr>
          <w:color w:val="000000"/>
          <w:spacing w:val="-2"/>
        </w:rPr>
        <w:t>In 2007–</w:t>
      </w:r>
      <w:r w:rsidR="00B36A64" w:rsidRPr="00317682">
        <w:rPr>
          <w:color w:val="000000"/>
          <w:spacing w:val="-2"/>
        </w:rPr>
        <w:t>08 an estimated 72 </w:t>
      </w:r>
      <w:r w:rsidRPr="00317682">
        <w:rPr>
          <w:color w:val="000000"/>
          <w:spacing w:val="-2"/>
        </w:rPr>
        <w:t>per</w:t>
      </w:r>
      <w:r w:rsidR="00B36A64" w:rsidRPr="00317682">
        <w:rPr>
          <w:color w:val="000000"/>
          <w:spacing w:val="-2"/>
        </w:rPr>
        <w:t xml:space="preserve"> </w:t>
      </w:r>
      <w:r w:rsidRPr="00317682">
        <w:rPr>
          <w:color w:val="000000"/>
          <w:spacing w:val="-2"/>
        </w:rPr>
        <w:t xml:space="preserve">cent of governance ODA was administered by </w:t>
      </w:r>
      <w:proofErr w:type="spellStart"/>
      <w:r w:rsidRPr="00317682">
        <w:rPr>
          <w:color w:val="000000"/>
          <w:spacing w:val="-2"/>
        </w:rPr>
        <w:t>AusAID</w:t>
      </w:r>
      <w:proofErr w:type="spellEnd"/>
      <w:r w:rsidRPr="00317682">
        <w:rPr>
          <w:color w:val="000000"/>
          <w:spacing w:val="-2"/>
        </w:rPr>
        <w:t xml:space="preserve"> and 28</w:t>
      </w:r>
      <w:r w:rsidR="00B36A64" w:rsidRPr="00317682">
        <w:rPr>
          <w:color w:val="000000"/>
          <w:spacing w:val="-2"/>
        </w:rPr>
        <w:t> per cent</w:t>
      </w:r>
      <w:r w:rsidRPr="00317682">
        <w:rPr>
          <w:color w:val="000000"/>
          <w:spacing w:val="-2"/>
        </w:rPr>
        <w:t xml:space="preserve"> by other government agencies. Although a significant portion of this development assistance </w:t>
      </w:r>
      <w:r w:rsidR="00C41CF5" w:rsidRPr="00317682">
        <w:rPr>
          <w:color w:val="000000"/>
          <w:spacing w:val="-2"/>
        </w:rPr>
        <w:t xml:space="preserve">was </w:t>
      </w:r>
      <w:r w:rsidRPr="00317682">
        <w:rPr>
          <w:color w:val="000000"/>
          <w:spacing w:val="-2"/>
        </w:rPr>
        <w:t xml:space="preserve">administered by other government agencies, information required for reporting on the quality of those initiatives was not available for the purposes of this report. For this reason, the assessments made of the quality of governance activities relates </w:t>
      </w:r>
      <w:r w:rsidR="006D106B" w:rsidRPr="00317682">
        <w:rPr>
          <w:color w:val="000000"/>
          <w:spacing w:val="-2"/>
        </w:rPr>
        <w:t xml:space="preserve">to those administered by </w:t>
      </w:r>
      <w:proofErr w:type="spellStart"/>
      <w:r w:rsidR="006D106B" w:rsidRPr="00317682">
        <w:rPr>
          <w:color w:val="000000"/>
          <w:spacing w:val="-2"/>
        </w:rPr>
        <w:t>AusAID</w:t>
      </w:r>
      <w:proofErr w:type="spellEnd"/>
      <w:r w:rsidRPr="00317682">
        <w:rPr>
          <w:color w:val="000000"/>
          <w:spacing w:val="-2"/>
        </w:rPr>
        <w:t xml:space="preserve"> and for which quality reporting data </w:t>
      </w:r>
      <w:r w:rsidR="006D106B" w:rsidRPr="00317682">
        <w:rPr>
          <w:color w:val="000000"/>
          <w:spacing w:val="-2"/>
        </w:rPr>
        <w:t>were</w:t>
      </w:r>
      <w:r w:rsidRPr="00317682">
        <w:rPr>
          <w:color w:val="000000"/>
          <w:spacing w:val="-2"/>
        </w:rPr>
        <w:t xml:space="preserve"> available. In addition to activity </w:t>
      </w:r>
      <w:r w:rsidR="006D106B" w:rsidRPr="00317682">
        <w:rPr>
          <w:color w:val="000000"/>
          <w:spacing w:val="-2"/>
        </w:rPr>
        <w:t>that</w:t>
      </w:r>
      <w:r w:rsidRPr="00317682">
        <w:rPr>
          <w:color w:val="000000"/>
          <w:spacing w:val="-2"/>
        </w:rPr>
        <w:t xml:space="preserve"> is coded as governance, a significant amount of what is, in effect, governance activity is </w:t>
      </w:r>
      <w:r w:rsidR="006D106B" w:rsidRPr="00317682">
        <w:rPr>
          <w:color w:val="000000"/>
          <w:spacing w:val="-2"/>
        </w:rPr>
        <w:t xml:space="preserve">embedded </w:t>
      </w:r>
      <w:r w:rsidRPr="00317682">
        <w:rPr>
          <w:color w:val="000000"/>
          <w:spacing w:val="-2"/>
        </w:rPr>
        <w:t>in the work of other sectors such as health, education and infrastructure.</w:t>
      </w:r>
      <w:r w:rsidR="00C16EB4" w:rsidRPr="00317682">
        <w:rPr>
          <w:color w:val="000000"/>
          <w:spacing w:val="-2"/>
        </w:rPr>
        <w:t xml:space="preserve"> </w:t>
      </w:r>
    </w:p>
    <w:p w:rsidR="00606966" w:rsidRPr="00317682" w:rsidRDefault="00606966" w:rsidP="00606966">
      <w:pPr>
        <w:pStyle w:val="BodyText"/>
        <w:rPr>
          <w:color w:val="000000"/>
        </w:rPr>
      </w:pPr>
      <w:r w:rsidRPr="00317682">
        <w:rPr>
          <w:color w:val="000000"/>
        </w:rPr>
        <w:t>While there are many hundreds of governance</w:t>
      </w:r>
      <w:r w:rsidR="007D6267" w:rsidRPr="00317682">
        <w:rPr>
          <w:color w:val="000000"/>
        </w:rPr>
        <w:t>-</w:t>
      </w:r>
      <w:r w:rsidRPr="00317682">
        <w:rPr>
          <w:color w:val="000000"/>
        </w:rPr>
        <w:t xml:space="preserve">related activities </w:t>
      </w:r>
      <w:r w:rsidR="007D6267" w:rsidRPr="00317682">
        <w:rPr>
          <w:color w:val="000000"/>
        </w:rPr>
        <w:t>agency</w:t>
      </w:r>
      <w:r w:rsidRPr="00317682">
        <w:rPr>
          <w:color w:val="000000"/>
        </w:rPr>
        <w:t xml:space="preserve">-wide, due to </w:t>
      </w:r>
      <w:r w:rsidR="007D6267" w:rsidRPr="00317682">
        <w:rPr>
          <w:color w:val="000000"/>
        </w:rPr>
        <w:t xml:space="preserve">the </w:t>
      </w:r>
      <w:r w:rsidRPr="00317682">
        <w:rPr>
          <w:color w:val="000000"/>
        </w:rPr>
        <w:t>size of</w:t>
      </w:r>
      <w:r w:rsidR="007D6267" w:rsidRPr="00317682">
        <w:rPr>
          <w:color w:val="000000"/>
        </w:rPr>
        <w:t> </w:t>
      </w:r>
      <w:r w:rsidRPr="00317682">
        <w:rPr>
          <w:color w:val="000000"/>
        </w:rPr>
        <w:t xml:space="preserve">the governance portfolio, assessments in this report </w:t>
      </w:r>
      <w:r w:rsidR="007D6267" w:rsidRPr="00317682">
        <w:rPr>
          <w:color w:val="000000"/>
        </w:rPr>
        <w:t>are</w:t>
      </w:r>
      <w:r w:rsidRPr="00317682">
        <w:rPr>
          <w:color w:val="000000"/>
        </w:rPr>
        <w:t xml:space="preserve"> based on the 100 projects that had</w:t>
      </w:r>
      <w:r w:rsidR="007D6267" w:rsidRPr="00317682">
        <w:rPr>
          <w:color w:val="000000"/>
        </w:rPr>
        <w:t> </w:t>
      </w:r>
      <w:r w:rsidR="00530428" w:rsidRPr="00317682">
        <w:rPr>
          <w:color w:val="000000"/>
        </w:rPr>
        <w:t xml:space="preserve">quality-at-implementation </w:t>
      </w:r>
      <w:r w:rsidR="007D6267" w:rsidRPr="00317682">
        <w:rPr>
          <w:color w:val="000000"/>
        </w:rPr>
        <w:t xml:space="preserve">(QAI) </w:t>
      </w:r>
      <w:r w:rsidRPr="00317682">
        <w:rPr>
          <w:color w:val="000000"/>
        </w:rPr>
        <w:t>reports and that were valued at $3 million</w:t>
      </w:r>
      <w:r w:rsidR="00530428" w:rsidRPr="00317682">
        <w:rPr>
          <w:color w:val="000000"/>
        </w:rPr>
        <w:t xml:space="preserve"> or </w:t>
      </w:r>
      <w:r w:rsidR="007D6267" w:rsidRPr="00317682">
        <w:rPr>
          <w:color w:val="000000"/>
        </w:rPr>
        <w:t xml:space="preserve">more </w:t>
      </w:r>
      <w:r w:rsidR="00530428" w:rsidRPr="00317682">
        <w:rPr>
          <w:color w:val="000000"/>
        </w:rPr>
        <w:t>for 2007–</w:t>
      </w:r>
      <w:r w:rsidRPr="00317682">
        <w:rPr>
          <w:color w:val="000000"/>
        </w:rPr>
        <w:t>08.</w:t>
      </w:r>
      <w:r w:rsidR="00C16EB4" w:rsidRPr="00317682">
        <w:rPr>
          <w:color w:val="000000"/>
        </w:rPr>
        <w:t xml:space="preserve"> </w:t>
      </w:r>
      <w:r w:rsidRPr="00317682">
        <w:rPr>
          <w:color w:val="000000"/>
        </w:rPr>
        <w:t>This excludes institutional strengthening activities embedded in other sectors.</w:t>
      </w:r>
      <w:r w:rsidR="00C16EB4" w:rsidRPr="00317682">
        <w:rPr>
          <w:color w:val="000000"/>
        </w:rPr>
        <w:t xml:space="preserve"> </w:t>
      </w:r>
      <w:r w:rsidRPr="00317682">
        <w:rPr>
          <w:color w:val="000000"/>
        </w:rPr>
        <w:t>Activities were assessed on implementation progress, meeting objectives, monitoring and evaluation</w:t>
      </w:r>
      <w:r w:rsidR="00C41CF5" w:rsidRPr="00317682">
        <w:rPr>
          <w:color w:val="000000"/>
        </w:rPr>
        <w:t>,</w:t>
      </w:r>
      <w:r w:rsidRPr="00317682">
        <w:rPr>
          <w:color w:val="000000"/>
        </w:rPr>
        <w:t xml:space="preserve"> and sustainability. Around </w:t>
      </w:r>
      <w:r w:rsidR="00B36A64" w:rsidRPr="00317682">
        <w:rPr>
          <w:color w:val="000000"/>
        </w:rPr>
        <w:t>78 per cent</w:t>
      </w:r>
      <w:r w:rsidRPr="00317682">
        <w:rPr>
          <w:color w:val="000000"/>
        </w:rPr>
        <w:t xml:space="preserve"> of activities were rated as satisfactory.</w:t>
      </w:r>
      <w:r w:rsidR="00C16EB4" w:rsidRPr="00317682">
        <w:rPr>
          <w:color w:val="000000"/>
        </w:rPr>
        <w:t xml:space="preserve"> </w:t>
      </w:r>
      <w:r w:rsidRPr="00317682">
        <w:rPr>
          <w:color w:val="000000"/>
        </w:rPr>
        <w:t>Of</w:t>
      </w:r>
      <w:r w:rsidR="007D6267" w:rsidRPr="00317682">
        <w:rPr>
          <w:color w:val="000000"/>
        </w:rPr>
        <w:t> </w:t>
      </w:r>
      <w:r w:rsidRPr="00317682">
        <w:rPr>
          <w:color w:val="000000"/>
        </w:rPr>
        <w:t>these, roughly half required improvement, while the other half are of good or very good quality.</w:t>
      </w:r>
      <w:r w:rsidR="00C16EB4" w:rsidRPr="00317682">
        <w:rPr>
          <w:color w:val="000000"/>
        </w:rPr>
        <w:t xml:space="preserve"> </w:t>
      </w:r>
      <w:r w:rsidR="00B36A64" w:rsidRPr="00317682">
        <w:rPr>
          <w:color w:val="000000"/>
        </w:rPr>
        <w:t>Twenty-</w:t>
      </w:r>
      <w:r w:rsidRPr="00317682">
        <w:rPr>
          <w:color w:val="000000"/>
        </w:rPr>
        <w:t>two</w:t>
      </w:r>
      <w:r w:rsidR="00B36A64" w:rsidRPr="00317682">
        <w:rPr>
          <w:color w:val="000000"/>
        </w:rPr>
        <w:t> per cent</w:t>
      </w:r>
      <w:r w:rsidRPr="00317682">
        <w:rPr>
          <w:color w:val="000000"/>
        </w:rPr>
        <w:t xml:space="preserve"> were rated </w:t>
      </w:r>
      <w:r w:rsidR="007D6267" w:rsidRPr="00317682">
        <w:rPr>
          <w:color w:val="000000"/>
        </w:rPr>
        <w:t xml:space="preserve">as </w:t>
      </w:r>
      <w:r w:rsidRPr="00317682">
        <w:rPr>
          <w:color w:val="000000"/>
        </w:rPr>
        <w:t>less than satisfactory.</w:t>
      </w:r>
    </w:p>
    <w:p w:rsidR="00606966" w:rsidRPr="00317682" w:rsidRDefault="00606966" w:rsidP="00606966">
      <w:pPr>
        <w:pStyle w:val="BodyText"/>
        <w:rPr>
          <w:color w:val="000000"/>
        </w:rPr>
      </w:pPr>
      <w:r w:rsidRPr="00317682">
        <w:rPr>
          <w:color w:val="000000"/>
        </w:rPr>
        <w:t>Governance ODA is grouped for reporting purposes into five broad categories: economic management; public sector reform; legal and judicial development; improved democratic processes; and civil society and human rights.</w:t>
      </w:r>
      <w:r w:rsidRPr="00317682">
        <w:rPr>
          <w:rStyle w:val="FootnoteReference"/>
          <w:color w:val="000000"/>
          <w:sz w:val="12"/>
        </w:rPr>
        <w:footnoteReference w:id="9"/>
      </w:r>
      <w:r w:rsidR="00C16EB4" w:rsidRPr="00317682">
        <w:rPr>
          <w:color w:val="000000"/>
        </w:rPr>
        <w:t xml:space="preserve"> </w:t>
      </w:r>
      <w:r w:rsidR="005D1C22" w:rsidRPr="00317682">
        <w:rPr>
          <w:color w:val="000000"/>
        </w:rPr>
        <w:t>E</w:t>
      </w:r>
      <w:r w:rsidRPr="00317682">
        <w:rPr>
          <w:color w:val="000000"/>
        </w:rPr>
        <w:t xml:space="preserve">xpenditure </w:t>
      </w:r>
      <w:r w:rsidR="005D1C22" w:rsidRPr="00317682">
        <w:rPr>
          <w:color w:val="000000"/>
        </w:rPr>
        <w:t xml:space="preserve">on the activities assessed for their quality at implementation in 2007–08 was an estimated </w:t>
      </w:r>
      <w:r w:rsidRPr="00317682">
        <w:rPr>
          <w:color w:val="000000"/>
        </w:rPr>
        <w:t>$553 million</w:t>
      </w:r>
      <w:r w:rsidR="009407ED" w:rsidRPr="00317682">
        <w:rPr>
          <w:color w:val="000000"/>
        </w:rPr>
        <w:t xml:space="preserve"> (Table 2)</w:t>
      </w:r>
      <w:r w:rsidRPr="00317682">
        <w:rPr>
          <w:color w:val="000000"/>
        </w:rPr>
        <w:t>.</w:t>
      </w:r>
      <w:r w:rsidRPr="00317682">
        <w:rPr>
          <w:rStyle w:val="FootnoteReference"/>
          <w:color w:val="000000"/>
          <w:sz w:val="12"/>
        </w:rPr>
        <w:footnoteReference w:id="10"/>
      </w:r>
      <w:r w:rsidRPr="00317682">
        <w:rPr>
          <w:color w:val="000000"/>
        </w:rPr>
        <w:t xml:space="preserve"> </w:t>
      </w:r>
    </w:p>
    <w:p w:rsidR="00606966" w:rsidRPr="00317682" w:rsidRDefault="00606966" w:rsidP="006D106B">
      <w:pPr>
        <w:pStyle w:val="Caption"/>
        <w:rPr>
          <w:rStyle w:val="NoteLabel"/>
          <w:color w:val="000000"/>
        </w:rPr>
      </w:pPr>
      <w:r w:rsidRPr="00317682">
        <w:rPr>
          <w:color w:val="000000"/>
        </w:rPr>
        <w:t xml:space="preserve">Table </w:t>
      </w:r>
      <w:r w:rsidRPr="00317682">
        <w:rPr>
          <w:color w:val="000000"/>
        </w:rPr>
        <w:fldChar w:fldCharType="begin"/>
      </w:r>
      <w:r w:rsidRPr="00317682">
        <w:rPr>
          <w:color w:val="000000"/>
        </w:rPr>
        <w:instrText xml:space="preserve"> SEQ Table \* MERGEFORMAT </w:instrText>
      </w:r>
      <w:r w:rsidRPr="00317682">
        <w:rPr>
          <w:color w:val="000000"/>
        </w:rPr>
        <w:fldChar w:fldCharType="separate"/>
      </w:r>
      <w:r w:rsidR="00FE316A" w:rsidRPr="00317682">
        <w:rPr>
          <w:noProof/>
          <w:color w:val="000000"/>
        </w:rPr>
        <w:t>2</w:t>
      </w:r>
      <w:r w:rsidRPr="00317682">
        <w:rPr>
          <w:color w:val="000000"/>
        </w:rPr>
        <w:fldChar w:fldCharType="end"/>
      </w:r>
      <w:r w:rsidRPr="00317682">
        <w:rPr>
          <w:color w:val="000000"/>
        </w:rPr>
        <w:t xml:space="preserve">: </w:t>
      </w:r>
      <w:r w:rsidR="00C41CF5" w:rsidRPr="00317682">
        <w:rPr>
          <w:color w:val="000000"/>
        </w:rPr>
        <w:t>G</w:t>
      </w:r>
      <w:r w:rsidRPr="00317682">
        <w:rPr>
          <w:color w:val="000000"/>
        </w:rPr>
        <w:t xml:space="preserve">overnance </w:t>
      </w:r>
      <w:r w:rsidR="00C41CF5" w:rsidRPr="00317682">
        <w:rPr>
          <w:color w:val="000000"/>
        </w:rPr>
        <w:t>projects by category</w:t>
      </w:r>
      <w:r w:rsidRPr="00317682">
        <w:rPr>
          <w:rStyle w:val="NoteLabel"/>
          <w:color w:val="000000"/>
        </w:rPr>
        <w:t>a</w:t>
      </w:r>
    </w:p>
    <w:tbl>
      <w:tblPr>
        <w:tblW w:w="7938" w:type="dxa"/>
        <w:tblInd w:w="57" w:type="dxa"/>
        <w:tblLook w:val="0000" w:firstRow="0" w:lastRow="0" w:firstColumn="0" w:lastColumn="0" w:noHBand="0" w:noVBand="0"/>
      </w:tblPr>
      <w:tblGrid>
        <w:gridCol w:w="3348"/>
        <w:gridCol w:w="2016"/>
        <w:gridCol w:w="2574"/>
      </w:tblGrid>
      <w:tr w:rsidR="00606966" w:rsidRPr="00317682" w:rsidTr="00B35E8F">
        <w:trPr>
          <w:cantSplit/>
          <w:trHeight w:val="255"/>
          <w:tblHeader/>
        </w:trPr>
        <w:tc>
          <w:tcPr>
            <w:tcW w:w="3348" w:type="dxa"/>
            <w:tcBorders>
              <w:bottom w:val="single" w:sz="12" w:space="0" w:color="auto"/>
            </w:tcBorders>
            <w:noWrap/>
            <w:tcMar>
              <w:left w:w="57" w:type="dxa"/>
              <w:right w:w="57" w:type="dxa"/>
            </w:tcMar>
          </w:tcPr>
          <w:p w:rsidR="00606966" w:rsidRPr="00317682" w:rsidRDefault="00C41CF5" w:rsidP="00606966">
            <w:pPr>
              <w:pStyle w:val="TableDataColumnHeading"/>
              <w:jc w:val="left"/>
              <w:rPr>
                <w:color w:val="000000"/>
              </w:rPr>
            </w:pPr>
            <w:r w:rsidRPr="00317682">
              <w:rPr>
                <w:color w:val="000000"/>
              </w:rPr>
              <w:t>C</w:t>
            </w:r>
            <w:r w:rsidR="00606966" w:rsidRPr="00317682">
              <w:rPr>
                <w:color w:val="000000"/>
              </w:rPr>
              <w:t>ategory</w:t>
            </w:r>
          </w:p>
        </w:tc>
        <w:tc>
          <w:tcPr>
            <w:tcW w:w="2574" w:type="dxa"/>
            <w:tcBorders>
              <w:bottom w:val="single" w:sz="12" w:space="0" w:color="auto"/>
            </w:tcBorders>
          </w:tcPr>
          <w:p w:rsidR="00606966" w:rsidRPr="00317682" w:rsidRDefault="00606966" w:rsidP="00DB2E78">
            <w:pPr>
              <w:pStyle w:val="TableDataColumnHeading"/>
              <w:rPr>
                <w:color w:val="000000"/>
              </w:rPr>
            </w:pPr>
            <w:r w:rsidRPr="00317682">
              <w:rPr>
                <w:color w:val="000000"/>
              </w:rPr>
              <w:t>Number of activities</w:t>
            </w:r>
          </w:p>
        </w:tc>
        <w:tc>
          <w:tcPr>
            <w:tcW w:w="2574" w:type="dxa"/>
            <w:tcBorders>
              <w:bottom w:val="single" w:sz="12" w:space="0" w:color="auto"/>
            </w:tcBorders>
            <w:noWrap/>
            <w:tcMar>
              <w:left w:w="57" w:type="dxa"/>
              <w:right w:w="57" w:type="dxa"/>
            </w:tcMar>
          </w:tcPr>
          <w:p w:rsidR="00606966" w:rsidRPr="00317682" w:rsidRDefault="00C41CF5" w:rsidP="00606966">
            <w:pPr>
              <w:pStyle w:val="TableDataColumnHeading"/>
              <w:rPr>
                <w:color w:val="000000"/>
              </w:rPr>
            </w:pPr>
            <w:r w:rsidRPr="00317682">
              <w:rPr>
                <w:color w:val="000000"/>
              </w:rPr>
              <w:t xml:space="preserve">Funding </w:t>
            </w:r>
            <w:r w:rsidR="00606966" w:rsidRPr="00317682">
              <w:rPr>
                <w:color w:val="000000"/>
              </w:rPr>
              <w:t xml:space="preserve">approved </w:t>
            </w:r>
            <w:r w:rsidR="003F20A5" w:rsidRPr="00317682">
              <w:rPr>
                <w:color w:val="000000"/>
              </w:rPr>
              <w:t>in 20</w:t>
            </w:r>
            <w:r w:rsidR="00606966" w:rsidRPr="00317682">
              <w:rPr>
                <w:color w:val="000000"/>
              </w:rPr>
              <w:t>07</w:t>
            </w:r>
            <w:r w:rsidR="003F20A5" w:rsidRPr="00317682">
              <w:rPr>
                <w:color w:val="000000"/>
              </w:rPr>
              <w:t>–</w:t>
            </w:r>
            <w:r w:rsidR="00606966" w:rsidRPr="00317682">
              <w:rPr>
                <w:color w:val="000000"/>
              </w:rPr>
              <w:t>08</w:t>
            </w:r>
          </w:p>
        </w:tc>
      </w:tr>
      <w:tr w:rsidR="00606966" w:rsidRPr="00317682" w:rsidTr="00B35E8F">
        <w:trPr>
          <w:cantSplit/>
          <w:trHeight w:val="255"/>
        </w:trPr>
        <w:tc>
          <w:tcPr>
            <w:tcW w:w="3348" w:type="dxa"/>
            <w:tcBorders>
              <w:top w:val="single" w:sz="12" w:space="0" w:color="auto"/>
            </w:tcBorders>
            <w:noWrap/>
            <w:tcMar>
              <w:left w:w="57" w:type="dxa"/>
              <w:right w:w="57" w:type="dxa"/>
            </w:tcMar>
          </w:tcPr>
          <w:p w:rsidR="00606966" w:rsidRPr="00317682" w:rsidRDefault="00606966" w:rsidP="00606966">
            <w:pPr>
              <w:pStyle w:val="TableUnit"/>
              <w:jc w:val="left"/>
              <w:rPr>
                <w:color w:val="000000"/>
              </w:rPr>
            </w:pPr>
          </w:p>
        </w:tc>
        <w:tc>
          <w:tcPr>
            <w:tcW w:w="2574" w:type="dxa"/>
            <w:tcBorders>
              <w:top w:val="single" w:sz="12" w:space="0" w:color="auto"/>
            </w:tcBorders>
          </w:tcPr>
          <w:p w:rsidR="00606966" w:rsidRPr="00317682" w:rsidRDefault="00606966" w:rsidP="00DB2E78">
            <w:pPr>
              <w:pStyle w:val="TableUnit"/>
              <w:rPr>
                <w:color w:val="000000"/>
              </w:rPr>
            </w:pPr>
            <w:r w:rsidRPr="00317682">
              <w:rPr>
                <w:color w:val="000000"/>
              </w:rPr>
              <w:t>no.</w:t>
            </w:r>
          </w:p>
        </w:tc>
        <w:tc>
          <w:tcPr>
            <w:tcW w:w="2574" w:type="dxa"/>
            <w:tcBorders>
              <w:top w:val="single" w:sz="12" w:space="0" w:color="auto"/>
            </w:tcBorders>
            <w:noWrap/>
            <w:tcMar>
              <w:left w:w="57" w:type="dxa"/>
              <w:right w:w="57" w:type="dxa"/>
            </w:tcMar>
          </w:tcPr>
          <w:p w:rsidR="00606966" w:rsidRPr="00317682" w:rsidRDefault="00606966" w:rsidP="00606966">
            <w:pPr>
              <w:pStyle w:val="TableUnit"/>
              <w:rPr>
                <w:color w:val="000000"/>
              </w:rPr>
            </w:pPr>
            <w:r w:rsidRPr="00317682">
              <w:rPr>
                <w:color w:val="000000"/>
              </w:rPr>
              <w:t>$m</w:t>
            </w:r>
          </w:p>
        </w:tc>
      </w:tr>
      <w:tr w:rsidR="00606966" w:rsidRPr="00317682" w:rsidTr="00B35E8F">
        <w:trPr>
          <w:cantSplit/>
          <w:trHeight w:val="255"/>
        </w:trPr>
        <w:tc>
          <w:tcPr>
            <w:tcW w:w="3348" w:type="dxa"/>
            <w:noWrap/>
            <w:tcMar>
              <w:left w:w="57" w:type="dxa"/>
              <w:right w:w="57" w:type="dxa"/>
            </w:tcMar>
          </w:tcPr>
          <w:p w:rsidR="00606966" w:rsidRPr="00317682" w:rsidRDefault="00606966" w:rsidP="00606966">
            <w:pPr>
              <w:pStyle w:val="TableDataEntries"/>
              <w:jc w:val="left"/>
              <w:rPr>
                <w:color w:val="000000"/>
              </w:rPr>
            </w:pPr>
            <w:r w:rsidRPr="00317682">
              <w:rPr>
                <w:color w:val="000000"/>
              </w:rPr>
              <w:t xml:space="preserve">Economic </w:t>
            </w:r>
            <w:r w:rsidR="00530428" w:rsidRPr="00317682">
              <w:rPr>
                <w:color w:val="000000"/>
              </w:rPr>
              <w:t>management</w:t>
            </w:r>
          </w:p>
        </w:tc>
        <w:tc>
          <w:tcPr>
            <w:tcW w:w="2574" w:type="dxa"/>
          </w:tcPr>
          <w:p w:rsidR="00606966" w:rsidRPr="00317682" w:rsidRDefault="00606966" w:rsidP="00606966">
            <w:pPr>
              <w:pStyle w:val="TableDataEntries"/>
              <w:rPr>
                <w:color w:val="000000"/>
              </w:rPr>
            </w:pPr>
            <w:r w:rsidRPr="00317682">
              <w:rPr>
                <w:color w:val="000000"/>
              </w:rPr>
              <w:t>43</w:t>
            </w:r>
          </w:p>
        </w:tc>
        <w:tc>
          <w:tcPr>
            <w:tcW w:w="2574" w:type="dxa"/>
            <w:noWrap/>
            <w:tcMar>
              <w:left w:w="57" w:type="dxa"/>
              <w:right w:w="57" w:type="dxa"/>
            </w:tcMar>
          </w:tcPr>
          <w:p w:rsidR="00606966" w:rsidRPr="00317682" w:rsidRDefault="00606966" w:rsidP="00606966">
            <w:pPr>
              <w:pStyle w:val="TableDataEntries"/>
              <w:rPr>
                <w:color w:val="000000"/>
              </w:rPr>
            </w:pPr>
            <w:r w:rsidRPr="00317682">
              <w:rPr>
                <w:color w:val="000000"/>
              </w:rPr>
              <w:t>103</w:t>
            </w:r>
          </w:p>
        </w:tc>
      </w:tr>
      <w:tr w:rsidR="00606966" w:rsidRPr="00317682" w:rsidTr="00B35E8F">
        <w:trPr>
          <w:cantSplit/>
          <w:trHeight w:val="255"/>
        </w:trPr>
        <w:tc>
          <w:tcPr>
            <w:tcW w:w="3348" w:type="dxa"/>
            <w:noWrap/>
            <w:tcMar>
              <w:left w:w="57" w:type="dxa"/>
              <w:right w:w="57" w:type="dxa"/>
            </w:tcMar>
          </w:tcPr>
          <w:p w:rsidR="00606966" w:rsidRPr="00317682" w:rsidRDefault="00606966" w:rsidP="00606966">
            <w:pPr>
              <w:pStyle w:val="TableDataEntries"/>
              <w:jc w:val="left"/>
              <w:rPr>
                <w:color w:val="000000"/>
              </w:rPr>
            </w:pPr>
            <w:r w:rsidRPr="00317682">
              <w:rPr>
                <w:color w:val="000000"/>
              </w:rPr>
              <w:t xml:space="preserve">Public </w:t>
            </w:r>
            <w:r w:rsidR="00530428" w:rsidRPr="00317682">
              <w:rPr>
                <w:color w:val="000000"/>
              </w:rPr>
              <w:t>sector reform</w:t>
            </w:r>
          </w:p>
        </w:tc>
        <w:tc>
          <w:tcPr>
            <w:tcW w:w="2574" w:type="dxa"/>
          </w:tcPr>
          <w:p w:rsidR="00606966" w:rsidRPr="00317682" w:rsidRDefault="00606966" w:rsidP="00606966">
            <w:pPr>
              <w:pStyle w:val="TableDataEntries"/>
              <w:rPr>
                <w:color w:val="000000"/>
              </w:rPr>
            </w:pPr>
            <w:r w:rsidRPr="00317682">
              <w:rPr>
                <w:color w:val="000000"/>
              </w:rPr>
              <w:t>25</w:t>
            </w:r>
          </w:p>
        </w:tc>
        <w:tc>
          <w:tcPr>
            <w:tcW w:w="2574" w:type="dxa"/>
            <w:noWrap/>
            <w:tcMar>
              <w:left w:w="57" w:type="dxa"/>
              <w:right w:w="57" w:type="dxa"/>
            </w:tcMar>
          </w:tcPr>
          <w:p w:rsidR="00606966" w:rsidRPr="00317682" w:rsidRDefault="00606966" w:rsidP="00606966">
            <w:pPr>
              <w:pStyle w:val="TableDataEntries"/>
              <w:rPr>
                <w:color w:val="000000"/>
              </w:rPr>
            </w:pPr>
            <w:r w:rsidRPr="00317682">
              <w:rPr>
                <w:color w:val="000000"/>
              </w:rPr>
              <w:t>186</w:t>
            </w:r>
          </w:p>
        </w:tc>
      </w:tr>
      <w:tr w:rsidR="00606966" w:rsidRPr="00317682" w:rsidTr="00B35E8F">
        <w:trPr>
          <w:cantSplit/>
          <w:trHeight w:val="255"/>
        </w:trPr>
        <w:tc>
          <w:tcPr>
            <w:tcW w:w="3348" w:type="dxa"/>
            <w:noWrap/>
            <w:tcMar>
              <w:left w:w="57" w:type="dxa"/>
              <w:right w:w="57" w:type="dxa"/>
            </w:tcMar>
          </w:tcPr>
          <w:p w:rsidR="00606966" w:rsidRPr="00317682" w:rsidRDefault="00606966" w:rsidP="00606966">
            <w:pPr>
              <w:pStyle w:val="TableDataEntries"/>
              <w:jc w:val="left"/>
              <w:rPr>
                <w:color w:val="000000"/>
              </w:rPr>
            </w:pPr>
            <w:r w:rsidRPr="00317682">
              <w:rPr>
                <w:color w:val="000000"/>
              </w:rPr>
              <w:t xml:space="preserve">Legal </w:t>
            </w:r>
            <w:r w:rsidR="00530428" w:rsidRPr="00317682">
              <w:rPr>
                <w:color w:val="000000"/>
              </w:rPr>
              <w:t>and judicial development</w:t>
            </w:r>
          </w:p>
        </w:tc>
        <w:tc>
          <w:tcPr>
            <w:tcW w:w="2574" w:type="dxa"/>
          </w:tcPr>
          <w:p w:rsidR="00606966" w:rsidRPr="00317682" w:rsidRDefault="00606966" w:rsidP="00606966">
            <w:pPr>
              <w:pStyle w:val="TableDataEntries"/>
              <w:rPr>
                <w:color w:val="000000"/>
              </w:rPr>
            </w:pPr>
            <w:r w:rsidRPr="00317682">
              <w:rPr>
                <w:color w:val="000000"/>
              </w:rPr>
              <w:t>23</w:t>
            </w:r>
          </w:p>
        </w:tc>
        <w:tc>
          <w:tcPr>
            <w:tcW w:w="2574" w:type="dxa"/>
            <w:noWrap/>
            <w:tcMar>
              <w:left w:w="57" w:type="dxa"/>
              <w:right w:w="57" w:type="dxa"/>
            </w:tcMar>
          </w:tcPr>
          <w:p w:rsidR="00606966" w:rsidRPr="00317682" w:rsidRDefault="00606966" w:rsidP="00606966">
            <w:pPr>
              <w:pStyle w:val="TableDataEntries"/>
              <w:rPr>
                <w:color w:val="000000"/>
              </w:rPr>
            </w:pPr>
            <w:r w:rsidRPr="00317682">
              <w:rPr>
                <w:color w:val="000000"/>
              </w:rPr>
              <w:t>154</w:t>
            </w:r>
          </w:p>
        </w:tc>
      </w:tr>
      <w:tr w:rsidR="00606966" w:rsidRPr="00317682" w:rsidTr="00B35E8F">
        <w:trPr>
          <w:cantSplit/>
          <w:trHeight w:val="255"/>
        </w:trPr>
        <w:tc>
          <w:tcPr>
            <w:tcW w:w="3348" w:type="dxa"/>
            <w:noWrap/>
            <w:tcMar>
              <w:left w:w="57" w:type="dxa"/>
              <w:right w:w="57" w:type="dxa"/>
            </w:tcMar>
          </w:tcPr>
          <w:p w:rsidR="00606966" w:rsidRPr="00317682" w:rsidRDefault="00606966" w:rsidP="00606966">
            <w:pPr>
              <w:pStyle w:val="TableDataEntries"/>
              <w:jc w:val="left"/>
              <w:rPr>
                <w:color w:val="000000"/>
              </w:rPr>
            </w:pPr>
            <w:r w:rsidRPr="00317682">
              <w:rPr>
                <w:color w:val="000000"/>
              </w:rPr>
              <w:t xml:space="preserve">Civil </w:t>
            </w:r>
            <w:r w:rsidR="00530428" w:rsidRPr="00317682">
              <w:rPr>
                <w:color w:val="000000"/>
              </w:rPr>
              <w:t>society</w:t>
            </w:r>
          </w:p>
        </w:tc>
        <w:tc>
          <w:tcPr>
            <w:tcW w:w="2574" w:type="dxa"/>
          </w:tcPr>
          <w:p w:rsidR="00606966" w:rsidRPr="00317682" w:rsidRDefault="00606966" w:rsidP="00606966">
            <w:pPr>
              <w:pStyle w:val="TableDataEntries"/>
              <w:rPr>
                <w:color w:val="000000"/>
              </w:rPr>
            </w:pPr>
            <w:r w:rsidRPr="00317682">
              <w:rPr>
                <w:color w:val="000000"/>
              </w:rPr>
              <w:t>22</w:t>
            </w:r>
          </w:p>
        </w:tc>
        <w:tc>
          <w:tcPr>
            <w:tcW w:w="2574" w:type="dxa"/>
            <w:noWrap/>
            <w:tcMar>
              <w:left w:w="57" w:type="dxa"/>
              <w:right w:w="57" w:type="dxa"/>
            </w:tcMar>
          </w:tcPr>
          <w:p w:rsidR="00606966" w:rsidRPr="00317682" w:rsidRDefault="00606966" w:rsidP="00606966">
            <w:pPr>
              <w:pStyle w:val="TableDataEntries"/>
              <w:rPr>
                <w:color w:val="000000"/>
              </w:rPr>
            </w:pPr>
            <w:r w:rsidRPr="00317682">
              <w:rPr>
                <w:color w:val="000000"/>
              </w:rPr>
              <w:t>48</w:t>
            </w:r>
          </w:p>
        </w:tc>
      </w:tr>
      <w:tr w:rsidR="00606966" w:rsidRPr="00317682" w:rsidTr="00B35E8F">
        <w:trPr>
          <w:cantSplit/>
          <w:trHeight w:val="255"/>
        </w:trPr>
        <w:tc>
          <w:tcPr>
            <w:tcW w:w="3348" w:type="dxa"/>
            <w:noWrap/>
            <w:tcMar>
              <w:left w:w="57" w:type="dxa"/>
              <w:right w:w="57" w:type="dxa"/>
            </w:tcMar>
          </w:tcPr>
          <w:p w:rsidR="00606966" w:rsidRPr="00317682" w:rsidRDefault="00606966" w:rsidP="00606966">
            <w:pPr>
              <w:pStyle w:val="TableDataEntries"/>
              <w:jc w:val="left"/>
              <w:rPr>
                <w:color w:val="000000"/>
              </w:rPr>
            </w:pPr>
            <w:r w:rsidRPr="00317682">
              <w:rPr>
                <w:color w:val="000000"/>
              </w:rPr>
              <w:t xml:space="preserve">Political </w:t>
            </w:r>
            <w:r w:rsidR="00530428" w:rsidRPr="00317682">
              <w:rPr>
                <w:color w:val="000000"/>
              </w:rPr>
              <w:t>governance</w:t>
            </w:r>
          </w:p>
        </w:tc>
        <w:tc>
          <w:tcPr>
            <w:tcW w:w="2574" w:type="dxa"/>
          </w:tcPr>
          <w:p w:rsidR="00606966" w:rsidRPr="00317682" w:rsidRDefault="00606966" w:rsidP="00606966">
            <w:pPr>
              <w:pStyle w:val="TableDataEntries"/>
              <w:rPr>
                <w:color w:val="000000"/>
              </w:rPr>
            </w:pPr>
            <w:r w:rsidRPr="00317682">
              <w:rPr>
                <w:color w:val="000000"/>
              </w:rPr>
              <w:t>11</w:t>
            </w:r>
          </w:p>
        </w:tc>
        <w:tc>
          <w:tcPr>
            <w:tcW w:w="2574" w:type="dxa"/>
            <w:noWrap/>
            <w:tcMar>
              <w:left w:w="57" w:type="dxa"/>
              <w:right w:w="57" w:type="dxa"/>
            </w:tcMar>
          </w:tcPr>
          <w:p w:rsidR="00606966" w:rsidRPr="00317682" w:rsidRDefault="00606966" w:rsidP="00606966">
            <w:pPr>
              <w:pStyle w:val="TableDataEntries"/>
              <w:rPr>
                <w:color w:val="000000"/>
              </w:rPr>
            </w:pPr>
            <w:r w:rsidRPr="00317682">
              <w:rPr>
                <w:color w:val="000000"/>
              </w:rPr>
              <w:t>28</w:t>
            </w:r>
          </w:p>
        </w:tc>
      </w:tr>
      <w:tr w:rsidR="00606966" w:rsidRPr="00317682" w:rsidTr="00B35E8F">
        <w:trPr>
          <w:cantSplit/>
          <w:trHeight w:val="255"/>
        </w:trPr>
        <w:tc>
          <w:tcPr>
            <w:tcW w:w="3348" w:type="dxa"/>
            <w:noWrap/>
            <w:tcMar>
              <w:left w:w="57" w:type="dxa"/>
              <w:right w:w="57" w:type="dxa"/>
            </w:tcMar>
          </w:tcPr>
          <w:p w:rsidR="00606966" w:rsidRPr="00317682" w:rsidRDefault="00530428" w:rsidP="00606966">
            <w:pPr>
              <w:pStyle w:val="TableDataEntries"/>
              <w:jc w:val="left"/>
              <w:rPr>
                <w:color w:val="000000"/>
              </w:rPr>
            </w:pPr>
            <w:r w:rsidRPr="00317682">
              <w:rPr>
                <w:color w:val="000000"/>
              </w:rPr>
              <w:t>Non-specified/multi</w:t>
            </w:r>
            <w:r w:rsidR="00606966" w:rsidRPr="00317682">
              <w:rPr>
                <w:color w:val="000000"/>
              </w:rPr>
              <w:t>-category</w:t>
            </w:r>
          </w:p>
        </w:tc>
        <w:tc>
          <w:tcPr>
            <w:tcW w:w="2574" w:type="dxa"/>
          </w:tcPr>
          <w:p w:rsidR="00606966" w:rsidRPr="00317682" w:rsidRDefault="00606966" w:rsidP="00606966">
            <w:pPr>
              <w:pStyle w:val="TableDataEntries"/>
              <w:rPr>
                <w:color w:val="000000"/>
              </w:rPr>
            </w:pPr>
            <w:r w:rsidRPr="00317682">
              <w:rPr>
                <w:color w:val="000000"/>
              </w:rPr>
              <w:t>10</w:t>
            </w:r>
          </w:p>
        </w:tc>
        <w:tc>
          <w:tcPr>
            <w:tcW w:w="2574" w:type="dxa"/>
            <w:noWrap/>
            <w:tcMar>
              <w:left w:w="57" w:type="dxa"/>
              <w:right w:w="57" w:type="dxa"/>
            </w:tcMar>
          </w:tcPr>
          <w:p w:rsidR="00606966" w:rsidRPr="00317682" w:rsidRDefault="00606966" w:rsidP="00606966">
            <w:pPr>
              <w:pStyle w:val="TableDataEntries"/>
              <w:rPr>
                <w:color w:val="000000"/>
              </w:rPr>
            </w:pPr>
            <w:r w:rsidRPr="00317682">
              <w:rPr>
                <w:color w:val="000000"/>
              </w:rPr>
              <w:t>34</w:t>
            </w:r>
          </w:p>
        </w:tc>
      </w:tr>
      <w:tr w:rsidR="00606966" w:rsidRPr="00317682" w:rsidTr="00B35E8F">
        <w:trPr>
          <w:cantSplit/>
          <w:trHeight w:val="255"/>
        </w:trPr>
        <w:tc>
          <w:tcPr>
            <w:tcW w:w="3348" w:type="dxa"/>
            <w:tcBorders>
              <w:bottom w:val="single" w:sz="12" w:space="0" w:color="auto"/>
            </w:tcBorders>
            <w:noWrap/>
            <w:tcMar>
              <w:left w:w="57" w:type="dxa"/>
              <w:right w:w="57" w:type="dxa"/>
            </w:tcMar>
          </w:tcPr>
          <w:p w:rsidR="00606966" w:rsidRPr="00317682" w:rsidRDefault="00606966" w:rsidP="00530428">
            <w:pPr>
              <w:pStyle w:val="TableHeading1"/>
              <w:spacing w:after="40"/>
              <w:rPr>
                <w:color w:val="000000"/>
              </w:rPr>
            </w:pPr>
            <w:r w:rsidRPr="00317682">
              <w:rPr>
                <w:color w:val="000000"/>
              </w:rPr>
              <w:t>Total</w:t>
            </w:r>
          </w:p>
        </w:tc>
        <w:tc>
          <w:tcPr>
            <w:tcW w:w="2574" w:type="dxa"/>
            <w:tcBorders>
              <w:bottom w:val="single" w:sz="12" w:space="0" w:color="auto"/>
            </w:tcBorders>
          </w:tcPr>
          <w:p w:rsidR="00606966" w:rsidRPr="00317682" w:rsidRDefault="00606966" w:rsidP="00530428">
            <w:pPr>
              <w:pStyle w:val="TableHeading1"/>
              <w:spacing w:after="40"/>
              <w:jc w:val="right"/>
              <w:rPr>
                <w:color w:val="000000"/>
              </w:rPr>
            </w:pPr>
            <w:r w:rsidRPr="00317682">
              <w:rPr>
                <w:color w:val="000000"/>
              </w:rPr>
              <w:t>134</w:t>
            </w:r>
          </w:p>
        </w:tc>
        <w:tc>
          <w:tcPr>
            <w:tcW w:w="2574" w:type="dxa"/>
            <w:tcBorders>
              <w:bottom w:val="single" w:sz="12" w:space="0" w:color="auto"/>
            </w:tcBorders>
            <w:noWrap/>
            <w:tcMar>
              <w:left w:w="57" w:type="dxa"/>
              <w:right w:w="57" w:type="dxa"/>
            </w:tcMar>
          </w:tcPr>
          <w:p w:rsidR="00606966" w:rsidRPr="00317682" w:rsidRDefault="00606966" w:rsidP="00530428">
            <w:pPr>
              <w:pStyle w:val="TableHeading1"/>
              <w:spacing w:after="40"/>
              <w:jc w:val="right"/>
              <w:rPr>
                <w:color w:val="000000"/>
              </w:rPr>
            </w:pPr>
            <w:r w:rsidRPr="00317682">
              <w:rPr>
                <w:color w:val="000000"/>
              </w:rPr>
              <w:t>553</w:t>
            </w:r>
          </w:p>
        </w:tc>
      </w:tr>
    </w:tbl>
    <w:p w:rsidR="00606966" w:rsidRPr="00317682" w:rsidRDefault="00606966" w:rsidP="00530428">
      <w:pPr>
        <w:pStyle w:val="NoteNumber"/>
        <w:spacing w:after="180"/>
        <w:rPr>
          <w:color w:val="000000"/>
        </w:rPr>
      </w:pPr>
      <w:r w:rsidRPr="00317682">
        <w:rPr>
          <w:color w:val="000000"/>
        </w:rPr>
        <w:t xml:space="preserve">The data do not reflect the full portfolio of </w:t>
      </w:r>
      <w:proofErr w:type="spellStart"/>
      <w:r w:rsidRPr="00317682">
        <w:rPr>
          <w:color w:val="000000"/>
        </w:rPr>
        <w:t>AusAID’s</w:t>
      </w:r>
      <w:proofErr w:type="spellEnd"/>
      <w:r w:rsidRPr="00317682">
        <w:rPr>
          <w:color w:val="000000"/>
        </w:rPr>
        <w:t xml:space="preserve"> governance activities. Figures are based on a selection of </w:t>
      </w:r>
      <w:r w:rsidR="009407ED" w:rsidRPr="00317682">
        <w:rPr>
          <w:color w:val="000000"/>
        </w:rPr>
        <w:t xml:space="preserve">activities, each with a value of at least </w:t>
      </w:r>
      <w:r w:rsidRPr="00317682">
        <w:rPr>
          <w:color w:val="000000"/>
        </w:rPr>
        <w:t>$3 million</w:t>
      </w:r>
      <w:r w:rsidR="009407ED" w:rsidRPr="00317682">
        <w:rPr>
          <w:color w:val="000000"/>
        </w:rPr>
        <w:t>,</w:t>
      </w:r>
      <w:r w:rsidRPr="00317682">
        <w:rPr>
          <w:color w:val="000000"/>
        </w:rPr>
        <w:t xml:space="preserve"> identified in the </w:t>
      </w:r>
      <w:r w:rsidR="009407ED" w:rsidRPr="00317682">
        <w:rPr>
          <w:color w:val="000000"/>
        </w:rPr>
        <w:t xml:space="preserve">quality-at-implementation </w:t>
      </w:r>
      <w:r w:rsidRPr="00317682">
        <w:rPr>
          <w:color w:val="000000"/>
        </w:rPr>
        <w:t xml:space="preserve">process. Some activities coded by </w:t>
      </w:r>
      <w:proofErr w:type="spellStart"/>
      <w:r w:rsidRPr="00317682">
        <w:rPr>
          <w:color w:val="000000"/>
        </w:rPr>
        <w:t>AusAID</w:t>
      </w:r>
      <w:proofErr w:type="spellEnd"/>
      <w:r w:rsidRPr="00317682">
        <w:rPr>
          <w:color w:val="000000"/>
        </w:rPr>
        <w:t xml:space="preserve"> as governance for reporting purposes (e.g. mine action) have been excluded from the listing of governance activities used for this report as they are peripheral to mainstream governance work. </w:t>
      </w:r>
    </w:p>
    <w:p w:rsidR="00606966" w:rsidRPr="00317682" w:rsidRDefault="00606966" w:rsidP="00606966">
      <w:pPr>
        <w:pStyle w:val="BodyText"/>
        <w:rPr>
          <w:color w:val="000000"/>
        </w:rPr>
      </w:pPr>
      <w:r w:rsidRPr="00317682">
        <w:rPr>
          <w:color w:val="000000"/>
        </w:rPr>
        <w:lastRenderedPageBreak/>
        <w:t xml:space="preserve">Of </w:t>
      </w:r>
      <w:proofErr w:type="spellStart"/>
      <w:r w:rsidRPr="00317682">
        <w:rPr>
          <w:color w:val="000000"/>
        </w:rPr>
        <w:t>AusAID’s</w:t>
      </w:r>
      <w:proofErr w:type="spellEnd"/>
      <w:r w:rsidRPr="00317682">
        <w:rPr>
          <w:color w:val="000000"/>
        </w:rPr>
        <w:t xml:space="preserve"> country programs, </w:t>
      </w:r>
      <w:smartTag w:uri="urn:schemas-microsoft-com:office:smarttags" w:element="country-region">
        <w:r w:rsidR="00CD7966" w:rsidRPr="00317682">
          <w:rPr>
            <w:color w:val="000000"/>
          </w:rPr>
          <w:t>Papua New Guinea</w:t>
        </w:r>
      </w:smartTag>
      <w:r w:rsidR="00CD7966" w:rsidRPr="00317682">
        <w:rPr>
          <w:color w:val="000000"/>
        </w:rPr>
        <w:t xml:space="preserve"> </w:t>
      </w:r>
      <w:r w:rsidRPr="00317682">
        <w:rPr>
          <w:color w:val="000000"/>
        </w:rPr>
        <w:t xml:space="preserve">has the greatest number of governance activities, followed by the Pacific </w:t>
      </w:r>
      <w:r w:rsidR="00C41CF5" w:rsidRPr="00317682">
        <w:rPr>
          <w:color w:val="000000"/>
        </w:rPr>
        <w:t xml:space="preserve">region </w:t>
      </w:r>
      <w:r w:rsidRPr="00317682">
        <w:rPr>
          <w:color w:val="000000"/>
        </w:rPr>
        <w:t xml:space="preserve">and </w:t>
      </w:r>
      <w:smartTag w:uri="urn:schemas-microsoft-com:office:smarttags" w:element="place">
        <w:smartTag w:uri="urn:schemas-microsoft-com:office:smarttags" w:element="country-region">
          <w:r w:rsidRPr="00317682">
            <w:rPr>
              <w:color w:val="000000"/>
            </w:rPr>
            <w:t>Indonesia</w:t>
          </w:r>
        </w:smartTag>
      </w:smartTag>
      <w:r w:rsidRPr="00317682">
        <w:rPr>
          <w:color w:val="000000"/>
        </w:rPr>
        <w:t xml:space="preserve">. In dollar terms </w:t>
      </w:r>
      <w:smartTag w:uri="urn:schemas-microsoft-com:office:smarttags" w:element="country-region">
        <w:r w:rsidR="001E3D82" w:rsidRPr="00317682">
          <w:rPr>
            <w:color w:val="000000"/>
          </w:rPr>
          <w:t>Papua New Guinea</w:t>
        </w:r>
      </w:smartTag>
      <w:r w:rsidR="001E3D82" w:rsidRPr="00317682">
        <w:rPr>
          <w:color w:val="000000"/>
        </w:rPr>
        <w:t xml:space="preserve"> </w:t>
      </w:r>
      <w:r w:rsidRPr="00317682">
        <w:rPr>
          <w:color w:val="000000"/>
        </w:rPr>
        <w:t>continues to lead</w:t>
      </w:r>
      <w:r w:rsidR="00C41CF5" w:rsidRPr="00317682">
        <w:rPr>
          <w:color w:val="000000"/>
        </w:rPr>
        <w:t>,</w:t>
      </w:r>
      <w:r w:rsidRPr="00317682">
        <w:rPr>
          <w:color w:val="000000"/>
        </w:rPr>
        <w:t xml:space="preserve"> followed by </w:t>
      </w:r>
      <w:smartTag w:uri="urn:schemas-microsoft-com:office:smarttags" w:element="country-region">
        <w:r w:rsidRPr="00317682">
          <w:rPr>
            <w:color w:val="000000"/>
          </w:rPr>
          <w:t>Solomon Islands</w:t>
        </w:r>
      </w:smartTag>
      <w:r w:rsidRPr="00317682">
        <w:rPr>
          <w:color w:val="000000"/>
        </w:rPr>
        <w:t xml:space="preserve">, </w:t>
      </w:r>
      <w:smartTag w:uri="urn:schemas-microsoft-com:office:smarttags" w:element="country-region">
        <w:r w:rsidRPr="00317682">
          <w:rPr>
            <w:color w:val="000000"/>
          </w:rPr>
          <w:t>Indonesia</w:t>
        </w:r>
      </w:smartTag>
      <w:r w:rsidRPr="00317682">
        <w:rPr>
          <w:color w:val="000000"/>
        </w:rPr>
        <w:t xml:space="preserve">, the </w:t>
      </w:r>
      <w:smartTag w:uri="urn:schemas-microsoft-com:office:smarttags" w:element="country-region">
        <w:r w:rsidRPr="00317682">
          <w:rPr>
            <w:color w:val="000000"/>
          </w:rPr>
          <w:t>Philippines</w:t>
        </w:r>
      </w:smartTag>
      <w:r w:rsidRPr="00317682">
        <w:rPr>
          <w:color w:val="000000"/>
        </w:rPr>
        <w:t xml:space="preserve"> and </w:t>
      </w:r>
      <w:smartTag w:uri="urn:schemas-microsoft-com:office:smarttags" w:element="place">
        <w:r w:rsidRPr="00317682">
          <w:rPr>
            <w:color w:val="000000"/>
          </w:rPr>
          <w:t>East Timor</w:t>
        </w:r>
      </w:smartTag>
      <w:r w:rsidRPr="00317682">
        <w:rPr>
          <w:color w:val="000000"/>
        </w:rPr>
        <w:t xml:space="preserve"> (Table 3).</w:t>
      </w:r>
    </w:p>
    <w:p w:rsidR="00606966" w:rsidRPr="00317682" w:rsidRDefault="00606966" w:rsidP="006D106B">
      <w:pPr>
        <w:pStyle w:val="Caption"/>
        <w:rPr>
          <w:rStyle w:val="NoteLabel"/>
          <w:color w:val="000000"/>
        </w:rPr>
      </w:pPr>
      <w:bookmarkStart w:id="15" w:name="_Toc201650409"/>
      <w:r w:rsidRPr="00317682">
        <w:rPr>
          <w:color w:val="000000"/>
        </w:rPr>
        <w:t xml:space="preserve">Table </w:t>
      </w:r>
      <w:r w:rsidRPr="00317682">
        <w:rPr>
          <w:color w:val="000000"/>
        </w:rPr>
        <w:fldChar w:fldCharType="begin"/>
      </w:r>
      <w:r w:rsidRPr="00317682">
        <w:rPr>
          <w:color w:val="000000"/>
        </w:rPr>
        <w:instrText xml:space="preserve"> SEQ Table \* MERGEFORMAT </w:instrText>
      </w:r>
      <w:r w:rsidRPr="00317682">
        <w:rPr>
          <w:color w:val="000000"/>
        </w:rPr>
        <w:fldChar w:fldCharType="separate"/>
      </w:r>
      <w:r w:rsidR="00FE316A" w:rsidRPr="00317682">
        <w:rPr>
          <w:noProof/>
          <w:color w:val="000000"/>
        </w:rPr>
        <w:t>3</w:t>
      </w:r>
      <w:r w:rsidRPr="00317682">
        <w:rPr>
          <w:color w:val="000000"/>
        </w:rPr>
        <w:fldChar w:fldCharType="end"/>
      </w:r>
      <w:r w:rsidRPr="00317682">
        <w:rPr>
          <w:color w:val="000000"/>
        </w:rPr>
        <w:t xml:space="preserve">: </w:t>
      </w:r>
      <w:bookmarkEnd w:id="15"/>
      <w:r w:rsidRPr="00317682">
        <w:rPr>
          <w:color w:val="000000"/>
        </w:rPr>
        <w:t>Governance projects by program</w:t>
      </w:r>
      <w:r w:rsidR="009B68F2" w:rsidRPr="00317682">
        <w:rPr>
          <w:rStyle w:val="NoteLabel"/>
          <w:color w:val="000000"/>
        </w:rPr>
        <w:t>a</w:t>
      </w:r>
    </w:p>
    <w:tbl>
      <w:tblPr>
        <w:tblW w:w="7937" w:type="dxa"/>
        <w:tblInd w:w="57" w:type="dxa"/>
        <w:tblLook w:val="0000" w:firstRow="0" w:lastRow="0" w:firstColumn="0" w:lastColumn="0" w:noHBand="0" w:noVBand="0"/>
      </w:tblPr>
      <w:tblGrid>
        <w:gridCol w:w="3458"/>
        <w:gridCol w:w="1904"/>
        <w:gridCol w:w="2575"/>
      </w:tblGrid>
      <w:tr w:rsidR="00606966" w:rsidRPr="00317682" w:rsidTr="00B35E8F">
        <w:trPr>
          <w:cantSplit/>
          <w:trHeight w:val="255"/>
          <w:tblHeader/>
        </w:trPr>
        <w:tc>
          <w:tcPr>
            <w:tcW w:w="3458" w:type="dxa"/>
            <w:tcBorders>
              <w:bottom w:val="single" w:sz="12" w:space="0" w:color="auto"/>
            </w:tcBorders>
            <w:noWrap/>
            <w:tcMar>
              <w:left w:w="57" w:type="dxa"/>
              <w:right w:w="57" w:type="dxa"/>
            </w:tcMar>
          </w:tcPr>
          <w:p w:rsidR="00606966" w:rsidRPr="00317682" w:rsidRDefault="00606966" w:rsidP="00606966">
            <w:pPr>
              <w:pStyle w:val="TableDataColumnHeading"/>
              <w:jc w:val="left"/>
              <w:rPr>
                <w:color w:val="000000"/>
              </w:rPr>
            </w:pPr>
            <w:r w:rsidRPr="00317682">
              <w:rPr>
                <w:color w:val="000000"/>
              </w:rPr>
              <w:t>Program</w:t>
            </w:r>
          </w:p>
        </w:tc>
        <w:tc>
          <w:tcPr>
            <w:tcW w:w="1904" w:type="dxa"/>
            <w:tcBorders>
              <w:bottom w:val="single" w:sz="12" w:space="0" w:color="auto"/>
            </w:tcBorders>
            <w:noWrap/>
            <w:tcMar>
              <w:left w:w="57" w:type="dxa"/>
              <w:right w:w="57" w:type="dxa"/>
            </w:tcMar>
          </w:tcPr>
          <w:p w:rsidR="00606966" w:rsidRPr="00317682" w:rsidRDefault="00606966" w:rsidP="00606966">
            <w:pPr>
              <w:pStyle w:val="TableDataColumnHeading"/>
              <w:rPr>
                <w:color w:val="000000"/>
              </w:rPr>
            </w:pPr>
            <w:r w:rsidRPr="00317682">
              <w:rPr>
                <w:color w:val="000000"/>
              </w:rPr>
              <w:t>Number of activities</w:t>
            </w:r>
          </w:p>
        </w:tc>
        <w:tc>
          <w:tcPr>
            <w:tcW w:w="2575" w:type="dxa"/>
            <w:tcBorders>
              <w:bottom w:val="single" w:sz="12" w:space="0" w:color="auto"/>
            </w:tcBorders>
            <w:noWrap/>
            <w:tcMar>
              <w:left w:w="57" w:type="dxa"/>
              <w:right w:w="57" w:type="dxa"/>
            </w:tcMar>
          </w:tcPr>
          <w:p w:rsidR="00606966" w:rsidRPr="00317682" w:rsidRDefault="00C41CF5" w:rsidP="00606966">
            <w:pPr>
              <w:pStyle w:val="TableDataColumnHeading"/>
              <w:rPr>
                <w:color w:val="000000"/>
              </w:rPr>
            </w:pPr>
            <w:r w:rsidRPr="00317682">
              <w:rPr>
                <w:color w:val="000000"/>
              </w:rPr>
              <w:t xml:space="preserve">Funding </w:t>
            </w:r>
            <w:r w:rsidR="00606966" w:rsidRPr="00317682">
              <w:rPr>
                <w:color w:val="000000"/>
              </w:rPr>
              <w:t xml:space="preserve">approved for </w:t>
            </w:r>
            <w:r w:rsidR="003F20A5" w:rsidRPr="00317682">
              <w:rPr>
                <w:color w:val="000000"/>
              </w:rPr>
              <w:t>20</w:t>
            </w:r>
            <w:r w:rsidR="00606966" w:rsidRPr="00317682">
              <w:rPr>
                <w:color w:val="000000"/>
              </w:rPr>
              <w:t>07</w:t>
            </w:r>
            <w:r w:rsidR="003F20A5" w:rsidRPr="00317682">
              <w:rPr>
                <w:color w:val="000000"/>
              </w:rPr>
              <w:t>–</w:t>
            </w:r>
            <w:r w:rsidR="00606966" w:rsidRPr="00317682">
              <w:rPr>
                <w:color w:val="000000"/>
              </w:rPr>
              <w:t>08</w:t>
            </w:r>
          </w:p>
        </w:tc>
      </w:tr>
      <w:tr w:rsidR="00606966" w:rsidRPr="00317682" w:rsidTr="00B35E8F">
        <w:trPr>
          <w:cantSplit/>
          <w:trHeight w:val="255"/>
        </w:trPr>
        <w:tc>
          <w:tcPr>
            <w:tcW w:w="3458" w:type="dxa"/>
            <w:tcBorders>
              <w:top w:val="single" w:sz="12" w:space="0" w:color="auto"/>
            </w:tcBorders>
            <w:noWrap/>
            <w:tcMar>
              <w:left w:w="57" w:type="dxa"/>
              <w:right w:w="57" w:type="dxa"/>
            </w:tcMar>
          </w:tcPr>
          <w:p w:rsidR="00606966" w:rsidRPr="00317682" w:rsidRDefault="00606966" w:rsidP="001E3D82">
            <w:pPr>
              <w:pStyle w:val="TableUnit"/>
              <w:rPr>
                <w:color w:val="000000"/>
              </w:rPr>
            </w:pPr>
          </w:p>
        </w:tc>
        <w:tc>
          <w:tcPr>
            <w:tcW w:w="1904" w:type="dxa"/>
            <w:tcBorders>
              <w:top w:val="single" w:sz="12" w:space="0" w:color="auto"/>
            </w:tcBorders>
            <w:noWrap/>
            <w:tcMar>
              <w:left w:w="57" w:type="dxa"/>
              <w:right w:w="57" w:type="dxa"/>
            </w:tcMar>
          </w:tcPr>
          <w:p w:rsidR="00606966" w:rsidRPr="00317682" w:rsidRDefault="00606966" w:rsidP="001E3D82">
            <w:pPr>
              <w:pStyle w:val="TableUnit"/>
              <w:rPr>
                <w:color w:val="000000"/>
              </w:rPr>
            </w:pPr>
            <w:r w:rsidRPr="00317682">
              <w:rPr>
                <w:color w:val="000000"/>
              </w:rPr>
              <w:t>no.</w:t>
            </w:r>
          </w:p>
        </w:tc>
        <w:tc>
          <w:tcPr>
            <w:tcW w:w="2575" w:type="dxa"/>
            <w:tcBorders>
              <w:top w:val="single" w:sz="12" w:space="0" w:color="auto"/>
            </w:tcBorders>
            <w:noWrap/>
            <w:tcMar>
              <w:left w:w="57" w:type="dxa"/>
              <w:right w:w="57" w:type="dxa"/>
            </w:tcMar>
          </w:tcPr>
          <w:p w:rsidR="00606966" w:rsidRPr="00317682" w:rsidRDefault="00606966" w:rsidP="001E3D82">
            <w:pPr>
              <w:pStyle w:val="TableUnit"/>
              <w:rPr>
                <w:color w:val="000000"/>
              </w:rPr>
            </w:pPr>
            <w:r w:rsidRPr="00317682">
              <w:rPr>
                <w:color w:val="000000"/>
              </w:rPr>
              <w:t>$m</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Papua New Guinea</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18</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205</w:t>
            </w:r>
          </w:p>
        </w:tc>
      </w:tr>
      <w:tr w:rsidR="00606966" w:rsidRPr="00317682" w:rsidTr="00B35E8F">
        <w:trPr>
          <w:cantSplit/>
          <w:trHeight w:val="255"/>
        </w:trPr>
        <w:tc>
          <w:tcPr>
            <w:tcW w:w="3458" w:type="dxa"/>
            <w:noWrap/>
            <w:tcMar>
              <w:left w:w="57" w:type="dxa"/>
              <w:right w:w="57" w:type="dxa"/>
            </w:tcMar>
          </w:tcPr>
          <w:p w:rsidR="00606966" w:rsidRPr="00317682" w:rsidRDefault="00E378B7" w:rsidP="00606966">
            <w:pPr>
              <w:pStyle w:val="TableDataEntries"/>
              <w:jc w:val="left"/>
              <w:rPr>
                <w:color w:val="000000"/>
              </w:rPr>
            </w:pPr>
            <w:r w:rsidRPr="00317682">
              <w:rPr>
                <w:color w:val="000000"/>
              </w:rPr>
              <w:t>Pacific regional</w:t>
            </w:r>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15</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26</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Indonesia</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14</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48</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r w:rsidRPr="00317682">
                <w:rPr>
                  <w:color w:val="000000"/>
                </w:rPr>
                <w:t>Asia</w:t>
              </w:r>
            </w:smartTag>
            <w:r w:rsidRPr="00317682">
              <w:rPr>
                <w:color w:val="000000"/>
              </w:rPr>
              <w:t xml:space="preserve"> </w:t>
            </w:r>
            <w:proofErr w:type="spellStart"/>
            <w:r w:rsidR="00E378B7" w:rsidRPr="00317682">
              <w:rPr>
                <w:color w:val="000000"/>
              </w:rPr>
              <w:t>trans</w:t>
            </w:r>
            <w:r w:rsidRPr="00317682">
              <w:rPr>
                <w:color w:val="000000"/>
              </w:rPr>
              <w:t>boundary</w:t>
            </w:r>
            <w:proofErr w:type="spellEnd"/>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12</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25</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r w:rsidRPr="00317682">
                <w:rPr>
                  <w:color w:val="000000"/>
                </w:rPr>
                <w:t>East Timor</w:t>
              </w:r>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9</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30</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Philippines</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9</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32</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Cambodia</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8</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18</w:t>
            </w:r>
          </w:p>
        </w:tc>
      </w:tr>
      <w:tr w:rsidR="00606966" w:rsidRPr="00317682" w:rsidTr="00B35E8F">
        <w:trPr>
          <w:cantSplit/>
          <w:trHeight w:val="255"/>
        </w:trPr>
        <w:tc>
          <w:tcPr>
            <w:tcW w:w="3458" w:type="dxa"/>
            <w:noWrap/>
            <w:tcMar>
              <w:left w:w="57" w:type="dxa"/>
              <w:right w:w="57" w:type="dxa"/>
            </w:tcMar>
          </w:tcPr>
          <w:p w:rsidR="00606966" w:rsidRPr="00317682" w:rsidDel="001D1FF1"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Solomon Islands</w:t>
                </w:r>
              </w:smartTag>
            </w:smartTag>
          </w:p>
        </w:tc>
        <w:tc>
          <w:tcPr>
            <w:tcW w:w="1904" w:type="dxa"/>
            <w:noWrap/>
            <w:tcMar>
              <w:left w:w="57" w:type="dxa"/>
              <w:right w:w="57" w:type="dxa"/>
            </w:tcMar>
          </w:tcPr>
          <w:p w:rsidR="00606966" w:rsidRPr="00317682" w:rsidDel="001D1FF1" w:rsidRDefault="00606966" w:rsidP="00606966">
            <w:pPr>
              <w:pStyle w:val="TableDataEntries"/>
              <w:rPr>
                <w:color w:val="000000"/>
              </w:rPr>
            </w:pPr>
            <w:r w:rsidRPr="00317682">
              <w:rPr>
                <w:color w:val="000000"/>
              </w:rPr>
              <w:t>7</w:t>
            </w:r>
          </w:p>
        </w:tc>
        <w:tc>
          <w:tcPr>
            <w:tcW w:w="2575" w:type="dxa"/>
            <w:noWrap/>
            <w:tcMar>
              <w:left w:w="57" w:type="dxa"/>
              <w:right w:w="57" w:type="dxa"/>
            </w:tcMar>
          </w:tcPr>
          <w:p w:rsidR="00606966" w:rsidRPr="00317682" w:rsidDel="001D1FF1" w:rsidRDefault="00606966" w:rsidP="00606966">
            <w:pPr>
              <w:pStyle w:val="TableDataEntries"/>
              <w:rPr>
                <w:color w:val="000000"/>
              </w:rPr>
            </w:pPr>
            <w:r w:rsidRPr="00317682">
              <w:rPr>
                <w:color w:val="000000"/>
              </w:rPr>
              <w:t>84</w:t>
            </w:r>
          </w:p>
        </w:tc>
      </w:tr>
      <w:tr w:rsidR="00606966" w:rsidRPr="00317682" w:rsidTr="00B35E8F">
        <w:trPr>
          <w:cantSplit/>
          <w:trHeight w:val="255"/>
        </w:trPr>
        <w:tc>
          <w:tcPr>
            <w:tcW w:w="3458" w:type="dxa"/>
            <w:noWrap/>
            <w:tcMar>
              <w:left w:w="57" w:type="dxa"/>
              <w:right w:w="57" w:type="dxa"/>
            </w:tcMar>
          </w:tcPr>
          <w:p w:rsidR="00606966" w:rsidRPr="00317682" w:rsidDel="001D1FF1" w:rsidRDefault="00606966" w:rsidP="00606966">
            <w:pPr>
              <w:pStyle w:val="TableDataEntries"/>
              <w:jc w:val="left"/>
              <w:rPr>
                <w:color w:val="000000"/>
              </w:rPr>
            </w:pPr>
            <w:r w:rsidRPr="00317682">
              <w:rPr>
                <w:color w:val="000000"/>
              </w:rPr>
              <w:t>Other</w:t>
            </w:r>
            <w:r w:rsidR="006D48EC" w:rsidRPr="00317682">
              <w:rPr>
                <w:rStyle w:val="NoteLabel"/>
                <w:color w:val="000000"/>
              </w:rPr>
              <w:t>b</w:t>
            </w:r>
          </w:p>
        </w:tc>
        <w:tc>
          <w:tcPr>
            <w:tcW w:w="1904" w:type="dxa"/>
            <w:noWrap/>
            <w:tcMar>
              <w:left w:w="57" w:type="dxa"/>
              <w:right w:w="57" w:type="dxa"/>
            </w:tcMar>
          </w:tcPr>
          <w:p w:rsidR="00606966" w:rsidRPr="00317682" w:rsidDel="001D1FF1" w:rsidRDefault="00606966" w:rsidP="00606966">
            <w:pPr>
              <w:pStyle w:val="TableDataEntries"/>
              <w:rPr>
                <w:color w:val="000000"/>
              </w:rPr>
            </w:pPr>
            <w:r w:rsidRPr="00317682">
              <w:rPr>
                <w:color w:val="000000"/>
              </w:rPr>
              <w:t>7</w:t>
            </w:r>
          </w:p>
        </w:tc>
        <w:tc>
          <w:tcPr>
            <w:tcW w:w="2575" w:type="dxa"/>
            <w:noWrap/>
            <w:tcMar>
              <w:left w:w="57" w:type="dxa"/>
              <w:right w:w="57" w:type="dxa"/>
            </w:tcMar>
          </w:tcPr>
          <w:p w:rsidR="00606966" w:rsidRPr="00317682" w:rsidDel="001D1FF1" w:rsidRDefault="00606966" w:rsidP="00606966">
            <w:pPr>
              <w:pStyle w:val="TableDataEntries"/>
              <w:rPr>
                <w:color w:val="000000"/>
              </w:rPr>
            </w:pPr>
            <w:r w:rsidRPr="00317682">
              <w:rPr>
                <w:color w:val="000000"/>
              </w:rPr>
              <w:t>20</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Vanuatu</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6</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18</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Vietnam</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5</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2</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country-region">
              <w:r w:rsidRPr="00317682">
                <w:rPr>
                  <w:color w:val="000000"/>
                </w:rPr>
                <w:t>China</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Mongolia</w:t>
                </w:r>
              </w:smartTag>
            </w:smartTag>
            <w:r w:rsidRPr="00317682">
              <w:rPr>
                <w:color w:val="000000"/>
              </w:rPr>
              <w:t>)</w:t>
            </w:r>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4</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9</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country-region">
              <w:r w:rsidRPr="00317682">
                <w:rPr>
                  <w:color w:val="000000"/>
                </w:rPr>
                <w:t>Fiji</w:t>
              </w:r>
            </w:smartTag>
            <w:r w:rsidRPr="00317682">
              <w:rPr>
                <w:color w:val="000000"/>
              </w:rPr>
              <w:t xml:space="preserve"> (incl. </w:t>
            </w:r>
            <w:smartTag w:uri="urn:schemas-microsoft-com:office:smarttags" w:element="place">
              <w:smartTag w:uri="urn:schemas-microsoft-com:office:smarttags" w:element="country-region">
                <w:r w:rsidRPr="00317682">
                  <w:rPr>
                    <w:color w:val="000000"/>
                  </w:rPr>
                  <w:t>Tuvalu</w:t>
                </w:r>
              </w:smartTag>
            </w:smartTag>
            <w:r w:rsidRPr="00317682">
              <w:rPr>
                <w:color w:val="000000"/>
              </w:rPr>
              <w:t>)</w:t>
            </w:r>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4</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6</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smartTag w:uri="urn:schemas-microsoft-com:office:smarttags" w:element="country-region">
                <w:r w:rsidRPr="00317682">
                  <w:rPr>
                    <w:color w:val="000000"/>
                  </w:rPr>
                  <w:t>Tonga</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4</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9</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r w:rsidRPr="00317682">
                <w:rPr>
                  <w:color w:val="000000"/>
                </w:rPr>
                <w:t>Africa</w:t>
              </w:r>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3</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5</w:t>
            </w:r>
          </w:p>
        </w:tc>
      </w:tr>
      <w:tr w:rsidR="00606966" w:rsidRPr="00317682" w:rsidTr="00B35E8F">
        <w:trPr>
          <w:cantSplit/>
          <w:trHeight w:val="255"/>
        </w:trPr>
        <w:tc>
          <w:tcPr>
            <w:tcW w:w="3458" w:type="dxa"/>
            <w:noWrap/>
            <w:tcMar>
              <w:left w:w="57" w:type="dxa"/>
              <w:right w:w="57" w:type="dxa"/>
            </w:tcMar>
          </w:tcPr>
          <w:p w:rsidR="00606966" w:rsidRPr="00317682" w:rsidRDefault="00476E82" w:rsidP="00606966">
            <w:pPr>
              <w:pStyle w:val="TableDataEntries"/>
              <w:jc w:val="left"/>
              <w:rPr>
                <w:color w:val="000000"/>
              </w:rPr>
            </w:pPr>
            <w:smartTag w:uri="urn:schemas-microsoft-com:office:smarttags" w:element="City">
              <w:r w:rsidRPr="00317682">
                <w:rPr>
                  <w:color w:val="000000"/>
                </w:rPr>
                <w:t>Middle East</w:t>
              </w:r>
            </w:smartTag>
            <w:r w:rsidRPr="00317682">
              <w:rPr>
                <w:color w:val="000000"/>
              </w:rPr>
              <w:t xml:space="preserve">, </w:t>
            </w:r>
            <w:smartTag w:uri="urn:schemas-microsoft-com:office:smarttags" w:element="country-region">
              <w:r w:rsidRPr="00317682">
                <w:rPr>
                  <w:color w:val="000000"/>
                </w:rPr>
                <w:t>Afghanistan</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Pakistan</w:t>
                </w:r>
              </w:smartTag>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3</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8</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r w:rsidRPr="00317682">
                <w:rPr>
                  <w:color w:val="000000"/>
                </w:rPr>
                <w:t>Samoa</w:t>
              </w:r>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3</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5</w:t>
            </w:r>
          </w:p>
        </w:tc>
      </w:tr>
      <w:tr w:rsidR="00606966" w:rsidRPr="00317682" w:rsidTr="00B35E8F">
        <w:trPr>
          <w:cantSplit/>
          <w:trHeight w:val="255"/>
        </w:trPr>
        <w:tc>
          <w:tcPr>
            <w:tcW w:w="3458" w:type="dxa"/>
            <w:noWrap/>
            <w:tcMar>
              <w:left w:w="57" w:type="dxa"/>
              <w:right w:w="57" w:type="dxa"/>
            </w:tcMar>
          </w:tcPr>
          <w:p w:rsidR="00606966" w:rsidRPr="00317682" w:rsidRDefault="00606966" w:rsidP="00606966">
            <w:pPr>
              <w:pStyle w:val="TableDataEntries"/>
              <w:jc w:val="left"/>
              <w:rPr>
                <w:color w:val="000000"/>
              </w:rPr>
            </w:pPr>
            <w:smartTag w:uri="urn:schemas-microsoft-com:office:smarttags" w:element="place">
              <w:r w:rsidRPr="00317682">
                <w:rPr>
                  <w:color w:val="000000"/>
                </w:rPr>
                <w:t>South Asia</w:t>
              </w:r>
            </w:smartTag>
          </w:p>
        </w:tc>
        <w:tc>
          <w:tcPr>
            <w:tcW w:w="1904" w:type="dxa"/>
            <w:noWrap/>
            <w:tcMar>
              <w:left w:w="57" w:type="dxa"/>
              <w:right w:w="57" w:type="dxa"/>
            </w:tcMar>
          </w:tcPr>
          <w:p w:rsidR="00606966" w:rsidRPr="00317682" w:rsidRDefault="00606966" w:rsidP="00606966">
            <w:pPr>
              <w:pStyle w:val="TableDataEntries"/>
              <w:rPr>
                <w:color w:val="000000"/>
              </w:rPr>
            </w:pPr>
            <w:r w:rsidRPr="00317682">
              <w:rPr>
                <w:color w:val="000000"/>
              </w:rPr>
              <w:t>3</w:t>
            </w:r>
          </w:p>
        </w:tc>
        <w:tc>
          <w:tcPr>
            <w:tcW w:w="2575" w:type="dxa"/>
            <w:noWrap/>
            <w:tcMar>
              <w:left w:w="57" w:type="dxa"/>
              <w:right w:w="57" w:type="dxa"/>
            </w:tcMar>
          </w:tcPr>
          <w:p w:rsidR="00606966" w:rsidRPr="00317682" w:rsidRDefault="00606966" w:rsidP="00606966">
            <w:pPr>
              <w:pStyle w:val="TableDataEntries"/>
              <w:rPr>
                <w:color w:val="000000"/>
              </w:rPr>
            </w:pPr>
            <w:r w:rsidRPr="00317682">
              <w:rPr>
                <w:color w:val="000000"/>
              </w:rPr>
              <w:t>3</w:t>
            </w:r>
          </w:p>
        </w:tc>
      </w:tr>
      <w:tr w:rsidR="00606966" w:rsidRPr="00317682" w:rsidTr="00B35E8F">
        <w:trPr>
          <w:cantSplit/>
          <w:trHeight w:val="255"/>
        </w:trPr>
        <w:tc>
          <w:tcPr>
            <w:tcW w:w="3458" w:type="dxa"/>
            <w:tcBorders>
              <w:bottom w:val="single" w:sz="12" w:space="0" w:color="auto"/>
            </w:tcBorders>
            <w:noWrap/>
            <w:tcMar>
              <w:left w:w="57" w:type="dxa"/>
              <w:right w:w="57" w:type="dxa"/>
            </w:tcMar>
          </w:tcPr>
          <w:p w:rsidR="00606966" w:rsidRPr="00317682" w:rsidRDefault="00606966" w:rsidP="00530428">
            <w:pPr>
              <w:pStyle w:val="TableHeading1"/>
              <w:spacing w:after="40"/>
              <w:rPr>
                <w:color w:val="000000"/>
              </w:rPr>
            </w:pPr>
            <w:r w:rsidRPr="00317682">
              <w:rPr>
                <w:color w:val="000000"/>
              </w:rPr>
              <w:t>Total</w:t>
            </w:r>
          </w:p>
        </w:tc>
        <w:tc>
          <w:tcPr>
            <w:tcW w:w="1904" w:type="dxa"/>
            <w:tcBorders>
              <w:bottom w:val="single" w:sz="12" w:space="0" w:color="auto"/>
            </w:tcBorders>
            <w:noWrap/>
            <w:tcMar>
              <w:left w:w="57" w:type="dxa"/>
              <w:right w:w="57" w:type="dxa"/>
            </w:tcMar>
          </w:tcPr>
          <w:p w:rsidR="00606966" w:rsidRPr="00317682" w:rsidRDefault="00606966" w:rsidP="00530428">
            <w:pPr>
              <w:pStyle w:val="TableHeading1"/>
              <w:spacing w:after="40"/>
              <w:rPr>
                <w:color w:val="000000"/>
              </w:rPr>
            </w:pPr>
          </w:p>
        </w:tc>
        <w:tc>
          <w:tcPr>
            <w:tcW w:w="2575" w:type="dxa"/>
            <w:tcBorders>
              <w:bottom w:val="single" w:sz="12" w:space="0" w:color="auto"/>
            </w:tcBorders>
            <w:noWrap/>
            <w:tcMar>
              <w:left w:w="57" w:type="dxa"/>
              <w:right w:w="57" w:type="dxa"/>
            </w:tcMar>
          </w:tcPr>
          <w:p w:rsidR="00606966" w:rsidRPr="00317682" w:rsidRDefault="00606966" w:rsidP="00E378B7">
            <w:pPr>
              <w:pStyle w:val="TableHeading1"/>
              <w:spacing w:after="40"/>
              <w:jc w:val="right"/>
              <w:rPr>
                <w:color w:val="000000"/>
              </w:rPr>
            </w:pPr>
            <w:r w:rsidRPr="00317682">
              <w:rPr>
                <w:color w:val="000000"/>
              </w:rPr>
              <w:t>553</w:t>
            </w:r>
          </w:p>
        </w:tc>
      </w:tr>
    </w:tbl>
    <w:p w:rsidR="009B68F2" w:rsidRPr="00317682" w:rsidRDefault="009B68F2" w:rsidP="001B653E">
      <w:pPr>
        <w:pStyle w:val="NoteNumber"/>
        <w:numPr>
          <w:ilvl w:val="0"/>
          <w:numId w:val="25"/>
        </w:numPr>
        <w:rPr>
          <w:color w:val="000000"/>
        </w:rPr>
      </w:pPr>
      <w:r w:rsidRPr="00317682">
        <w:rPr>
          <w:color w:val="000000"/>
        </w:rPr>
        <w:t xml:space="preserve">The data do not reflect the full portfolio of </w:t>
      </w:r>
      <w:proofErr w:type="spellStart"/>
      <w:r w:rsidRPr="00317682">
        <w:rPr>
          <w:color w:val="000000"/>
        </w:rPr>
        <w:t>AusAID’s</w:t>
      </w:r>
      <w:proofErr w:type="spellEnd"/>
      <w:r w:rsidRPr="00317682">
        <w:rPr>
          <w:color w:val="000000"/>
        </w:rPr>
        <w:t xml:space="preserve"> governance activities. Figures are based on a selection of </w:t>
      </w:r>
      <w:r w:rsidR="00C41CF5" w:rsidRPr="00317682">
        <w:rPr>
          <w:color w:val="000000"/>
        </w:rPr>
        <w:t>activities, each with a value of at least</w:t>
      </w:r>
      <w:r w:rsidRPr="00317682">
        <w:rPr>
          <w:color w:val="000000"/>
        </w:rPr>
        <w:t xml:space="preserve"> $3 million</w:t>
      </w:r>
      <w:r w:rsidR="00C41CF5" w:rsidRPr="00317682">
        <w:rPr>
          <w:color w:val="000000"/>
        </w:rPr>
        <w:t>,</w:t>
      </w:r>
      <w:r w:rsidRPr="00317682">
        <w:rPr>
          <w:color w:val="000000"/>
        </w:rPr>
        <w:t xml:space="preserve"> identified in the </w:t>
      </w:r>
      <w:r w:rsidR="00C41CF5" w:rsidRPr="00317682">
        <w:rPr>
          <w:color w:val="000000"/>
        </w:rPr>
        <w:t xml:space="preserve">quality-at-implementation </w:t>
      </w:r>
      <w:r w:rsidRPr="00317682">
        <w:rPr>
          <w:color w:val="000000"/>
        </w:rPr>
        <w:t xml:space="preserve">process. Some activities coded by </w:t>
      </w:r>
      <w:proofErr w:type="spellStart"/>
      <w:r w:rsidRPr="00317682">
        <w:rPr>
          <w:color w:val="000000"/>
        </w:rPr>
        <w:t>AusAID</w:t>
      </w:r>
      <w:proofErr w:type="spellEnd"/>
      <w:r w:rsidRPr="00317682">
        <w:rPr>
          <w:color w:val="000000"/>
        </w:rPr>
        <w:t xml:space="preserve"> as governance for reporting purposes (e.g. mine action) have been excluded from the listing of governance activities used for this report as they are peripheral to mainstream governance work. </w:t>
      </w:r>
    </w:p>
    <w:p w:rsidR="006D48EC" w:rsidRPr="00317682" w:rsidRDefault="006D48EC" w:rsidP="001B653E">
      <w:pPr>
        <w:pStyle w:val="NoteNumber"/>
        <w:numPr>
          <w:ilvl w:val="0"/>
          <w:numId w:val="24"/>
        </w:numPr>
        <w:rPr>
          <w:color w:val="000000"/>
        </w:rPr>
      </w:pPr>
      <w:r w:rsidRPr="00317682">
        <w:rPr>
          <w:color w:val="000000"/>
        </w:rPr>
        <w:t>Countries with one or two activities only or non-country based initiatives such as the Centre for Democratic Institutions.</w:t>
      </w:r>
    </w:p>
    <w:p w:rsidR="00606966" w:rsidRPr="00317682" w:rsidRDefault="00606966" w:rsidP="006D106B">
      <w:pPr>
        <w:pStyle w:val="BodyText"/>
        <w:keepLines/>
        <w:rPr>
          <w:color w:val="000000"/>
        </w:rPr>
      </w:pPr>
      <w:r w:rsidRPr="00317682">
        <w:rPr>
          <w:color w:val="000000"/>
        </w:rPr>
        <w:t xml:space="preserve">This summary excludes the significant proportion of governance activity within the Australian aid program </w:t>
      </w:r>
      <w:r w:rsidR="00905D21" w:rsidRPr="00317682">
        <w:rPr>
          <w:color w:val="000000"/>
        </w:rPr>
        <w:t xml:space="preserve">that </w:t>
      </w:r>
      <w:r w:rsidRPr="00317682">
        <w:rPr>
          <w:color w:val="000000"/>
        </w:rPr>
        <w:t xml:space="preserve">is ‘embedded’ or ‘integrated’ in other sectoral activities. Most sectors engage extensively in strengthening </w:t>
      </w:r>
      <w:r w:rsidR="00905D21" w:rsidRPr="00317682">
        <w:rPr>
          <w:color w:val="000000"/>
        </w:rPr>
        <w:t xml:space="preserve">institutions </w:t>
      </w:r>
      <w:r w:rsidRPr="00317682">
        <w:rPr>
          <w:color w:val="000000"/>
        </w:rPr>
        <w:t xml:space="preserve">in areas such as policy development and implementation, financial management, planning and administration. </w:t>
      </w:r>
    </w:p>
    <w:p w:rsidR="00606966" w:rsidRPr="00317682" w:rsidRDefault="00606966" w:rsidP="009B68F2">
      <w:pPr>
        <w:pStyle w:val="BodyText"/>
        <w:rPr>
          <w:color w:val="000000"/>
        </w:rPr>
      </w:pPr>
      <w:r w:rsidRPr="00317682">
        <w:rPr>
          <w:color w:val="000000"/>
        </w:rPr>
        <w:t>In the education sector, an examination of a sample of activities valued at $800 million identified that around 30</w:t>
      </w:r>
      <w:r w:rsidR="00B36A64" w:rsidRPr="00317682">
        <w:rPr>
          <w:color w:val="000000"/>
        </w:rPr>
        <w:t> per cent</w:t>
      </w:r>
      <w:r w:rsidRPr="00317682">
        <w:rPr>
          <w:color w:val="000000"/>
        </w:rPr>
        <w:t xml:space="preserve"> (around $245 million) included significant governance components. The Fiji Education Sector Program, for example, is a $25 million program </w:t>
      </w:r>
      <w:r w:rsidR="00905D21" w:rsidRPr="00317682">
        <w:rPr>
          <w:color w:val="000000"/>
        </w:rPr>
        <w:t xml:space="preserve">providing </w:t>
      </w:r>
      <w:r w:rsidRPr="00317682">
        <w:rPr>
          <w:color w:val="000000"/>
        </w:rPr>
        <w:t>support</w:t>
      </w:r>
      <w:r w:rsidR="00905D21" w:rsidRPr="00317682">
        <w:rPr>
          <w:color w:val="000000"/>
        </w:rPr>
        <w:t xml:space="preserve"> to</w:t>
      </w:r>
      <w:r w:rsidRPr="00317682">
        <w:rPr>
          <w:color w:val="000000"/>
        </w:rPr>
        <w:t xml:space="preserve"> the Fiji Ministry of Education to implement strategic reforms to improve </w:t>
      </w:r>
      <w:r w:rsidRPr="00317682">
        <w:rPr>
          <w:color w:val="000000"/>
        </w:rPr>
        <w:lastRenderedPageBreak/>
        <w:t xml:space="preserve">the quality of planning, management, provision and monitoring of education services. In </w:t>
      </w:r>
      <w:smartTag w:uri="urn:schemas-microsoft-com:office:smarttags" w:element="place">
        <w:smartTag w:uri="urn:schemas-microsoft-com:office:smarttags" w:element="country-region">
          <w:r w:rsidRPr="00317682">
            <w:rPr>
              <w:color w:val="000000"/>
            </w:rPr>
            <w:t>Indonesia</w:t>
          </w:r>
        </w:smartTag>
      </w:smartTag>
      <w:r w:rsidRPr="00317682">
        <w:rPr>
          <w:color w:val="000000"/>
        </w:rPr>
        <w:t xml:space="preserve"> the Nusa Tenggara </w:t>
      </w:r>
      <w:proofErr w:type="spellStart"/>
      <w:r w:rsidRPr="00317682">
        <w:rPr>
          <w:color w:val="000000"/>
        </w:rPr>
        <w:t>Timur</w:t>
      </w:r>
      <w:proofErr w:type="spellEnd"/>
      <w:r w:rsidRPr="00317682">
        <w:rPr>
          <w:color w:val="000000"/>
        </w:rPr>
        <w:t xml:space="preserve"> Primary Education Partnership, worth $27 million, focuses on strengthening local government </w:t>
      </w:r>
      <w:r w:rsidR="00905D21" w:rsidRPr="00317682">
        <w:rPr>
          <w:color w:val="000000"/>
        </w:rPr>
        <w:t>institutions that deliver</w:t>
      </w:r>
      <w:r w:rsidRPr="00317682">
        <w:rPr>
          <w:color w:val="000000"/>
        </w:rPr>
        <w:t xml:space="preserve"> basic education</w:t>
      </w:r>
      <w:r w:rsidR="00905D21" w:rsidRPr="00317682">
        <w:rPr>
          <w:color w:val="000000"/>
        </w:rPr>
        <w:t xml:space="preserve"> and</w:t>
      </w:r>
      <w:r w:rsidRPr="00317682">
        <w:rPr>
          <w:color w:val="000000"/>
        </w:rPr>
        <w:t xml:space="preserve"> school-based management, enhanc</w:t>
      </w:r>
      <w:r w:rsidR="00905D21" w:rsidRPr="00317682">
        <w:rPr>
          <w:color w:val="000000"/>
        </w:rPr>
        <w:t>e</w:t>
      </w:r>
      <w:r w:rsidRPr="00317682">
        <w:rPr>
          <w:color w:val="000000"/>
        </w:rPr>
        <w:t xml:space="preserve"> community participation in education and </w:t>
      </w:r>
      <w:r w:rsidR="00905D21" w:rsidRPr="00317682">
        <w:rPr>
          <w:color w:val="000000"/>
        </w:rPr>
        <w:t xml:space="preserve">build the </w:t>
      </w:r>
      <w:r w:rsidRPr="00317682">
        <w:rPr>
          <w:color w:val="000000"/>
        </w:rPr>
        <w:t xml:space="preserve">capacity </w:t>
      </w:r>
      <w:r w:rsidR="00905D21" w:rsidRPr="00317682">
        <w:rPr>
          <w:color w:val="000000"/>
        </w:rPr>
        <w:t>of</w:t>
      </w:r>
      <w:r w:rsidRPr="00317682">
        <w:rPr>
          <w:color w:val="000000"/>
        </w:rPr>
        <w:t xml:space="preserve"> education managers in government agencies.</w:t>
      </w:r>
    </w:p>
    <w:p w:rsidR="00606966" w:rsidRPr="00317682" w:rsidRDefault="00606966" w:rsidP="00B35E8F">
      <w:pPr>
        <w:pStyle w:val="BodyText"/>
        <w:spacing w:after="360"/>
        <w:rPr>
          <w:color w:val="000000"/>
        </w:rPr>
      </w:pPr>
      <w:r w:rsidRPr="00317682">
        <w:rPr>
          <w:color w:val="000000"/>
        </w:rPr>
        <w:t>Similarly, the health sector extensively integrates governance components.</w:t>
      </w:r>
      <w:r w:rsidR="00C16EB4" w:rsidRPr="00317682">
        <w:rPr>
          <w:color w:val="000000"/>
        </w:rPr>
        <w:t xml:space="preserve"> </w:t>
      </w:r>
      <w:r w:rsidRPr="00317682">
        <w:rPr>
          <w:color w:val="000000"/>
        </w:rPr>
        <w:t>In a sample of activities worth $1.3 billion, around $596 million or 50</w:t>
      </w:r>
      <w:r w:rsidR="00B36A64" w:rsidRPr="00317682">
        <w:rPr>
          <w:color w:val="000000"/>
        </w:rPr>
        <w:t> per cent</w:t>
      </w:r>
      <w:r w:rsidRPr="00317682">
        <w:rPr>
          <w:color w:val="000000"/>
        </w:rPr>
        <w:t xml:space="preserve"> </w:t>
      </w:r>
      <w:r w:rsidR="00905D21" w:rsidRPr="00317682">
        <w:rPr>
          <w:color w:val="000000"/>
        </w:rPr>
        <w:t xml:space="preserve">include </w:t>
      </w:r>
      <w:r w:rsidRPr="00317682">
        <w:rPr>
          <w:color w:val="000000"/>
        </w:rPr>
        <w:t xml:space="preserve">components of governance. One example is the PNG Capacity Building Service Centre, worth $71 million, which </w:t>
      </w:r>
      <w:r w:rsidR="00905D21" w:rsidRPr="00317682">
        <w:rPr>
          <w:color w:val="000000"/>
        </w:rPr>
        <w:t xml:space="preserve">provides </w:t>
      </w:r>
      <w:r w:rsidRPr="00317682">
        <w:rPr>
          <w:color w:val="000000"/>
        </w:rPr>
        <w:t>support</w:t>
      </w:r>
      <w:r w:rsidR="00905D21" w:rsidRPr="00317682">
        <w:rPr>
          <w:color w:val="000000"/>
        </w:rPr>
        <w:t xml:space="preserve"> to</w:t>
      </w:r>
      <w:r w:rsidRPr="00317682">
        <w:rPr>
          <w:color w:val="000000"/>
        </w:rPr>
        <w:t xml:space="preserve"> the health sector to develop competencies and capabilities at the individual, organisational and system levels. Similarly, </w:t>
      </w:r>
      <w:smartTag w:uri="urn:schemas-microsoft-com:office:smarttags" w:element="country-region">
        <w:r w:rsidRPr="00317682">
          <w:rPr>
            <w:color w:val="000000"/>
          </w:rPr>
          <w:t>Australia</w:t>
        </w:r>
      </w:smartTag>
      <w:r w:rsidRPr="00317682">
        <w:rPr>
          <w:color w:val="000000"/>
        </w:rPr>
        <w:t xml:space="preserve">’s engagement with the health sector in </w:t>
      </w:r>
      <w:smartTag w:uri="urn:schemas-microsoft-com:office:smarttags" w:element="place">
        <w:smartTag w:uri="urn:schemas-microsoft-com:office:smarttags" w:element="country-region">
          <w:r w:rsidRPr="00317682">
            <w:rPr>
              <w:color w:val="000000"/>
            </w:rPr>
            <w:t>Solomon Islands</w:t>
          </w:r>
        </w:smartTag>
      </w:smartTag>
      <w:r w:rsidR="003C46DD" w:rsidRPr="00317682">
        <w:rPr>
          <w:color w:val="000000"/>
        </w:rPr>
        <w:t>,</w:t>
      </w:r>
      <w:r w:rsidRPr="00317682">
        <w:rPr>
          <w:color w:val="000000"/>
        </w:rPr>
        <w:t xml:space="preserve"> worth $75 million, works to improve population health by strengthening the management and operational capacity of the public health sector to improve access to, and delivery of, quality health services. Whatever the sector, services to the end user are adversely affected by weak governance. </w:t>
      </w: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606966" w:rsidRPr="00317682" w:rsidTr="00317682">
        <w:tblPrEx>
          <w:tblCellMar>
            <w:top w:w="0" w:type="dxa"/>
            <w:bottom w:w="0" w:type="dxa"/>
          </w:tblCellMar>
        </w:tblPrEx>
        <w:trPr>
          <w:cantSplit/>
          <w:trHeight w:val="340"/>
        </w:trPr>
        <w:tc>
          <w:tcPr>
            <w:tcW w:w="7938" w:type="dxa"/>
            <w:tcMar>
              <w:top w:w="57" w:type="dxa"/>
            </w:tcMar>
          </w:tcPr>
          <w:p w:rsidR="00606966" w:rsidRPr="00317682" w:rsidRDefault="00606966" w:rsidP="00DB2E78">
            <w:pPr>
              <w:pStyle w:val="Caption"/>
              <w:spacing w:before="80"/>
              <w:rPr>
                <w:color w:val="000000"/>
              </w:rPr>
            </w:pPr>
            <w:r w:rsidRPr="00317682">
              <w:rPr>
                <w:color w:val="000000"/>
              </w:rPr>
              <w:t>Water management in Indonesia</w:t>
            </w:r>
          </w:p>
        </w:tc>
      </w:tr>
      <w:tr w:rsidR="00606966" w:rsidRPr="00317682" w:rsidTr="00317682">
        <w:tblPrEx>
          <w:tblCellMar>
            <w:top w:w="0" w:type="dxa"/>
            <w:bottom w:w="0" w:type="dxa"/>
          </w:tblCellMar>
        </w:tblPrEx>
        <w:trPr>
          <w:cantSplit/>
        </w:trPr>
        <w:tc>
          <w:tcPr>
            <w:tcW w:w="7938" w:type="dxa"/>
          </w:tcPr>
          <w:p w:rsidR="00606966" w:rsidRPr="00317682" w:rsidRDefault="00606966" w:rsidP="00606966">
            <w:pPr>
              <w:pStyle w:val="BoxText"/>
              <w:rPr>
                <w:color w:val="000000"/>
                <w:spacing w:val="-2"/>
              </w:rPr>
            </w:pPr>
            <w:r w:rsidRPr="00317682">
              <w:rPr>
                <w:color w:val="000000"/>
                <w:spacing w:val="-2"/>
              </w:rPr>
              <w:t xml:space="preserve">Water is a basic necessity, essential to life. One of </w:t>
            </w:r>
            <w:r w:rsidR="00752FF7" w:rsidRPr="00317682">
              <w:rPr>
                <w:color w:val="000000"/>
                <w:spacing w:val="-2"/>
              </w:rPr>
              <w:t xml:space="preserve">Millennium Development Goal </w:t>
            </w:r>
            <w:r w:rsidRPr="00317682">
              <w:rPr>
                <w:color w:val="000000"/>
                <w:spacing w:val="-2"/>
              </w:rPr>
              <w:t xml:space="preserve">targets is to halve the proportion of people without sustainable access to safe drinking water and improved sanitation by 2015. This goal cannot be achieved without associated efforts to strengthen water sector management at national and local levels. </w:t>
            </w:r>
          </w:p>
          <w:p w:rsidR="00606966" w:rsidRPr="00317682" w:rsidRDefault="00606966" w:rsidP="00606966">
            <w:pPr>
              <w:pStyle w:val="BoxText"/>
              <w:rPr>
                <w:color w:val="000000"/>
              </w:rPr>
            </w:pPr>
            <w:proofErr w:type="spellStart"/>
            <w:r w:rsidRPr="00317682">
              <w:rPr>
                <w:color w:val="000000"/>
              </w:rPr>
              <w:t>AusAID</w:t>
            </w:r>
            <w:proofErr w:type="spellEnd"/>
            <w:r w:rsidRPr="00317682">
              <w:rPr>
                <w:color w:val="000000"/>
              </w:rPr>
              <w:t xml:space="preserve"> is one of the principal donors to the Water and Sanitation Policy Formulation and Action Planning Project (WASPOLA) in </w:t>
            </w:r>
            <w:smartTag w:uri="urn:schemas-microsoft-com:office:smarttags" w:element="place">
              <w:smartTag w:uri="urn:schemas-microsoft-com:office:smarttags" w:element="country-region">
                <w:r w:rsidRPr="00317682">
                  <w:rPr>
                    <w:color w:val="000000"/>
                  </w:rPr>
                  <w:t>Indonesia</w:t>
                </w:r>
              </w:smartTag>
            </w:smartTag>
            <w:r w:rsidRPr="00317682">
              <w:rPr>
                <w:color w:val="000000"/>
              </w:rPr>
              <w:t xml:space="preserve">, implemented through the World Bank. </w:t>
            </w:r>
            <w:r w:rsidR="00752FF7" w:rsidRPr="00317682">
              <w:rPr>
                <w:color w:val="000000"/>
              </w:rPr>
              <w:t xml:space="preserve">Only 48 per cent of people in </w:t>
            </w:r>
            <w:smartTag w:uri="urn:schemas-microsoft-com:office:smarttags" w:element="place">
              <w:smartTag w:uri="urn:schemas-microsoft-com:office:smarttags" w:element="country-region">
                <w:r w:rsidR="00752FF7" w:rsidRPr="00317682">
                  <w:rPr>
                    <w:color w:val="000000"/>
                  </w:rPr>
                  <w:t>Indonesia</w:t>
                </w:r>
              </w:smartTag>
            </w:smartTag>
            <w:r w:rsidR="00752FF7" w:rsidRPr="00317682">
              <w:rPr>
                <w:color w:val="000000"/>
              </w:rPr>
              <w:t xml:space="preserve"> have a</w:t>
            </w:r>
            <w:r w:rsidRPr="00317682">
              <w:rPr>
                <w:color w:val="000000"/>
              </w:rPr>
              <w:t>ccess to clean drinking water</w:t>
            </w:r>
            <w:r w:rsidR="00752FF7" w:rsidRPr="00317682">
              <w:rPr>
                <w:color w:val="000000"/>
              </w:rPr>
              <w:t>,</w:t>
            </w:r>
            <w:r w:rsidRPr="00317682">
              <w:rPr>
                <w:color w:val="000000"/>
              </w:rPr>
              <w:t xml:space="preserve"> and major reasons for a lack of supply are fundamentally related</w:t>
            </w:r>
            <w:r w:rsidR="00752FF7" w:rsidRPr="00317682">
              <w:rPr>
                <w:color w:val="000000"/>
              </w:rPr>
              <w:t xml:space="preserve"> to governance</w:t>
            </w:r>
            <w:r w:rsidRPr="00317682">
              <w:rPr>
                <w:color w:val="000000"/>
              </w:rPr>
              <w:t xml:space="preserve">. These include critical gaps in public policy, </w:t>
            </w:r>
            <w:r w:rsidR="001A4A2B" w:rsidRPr="00317682">
              <w:rPr>
                <w:color w:val="000000"/>
              </w:rPr>
              <w:t xml:space="preserve">a </w:t>
            </w:r>
            <w:r w:rsidRPr="00317682">
              <w:rPr>
                <w:color w:val="000000"/>
              </w:rPr>
              <w:t xml:space="preserve">lack of institutional capacity and resources at district and provincial levels, poor management, </w:t>
            </w:r>
            <w:r w:rsidR="001A4A2B" w:rsidRPr="00317682">
              <w:rPr>
                <w:color w:val="000000"/>
              </w:rPr>
              <w:t xml:space="preserve">a </w:t>
            </w:r>
            <w:r w:rsidRPr="00317682">
              <w:rPr>
                <w:color w:val="000000"/>
              </w:rPr>
              <w:t>lack of a service culture, and low accountability to citizens. Hence, while the goal of WASPOLA is to contribute to adequate and sustainable water suppl</w:t>
            </w:r>
            <w:r w:rsidR="007768F0" w:rsidRPr="00317682">
              <w:rPr>
                <w:color w:val="000000"/>
              </w:rPr>
              <w:t>ies</w:t>
            </w:r>
            <w:r w:rsidRPr="00317682">
              <w:rPr>
                <w:color w:val="000000"/>
              </w:rPr>
              <w:t xml:space="preserve"> and improved sanitation, this is done largely through governance activity. The </w:t>
            </w:r>
            <w:r w:rsidR="007768F0" w:rsidRPr="00317682">
              <w:rPr>
                <w:color w:val="000000"/>
              </w:rPr>
              <w:t xml:space="preserve">project </w:t>
            </w:r>
            <w:r w:rsidRPr="00317682">
              <w:rPr>
                <w:color w:val="000000"/>
              </w:rPr>
              <w:t xml:space="preserve">aims, on the one hand, to strengthen and improve institutional capacity to develop and implement necessary policy frameworks and regulatory systems and, on the other hand, to give citizens more voice in relation to service provision. </w:t>
            </w:r>
          </w:p>
          <w:p w:rsidR="00606966" w:rsidRPr="00317682" w:rsidRDefault="00606966" w:rsidP="00606966">
            <w:pPr>
              <w:pStyle w:val="BoxText"/>
              <w:rPr>
                <w:color w:val="000000"/>
              </w:rPr>
            </w:pPr>
            <w:r w:rsidRPr="00317682">
              <w:rPr>
                <w:color w:val="000000"/>
              </w:rPr>
              <w:t xml:space="preserve">Major achievements of WASPOLA include </w:t>
            </w:r>
            <w:r w:rsidR="007768F0" w:rsidRPr="00317682">
              <w:rPr>
                <w:color w:val="000000"/>
              </w:rPr>
              <w:t xml:space="preserve">the </w:t>
            </w:r>
            <w:r w:rsidRPr="00317682">
              <w:rPr>
                <w:color w:val="000000"/>
              </w:rPr>
              <w:t>development of a general policy framework for community-based rural water and sanitation facilities</w:t>
            </w:r>
            <w:r w:rsidR="007768F0" w:rsidRPr="00317682">
              <w:rPr>
                <w:color w:val="000000"/>
              </w:rPr>
              <w:t>, the</w:t>
            </w:r>
            <w:r w:rsidRPr="00317682">
              <w:rPr>
                <w:color w:val="000000"/>
              </w:rPr>
              <w:t xml:space="preserve"> development of a policy framework for institution-based urban water and sanitation facilities</w:t>
            </w:r>
            <w:r w:rsidR="007768F0" w:rsidRPr="00317682">
              <w:rPr>
                <w:color w:val="000000"/>
              </w:rPr>
              <w:t>, the</w:t>
            </w:r>
            <w:r w:rsidRPr="00317682">
              <w:rPr>
                <w:color w:val="000000"/>
              </w:rPr>
              <w:t xml:space="preserve"> development of improved institutional capacity at the national level and at selected provincial</w:t>
            </w:r>
            <w:r w:rsidR="00D82E54" w:rsidRPr="00317682">
              <w:rPr>
                <w:color w:val="000000"/>
              </w:rPr>
              <w:t xml:space="preserve"> and </w:t>
            </w:r>
            <w:r w:rsidRPr="00317682">
              <w:rPr>
                <w:color w:val="000000"/>
              </w:rPr>
              <w:t>district levels</w:t>
            </w:r>
            <w:r w:rsidR="00D82E54" w:rsidRPr="00317682">
              <w:rPr>
                <w:color w:val="000000"/>
              </w:rPr>
              <w:t>,</w:t>
            </w:r>
            <w:r w:rsidRPr="00317682">
              <w:rPr>
                <w:color w:val="000000"/>
              </w:rPr>
              <w:t xml:space="preserve"> and improved availability and quality of information on water supply and environmental sanitation. This has been accompanied by increased community participation in this sector through community consultations and benchmarking of </w:t>
            </w:r>
            <w:r w:rsidR="00C41CF5" w:rsidRPr="00317682">
              <w:rPr>
                <w:color w:val="000000"/>
              </w:rPr>
              <w:t xml:space="preserve">the </w:t>
            </w:r>
            <w:r w:rsidRPr="00317682">
              <w:rPr>
                <w:color w:val="000000"/>
              </w:rPr>
              <w:t>quality of services.</w:t>
            </w:r>
          </w:p>
        </w:tc>
      </w:tr>
    </w:tbl>
    <w:p w:rsidR="00606966" w:rsidRPr="00317682" w:rsidRDefault="00606966" w:rsidP="00DB2E78">
      <w:pPr>
        <w:spacing w:after="120" w:line="14" w:lineRule="exact"/>
        <w:rPr>
          <w:color w:val="000000"/>
        </w:rPr>
      </w:pPr>
    </w:p>
    <w:p w:rsidR="00BD6A33" w:rsidRPr="00317682" w:rsidRDefault="00BD6A33" w:rsidP="00B35E8F">
      <w:pPr>
        <w:pStyle w:val="Heading1unnumbered"/>
        <w:spacing w:after="1680"/>
        <w:rPr>
          <w:noProof/>
          <w:color w:val="000000"/>
        </w:rPr>
      </w:pPr>
      <w:bookmarkStart w:id="16" w:name="_Toc222041482"/>
      <w:r w:rsidRPr="00317682">
        <w:rPr>
          <w:color w:val="000000"/>
        </w:rPr>
        <w:lastRenderedPageBreak/>
        <w:t>Performance of governance activities</w:t>
      </w:r>
      <w:bookmarkEnd w:id="16"/>
    </w:p>
    <w:p w:rsidR="00DB2E78" w:rsidRPr="00317682" w:rsidRDefault="00DB2E78" w:rsidP="00DB2E78">
      <w:pPr>
        <w:pStyle w:val="BodyText"/>
        <w:rPr>
          <w:color w:val="000000"/>
        </w:rPr>
      </w:pPr>
      <w:proofErr w:type="spellStart"/>
      <w:r w:rsidRPr="00317682">
        <w:rPr>
          <w:color w:val="000000"/>
        </w:rPr>
        <w:t>AusAID’s</w:t>
      </w:r>
      <w:proofErr w:type="spellEnd"/>
      <w:r w:rsidRPr="00317682">
        <w:rPr>
          <w:color w:val="000000"/>
        </w:rPr>
        <w:t xml:space="preserve"> governance work traverses five areas: improving economic and financial management</w:t>
      </w:r>
      <w:r w:rsidR="007C42B2" w:rsidRPr="00317682">
        <w:rPr>
          <w:color w:val="000000"/>
        </w:rPr>
        <w:t>,</w:t>
      </w:r>
      <w:r w:rsidRPr="00317682">
        <w:rPr>
          <w:color w:val="000000"/>
        </w:rPr>
        <w:t xml:space="preserve"> strengthening law and justice</w:t>
      </w:r>
      <w:r w:rsidR="007C42B2" w:rsidRPr="00317682">
        <w:rPr>
          <w:color w:val="000000"/>
        </w:rPr>
        <w:t>,</w:t>
      </w:r>
      <w:r w:rsidRPr="00317682">
        <w:rPr>
          <w:color w:val="000000"/>
        </w:rPr>
        <w:t xml:space="preserve"> increasing public sector effectiveness</w:t>
      </w:r>
      <w:r w:rsidR="007C42B2" w:rsidRPr="00317682">
        <w:rPr>
          <w:color w:val="000000"/>
        </w:rPr>
        <w:t>,</w:t>
      </w:r>
      <w:r w:rsidRPr="00317682">
        <w:rPr>
          <w:color w:val="000000"/>
        </w:rPr>
        <w:t xml:space="preserve"> developing civil society</w:t>
      </w:r>
      <w:r w:rsidR="007C42B2" w:rsidRPr="00317682">
        <w:rPr>
          <w:color w:val="000000"/>
        </w:rPr>
        <w:t>,</w:t>
      </w:r>
      <w:r w:rsidRPr="00317682">
        <w:rPr>
          <w:color w:val="000000"/>
        </w:rPr>
        <w:t xml:space="preserve"> and improving democratic processes</w:t>
      </w:r>
      <w:r w:rsidR="00DC058B" w:rsidRPr="00317682">
        <w:rPr>
          <w:color w:val="000000"/>
        </w:rPr>
        <w:t xml:space="preserve"> (Figure 1)</w:t>
      </w:r>
      <w:r w:rsidRPr="00317682">
        <w:rPr>
          <w:color w:val="000000"/>
        </w:rPr>
        <w:t xml:space="preserve">. The first four areas were set out in </w:t>
      </w:r>
      <w:proofErr w:type="spellStart"/>
      <w:r w:rsidRPr="00317682">
        <w:rPr>
          <w:color w:val="000000"/>
        </w:rPr>
        <w:t>AusAID’s</w:t>
      </w:r>
      <w:proofErr w:type="spellEnd"/>
      <w:r w:rsidRPr="00317682">
        <w:rPr>
          <w:color w:val="000000"/>
        </w:rPr>
        <w:t xml:space="preserve"> 2000 policy document.</w:t>
      </w:r>
      <w:r w:rsidR="00DC058B" w:rsidRPr="00317682">
        <w:rPr>
          <w:rStyle w:val="FootnoteReference"/>
          <w:color w:val="000000"/>
          <w:sz w:val="12"/>
        </w:rPr>
        <w:footnoteReference w:id="11"/>
      </w:r>
      <w:r w:rsidRPr="00317682">
        <w:rPr>
          <w:color w:val="000000"/>
        </w:rPr>
        <w:t xml:space="preserve"> </w:t>
      </w:r>
      <w:r w:rsidRPr="00317682">
        <w:rPr>
          <w:color w:val="000000"/>
          <w:spacing w:val="-2"/>
        </w:rPr>
        <w:t xml:space="preserve">The fifth was added in the </w:t>
      </w:r>
      <w:r w:rsidR="007C42B2" w:rsidRPr="00317682">
        <w:rPr>
          <w:color w:val="000000"/>
          <w:spacing w:val="-2"/>
        </w:rPr>
        <w:t xml:space="preserve">ministerial budget statement </w:t>
      </w:r>
      <w:r w:rsidR="000A770F" w:rsidRPr="00317682">
        <w:rPr>
          <w:color w:val="000000"/>
          <w:spacing w:val="-2"/>
        </w:rPr>
        <w:t>for 2003–</w:t>
      </w:r>
      <w:r w:rsidRPr="00317682">
        <w:rPr>
          <w:color w:val="000000"/>
          <w:spacing w:val="-2"/>
        </w:rPr>
        <w:t>04.</w:t>
      </w:r>
      <w:r w:rsidRPr="00317682">
        <w:rPr>
          <w:color w:val="000000"/>
        </w:rPr>
        <w:t xml:space="preserve"> All five were reaffirmed in the 2006 </w:t>
      </w:r>
      <w:r w:rsidR="000A770F" w:rsidRPr="00317682">
        <w:rPr>
          <w:color w:val="000000"/>
        </w:rPr>
        <w:t>white paper</w:t>
      </w:r>
      <w:r w:rsidR="007C42B2" w:rsidRPr="00317682">
        <w:rPr>
          <w:rStyle w:val="FootnoteReference"/>
          <w:color w:val="000000"/>
          <w:sz w:val="12"/>
        </w:rPr>
        <w:footnoteReference w:id="12"/>
      </w:r>
      <w:r w:rsidR="000A770F" w:rsidRPr="00317682">
        <w:rPr>
          <w:color w:val="000000"/>
        </w:rPr>
        <w:t xml:space="preserve"> </w:t>
      </w:r>
      <w:r w:rsidRPr="00317682">
        <w:rPr>
          <w:color w:val="000000"/>
        </w:rPr>
        <w:t xml:space="preserve">and, by default, have served as the overarching objectives for the governance sector. The performance of governance activities against these objectives is discussed in </w:t>
      </w:r>
      <w:r w:rsidR="00DC058B" w:rsidRPr="00317682">
        <w:rPr>
          <w:color w:val="000000"/>
        </w:rPr>
        <w:t>this chapter</w:t>
      </w:r>
      <w:r w:rsidRPr="00317682">
        <w:rPr>
          <w:color w:val="000000"/>
        </w:rPr>
        <w:t>.</w:t>
      </w:r>
    </w:p>
    <w:p w:rsidR="00DB2E78" w:rsidRPr="00317682" w:rsidRDefault="00DB2E78" w:rsidP="00DB2E78">
      <w:pPr>
        <w:pStyle w:val="BodyText"/>
        <w:rPr>
          <w:color w:val="000000"/>
        </w:rPr>
      </w:pPr>
      <w:r w:rsidRPr="00317682">
        <w:rPr>
          <w:color w:val="000000"/>
        </w:rPr>
        <w:t xml:space="preserve">High levels of corruption arise from poor governance, and across the donor community efforts to tackle corruption have been linked with governance and aid effectiveness. The </w:t>
      </w:r>
      <w:r w:rsidR="000C6326" w:rsidRPr="00317682">
        <w:rPr>
          <w:color w:val="000000"/>
        </w:rPr>
        <w:t xml:space="preserve">white paper </w:t>
      </w:r>
      <w:r w:rsidRPr="00317682">
        <w:rPr>
          <w:color w:val="000000"/>
        </w:rPr>
        <w:t xml:space="preserve">highlighted corruption as a major brake on broad-based economic growth and poverty reduction in many countries in the region and proposed the mainstreaming of anticorruption efforts across the </w:t>
      </w:r>
      <w:r w:rsidR="003F20A5" w:rsidRPr="00317682">
        <w:rPr>
          <w:color w:val="000000"/>
        </w:rPr>
        <w:t>Australian aid program. In 2007–</w:t>
      </w:r>
      <w:r w:rsidRPr="00317682">
        <w:rPr>
          <w:color w:val="000000"/>
        </w:rPr>
        <w:t>08, additional funding was approve</w:t>
      </w:r>
      <w:r w:rsidR="00BB3F3C" w:rsidRPr="00317682">
        <w:rPr>
          <w:color w:val="000000"/>
        </w:rPr>
        <w:t>d in the</w:t>
      </w:r>
      <w:r w:rsidR="000C6326" w:rsidRPr="00317682">
        <w:rPr>
          <w:color w:val="000000"/>
        </w:rPr>
        <w:t> </w:t>
      </w:r>
      <w:r w:rsidR="00BB3F3C" w:rsidRPr="00317682">
        <w:rPr>
          <w:color w:val="000000"/>
        </w:rPr>
        <w:t>budget to support anti</w:t>
      </w:r>
      <w:r w:rsidRPr="00317682">
        <w:rPr>
          <w:color w:val="000000"/>
        </w:rPr>
        <w:t xml:space="preserve">corruption initiatives and performance is discussed </w:t>
      </w:r>
      <w:r w:rsidR="000C6326" w:rsidRPr="00317682">
        <w:rPr>
          <w:color w:val="000000"/>
        </w:rPr>
        <w:t>at the end of this chapter</w:t>
      </w:r>
      <w:r w:rsidRPr="00317682">
        <w:rPr>
          <w:color w:val="000000"/>
        </w:rPr>
        <w:t>.</w:t>
      </w:r>
    </w:p>
    <w:p w:rsidR="00BB3F3C" w:rsidRPr="00317682" w:rsidRDefault="00BB3F3C" w:rsidP="00BB3F3C">
      <w:pPr>
        <w:pStyle w:val="Caption"/>
        <w:rPr>
          <w:color w:val="000000"/>
        </w:rPr>
      </w:pPr>
      <w:bookmarkStart w:id="17" w:name="_Toc202340875"/>
      <w:bookmarkStart w:id="18" w:name="_Toc207514536"/>
      <w:r w:rsidRPr="00317682">
        <w:rPr>
          <w:color w:val="000000"/>
        </w:rPr>
        <w:t xml:space="preserve">Figure </w:t>
      </w:r>
      <w:r w:rsidRPr="00317682">
        <w:rPr>
          <w:color w:val="000000"/>
        </w:rPr>
        <w:fldChar w:fldCharType="begin"/>
      </w:r>
      <w:r w:rsidRPr="00317682">
        <w:rPr>
          <w:color w:val="000000"/>
        </w:rPr>
        <w:instrText xml:space="preserve"> SEQ Figure \* ARABIC </w:instrText>
      </w:r>
      <w:r w:rsidRPr="00317682">
        <w:rPr>
          <w:color w:val="000000"/>
        </w:rPr>
        <w:fldChar w:fldCharType="separate"/>
      </w:r>
      <w:r w:rsidR="00FE316A" w:rsidRPr="00317682">
        <w:rPr>
          <w:noProof/>
          <w:color w:val="000000"/>
        </w:rPr>
        <w:t>1</w:t>
      </w:r>
      <w:r w:rsidRPr="00317682">
        <w:rPr>
          <w:color w:val="000000"/>
        </w:rPr>
        <w:fldChar w:fldCharType="end"/>
      </w:r>
      <w:r w:rsidRPr="00317682">
        <w:rPr>
          <w:color w:val="000000"/>
        </w:rPr>
        <w:t xml:space="preserve">: Estimated </w:t>
      </w:r>
      <w:r w:rsidR="00373673" w:rsidRPr="00317682">
        <w:rPr>
          <w:color w:val="000000"/>
        </w:rPr>
        <w:t xml:space="preserve">official development assistance for </w:t>
      </w:r>
      <w:proofErr w:type="gramStart"/>
      <w:r w:rsidRPr="00317682">
        <w:rPr>
          <w:color w:val="000000"/>
        </w:rPr>
        <w:t>governance ,</w:t>
      </w:r>
      <w:proofErr w:type="gramEnd"/>
      <w:r w:rsidRPr="00317682">
        <w:rPr>
          <w:color w:val="000000"/>
        </w:rPr>
        <w:t xml:space="preserve"> by subsector, 2007–08</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BB3F3C" w:rsidRPr="00317682">
        <w:tblPrEx>
          <w:tblCellMar>
            <w:top w:w="0" w:type="dxa"/>
            <w:left w:w="0" w:type="dxa"/>
            <w:bottom w:w="0" w:type="dxa"/>
            <w:right w:w="0" w:type="dxa"/>
          </w:tblCellMar>
        </w:tblPrEx>
        <w:tc>
          <w:tcPr>
            <w:tcW w:w="8505" w:type="dxa"/>
            <w:tcBorders>
              <w:top w:val="single" w:sz="12" w:space="0" w:color="auto"/>
              <w:bottom w:val="single" w:sz="12" w:space="0" w:color="auto"/>
            </w:tcBorders>
          </w:tcPr>
          <w:p w:rsidR="00BB3F3C" w:rsidRPr="00317682" w:rsidRDefault="00B35E8F" w:rsidP="003A7A7B">
            <w:pPr>
              <w:rPr>
                <w:rFonts w:ascii="Arial" w:hAnsi="Arial"/>
                <w:color w:val="000000"/>
                <w:sz w:val="22"/>
              </w:rPr>
            </w:pPr>
            <w:r>
              <w:rPr>
                <w:rFonts w:ascii="Arial" w:hAnsi="Arial"/>
                <w:noProof/>
                <w:color w:val="000000"/>
                <w:sz w:val="22"/>
                <w:lang w:val="en-US" w:eastAsia="en-US"/>
              </w:rPr>
              <w:drawing>
                <wp:inline distT="0" distB="0" distL="0" distR="0">
                  <wp:extent cx="5012055" cy="2517140"/>
                  <wp:effectExtent l="0" t="0" r="0" b="0"/>
                  <wp:docPr id="1" name="Picture 1" descr="Figure 1 Pie Chart showing estimated official development assistance for governance , by subsector, 2007–08: Public sector reform 30 per cent; economic management 23 per cent; legal and judicial development 22 per cent; civil society and human rights 20 per cent; and democratic processes 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e Chart showing estimated official development assistance for governance , by subsector, 2007–08: Public sector reform 30 per cent; economic management 23 per cent; legal and judicial development 22 per cent; civil society and human rights 20 per cent; and democratic processes 5 per c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2055" cy="2517140"/>
                          </a:xfrm>
                          <a:prstGeom prst="rect">
                            <a:avLst/>
                          </a:prstGeom>
                          <a:noFill/>
                          <a:ln>
                            <a:noFill/>
                          </a:ln>
                        </pic:spPr>
                      </pic:pic>
                    </a:graphicData>
                  </a:graphic>
                </wp:inline>
              </w:drawing>
            </w:r>
          </w:p>
        </w:tc>
      </w:tr>
    </w:tbl>
    <w:p w:rsidR="00BB3F3C" w:rsidRPr="00317682" w:rsidRDefault="00BB3F3C" w:rsidP="00BB3F3C">
      <w:pPr>
        <w:pStyle w:val="Note"/>
        <w:rPr>
          <w:color w:val="000000"/>
        </w:rPr>
      </w:pPr>
      <w:r w:rsidRPr="00317682">
        <w:rPr>
          <w:color w:val="000000"/>
        </w:rPr>
        <w:lastRenderedPageBreak/>
        <w:t xml:space="preserve">Note: The descriptions for the five subsectors vary slightly from those set out in the 2000 policy document </w:t>
      </w:r>
      <w:r w:rsidRPr="00317682">
        <w:rPr>
          <w:i/>
          <w:color w:val="000000"/>
        </w:rPr>
        <w:t>Good governance: guiding principles for implementation.</w:t>
      </w:r>
    </w:p>
    <w:p w:rsidR="00BB3F3C" w:rsidRPr="00317682" w:rsidRDefault="00BB3F3C" w:rsidP="00BB3F3C">
      <w:pPr>
        <w:pStyle w:val="Source"/>
        <w:rPr>
          <w:color w:val="000000"/>
        </w:rPr>
      </w:pPr>
      <w:r w:rsidRPr="00317682">
        <w:rPr>
          <w:color w:val="000000"/>
        </w:rPr>
        <w:t xml:space="preserve">Source: Ministerial </w:t>
      </w:r>
      <w:r w:rsidR="00373673" w:rsidRPr="00317682">
        <w:rPr>
          <w:color w:val="000000"/>
        </w:rPr>
        <w:t>Budget Statement 2007–08</w:t>
      </w:r>
      <w:r w:rsidR="00373673" w:rsidRPr="00317682">
        <w:rPr>
          <w:i/>
          <w:color w:val="000000"/>
        </w:rPr>
        <w:t>,</w:t>
      </w:r>
      <w:r w:rsidRPr="00317682">
        <w:rPr>
          <w:i/>
          <w:color w:val="000000"/>
        </w:rPr>
        <w:t xml:space="preserve"> </w:t>
      </w:r>
      <w:smartTag w:uri="urn:schemas-microsoft-com:office:smarttags" w:element="place">
        <w:smartTag w:uri="urn:schemas-microsoft-com:office:smarttags" w:element="country-region">
          <w:r w:rsidRPr="00317682">
            <w:rPr>
              <w:i/>
              <w:color w:val="000000"/>
            </w:rPr>
            <w:t>Australia</w:t>
          </w:r>
        </w:smartTag>
      </w:smartTag>
      <w:r w:rsidRPr="00317682">
        <w:rPr>
          <w:i/>
          <w:color w:val="000000"/>
        </w:rPr>
        <w:t xml:space="preserve">’s </w:t>
      </w:r>
      <w:r w:rsidR="00373673" w:rsidRPr="00317682">
        <w:rPr>
          <w:i/>
          <w:color w:val="000000"/>
        </w:rPr>
        <w:t>International Development Assistance</w:t>
      </w:r>
      <w:r w:rsidR="007C42B2" w:rsidRPr="00317682">
        <w:rPr>
          <w:i/>
          <w:color w:val="000000"/>
        </w:rPr>
        <w:t xml:space="preserve"> </w:t>
      </w:r>
      <w:r w:rsidR="00373673" w:rsidRPr="00317682">
        <w:rPr>
          <w:i/>
          <w:color w:val="000000"/>
        </w:rPr>
        <w:t>P</w:t>
      </w:r>
      <w:r w:rsidR="007C42B2" w:rsidRPr="00317682">
        <w:rPr>
          <w:i/>
          <w:color w:val="000000"/>
        </w:rPr>
        <w:t xml:space="preserve">rogram </w:t>
      </w:r>
      <w:r w:rsidRPr="00317682">
        <w:rPr>
          <w:i/>
          <w:color w:val="000000"/>
        </w:rPr>
        <w:t>200</w:t>
      </w:r>
      <w:r w:rsidR="00373673" w:rsidRPr="00317682">
        <w:rPr>
          <w:i/>
          <w:color w:val="000000"/>
        </w:rPr>
        <w:t>8</w:t>
      </w:r>
      <w:r w:rsidRPr="00317682">
        <w:rPr>
          <w:i/>
          <w:color w:val="000000"/>
        </w:rPr>
        <w:t>–0</w:t>
      </w:r>
      <w:r w:rsidR="00373673" w:rsidRPr="00317682">
        <w:rPr>
          <w:i/>
          <w:color w:val="000000"/>
        </w:rPr>
        <w:t>9</w:t>
      </w:r>
      <w:r w:rsidRPr="00317682">
        <w:rPr>
          <w:color w:val="000000"/>
        </w:rPr>
        <w:t>, p. 18.</w:t>
      </w:r>
    </w:p>
    <w:p w:rsidR="00DB2E78" w:rsidRPr="00317682" w:rsidRDefault="00DB2E78" w:rsidP="00DB2E78">
      <w:pPr>
        <w:pStyle w:val="Heading2unnumbered"/>
        <w:rPr>
          <w:color w:val="000000"/>
        </w:rPr>
      </w:pPr>
      <w:bookmarkStart w:id="19" w:name="_Toc222041483"/>
      <w:r w:rsidRPr="00317682">
        <w:rPr>
          <w:color w:val="000000"/>
        </w:rPr>
        <w:t>Improving economic and financial management</w:t>
      </w:r>
      <w:bookmarkEnd w:id="17"/>
      <w:bookmarkEnd w:id="18"/>
      <w:bookmarkEnd w:id="19"/>
    </w:p>
    <w:p w:rsidR="00DB2E78" w:rsidRPr="00317682" w:rsidRDefault="00DB2E78" w:rsidP="00BB3F3C">
      <w:pPr>
        <w:pStyle w:val="Heading3"/>
        <w:spacing w:before="240"/>
        <w:rPr>
          <w:color w:val="000000"/>
        </w:rPr>
      </w:pPr>
      <w:bookmarkStart w:id="20" w:name="_Toc202340876"/>
      <w:bookmarkStart w:id="21" w:name="_Toc207514537"/>
      <w:r w:rsidRPr="00317682">
        <w:rPr>
          <w:color w:val="000000"/>
        </w:rPr>
        <w:t xml:space="preserve">What does </w:t>
      </w:r>
      <w:proofErr w:type="spellStart"/>
      <w:r w:rsidRPr="00317682">
        <w:rPr>
          <w:color w:val="000000"/>
        </w:rPr>
        <w:t>AusAID</w:t>
      </w:r>
      <w:proofErr w:type="spellEnd"/>
      <w:r w:rsidRPr="00317682">
        <w:rPr>
          <w:color w:val="000000"/>
        </w:rPr>
        <w:t xml:space="preserve"> do?</w:t>
      </w:r>
      <w:bookmarkEnd w:id="20"/>
      <w:bookmarkEnd w:id="21"/>
    </w:p>
    <w:p w:rsidR="00DB2E78" w:rsidRPr="00317682" w:rsidRDefault="00DB2E78" w:rsidP="00DB2E78">
      <w:pPr>
        <w:pStyle w:val="BodyText"/>
        <w:rPr>
          <w:color w:val="000000"/>
        </w:rPr>
      </w:pPr>
      <w:proofErr w:type="spellStart"/>
      <w:r w:rsidRPr="00317682">
        <w:rPr>
          <w:color w:val="000000"/>
        </w:rPr>
        <w:t>AusAID</w:t>
      </w:r>
      <w:proofErr w:type="spellEnd"/>
      <w:r w:rsidRPr="00317682">
        <w:rPr>
          <w:color w:val="000000"/>
        </w:rPr>
        <w:t xml:space="preserve"> is engaged in a range of activities relating to economic governance</w:t>
      </w:r>
      <w:r w:rsidR="000C6326" w:rsidRPr="00317682">
        <w:rPr>
          <w:color w:val="000000"/>
        </w:rPr>
        <w:t>,</w:t>
      </w:r>
      <w:r w:rsidRPr="00317682">
        <w:rPr>
          <w:color w:val="000000"/>
        </w:rPr>
        <w:t xml:space="preserve"> the mix of activities varying from country to country and from region to region. This may be explained by the differ</w:t>
      </w:r>
      <w:r w:rsidR="000C6326" w:rsidRPr="00317682">
        <w:rPr>
          <w:color w:val="000000"/>
        </w:rPr>
        <w:t>ent</w:t>
      </w:r>
      <w:r w:rsidRPr="00317682">
        <w:rPr>
          <w:color w:val="000000"/>
        </w:rPr>
        <w:t xml:space="preserve"> challenges and circumstances that each country and each region faces. However, in some cases this could also be a result of </w:t>
      </w:r>
      <w:r w:rsidR="008E2348" w:rsidRPr="00317682">
        <w:rPr>
          <w:color w:val="000000"/>
        </w:rPr>
        <w:t>a lack of</w:t>
      </w:r>
      <w:r w:rsidRPr="00317682">
        <w:rPr>
          <w:color w:val="000000"/>
        </w:rPr>
        <w:t xml:space="preserve"> strong guiding principles for economic governance that would lay </w:t>
      </w:r>
      <w:r w:rsidR="008E2348" w:rsidRPr="00317682">
        <w:rPr>
          <w:color w:val="000000"/>
        </w:rPr>
        <w:t xml:space="preserve">a </w:t>
      </w:r>
      <w:r w:rsidRPr="00317682">
        <w:rPr>
          <w:color w:val="000000"/>
        </w:rPr>
        <w:t>platform for prioritis</w:t>
      </w:r>
      <w:r w:rsidR="008E2348" w:rsidRPr="00317682">
        <w:rPr>
          <w:color w:val="000000"/>
        </w:rPr>
        <w:t>ing</w:t>
      </w:r>
      <w:r w:rsidRPr="00317682">
        <w:rPr>
          <w:color w:val="000000"/>
        </w:rPr>
        <w:t xml:space="preserve"> and design</w:t>
      </w:r>
      <w:r w:rsidR="008E2348" w:rsidRPr="00317682">
        <w:rPr>
          <w:color w:val="000000"/>
        </w:rPr>
        <w:t>ing</w:t>
      </w:r>
      <w:r w:rsidRPr="00317682">
        <w:rPr>
          <w:color w:val="000000"/>
        </w:rPr>
        <w:t xml:space="preserve"> the mix of economic governance activities. Some of the main activities categorised as economic governance are outlined below. </w:t>
      </w:r>
    </w:p>
    <w:p w:rsidR="00DB2E78" w:rsidRPr="00317682" w:rsidRDefault="00DB2E78" w:rsidP="00DB2E78">
      <w:pPr>
        <w:pStyle w:val="BodyText"/>
        <w:rPr>
          <w:color w:val="000000"/>
        </w:rPr>
      </w:pPr>
      <w:r w:rsidRPr="00317682">
        <w:rPr>
          <w:rStyle w:val="Heading5Char"/>
          <w:color w:val="000000"/>
        </w:rPr>
        <w:t>Public financial management</w:t>
      </w:r>
      <w:r w:rsidR="00B55907" w:rsidRPr="00317682">
        <w:rPr>
          <w:color w:val="000000"/>
        </w:rPr>
        <w:t xml:space="preserve"> </w:t>
      </w:r>
      <w:r w:rsidRPr="00317682">
        <w:rPr>
          <w:color w:val="000000"/>
        </w:rPr>
        <w:t xml:space="preserve">is a core area of </w:t>
      </w:r>
      <w:proofErr w:type="spellStart"/>
      <w:r w:rsidRPr="00317682">
        <w:rPr>
          <w:color w:val="000000"/>
        </w:rPr>
        <w:t>AusAID</w:t>
      </w:r>
      <w:proofErr w:type="spellEnd"/>
      <w:r w:rsidRPr="00317682">
        <w:rPr>
          <w:color w:val="000000"/>
        </w:rPr>
        <w:t xml:space="preserve"> support in most partner countries </w:t>
      </w:r>
      <w:r w:rsidR="000C6326" w:rsidRPr="00317682">
        <w:rPr>
          <w:color w:val="000000"/>
        </w:rPr>
        <w:t xml:space="preserve">in </w:t>
      </w:r>
      <w:smartTag w:uri="urn:schemas-microsoft-com:office:smarttags" w:element="place">
        <w:r w:rsidRPr="00317682">
          <w:rPr>
            <w:color w:val="000000"/>
          </w:rPr>
          <w:t>Asia</w:t>
        </w:r>
      </w:smartTag>
      <w:r w:rsidRPr="00317682">
        <w:rPr>
          <w:color w:val="000000"/>
        </w:rPr>
        <w:t xml:space="preserve"> and the Pacific. </w:t>
      </w:r>
      <w:r w:rsidR="000C6326" w:rsidRPr="00317682">
        <w:rPr>
          <w:color w:val="000000"/>
        </w:rPr>
        <w:t>It</w:t>
      </w:r>
      <w:r w:rsidRPr="00317682">
        <w:rPr>
          <w:color w:val="000000"/>
        </w:rPr>
        <w:t xml:space="preserve"> is an area of particular priority for </w:t>
      </w:r>
      <w:proofErr w:type="spellStart"/>
      <w:r w:rsidRPr="00317682">
        <w:rPr>
          <w:color w:val="000000"/>
        </w:rPr>
        <w:t>AusAID</w:t>
      </w:r>
      <w:proofErr w:type="spellEnd"/>
      <w:r w:rsidRPr="00317682">
        <w:rPr>
          <w:color w:val="000000"/>
        </w:rPr>
        <w:t xml:space="preserve"> in </w:t>
      </w:r>
      <w:smartTag w:uri="urn:schemas-microsoft-com:office:smarttags" w:element="country-region">
        <w:r w:rsidR="000C6326" w:rsidRPr="00317682">
          <w:rPr>
            <w:color w:val="000000"/>
          </w:rPr>
          <w:t>Papua New Guinea</w:t>
        </w:r>
      </w:smartTag>
      <w:r w:rsidRPr="00317682">
        <w:rPr>
          <w:color w:val="000000"/>
        </w:rPr>
        <w:t xml:space="preserve">, </w:t>
      </w:r>
      <w:smartTag w:uri="urn:schemas-microsoft-com:office:smarttags" w:element="country-region">
        <w:r w:rsidRPr="00317682">
          <w:rPr>
            <w:color w:val="000000"/>
          </w:rPr>
          <w:t>Solomon Islands</w:t>
        </w:r>
      </w:smartTag>
      <w:r w:rsidRPr="00317682">
        <w:rPr>
          <w:color w:val="000000"/>
        </w:rPr>
        <w:t xml:space="preserve">, </w:t>
      </w:r>
      <w:smartTag w:uri="urn:schemas-microsoft-com:office:smarttags" w:element="country-region">
        <w:r w:rsidRPr="00317682">
          <w:rPr>
            <w:color w:val="000000"/>
          </w:rPr>
          <w:t>Nauru</w:t>
        </w:r>
      </w:smartTag>
      <w:r w:rsidRPr="00317682">
        <w:rPr>
          <w:color w:val="000000"/>
        </w:rPr>
        <w:t xml:space="preserve">, </w:t>
      </w:r>
      <w:smartTag w:uri="urn:schemas-microsoft-com:office:smarttags" w:element="country-region">
        <w:r w:rsidRPr="00317682">
          <w:rPr>
            <w:color w:val="000000"/>
          </w:rPr>
          <w:t>Vanuatu</w:t>
        </w:r>
      </w:smartTag>
      <w:r w:rsidRPr="00317682">
        <w:rPr>
          <w:color w:val="000000"/>
        </w:rPr>
        <w:t xml:space="preserve">, East Timor, Cambodia, </w:t>
      </w:r>
      <w:smartTag w:uri="urn:schemas-microsoft-com:office:smarttags" w:element="country-region">
        <w:r w:rsidRPr="00317682">
          <w:rPr>
            <w:color w:val="000000"/>
          </w:rPr>
          <w:t>Indonesia</w:t>
        </w:r>
      </w:smartTag>
      <w:r w:rsidRPr="00317682">
        <w:rPr>
          <w:color w:val="000000"/>
        </w:rPr>
        <w:t xml:space="preserve"> and </w:t>
      </w:r>
      <w:r w:rsidR="000C6326" w:rsidRPr="00317682">
        <w:rPr>
          <w:color w:val="000000"/>
        </w:rPr>
        <w:t xml:space="preserve">the </w:t>
      </w:r>
      <w:smartTag w:uri="urn:schemas-microsoft-com:office:smarttags" w:element="place">
        <w:smartTag w:uri="urn:schemas-microsoft-com:office:smarttags" w:element="country-region">
          <w:r w:rsidRPr="00317682">
            <w:rPr>
              <w:color w:val="000000"/>
            </w:rPr>
            <w:t>Philippines</w:t>
          </w:r>
        </w:smartTag>
      </w:smartTag>
      <w:r w:rsidRPr="00317682">
        <w:rPr>
          <w:color w:val="000000"/>
        </w:rPr>
        <w:t>. In the Pacific, public financial management support is augmented at the regional level with funding contributions to the Pacific Financial Technical Assistance Centre. Within the sphere of public financial management, the emphasis tends to be on revenue management, fiscal planning and accountability measures, with less emphasis placed on expenditure management.</w:t>
      </w:r>
      <w:r w:rsidR="00C16EB4" w:rsidRPr="00317682">
        <w:rPr>
          <w:color w:val="000000"/>
        </w:rPr>
        <w:t xml:space="preserve"> </w:t>
      </w:r>
    </w:p>
    <w:p w:rsidR="00DB2E78" w:rsidRPr="00317682" w:rsidRDefault="00DB2E78" w:rsidP="00DB2E78">
      <w:pPr>
        <w:pStyle w:val="BodyText"/>
        <w:rPr>
          <w:color w:val="000000"/>
        </w:rPr>
      </w:pPr>
      <w:r w:rsidRPr="00317682">
        <w:rPr>
          <w:rStyle w:val="Heading5Char"/>
          <w:color w:val="000000"/>
        </w:rPr>
        <w:t>Economic policy development</w:t>
      </w:r>
      <w:r w:rsidR="00B55907" w:rsidRPr="00317682">
        <w:rPr>
          <w:color w:val="000000"/>
        </w:rPr>
        <w:t xml:space="preserve"> </w:t>
      </w:r>
      <w:r w:rsidRPr="00317682">
        <w:rPr>
          <w:color w:val="000000"/>
        </w:rPr>
        <w:t xml:space="preserve">is an important area of </w:t>
      </w:r>
      <w:proofErr w:type="spellStart"/>
      <w:r w:rsidRPr="00317682">
        <w:rPr>
          <w:color w:val="000000"/>
        </w:rPr>
        <w:t>AusAID</w:t>
      </w:r>
      <w:proofErr w:type="spellEnd"/>
      <w:r w:rsidRPr="00317682">
        <w:rPr>
          <w:color w:val="000000"/>
        </w:rPr>
        <w:t xml:space="preserve"> involvement in many of </w:t>
      </w:r>
      <w:smartTag w:uri="urn:schemas-microsoft-com:office:smarttags" w:element="place">
        <w:smartTag w:uri="urn:schemas-microsoft-com:office:smarttags" w:element="country-region">
          <w:r w:rsidR="00BF1FB4" w:rsidRPr="00317682">
            <w:rPr>
              <w:color w:val="000000"/>
            </w:rPr>
            <w:t>Australia</w:t>
          </w:r>
        </w:smartTag>
      </w:smartTag>
      <w:r w:rsidR="00BF1FB4" w:rsidRPr="00317682">
        <w:rPr>
          <w:color w:val="000000"/>
        </w:rPr>
        <w:t xml:space="preserve">’s </w:t>
      </w:r>
      <w:r w:rsidRPr="00317682">
        <w:rPr>
          <w:color w:val="000000"/>
        </w:rPr>
        <w:t>partner countries. Public financial management and economic policy development are often brought together under common programs as</w:t>
      </w:r>
      <w:r w:rsidR="00A74933" w:rsidRPr="00317682">
        <w:rPr>
          <w:color w:val="000000"/>
        </w:rPr>
        <w:t xml:space="preserve"> in</w:t>
      </w:r>
      <w:r w:rsidRPr="00317682">
        <w:rPr>
          <w:color w:val="000000"/>
        </w:rPr>
        <w:t xml:space="preserve">, for example, </w:t>
      </w:r>
      <w:r w:rsidR="000C6326" w:rsidRPr="00317682">
        <w:rPr>
          <w:color w:val="000000"/>
        </w:rPr>
        <w:t>the Pacific Financial Technical Assistance Centre</w:t>
      </w:r>
      <w:r w:rsidR="003F20A5" w:rsidRPr="00317682">
        <w:rPr>
          <w:color w:val="000000"/>
        </w:rPr>
        <w:t>. The Association of Southe</w:t>
      </w:r>
      <w:r w:rsidRPr="00317682">
        <w:rPr>
          <w:color w:val="000000"/>
        </w:rPr>
        <w:t xml:space="preserve">ast Asian Nations receives support for regional economic policy development. Increasingly, </w:t>
      </w:r>
      <w:proofErr w:type="spellStart"/>
      <w:r w:rsidRPr="00317682">
        <w:rPr>
          <w:color w:val="000000"/>
        </w:rPr>
        <w:t>AusAID</w:t>
      </w:r>
      <w:proofErr w:type="spellEnd"/>
      <w:r w:rsidRPr="00317682">
        <w:rPr>
          <w:color w:val="000000"/>
        </w:rPr>
        <w:t xml:space="preserve"> is providing support for microeconomic reforms</w:t>
      </w:r>
      <w:r w:rsidR="00A74933" w:rsidRPr="00317682">
        <w:rPr>
          <w:color w:val="000000"/>
        </w:rPr>
        <w:t>,</w:t>
      </w:r>
      <w:r w:rsidRPr="00317682">
        <w:rPr>
          <w:color w:val="000000"/>
        </w:rPr>
        <w:t xml:space="preserve"> as in </w:t>
      </w:r>
      <w:smartTag w:uri="urn:schemas-microsoft-com:office:smarttags" w:element="country-region">
        <w:r w:rsidRPr="00317682">
          <w:rPr>
            <w:color w:val="000000"/>
          </w:rPr>
          <w:t>Vanuatu</w:t>
        </w:r>
      </w:smartTag>
      <w:r w:rsidRPr="00317682">
        <w:rPr>
          <w:color w:val="000000"/>
        </w:rPr>
        <w:t xml:space="preserve">, </w:t>
      </w:r>
      <w:smartTag w:uri="urn:schemas-microsoft-com:office:smarttags" w:element="country-region">
        <w:r w:rsidRPr="00317682">
          <w:rPr>
            <w:color w:val="000000"/>
          </w:rPr>
          <w:t>Indonesia</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Philippines</w:t>
          </w:r>
        </w:smartTag>
      </w:smartTag>
      <w:r w:rsidRPr="00317682">
        <w:rPr>
          <w:color w:val="000000"/>
        </w:rPr>
        <w:t xml:space="preserve">. This is a positive development as support for economic policy development has been small compared </w:t>
      </w:r>
      <w:r w:rsidR="00A74933" w:rsidRPr="00317682">
        <w:rPr>
          <w:color w:val="000000"/>
        </w:rPr>
        <w:t xml:space="preserve">with </w:t>
      </w:r>
      <w:r w:rsidR="00BF1FB4" w:rsidRPr="00317682">
        <w:rPr>
          <w:color w:val="000000"/>
        </w:rPr>
        <w:t xml:space="preserve">the support for </w:t>
      </w:r>
      <w:r w:rsidRPr="00317682">
        <w:rPr>
          <w:color w:val="000000"/>
        </w:rPr>
        <w:t>public financial management, yet there are many opportunities for microeconomic reform to deliver pro-poor growth.</w:t>
      </w:r>
    </w:p>
    <w:p w:rsidR="00DB2E78" w:rsidRPr="00317682" w:rsidRDefault="00DB2E78" w:rsidP="00DB2E78">
      <w:pPr>
        <w:pStyle w:val="BodyText"/>
        <w:rPr>
          <w:color w:val="000000"/>
        </w:rPr>
      </w:pPr>
      <w:proofErr w:type="spellStart"/>
      <w:r w:rsidRPr="00317682">
        <w:rPr>
          <w:color w:val="000000"/>
        </w:rPr>
        <w:t>AusAID</w:t>
      </w:r>
      <w:proofErr w:type="spellEnd"/>
      <w:r w:rsidRPr="00317682">
        <w:rPr>
          <w:color w:val="000000"/>
        </w:rPr>
        <w:t xml:space="preserve"> contributes to </w:t>
      </w:r>
      <w:r w:rsidRPr="00317682">
        <w:rPr>
          <w:b/>
          <w:color w:val="000000"/>
        </w:rPr>
        <w:t>trust funds</w:t>
      </w:r>
      <w:r w:rsidRPr="00317682">
        <w:rPr>
          <w:color w:val="000000"/>
        </w:rPr>
        <w:t xml:space="preserve"> in the micro-states of Niue, Tokelau and </w:t>
      </w:r>
      <w:smartTag w:uri="urn:schemas-microsoft-com:office:smarttags" w:element="place">
        <w:smartTag w:uri="urn:schemas-microsoft-com:office:smarttags" w:element="country-region">
          <w:r w:rsidRPr="00317682">
            <w:rPr>
              <w:color w:val="000000"/>
            </w:rPr>
            <w:t>Tuvalu</w:t>
          </w:r>
        </w:smartTag>
      </w:smartTag>
      <w:r w:rsidRPr="00317682">
        <w:rPr>
          <w:color w:val="000000"/>
        </w:rPr>
        <w:t xml:space="preserve">, with income from trust fund investments feeding into national </w:t>
      </w:r>
      <w:r w:rsidR="00A74933" w:rsidRPr="00317682">
        <w:rPr>
          <w:color w:val="000000"/>
        </w:rPr>
        <w:t>budgets</w:t>
      </w:r>
      <w:r w:rsidRPr="00317682">
        <w:rPr>
          <w:color w:val="000000"/>
        </w:rPr>
        <w:t xml:space="preserve">. This indirect </w:t>
      </w:r>
      <w:r w:rsidR="00A74933" w:rsidRPr="00317682">
        <w:rPr>
          <w:color w:val="000000"/>
        </w:rPr>
        <w:t xml:space="preserve">budgetary </w:t>
      </w:r>
      <w:r w:rsidRPr="00317682">
        <w:rPr>
          <w:color w:val="000000"/>
        </w:rPr>
        <w:t xml:space="preserve">support </w:t>
      </w:r>
      <w:r w:rsidR="00A74933" w:rsidRPr="00317682">
        <w:rPr>
          <w:color w:val="000000"/>
        </w:rPr>
        <w:t xml:space="preserve">is </w:t>
      </w:r>
      <w:r w:rsidRPr="00317682">
        <w:rPr>
          <w:color w:val="000000"/>
        </w:rPr>
        <w:t>recogni</w:t>
      </w:r>
      <w:r w:rsidR="00A74933" w:rsidRPr="00317682">
        <w:rPr>
          <w:color w:val="000000"/>
        </w:rPr>
        <w:t>tion that</w:t>
      </w:r>
      <w:r w:rsidRPr="00317682">
        <w:rPr>
          <w:color w:val="000000"/>
        </w:rPr>
        <w:t xml:space="preserve"> these countries face substantial hurdles in securing viable and prosperous economies, and </w:t>
      </w:r>
      <w:r w:rsidR="00A74933" w:rsidRPr="00317682">
        <w:rPr>
          <w:color w:val="000000"/>
        </w:rPr>
        <w:t xml:space="preserve">that </w:t>
      </w:r>
      <w:r w:rsidRPr="00317682">
        <w:rPr>
          <w:color w:val="000000"/>
        </w:rPr>
        <w:t xml:space="preserve">future attention to strengthening their capacity in public financial management is warranted. </w:t>
      </w:r>
    </w:p>
    <w:p w:rsidR="00DB2E78" w:rsidRPr="00317682" w:rsidRDefault="00DB2E78" w:rsidP="00DB2E78">
      <w:pPr>
        <w:pStyle w:val="BodyText"/>
        <w:rPr>
          <w:color w:val="000000"/>
        </w:rPr>
      </w:pPr>
      <w:r w:rsidRPr="00317682">
        <w:rPr>
          <w:rStyle w:val="Heading5Char"/>
          <w:color w:val="000000"/>
        </w:rPr>
        <w:t>Small and medium enterprise development</w:t>
      </w:r>
      <w:r w:rsidRPr="00317682">
        <w:rPr>
          <w:color w:val="000000"/>
        </w:rPr>
        <w:t xml:space="preserve"> is an increasingly important area of activity</w:t>
      </w:r>
      <w:r w:rsidR="00A74933" w:rsidRPr="00317682">
        <w:rPr>
          <w:color w:val="000000"/>
        </w:rPr>
        <w:t>,</w:t>
      </w:r>
      <w:r w:rsidRPr="00317682">
        <w:rPr>
          <w:color w:val="000000"/>
        </w:rPr>
        <w:t xml:space="preserve"> as it is now accepted as a key way to deliver pro-poor growth and </w:t>
      </w:r>
      <w:r w:rsidR="00A74933" w:rsidRPr="00317682">
        <w:rPr>
          <w:color w:val="000000"/>
        </w:rPr>
        <w:t xml:space="preserve">to </w:t>
      </w:r>
      <w:r w:rsidRPr="00317682">
        <w:rPr>
          <w:color w:val="000000"/>
        </w:rPr>
        <w:t xml:space="preserve">empower women. Many activities in support of small and medium enterprise development relate to governance, particularly in </w:t>
      </w:r>
      <w:r w:rsidR="00E00596" w:rsidRPr="00317682">
        <w:rPr>
          <w:color w:val="000000"/>
        </w:rPr>
        <w:t xml:space="preserve">developing </w:t>
      </w:r>
      <w:r w:rsidRPr="00317682">
        <w:rPr>
          <w:color w:val="000000"/>
        </w:rPr>
        <w:t>polic</w:t>
      </w:r>
      <w:r w:rsidR="00E00596" w:rsidRPr="00317682">
        <w:rPr>
          <w:color w:val="000000"/>
        </w:rPr>
        <w:t>ies</w:t>
      </w:r>
      <w:r w:rsidRPr="00317682">
        <w:rPr>
          <w:color w:val="000000"/>
        </w:rPr>
        <w:t xml:space="preserve"> and formulatin</w:t>
      </w:r>
      <w:r w:rsidR="00E00596" w:rsidRPr="00317682">
        <w:rPr>
          <w:color w:val="000000"/>
        </w:rPr>
        <w:t>g</w:t>
      </w:r>
      <w:r w:rsidRPr="00317682">
        <w:rPr>
          <w:color w:val="000000"/>
        </w:rPr>
        <w:t xml:space="preserve"> regulations.</w:t>
      </w:r>
    </w:p>
    <w:p w:rsidR="00DB2E78" w:rsidRPr="00317682" w:rsidRDefault="00DB2E78" w:rsidP="00DB2E78">
      <w:pPr>
        <w:pStyle w:val="BodyText"/>
        <w:rPr>
          <w:color w:val="000000"/>
        </w:rPr>
      </w:pPr>
      <w:r w:rsidRPr="00317682">
        <w:rPr>
          <w:rStyle w:val="Heading5Char"/>
          <w:color w:val="000000"/>
        </w:rPr>
        <w:t>Land administration and policy</w:t>
      </w:r>
      <w:r w:rsidR="00B55907" w:rsidRPr="00317682">
        <w:rPr>
          <w:color w:val="000000"/>
        </w:rPr>
        <w:t xml:space="preserve"> </w:t>
      </w:r>
      <w:r w:rsidRPr="00317682">
        <w:rPr>
          <w:color w:val="000000"/>
        </w:rPr>
        <w:t xml:space="preserve">has been a focus for </w:t>
      </w:r>
      <w:proofErr w:type="spellStart"/>
      <w:r w:rsidRPr="00317682">
        <w:rPr>
          <w:color w:val="000000"/>
        </w:rPr>
        <w:t>AusAID</w:t>
      </w:r>
      <w:proofErr w:type="spellEnd"/>
      <w:r w:rsidRPr="00317682">
        <w:rPr>
          <w:color w:val="000000"/>
        </w:rPr>
        <w:t xml:space="preserve"> in </w:t>
      </w:r>
      <w:smartTag w:uri="urn:schemas-microsoft-com:office:smarttags" w:element="country-region">
        <w:r w:rsidRPr="00317682">
          <w:rPr>
            <w:color w:val="000000"/>
          </w:rPr>
          <w:t>Laos</w:t>
        </w:r>
      </w:smartTag>
      <w:r w:rsidRPr="00317682">
        <w:rPr>
          <w:color w:val="000000"/>
        </w:rPr>
        <w:t xml:space="preserve">, </w:t>
      </w:r>
      <w:r w:rsidR="00E00596" w:rsidRPr="00317682">
        <w:rPr>
          <w:color w:val="000000"/>
        </w:rPr>
        <w:t xml:space="preserve">the </w:t>
      </w:r>
      <w:smartTag w:uri="urn:schemas-microsoft-com:office:smarttags" w:element="country-region">
        <w:r w:rsidRPr="00317682">
          <w:rPr>
            <w:color w:val="000000"/>
          </w:rPr>
          <w:t>Philippines</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xml:space="preserve"> and initiatives are under</w:t>
      </w:r>
      <w:r w:rsidR="00E00596" w:rsidRPr="00317682">
        <w:rPr>
          <w:color w:val="000000"/>
        </w:rPr>
        <w:t xml:space="preserve"> </w:t>
      </w:r>
      <w:r w:rsidRPr="00317682">
        <w:rPr>
          <w:color w:val="000000"/>
        </w:rPr>
        <w:t>way to expand activities in the Pacific region.</w:t>
      </w:r>
    </w:p>
    <w:p w:rsidR="00DB2E78" w:rsidRPr="00317682" w:rsidRDefault="00DB2E78" w:rsidP="00DB2E78">
      <w:pPr>
        <w:pStyle w:val="BodyText"/>
        <w:rPr>
          <w:color w:val="000000"/>
          <w:spacing w:val="-2"/>
        </w:rPr>
      </w:pPr>
      <w:r w:rsidRPr="00317682">
        <w:rPr>
          <w:rStyle w:val="Heading5Char"/>
          <w:color w:val="000000"/>
          <w:spacing w:val="-2"/>
        </w:rPr>
        <w:t>Economic governance research</w:t>
      </w:r>
      <w:r w:rsidR="00B55907" w:rsidRPr="00317682">
        <w:rPr>
          <w:color w:val="000000"/>
          <w:spacing w:val="-2"/>
        </w:rPr>
        <w:t xml:space="preserve"> </w:t>
      </w:r>
      <w:r w:rsidR="000C6326" w:rsidRPr="00317682">
        <w:rPr>
          <w:color w:val="000000"/>
          <w:spacing w:val="-2"/>
        </w:rPr>
        <w:t>i</w:t>
      </w:r>
      <w:r w:rsidRPr="00317682">
        <w:rPr>
          <w:color w:val="000000"/>
          <w:spacing w:val="-2"/>
        </w:rPr>
        <w:t>s supported through the annual Australian Development Research Awards as well as through targeted long</w:t>
      </w:r>
      <w:r w:rsidR="00E00596" w:rsidRPr="00317682">
        <w:rPr>
          <w:color w:val="000000"/>
          <w:spacing w:val="-2"/>
        </w:rPr>
        <w:t>-</w:t>
      </w:r>
      <w:r w:rsidRPr="00317682">
        <w:rPr>
          <w:color w:val="000000"/>
          <w:spacing w:val="-2"/>
        </w:rPr>
        <w:t xml:space="preserve">term arrangements. Examples of research initiatives </w:t>
      </w:r>
      <w:r w:rsidR="00E00596" w:rsidRPr="00317682">
        <w:rPr>
          <w:color w:val="000000"/>
          <w:spacing w:val="-2"/>
        </w:rPr>
        <w:t>with</w:t>
      </w:r>
      <w:r w:rsidRPr="00317682">
        <w:rPr>
          <w:color w:val="000000"/>
          <w:spacing w:val="-2"/>
        </w:rPr>
        <w:t xml:space="preserve"> a strong focus on economic governance include the </w:t>
      </w:r>
      <w:smartTag w:uri="urn:schemas-microsoft-com:office:smarttags" w:element="PlaceName">
        <w:r w:rsidRPr="00317682">
          <w:rPr>
            <w:color w:val="000000"/>
            <w:spacing w:val="-2"/>
          </w:rPr>
          <w:t>Australian</w:t>
        </w:r>
      </w:smartTag>
      <w:r w:rsidRPr="00317682">
        <w:rPr>
          <w:color w:val="000000"/>
          <w:spacing w:val="-2"/>
        </w:rPr>
        <w:t xml:space="preserve"> </w:t>
      </w:r>
      <w:smartTag w:uri="urn:schemas-microsoft-com:office:smarttags" w:element="PlaceName">
        <w:r w:rsidRPr="00317682">
          <w:rPr>
            <w:color w:val="000000"/>
            <w:spacing w:val="-2"/>
          </w:rPr>
          <w:t>National</w:t>
        </w:r>
      </w:smartTag>
      <w:r w:rsidRPr="00317682">
        <w:rPr>
          <w:color w:val="000000"/>
          <w:spacing w:val="-2"/>
        </w:rPr>
        <w:t xml:space="preserve"> </w:t>
      </w:r>
      <w:smartTag w:uri="urn:schemas-microsoft-com:office:smarttags" w:element="PlaceType">
        <w:r w:rsidRPr="00317682">
          <w:rPr>
            <w:color w:val="000000"/>
            <w:spacing w:val="-2"/>
          </w:rPr>
          <w:t>University</w:t>
        </w:r>
      </w:smartTag>
      <w:r w:rsidRPr="00317682">
        <w:rPr>
          <w:color w:val="000000"/>
          <w:spacing w:val="-2"/>
        </w:rPr>
        <w:t xml:space="preserve">’s </w:t>
      </w:r>
      <w:smartTag w:uri="urn:schemas-microsoft-com:office:smarttags" w:element="place">
        <w:smartTag w:uri="urn:schemas-microsoft-com:office:smarttags" w:element="country-region">
          <w:r w:rsidRPr="00317682">
            <w:rPr>
              <w:color w:val="000000"/>
              <w:spacing w:val="-2"/>
            </w:rPr>
            <w:t>Indonesia</w:t>
          </w:r>
        </w:smartTag>
      </w:smartTag>
      <w:r w:rsidRPr="00317682">
        <w:rPr>
          <w:color w:val="000000"/>
          <w:spacing w:val="-2"/>
        </w:rPr>
        <w:t xml:space="preserve"> project and support for the journal </w:t>
      </w:r>
      <w:r w:rsidRPr="00317682">
        <w:rPr>
          <w:i/>
          <w:color w:val="000000"/>
          <w:spacing w:val="-2"/>
        </w:rPr>
        <w:t>Pacific Economic Bulletin</w:t>
      </w:r>
      <w:r w:rsidRPr="00317682">
        <w:rPr>
          <w:color w:val="000000"/>
          <w:spacing w:val="-2"/>
        </w:rPr>
        <w:t xml:space="preserve">. Support for </w:t>
      </w:r>
      <w:r w:rsidRPr="00317682">
        <w:rPr>
          <w:color w:val="000000"/>
          <w:spacing w:val="-2"/>
        </w:rPr>
        <w:lastRenderedPageBreak/>
        <w:t xml:space="preserve">research has not only provided benefits in advancing knowledge in economic governance, but </w:t>
      </w:r>
      <w:r w:rsidR="00E00596" w:rsidRPr="00317682">
        <w:rPr>
          <w:color w:val="000000"/>
          <w:spacing w:val="-2"/>
        </w:rPr>
        <w:t xml:space="preserve">also </w:t>
      </w:r>
      <w:r w:rsidRPr="00317682">
        <w:rPr>
          <w:color w:val="000000"/>
          <w:spacing w:val="-2"/>
        </w:rPr>
        <w:t>facilitated strategic economic governance networks.</w:t>
      </w:r>
    </w:p>
    <w:p w:rsidR="00DB2E78" w:rsidRPr="00317682" w:rsidRDefault="00DB2E78" w:rsidP="00DB2E78">
      <w:pPr>
        <w:pStyle w:val="Heading3"/>
        <w:rPr>
          <w:color w:val="000000"/>
        </w:rPr>
      </w:pPr>
      <w:bookmarkStart w:id="22" w:name="_Toc202340877"/>
      <w:bookmarkStart w:id="23" w:name="_Toc207514538"/>
      <w:r w:rsidRPr="00317682">
        <w:rPr>
          <w:color w:val="000000"/>
        </w:rPr>
        <w:t>Performance and results</w:t>
      </w:r>
      <w:bookmarkEnd w:id="22"/>
      <w:bookmarkEnd w:id="23"/>
    </w:p>
    <w:p w:rsidR="00DB2E78" w:rsidRPr="00317682" w:rsidRDefault="00F4764A" w:rsidP="00DB2E78">
      <w:pPr>
        <w:pStyle w:val="BodyText"/>
        <w:rPr>
          <w:color w:val="000000"/>
        </w:rPr>
      </w:pPr>
      <w:proofErr w:type="spellStart"/>
      <w:r w:rsidRPr="00317682">
        <w:rPr>
          <w:color w:val="000000"/>
        </w:rPr>
        <w:t>AusAID</w:t>
      </w:r>
      <w:proofErr w:type="spellEnd"/>
      <w:r w:rsidRPr="00317682">
        <w:rPr>
          <w:color w:val="000000"/>
        </w:rPr>
        <w:t xml:space="preserve"> uses</w:t>
      </w:r>
      <w:r w:rsidR="00DB2E78" w:rsidRPr="00317682">
        <w:rPr>
          <w:color w:val="000000"/>
        </w:rPr>
        <w:t xml:space="preserve"> a broad range of mechanisms to deliver activities. Again this is </w:t>
      </w:r>
      <w:r w:rsidRPr="00317682">
        <w:rPr>
          <w:color w:val="000000"/>
        </w:rPr>
        <w:t xml:space="preserve">due </w:t>
      </w:r>
      <w:r w:rsidR="00DB2E78" w:rsidRPr="00317682">
        <w:rPr>
          <w:color w:val="000000"/>
        </w:rPr>
        <w:t xml:space="preserve">in part to a shortfall in strong guidance on economic governance, but also </w:t>
      </w:r>
      <w:r w:rsidRPr="00317682">
        <w:rPr>
          <w:color w:val="000000"/>
        </w:rPr>
        <w:t xml:space="preserve">to </w:t>
      </w:r>
      <w:r w:rsidR="00DB2E78" w:rsidRPr="00317682">
        <w:rPr>
          <w:color w:val="000000"/>
        </w:rPr>
        <w:t>the different challenges and circumstances of each country and each region. In general, economic governance activities are</w:t>
      </w:r>
      <w:r w:rsidR="00BF1FB4" w:rsidRPr="00317682">
        <w:rPr>
          <w:color w:val="000000"/>
        </w:rPr>
        <w:t> </w:t>
      </w:r>
      <w:r w:rsidR="00DB2E78" w:rsidRPr="00317682">
        <w:rPr>
          <w:color w:val="000000"/>
        </w:rPr>
        <w:t>dominated by the provision of technical assistance. In turn, most technical assistance is</w:t>
      </w:r>
      <w:r w:rsidR="00BF1FB4" w:rsidRPr="00317682">
        <w:rPr>
          <w:color w:val="000000"/>
        </w:rPr>
        <w:t> </w:t>
      </w:r>
      <w:r w:rsidR="00DB2E78" w:rsidRPr="00317682">
        <w:rPr>
          <w:color w:val="000000"/>
        </w:rPr>
        <w:t xml:space="preserve">sourced from private contractors in </w:t>
      </w:r>
      <w:smartTag w:uri="urn:schemas-microsoft-com:office:smarttags" w:element="place">
        <w:smartTag w:uri="urn:schemas-microsoft-com:office:smarttags" w:element="country-region">
          <w:r w:rsidR="00DB2E78" w:rsidRPr="00317682">
            <w:rPr>
              <w:color w:val="000000"/>
            </w:rPr>
            <w:t>Australia</w:t>
          </w:r>
        </w:smartTag>
      </w:smartTag>
      <w:r w:rsidR="00DB2E78" w:rsidRPr="00317682">
        <w:rPr>
          <w:color w:val="000000"/>
        </w:rPr>
        <w:t xml:space="preserve"> or from counterpart agencies in the Australian</w:t>
      </w:r>
      <w:r w:rsidR="00BF1FB4" w:rsidRPr="00317682">
        <w:rPr>
          <w:color w:val="000000"/>
        </w:rPr>
        <w:t> </w:t>
      </w:r>
      <w:r w:rsidRPr="00317682">
        <w:rPr>
          <w:color w:val="000000"/>
        </w:rPr>
        <w:t>Government</w:t>
      </w:r>
      <w:r w:rsidR="00DB2E78" w:rsidRPr="00317682">
        <w:rPr>
          <w:color w:val="000000"/>
        </w:rPr>
        <w:t>.</w:t>
      </w:r>
    </w:p>
    <w:p w:rsidR="00DB2E78" w:rsidRPr="00317682" w:rsidRDefault="00B55907" w:rsidP="00DB2E78">
      <w:pPr>
        <w:pStyle w:val="BodyText"/>
        <w:rPr>
          <w:color w:val="000000"/>
        </w:rPr>
      </w:pPr>
      <w:r w:rsidRPr="00317682">
        <w:rPr>
          <w:color w:val="000000"/>
        </w:rPr>
        <w:t>Among</w:t>
      </w:r>
      <w:r w:rsidR="00DB2E78" w:rsidRPr="00317682">
        <w:rPr>
          <w:color w:val="000000"/>
        </w:rPr>
        <w:t xml:space="preserve"> Pacific countries, a common approach in the provision of technical assistance is to deploy people into in-line positions or advisory roles. The Australian departments of Treasury and Finance are important sources for </w:t>
      </w:r>
      <w:proofErr w:type="spellStart"/>
      <w:r w:rsidR="00DB2E78" w:rsidRPr="00317682">
        <w:rPr>
          <w:color w:val="000000"/>
        </w:rPr>
        <w:t>deployees</w:t>
      </w:r>
      <w:proofErr w:type="spellEnd"/>
      <w:r w:rsidR="00DB2E78" w:rsidRPr="00317682">
        <w:rPr>
          <w:color w:val="000000"/>
        </w:rPr>
        <w:t xml:space="preserve"> and advisers in </w:t>
      </w:r>
      <w:smartTag w:uri="urn:schemas-microsoft-com:office:smarttags" w:element="country-region">
        <w:r w:rsidR="00FC4DEF" w:rsidRPr="00317682">
          <w:rPr>
            <w:color w:val="000000"/>
          </w:rPr>
          <w:t>Papua New Guinea</w:t>
        </w:r>
      </w:smartTag>
      <w:r w:rsidR="00DB2E78" w:rsidRPr="00317682">
        <w:rPr>
          <w:color w:val="000000"/>
        </w:rPr>
        <w:t xml:space="preserve">, </w:t>
      </w:r>
      <w:smartTag w:uri="urn:schemas-microsoft-com:office:smarttags" w:element="country-region">
        <w:r w:rsidR="00DB2E78" w:rsidRPr="00317682">
          <w:rPr>
            <w:color w:val="000000"/>
          </w:rPr>
          <w:t>Solomon Islands</w:t>
        </w:r>
      </w:smartTag>
      <w:r w:rsidR="00DB2E78" w:rsidRPr="00317682">
        <w:rPr>
          <w:color w:val="000000"/>
        </w:rPr>
        <w:t xml:space="preserve"> and </w:t>
      </w:r>
      <w:smartTag w:uri="urn:schemas-microsoft-com:office:smarttags" w:element="place">
        <w:smartTag w:uri="urn:schemas-microsoft-com:office:smarttags" w:element="country-region">
          <w:r w:rsidR="00DB2E78" w:rsidRPr="00317682">
            <w:rPr>
              <w:color w:val="000000"/>
            </w:rPr>
            <w:t>Nauru</w:t>
          </w:r>
        </w:smartTag>
      </w:smartTag>
      <w:r w:rsidR="00DB2E78" w:rsidRPr="00317682">
        <w:rPr>
          <w:color w:val="000000"/>
        </w:rPr>
        <w:t xml:space="preserve">. In the early phases of the deployment strategies, the main rationale was to fill voids in capacity and bolster the basic operations of the machinery of government in the recipient countries. The results have generally been good with contributions made in each country to improved macroeconomic performance and public financial management. </w:t>
      </w:r>
    </w:p>
    <w:p w:rsidR="00DB2E78" w:rsidRPr="00317682" w:rsidRDefault="00DB2E78" w:rsidP="00DB2E78">
      <w:pPr>
        <w:pStyle w:val="BodyText"/>
        <w:rPr>
          <w:color w:val="000000"/>
        </w:rPr>
      </w:pPr>
      <w:r w:rsidRPr="00317682">
        <w:rPr>
          <w:color w:val="000000"/>
        </w:rPr>
        <w:t xml:space="preserve">However, a sustainable approach of support for economic governance requires strong initiatives for capacity building. In </w:t>
      </w:r>
      <w:smartTag w:uri="urn:schemas-microsoft-com:office:smarttags" w:element="country-region">
        <w:r w:rsidR="00C21962" w:rsidRPr="00317682">
          <w:rPr>
            <w:color w:val="000000"/>
          </w:rPr>
          <w:t>Papua New Guinea</w:t>
        </w:r>
      </w:smartTag>
      <w:r w:rsidR="00C21962"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xml:space="preserve"> there have been efforts to refocus support toward capacity building. This is a most welcome initiative, although it is a very challenging one given the difficulties in working in fragile states. Increased support for tertiary education so that graduates with higher calibre skills are recruited will enhance pr</w:t>
      </w:r>
      <w:r w:rsidR="0050667A" w:rsidRPr="00317682">
        <w:rPr>
          <w:color w:val="000000"/>
        </w:rPr>
        <w:t>ospects for successful capacity-</w:t>
      </w:r>
      <w:r w:rsidRPr="00317682">
        <w:rPr>
          <w:color w:val="000000"/>
        </w:rPr>
        <w:t>building efforts in these countries.</w:t>
      </w:r>
    </w:p>
    <w:p w:rsidR="00DB2E78" w:rsidRPr="00317682" w:rsidRDefault="00DB2E78" w:rsidP="00DB2E78">
      <w:pPr>
        <w:pStyle w:val="BodyText"/>
        <w:rPr>
          <w:color w:val="000000"/>
        </w:rPr>
      </w:pPr>
      <w:r w:rsidRPr="00317682">
        <w:rPr>
          <w:color w:val="000000"/>
        </w:rPr>
        <w:t xml:space="preserve">A difficulty with placing emphasis on </w:t>
      </w:r>
      <w:proofErr w:type="spellStart"/>
      <w:r w:rsidRPr="00317682">
        <w:rPr>
          <w:color w:val="000000"/>
        </w:rPr>
        <w:t>deployees</w:t>
      </w:r>
      <w:proofErr w:type="spellEnd"/>
      <w:r w:rsidRPr="00317682">
        <w:rPr>
          <w:color w:val="000000"/>
        </w:rPr>
        <w:t xml:space="preserve"> is the challenge of winning govern</w:t>
      </w:r>
      <w:r w:rsidR="0050667A" w:rsidRPr="00317682">
        <w:rPr>
          <w:color w:val="000000"/>
        </w:rPr>
        <w:t>ment ownership for their work—</w:t>
      </w:r>
      <w:r w:rsidRPr="00317682">
        <w:rPr>
          <w:color w:val="000000"/>
        </w:rPr>
        <w:t xml:space="preserve">both at the political level and from within the bureaucracy. In </w:t>
      </w:r>
      <w:smartTag w:uri="urn:schemas-microsoft-com:office:smarttags" w:element="country-region">
        <w:r w:rsidR="00C16683" w:rsidRPr="00317682">
          <w:rPr>
            <w:color w:val="000000"/>
          </w:rPr>
          <w:t>Papua New Guinea</w:t>
        </w:r>
      </w:smartTag>
      <w:r w:rsidR="00C16683"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xml:space="preserve"> initiatives have been taken to improve the institutional and management arrangements of </w:t>
      </w:r>
      <w:proofErr w:type="spellStart"/>
      <w:r w:rsidRPr="00317682">
        <w:rPr>
          <w:color w:val="000000"/>
        </w:rPr>
        <w:t>deployees</w:t>
      </w:r>
      <w:proofErr w:type="spellEnd"/>
      <w:r w:rsidRPr="00317682">
        <w:rPr>
          <w:color w:val="000000"/>
        </w:rPr>
        <w:t xml:space="preserve"> in order to tackle the concerns of government ownership and potential for two chains of command.</w:t>
      </w:r>
    </w:p>
    <w:p w:rsidR="000A6FAF" w:rsidRPr="00317682" w:rsidRDefault="00055BF5" w:rsidP="00DB2E78">
      <w:pPr>
        <w:pStyle w:val="BodyText"/>
        <w:rPr>
          <w:color w:val="000000"/>
        </w:rPr>
      </w:pPr>
      <w:r w:rsidRPr="00317682">
        <w:rPr>
          <w:color w:val="000000"/>
        </w:rPr>
        <w:t xml:space="preserve">In </w:t>
      </w:r>
      <w:smartTag w:uri="urn:schemas-microsoft-com:office:smarttags" w:element="place">
        <w:smartTag w:uri="urn:schemas-microsoft-com:office:smarttags" w:element="country-region">
          <w:r w:rsidRPr="00317682">
            <w:rPr>
              <w:color w:val="000000"/>
            </w:rPr>
            <w:t>Vanuatu</w:t>
          </w:r>
        </w:smartTag>
      </w:smartTag>
      <w:r w:rsidRPr="00317682">
        <w:rPr>
          <w:color w:val="000000"/>
        </w:rPr>
        <w:t xml:space="preserve"> </w:t>
      </w:r>
      <w:r w:rsidR="009E1388" w:rsidRPr="00317682">
        <w:rPr>
          <w:color w:val="000000"/>
        </w:rPr>
        <w:t xml:space="preserve">the Governance for Growth Program takes </w:t>
      </w:r>
      <w:r w:rsidRPr="00317682">
        <w:rPr>
          <w:color w:val="000000"/>
        </w:rPr>
        <w:t xml:space="preserve">a different approach </w:t>
      </w:r>
      <w:r w:rsidR="009E1388" w:rsidRPr="00317682">
        <w:rPr>
          <w:color w:val="000000"/>
        </w:rPr>
        <w:t>to deployments</w:t>
      </w:r>
      <w:r w:rsidRPr="00317682">
        <w:rPr>
          <w:color w:val="000000"/>
        </w:rPr>
        <w:t>. Economic governance activities and the procurement and placement of technical assistance are managed centrally in this program and within the systems of the Government of Vanuatu. The mandate of activities is broad, covering public financial management and economic policy reform. An oversight committee is jointly managed by donors and the Government of Vanuatu, ensuring government ownership and ensuring activities and technical assistance align with government priorities. It is early days for drawing lessons</w:t>
      </w:r>
      <w:r w:rsidR="009E1388" w:rsidRPr="00317682">
        <w:rPr>
          <w:color w:val="000000"/>
        </w:rPr>
        <w:t xml:space="preserve"> from this approach</w:t>
      </w:r>
      <w:r w:rsidRPr="00317682">
        <w:rPr>
          <w:color w:val="000000"/>
        </w:rPr>
        <w:t xml:space="preserve">, but the program so far appears to have been successful and support in </w:t>
      </w:r>
      <w:smartTag w:uri="urn:schemas-microsoft-com:office:smarttags" w:element="place">
        <w:smartTag w:uri="urn:schemas-microsoft-com:office:smarttags" w:element="country-region">
          <w:r w:rsidRPr="00317682">
            <w:rPr>
              <w:color w:val="000000"/>
            </w:rPr>
            <w:t>Vanuatu</w:t>
          </w:r>
        </w:smartTag>
      </w:smartTag>
      <w:r w:rsidRPr="00317682">
        <w:rPr>
          <w:color w:val="000000"/>
        </w:rPr>
        <w:t xml:space="preserve"> suggests it might be a good model for approaches elsewhere in the Pacific.</w:t>
      </w:r>
    </w:p>
    <w:p w:rsidR="00DB2E78" w:rsidRPr="00317682" w:rsidRDefault="00DB2E78" w:rsidP="00DB2E78">
      <w:pPr>
        <w:pStyle w:val="BodyText"/>
        <w:rPr>
          <w:color w:val="000000"/>
          <w:spacing w:val="-2"/>
        </w:rPr>
      </w:pPr>
      <w:r w:rsidRPr="00317682">
        <w:rPr>
          <w:color w:val="000000"/>
          <w:spacing w:val="-2"/>
        </w:rPr>
        <w:t xml:space="preserve">The Technical Assistance Management Facility in </w:t>
      </w:r>
      <w:smartTag w:uri="urn:schemas-microsoft-com:office:smarttags" w:element="place">
        <w:smartTag w:uri="urn:schemas-microsoft-com:office:smarttags" w:element="country-region">
          <w:r w:rsidRPr="00317682">
            <w:rPr>
              <w:color w:val="000000"/>
              <w:spacing w:val="-2"/>
            </w:rPr>
            <w:t>Indonesia</w:t>
          </w:r>
        </w:smartTag>
      </w:smartTag>
      <w:r w:rsidRPr="00317682">
        <w:rPr>
          <w:color w:val="000000"/>
          <w:spacing w:val="-2"/>
        </w:rPr>
        <w:t xml:space="preserve"> has had similar results in success and popularity with the government as the Vanuatu Governance for Growth </w:t>
      </w:r>
      <w:r w:rsidR="008B40B3" w:rsidRPr="00317682">
        <w:rPr>
          <w:color w:val="000000"/>
          <w:spacing w:val="-2"/>
        </w:rPr>
        <w:t>Program</w:t>
      </w:r>
      <w:r w:rsidRPr="00317682">
        <w:rPr>
          <w:color w:val="000000"/>
          <w:spacing w:val="-2"/>
        </w:rPr>
        <w:t xml:space="preserve">. Like the approach in </w:t>
      </w:r>
      <w:smartTag w:uri="urn:schemas-microsoft-com:office:smarttags" w:element="place">
        <w:smartTag w:uri="urn:schemas-microsoft-com:office:smarttags" w:element="country-region">
          <w:r w:rsidRPr="00317682">
            <w:rPr>
              <w:color w:val="000000"/>
              <w:spacing w:val="-2"/>
            </w:rPr>
            <w:t>Vanuatu</w:t>
          </w:r>
        </w:smartTag>
      </w:smartTag>
      <w:r w:rsidRPr="00317682">
        <w:rPr>
          <w:color w:val="000000"/>
          <w:spacing w:val="-2"/>
        </w:rPr>
        <w:t xml:space="preserve">, there is a joint oversight committee that establishes the key areas of support that are consistent with government priorities. However, </w:t>
      </w:r>
      <w:r w:rsidR="008B40B3" w:rsidRPr="00317682">
        <w:rPr>
          <w:color w:val="000000"/>
          <w:spacing w:val="-2"/>
        </w:rPr>
        <w:t xml:space="preserve">the </w:t>
      </w:r>
      <w:r w:rsidR="00C05864" w:rsidRPr="00317682">
        <w:rPr>
          <w:color w:val="000000"/>
          <w:spacing w:val="-2"/>
        </w:rPr>
        <w:t xml:space="preserve">management </w:t>
      </w:r>
      <w:r w:rsidR="008B40B3" w:rsidRPr="00317682">
        <w:rPr>
          <w:color w:val="000000"/>
          <w:spacing w:val="-2"/>
        </w:rPr>
        <w:t xml:space="preserve">facility </w:t>
      </w:r>
      <w:r w:rsidRPr="00317682">
        <w:rPr>
          <w:color w:val="000000"/>
          <w:spacing w:val="-2"/>
        </w:rPr>
        <w:t xml:space="preserve">takes more </w:t>
      </w:r>
      <w:r w:rsidR="008B40B3" w:rsidRPr="00317682">
        <w:rPr>
          <w:color w:val="000000"/>
          <w:spacing w:val="-2"/>
        </w:rPr>
        <w:t xml:space="preserve">of a </w:t>
      </w:r>
      <w:r w:rsidRPr="00317682">
        <w:rPr>
          <w:color w:val="000000"/>
          <w:spacing w:val="-2"/>
        </w:rPr>
        <w:t>‘big picture’ approach</w:t>
      </w:r>
      <w:r w:rsidR="008B40B3" w:rsidRPr="00317682">
        <w:rPr>
          <w:color w:val="000000"/>
          <w:spacing w:val="-2"/>
        </w:rPr>
        <w:t>,</w:t>
      </w:r>
      <w:r w:rsidRPr="00317682">
        <w:rPr>
          <w:color w:val="000000"/>
          <w:spacing w:val="-2"/>
        </w:rPr>
        <w:t xml:space="preserve"> with the focus being to provide technical assistance at a very senior level with the purpose of assisting responsible ministers to implement agreed activities. The activities are therefore implemented within government systems</w:t>
      </w:r>
      <w:r w:rsidR="00BF1FB4" w:rsidRPr="00317682">
        <w:rPr>
          <w:color w:val="000000"/>
          <w:spacing w:val="-2"/>
        </w:rPr>
        <w:t>,</w:t>
      </w:r>
      <w:r w:rsidRPr="00317682">
        <w:rPr>
          <w:color w:val="000000"/>
          <w:spacing w:val="-2"/>
        </w:rPr>
        <w:t xml:space="preserve"> and consultants are hired as needed to carry out specific activities in cases where the responsible ministry has shortfalls in capacity. In </w:t>
      </w:r>
      <w:r w:rsidR="00C05864" w:rsidRPr="00317682">
        <w:rPr>
          <w:color w:val="000000"/>
          <w:spacing w:val="-2"/>
        </w:rPr>
        <w:t xml:space="preserve">the management facility </w:t>
      </w:r>
      <w:r w:rsidRPr="00317682">
        <w:rPr>
          <w:color w:val="000000"/>
          <w:spacing w:val="-2"/>
        </w:rPr>
        <w:t xml:space="preserve">there has been strong counterpart input in design, </w:t>
      </w:r>
      <w:r w:rsidRPr="00317682">
        <w:rPr>
          <w:color w:val="000000"/>
          <w:spacing w:val="-2"/>
        </w:rPr>
        <w:lastRenderedPageBreak/>
        <w:t xml:space="preserve">implementation and review. The </w:t>
      </w:r>
      <w:smartTag w:uri="urn:schemas-microsoft-com:office:smarttags" w:element="place">
        <w:smartTag w:uri="urn:schemas-microsoft-com:office:smarttags" w:element="country-region">
          <w:r w:rsidRPr="00317682">
            <w:rPr>
              <w:color w:val="000000"/>
              <w:spacing w:val="-2"/>
            </w:rPr>
            <w:t>Philippines</w:t>
          </w:r>
        </w:smartTag>
      </w:smartTag>
      <w:r w:rsidRPr="00317682">
        <w:rPr>
          <w:color w:val="000000"/>
          <w:spacing w:val="-2"/>
        </w:rPr>
        <w:t xml:space="preserve"> has a similar program to </w:t>
      </w:r>
      <w:r w:rsidR="00C05864" w:rsidRPr="00317682">
        <w:rPr>
          <w:color w:val="000000"/>
          <w:spacing w:val="-2"/>
        </w:rPr>
        <w:t xml:space="preserve">the management facility in place </w:t>
      </w:r>
      <w:r w:rsidRPr="00317682">
        <w:rPr>
          <w:color w:val="000000"/>
          <w:spacing w:val="-2"/>
        </w:rPr>
        <w:t>and after early problems is now having a similar degree of success.</w:t>
      </w:r>
      <w:r w:rsidR="00C16EB4" w:rsidRPr="00317682">
        <w:rPr>
          <w:color w:val="000000"/>
          <w:spacing w:val="-2"/>
        </w:rPr>
        <w:t xml:space="preserve"> </w:t>
      </w:r>
    </w:p>
    <w:p w:rsidR="00DB2E78" w:rsidRPr="00317682" w:rsidRDefault="00DB2E78" w:rsidP="00DB2E78">
      <w:pPr>
        <w:pStyle w:val="BodyText"/>
        <w:rPr>
          <w:color w:val="000000"/>
        </w:rPr>
      </w:pPr>
      <w:r w:rsidRPr="00317682">
        <w:rPr>
          <w:color w:val="000000"/>
        </w:rPr>
        <w:t xml:space="preserve">Among Asian donor partners, there is a greater emphasis on delivery mechanisms that have ownership by government and that work within government systems, like </w:t>
      </w:r>
      <w:r w:rsidR="001536B0" w:rsidRPr="00317682">
        <w:rPr>
          <w:color w:val="000000"/>
        </w:rPr>
        <w:t xml:space="preserve">the </w:t>
      </w:r>
      <w:r w:rsidR="001536B0" w:rsidRPr="00317682">
        <w:rPr>
          <w:color w:val="000000"/>
          <w:spacing w:val="-2"/>
        </w:rPr>
        <w:t>Technical Assistance Management Facility</w:t>
      </w:r>
      <w:r w:rsidRPr="00317682">
        <w:rPr>
          <w:color w:val="000000"/>
        </w:rPr>
        <w:t xml:space="preserve">. This has generally resulted in good outcomes. There are greater opportunities in </w:t>
      </w:r>
      <w:smartTag w:uri="urn:schemas-microsoft-com:office:smarttags" w:element="place">
        <w:r w:rsidRPr="00317682">
          <w:rPr>
            <w:color w:val="000000"/>
          </w:rPr>
          <w:t>Asia</w:t>
        </w:r>
      </w:smartTag>
      <w:r w:rsidRPr="00317682">
        <w:rPr>
          <w:color w:val="000000"/>
        </w:rPr>
        <w:t xml:space="preserve"> for </w:t>
      </w:r>
      <w:proofErr w:type="spellStart"/>
      <w:r w:rsidRPr="00317682">
        <w:rPr>
          <w:color w:val="000000"/>
        </w:rPr>
        <w:t>AusAID</w:t>
      </w:r>
      <w:proofErr w:type="spellEnd"/>
      <w:r w:rsidRPr="00317682">
        <w:rPr>
          <w:color w:val="000000"/>
        </w:rPr>
        <w:t xml:space="preserve"> to work jointly with other donors in the region as there are many donors operating in Asian countries, a situation not generally seen in Pacific countries. Accordingly, coordination and harmonisation are particularly important. </w:t>
      </w:r>
      <w:proofErr w:type="spellStart"/>
      <w:r w:rsidRPr="00317682">
        <w:rPr>
          <w:color w:val="000000"/>
        </w:rPr>
        <w:t>AusAID</w:t>
      </w:r>
      <w:proofErr w:type="spellEnd"/>
      <w:r w:rsidRPr="00317682">
        <w:rPr>
          <w:color w:val="000000"/>
        </w:rPr>
        <w:t xml:space="preserve"> has generally done well on this score, often taking the approach of backing activities managed by multilateral agencies. For example, the well-executed Cambodia Public Financial Management Reform Program is led by the World Bank and supported by nine donors, including </w:t>
      </w:r>
      <w:proofErr w:type="spellStart"/>
      <w:r w:rsidRPr="00317682">
        <w:rPr>
          <w:color w:val="000000"/>
        </w:rPr>
        <w:t>AusAID</w:t>
      </w:r>
      <w:proofErr w:type="spellEnd"/>
      <w:r w:rsidRPr="00317682">
        <w:rPr>
          <w:color w:val="000000"/>
        </w:rPr>
        <w:t xml:space="preserve">. In </w:t>
      </w:r>
      <w:smartTag w:uri="urn:schemas-microsoft-com:office:smarttags" w:element="place">
        <w:r w:rsidRPr="00317682">
          <w:rPr>
            <w:color w:val="000000"/>
          </w:rPr>
          <w:t>East Timor</w:t>
        </w:r>
      </w:smartTag>
      <w:r w:rsidRPr="00317682">
        <w:rPr>
          <w:color w:val="000000"/>
        </w:rPr>
        <w:t xml:space="preserve">, </w:t>
      </w:r>
      <w:proofErr w:type="spellStart"/>
      <w:r w:rsidRPr="00317682">
        <w:rPr>
          <w:color w:val="000000"/>
        </w:rPr>
        <w:t>AusAID</w:t>
      </w:r>
      <w:proofErr w:type="spellEnd"/>
      <w:r w:rsidRPr="00317682">
        <w:rPr>
          <w:color w:val="000000"/>
        </w:rPr>
        <w:t xml:space="preserve"> will be merging its bilateral program of support for economic governance with a multilateral program</w:t>
      </w:r>
      <w:r w:rsidR="001536B0" w:rsidRPr="00317682">
        <w:rPr>
          <w:color w:val="000000"/>
        </w:rPr>
        <w:t xml:space="preserve"> led by the World Bank</w:t>
      </w:r>
      <w:r w:rsidRPr="00317682">
        <w:rPr>
          <w:color w:val="000000"/>
        </w:rPr>
        <w:t>, providing a platform for more effective and better harmonised support.</w:t>
      </w:r>
    </w:p>
    <w:p w:rsidR="00DB2E78" w:rsidRPr="00317682" w:rsidRDefault="00DB2E78" w:rsidP="00DB2E78">
      <w:pPr>
        <w:pStyle w:val="BodyText"/>
        <w:rPr>
          <w:color w:val="000000"/>
        </w:rPr>
      </w:pPr>
      <w:r w:rsidRPr="00317682">
        <w:rPr>
          <w:color w:val="000000"/>
        </w:rPr>
        <w:t>An alternative aid mechanism is to provide incentive</w:t>
      </w:r>
      <w:r w:rsidR="001536B0" w:rsidRPr="00317682">
        <w:rPr>
          <w:color w:val="000000"/>
        </w:rPr>
        <w:t>s</w:t>
      </w:r>
      <w:r w:rsidRPr="00317682">
        <w:rPr>
          <w:color w:val="000000"/>
        </w:rPr>
        <w:t xml:space="preserve"> based on achieving outputs rather than the traditional </w:t>
      </w:r>
      <w:r w:rsidR="001536B0" w:rsidRPr="00317682">
        <w:rPr>
          <w:color w:val="000000"/>
        </w:rPr>
        <w:t xml:space="preserve">approach of providing </w:t>
      </w:r>
      <w:r w:rsidRPr="00317682">
        <w:rPr>
          <w:color w:val="000000"/>
        </w:rPr>
        <w:t xml:space="preserve">technical assistance. This mechanism is </w:t>
      </w:r>
      <w:r w:rsidR="001536B0" w:rsidRPr="00317682">
        <w:rPr>
          <w:color w:val="000000"/>
        </w:rPr>
        <w:t xml:space="preserve">increasingly </w:t>
      </w:r>
      <w:r w:rsidRPr="00317682">
        <w:rPr>
          <w:color w:val="000000"/>
        </w:rPr>
        <w:t xml:space="preserve">being used by </w:t>
      </w:r>
      <w:proofErr w:type="spellStart"/>
      <w:r w:rsidRPr="00317682">
        <w:rPr>
          <w:color w:val="000000"/>
        </w:rPr>
        <w:t>AusAID</w:t>
      </w:r>
      <w:proofErr w:type="spellEnd"/>
      <w:r w:rsidRPr="00317682">
        <w:rPr>
          <w:color w:val="000000"/>
        </w:rPr>
        <w:t xml:space="preserve"> and has so far proven successful. A key to the success is that incentive schemes have been built around government reform agendas. The Poverty Reduction Support Credits initiative in </w:t>
      </w:r>
      <w:smartTag w:uri="urn:schemas-microsoft-com:office:smarttags" w:element="place">
        <w:smartTag w:uri="urn:schemas-microsoft-com:office:smarttags" w:element="country-region">
          <w:r w:rsidRPr="00317682">
            <w:rPr>
              <w:color w:val="000000"/>
            </w:rPr>
            <w:t>Vietnam</w:t>
          </w:r>
        </w:smartTag>
      </w:smartTag>
      <w:r w:rsidRPr="00317682">
        <w:rPr>
          <w:color w:val="000000"/>
        </w:rPr>
        <w:t xml:space="preserve"> provides a good example of the positive outcomes possible with this approach. This initiative builds in incentives by requiring that the release of funds to support activities be contingent on achieving agreed reform milestones in existing activities. </w:t>
      </w:r>
    </w:p>
    <w:p w:rsidR="00DB2E78" w:rsidRPr="00317682" w:rsidRDefault="00DB2E78" w:rsidP="00DB2E78">
      <w:pPr>
        <w:pStyle w:val="Heading3"/>
        <w:rPr>
          <w:color w:val="000000"/>
        </w:rPr>
      </w:pPr>
      <w:bookmarkStart w:id="24" w:name="_Toc202340878"/>
      <w:bookmarkStart w:id="25" w:name="_Toc207514539"/>
      <w:r w:rsidRPr="00317682">
        <w:rPr>
          <w:color w:val="000000"/>
        </w:rPr>
        <w:t>Explanation</w:t>
      </w:r>
      <w:bookmarkEnd w:id="24"/>
      <w:bookmarkEnd w:id="25"/>
    </w:p>
    <w:p w:rsidR="00DB2E78" w:rsidRPr="00317682" w:rsidRDefault="00DB2E78" w:rsidP="00DB2E78">
      <w:pPr>
        <w:pStyle w:val="BodyText"/>
        <w:rPr>
          <w:color w:val="000000"/>
        </w:rPr>
      </w:pPr>
      <w:r w:rsidRPr="00317682">
        <w:rPr>
          <w:color w:val="000000"/>
        </w:rPr>
        <w:t>Overall, the performance of economic governance activities, as rated in QAI reports, has been variable.</w:t>
      </w:r>
      <w:r w:rsidR="00C16EB4" w:rsidRPr="00317682">
        <w:rPr>
          <w:color w:val="000000"/>
        </w:rPr>
        <w:t xml:space="preserve"> </w:t>
      </w:r>
      <w:r w:rsidRPr="00317682">
        <w:rPr>
          <w:color w:val="000000"/>
        </w:rPr>
        <w:t xml:space="preserve">The </w:t>
      </w:r>
      <w:r w:rsidR="00530428" w:rsidRPr="00317682">
        <w:rPr>
          <w:color w:val="000000"/>
        </w:rPr>
        <w:t>sub</w:t>
      </w:r>
      <w:r w:rsidRPr="00317682">
        <w:rPr>
          <w:color w:val="000000"/>
        </w:rPr>
        <w:t xml:space="preserve">sector performed best in implementation progress, followed by achieving objectives, with the majority of activities rated </w:t>
      </w:r>
      <w:r w:rsidR="001536B0" w:rsidRPr="00317682">
        <w:rPr>
          <w:color w:val="000000"/>
        </w:rPr>
        <w:t xml:space="preserve">as </w:t>
      </w:r>
      <w:r w:rsidRPr="00317682">
        <w:rPr>
          <w:color w:val="000000"/>
        </w:rPr>
        <w:t>good quality.</w:t>
      </w:r>
      <w:r w:rsidR="00C16EB4" w:rsidRPr="00317682">
        <w:rPr>
          <w:color w:val="000000"/>
        </w:rPr>
        <w:t xml:space="preserve"> </w:t>
      </w:r>
      <w:r w:rsidRPr="00317682">
        <w:rPr>
          <w:color w:val="000000"/>
        </w:rPr>
        <w:t xml:space="preserve">Monitoring and evaluation and sustainability </w:t>
      </w:r>
      <w:r w:rsidR="001536B0" w:rsidRPr="00317682">
        <w:rPr>
          <w:color w:val="000000"/>
        </w:rPr>
        <w:t xml:space="preserve">were given lower </w:t>
      </w:r>
      <w:r w:rsidRPr="00317682">
        <w:rPr>
          <w:color w:val="000000"/>
        </w:rPr>
        <w:t>rat</w:t>
      </w:r>
      <w:r w:rsidR="001536B0" w:rsidRPr="00317682">
        <w:rPr>
          <w:color w:val="000000"/>
        </w:rPr>
        <w:t>ings</w:t>
      </w:r>
      <w:r w:rsidRPr="00317682">
        <w:rPr>
          <w:color w:val="000000"/>
        </w:rPr>
        <w:t>. There are good examples of effective and well</w:t>
      </w:r>
      <w:r w:rsidR="001536B0" w:rsidRPr="00317682">
        <w:rPr>
          <w:color w:val="000000"/>
        </w:rPr>
        <w:t>-</w:t>
      </w:r>
      <w:r w:rsidRPr="00317682">
        <w:rPr>
          <w:color w:val="000000"/>
        </w:rPr>
        <w:t xml:space="preserve">planned </w:t>
      </w:r>
      <w:r w:rsidR="001536B0" w:rsidRPr="00317682">
        <w:rPr>
          <w:color w:val="000000"/>
        </w:rPr>
        <w:t xml:space="preserve">delivery of </w:t>
      </w:r>
      <w:r w:rsidRPr="00317682">
        <w:rPr>
          <w:color w:val="000000"/>
        </w:rPr>
        <w:t xml:space="preserve">economic governance aid in </w:t>
      </w:r>
      <w:smartTag w:uri="urn:schemas-microsoft-com:office:smarttags" w:element="country-region">
        <w:r w:rsidRPr="00317682">
          <w:rPr>
            <w:color w:val="000000"/>
          </w:rPr>
          <w:t>Vanuatu</w:t>
        </w:r>
      </w:smartTag>
      <w:r w:rsidRPr="00317682">
        <w:rPr>
          <w:color w:val="000000"/>
        </w:rPr>
        <w:t xml:space="preserve"> and some countries in </w:t>
      </w:r>
      <w:smartTag w:uri="urn:schemas-microsoft-com:office:smarttags" w:element="place">
        <w:r w:rsidR="001536B0" w:rsidRPr="00317682">
          <w:rPr>
            <w:color w:val="000000"/>
          </w:rPr>
          <w:t>South-</w:t>
        </w:r>
        <w:r w:rsidRPr="00317682">
          <w:rPr>
            <w:color w:val="000000"/>
          </w:rPr>
          <w:t>East Asia</w:t>
        </w:r>
      </w:smartTag>
      <w:r w:rsidRPr="00317682">
        <w:rPr>
          <w:color w:val="000000"/>
        </w:rPr>
        <w:t xml:space="preserve">. Central to these good outcomes is the philosophy of ‘government ownership’, working within government systems and to government priorities, and donor coordination. In general, activities </w:t>
      </w:r>
      <w:r w:rsidR="00BF1FB4" w:rsidRPr="00317682">
        <w:rPr>
          <w:color w:val="000000"/>
        </w:rPr>
        <w:t>without</w:t>
      </w:r>
      <w:r w:rsidRPr="00317682">
        <w:rPr>
          <w:color w:val="000000"/>
        </w:rPr>
        <w:t xml:space="preserve"> these principles have had weaker performances</w:t>
      </w:r>
      <w:r w:rsidR="001536B0" w:rsidRPr="00317682">
        <w:rPr>
          <w:color w:val="000000"/>
        </w:rPr>
        <w:t>,</w:t>
      </w:r>
      <w:r w:rsidRPr="00317682">
        <w:rPr>
          <w:color w:val="000000"/>
        </w:rPr>
        <w:t xml:space="preserve"> and this has especially been the case in </w:t>
      </w:r>
      <w:smartTag w:uri="urn:schemas-microsoft-com:office:smarttags" w:element="place">
        <w:smartTag w:uri="urn:schemas-microsoft-com:office:smarttags" w:element="country-region">
          <w:r w:rsidR="001536B0" w:rsidRPr="00317682">
            <w:rPr>
              <w:color w:val="000000"/>
            </w:rPr>
            <w:t>Papua New Guinea</w:t>
          </w:r>
        </w:smartTag>
      </w:smartTag>
      <w:r w:rsidR="001536B0" w:rsidRPr="00317682">
        <w:rPr>
          <w:color w:val="000000"/>
        </w:rPr>
        <w:t xml:space="preserve"> </w:t>
      </w:r>
      <w:r w:rsidRPr="00317682">
        <w:rPr>
          <w:color w:val="000000"/>
        </w:rPr>
        <w:t xml:space="preserve">and most of the Pacific. </w:t>
      </w:r>
    </w:p>
    <w:p w:rsidR="00DB2E78" w:rsidRPr="00317682" w:rsidRDefault="00DB2E78" w:rsidP="00DB2E78">
      <w:pPr>
        <w:pStyle w:val="BodyText"/>
        <w:rPr>
          <w:color w:val="000000"/>
        </w:rPr>
      </w:pPr>
      <w:r w:rsidRPr="00317682">
        <w:rPr>
          <w:color w:val="000000"/>
        </w:rPr>
        <w:t xml:space="preserve">An issue that is particularly relevant for </w:t>
      </w:r>
      <w:smartTag w:uri="urn:schemas-microsoft-com:office:smarttags" w:element="place">
        <w:smartTag w:uri="urn:schemas-microsoft-com:office:smarttags" w:element="country-region">
          <w:r w:rsidR="00ED2B17" w:rsidRPr="00317682">
            <w:rPr>
              <w:color w:val="000000"/>
            </w:rPr>
            <w:t>Papua New Guinea</w:t>
          </w:r>
        </w:smartTag>
      </w:smartTag>
      <w:r w:rsidR="00ED2B17" w:rsidRPr="00317682">
        <w:rPr>
          <w:color w:val="000000"/>
        </w:rPr>
        <w:t xml:space="preserve"> </w:t>
      </w:r>
      <w:r w:rsidRPr="00317682">
        <w:rPr>
          <w:color w:val="000000"/>
        </w:rPr>
        <w:t>and the Pacific is the propensity for initiatives to be pursued without sufficient reference to strong guidance principles, including measures of development effectiveness and empowerment of women. This is also likely to be a factor behind the variety of mechanisms for delivering aid across countries that receive economic governance assistance. There remains a heavy emphasis on technical assistance, although the increasing use of output</w:t>
      </w:r>
      <w:r w:rsidR="00ED2B17" w:rsidRPr="00317682">
        <w:rPr>
          <w:color w:val="000000"/>
        </w:rPr>
        <w:t>-</w:t>
      </w:r>
      <w:r w:rsidRPr="00317682">
        <w:rPr>
          <w:color w:val="000000"/>
        </w:rPr>
        <w:t xml:space="preserve">based modalities is positive. </w:t>
      </w:r>
      <w:r w:rsidR="00ED2B17" w:rsidRPr="00317682">
        <w:rPr>
          <w:color w:val="000000"/>
        </w:rPr>
        <w:t xml:space="preserve">Greater </w:t>
      </w:r>
      <w:r w:rsidRPr="00317682">
        <w:rPr>
          <w:color w:val="000000"/>
        </w:rPr>
        <w:t xml:space="preserve">reference to guidance in economic governance might see more emphasis placed on expenditure management and on microeconomic reforms that deliver pro-poor growth. Such an overarching approach </w:t>
      </w:r>
      <w:r w:rsidR="00ED2B17" w:rsidRPr="00317682">
        <w:rPr>
          <w:color w:val="000000"/>
        </w:rPr>
        <w:t xml:space="preserve">is </w:t>
      </w:r>
      <w:r w:rsidRPr="00317682">
        <w:rPr>
          <w:color w:val="000000"/>
        </w:rPr>
        <w:t xml:space="preserve">likely </w:t>
      </w:r>
      <w:r w:rsidR="00ED2B17" w:rsidRPr="00317682">
        <w:rPr>
          <w:color w:val="000000"/>
        </w:rPr>
        <w:t xml:space="preserve">to </w:t>
      </w:r>
      <w:r w:rsidRPr="00317682">
        <w:rPr>
          <w:color w:val="000000"/>
        </w:rPr>
        <w:t>lead to more consistent results across countries in the types of activit</w:t>
      </w:r>
      <w:r w:rsidR="00ED2B17" w:rsidRPr="00317682">
        <w:rPr>
          <w:color w:val="000000"/>
        </w:rPr>
        <w:t>y</w:t>
      </w:r>
      <w:r w:rsidRPr="00317682">
        <w:rPr>
          <w:color w:val="000000"/>
        </w:rPr>
        <w:t xml:space="preserve"> pursued than is currently the case.</w:t>
      </w:r>
    </w:p>
    <w:p w:rsidR="00DB2E78" w:rsidRPr="00317682" w:rsidRDefault="00DB2E78" w:rsidP="00DB2E78">
      <w:pPr>
        <w:pStyle w:val="Heading2unnumbered"/>
        <w:rPr>
          <w:color w:val="000000"/>
        </w:rPr>
      </w:pPr>
      <w:bookmarkStart w:id="26" w:name="_Toc202340879"/>
      <w:bookmarkStart w:id="27" w:name="_Toc207514540"/>
      <w:bookmarkStart w:id="28" w:name="_Toc222041484"/>
      <w:r w:rsidRPr="00317682">
        <w:rPr>
          <w:color w:val="000000"/>
        </w:rPr>
        <w:lastRenderedPageBreak/>
        <w:t>Increasing public sector effectiveness</w:t>
      </w:r>
      <w:bookmarkEnd w:id="26"/>
      <w:bookmarkEnd w:id="27"/>
      <w:bookmarkEnd w:id="28"/>
    </w:p>
    <w:p w:rsidR="00DB2E78" w:rsidRPr="00317682" w:rsidRDefault="00DB2E78" w:rsidP="00BB3F3C">
      <w:pPr>
        <w:pStyle w:val="Heading3"/>
        <w:spacing w:before="240"/>
        <w:rPr>
          <w:color w:val="000000"/>
        </w:rPr>
      </w:pPr>
      <w:bookmarkStart w:id="29" w:name="_Toc202340880"/>
      <w:bookmarkStart w:id="30" w:name="_Toc207514541"/>
      <w:r w:rsidRPr="00317682">
        <w:rPr>
          <w:color w:val="000000"/>
        </w:rPr>
        <w:t xml:space="preserve">What does </w:t>
      </w:r>
      <w:proofErr w:type="spellStart"/>
      <w:r w:rsidRPr="00317682">
        <w:rPr>
          <w:color w:val="000000"/>
        </w:rPr>
        <w:t>AusAID</w:t>
      </w:r>
      <w:proofErr w:type="spellEnd"/>
      <w:r w:rsidRPr="00317682">
        <w:rPr>
          <w:color w:val="000000"/>
        </w:rPr>
        <w:t xml:space="preserve"> do?</w:t>
      </w:r>
      <w:bookmarkEnd w:id="29"/>
      <w:bookmarkEnd w:id="30"/>
    </w:p>
    <w:p w:rsidR="00DB2E78" w:rsidRPr="00317682" w:rsidRDefault="00DB2E78" w:rsidP="00DB2E78">
      <w:pPr>
        <w:pStyle w:val="BodyText"/>
        <w:rPr>
          <w:color w:val="000000"/>
        </w:rPr>
      </w:pPr>
      <w:r w:rsidRPr="00317682">
        <w:rPr>
          <w:color w:val="000000"/>
        </w:rPr>
        <w:t xml:space="preserve">Public sector management is the largest area of </w:t>
      </w:r>
      <w:proofErr w:type="spellStart"/>
      <w:r w:rsidRPr="00317682">
        <w:rPr>
          <w:color w:val="000000"/>
        </w:rPr>
        <w:t>AusAID’s</w:t>
      </w:r>
      <w:proofErr w:type="spellEnd"/>
      <w:r w:rsidRPr="00317682">
        <w:rPr>
          <w:color w:val="000000"/>
        </w:rPr>
        <w:t xml:space="preserve"> governance work. While described as a </w:t>
      </w:r>
      <w:r w:rsidR="00530428" w:rsidRPr="00317682">
        <w:rPr>
          <w:color w:val="000000"/>
        </w:rPr>
        <w:t>sub</w:t>
      </w:r>
      <w:r w:rsidRPr="00317682">
        <w:rPr>
          <w:color w:val="000000"/>
        </w:rPr>
        <w:t>sector of governance, public sector management in practice cuts across all sectors. The elements common to the various models of public sector management are: professionalism, efficiency, effectiveness, responsiveness, accountability, meritocracy and transparency. To that extent</w:t>
      </w:r>
      <w:r w:rsidR="00382299" w:rsidRPr="00317682">
        <w:rPr>
          <w:color w:val="000000"/>
        </w:rPr>
        <w:t>,</w:t>
      </w:r>
      <w:r w:rsidRPr="00317682">
        <w:rPr>
          <w:color w:val="000000"/>
        </w:rPr>
        <w:t xml:space="preserve"> most or all of </w:t>
      </w:r>
      <w:proofErr w:type="spellStart"/>
      <w:r w:rsidRPr="00317682">
        <w:rPr>
          <w:color w:val="000000"/>
        </w:rPr>
        <w:t>AusAID’s</w:t>
      </w:r>
      <w:proofErr w:type="spellEnd"/>
      <w:r w:rsidRPr="00317682">
        <w:rPr>
          <w:color w:val="000000"/>
        </w:rPr>
        <w:t xml:space="preserve"> sectoral programs, which are not the subject of this report, include support to improve the management and operations of the public sector for the purpose of improving service delivery. Some of the activities designated as public sector management follow</w:t>
      </w:r>
      <w:r w:rsidR="00382299" w:rsidRPr="00317682">
        <w:rPr>
          <w:color w:val="000000"/>
        </w:rPr>
        <w:t>.</w:t>
      </w:r>
    </w:p>
    <w:p w:rsidR="00DB2E78" w:rsidRPr="00317682" w:rsidRDefault="0042203A" w:rsidP="00DB2E78">
      <w:pPr>
        <w:pStyle w:val="BodyText"/>
        <w:rPr>
          <w:color w:val="000000"/>
        </w:rPr>
      </w:pPr>
      <w:r w:rsidRPr="00317682">
        <w:rPr>
          <w:rStyle w:val="Heading5Char"/>
          <w:color w:val="000000"/>
        </w:rPr>
        <w:t>C</w:t>
      </w:r>
      <w:r w:rsidR="00DB2E78" w:rsidRPr="00317682">
        <w:rPr>
          <w:rStyle w:val="Heading5Char"/>
          <w:color w:val="000000"/>
        </w:rPr>
        <w:t>entral and line agencies</w:t>
      </w:r>
      <w:r w:rsidR="00382299" w:rsidRPr="00317682">
        <w:rPr>
          <w:color w:val="000000"/>
        </w:rPr>
        <w:t> </w:t>
      </w:r>
      <w:r w:rsidR="00DB2E78" w:rsidRPr="00317682">
        <w:rPr>
          <w:color w:val="000000"/>
        </w:rPr>
        <w:t xml:space="preserve">Public sector management is an area of particular interest for </w:t>
      </w:r>
      <w:proofErr w:type="spellStart"/>
      <w:r w:rsidR="00DB2E78" w:rsidRPr="00317682">
        <w:rPr>
          <w:color w:val="000000"/>
        </w:rPr>
        <w:t>AusAID</w:t>
      </w:r>
      <w:proofErr w:type="spellEnd"/>
      <w:r w:rsidR="00DB2E78" w:rsidRPr="00317682">
        <w:rPr>
          <w:color w:val="000000"/>
        </w:rPr>
        <w:t xml:space="preserve"> in </w:t>
      </w:r>
      <w:r w:rsidR="00382299" w:rsidRPr="00317682">
        <w:rPr>
          <w:color w:val="000000"/>
        </w:rPr>
        <w:t xml:space="preserve">Australia’s </w:t>
      </w:r>
      <w:r w:rsidR="00DB2E78" w:rsidRPr="00317682">
        <w:rPr>
          <w:color w:val="000000"/>
        </w:rPr>
        <w:t xml:space="preserve">nearest and smaller neighbours. The largest program is the </w:t>
      </w:r>
      <w:r w:rsidR="00BF1FB4" w:rsidRPr="00317682">
        <w:rPr>
          <w:color w:val="000000"/>
        </w:rPr>
        <w:t xml:space="preserve">second phase of </w:t>
      </w:r>
      <w:r w:rsidR="00DB2E78" w:rsidRPr="00317682">
        <w:rPr>
          <w:color w:val="000000"/>
        </w:rPr>
        <w:t>PNG Advisory Support Facility ($82 million</w:t>
      </w:r>
      <w:r w:rsidR="00382299" w:rsidRPr="00317682">
        <w:rPr>
          <w:color w:val="000000"/>
        </w:rPr>
        <w:t xml:space="preserve"> for</w:t>
      </w:r>
      <w:r w:rsidR="00DB2E78" w:rsidRPr="00317682">
        <w:rPr>
          <w:color w:val="000000"/>
        </w:rPr>
        <w:t xml:space="preserve"> 2002</w:t>
      </w:r>
      <w:r w:rsidR="00382299" w:rsidRPr="00317682">
        <w:rPr>
          <w:color w:val="000000"/>
        </w:rPr>
        <w:t>–</w:t>
      </w:r>
      <w:r w:rsidR="00DB2E78" w:rsidRPr="00317682">
        <w:rPr>
          <w:color w:val="000000"/>
        </w:rPr>
        <w:t>09), currently providing about 50</w:t>
      </w:r>
      <w:r w:rsidRPr="00317682">
        <w:rPr>
          <w:color w:val="000000"/>
        </w:rPr>
        <w:t> </w:t>
      </w:r>
      <w:r w:rsidR="00DB2E78" w:rsidRPr="00317682">
        <w:rPr>
          <w:color w:val="000000"/>
        </w:rPr>
        <w:t xml:space="preserve">advisers to assist the </w:t>
      </w:r>
      <w:r w:rsidR="00382299" w:rsidRPr="00317682">
        <w:rPr>
          <w:color w:val="000000"/>
        </w:rPr>
        <w:t xml:space="preserve">government </w:t>
      </w:r>
      <w:r w:rsidR="00DB2E78" w:rsidRPr="00317682">
        <w:rPr>
          <w:color w:val="000000"/>
        </w:rPr>
        <w:t>to implement reforms, with an emphasis on systems</w:t>
      </w:r>
      <w:r w:rsidR="009853C6" w:rsidRPr="00317682">
        <w:rPr>
          <w:color w:val="000000"/>
        </w:rPr>
        <w:t>, on</w:t>
      </w:r>
      <w:r w:rsidR="00DB2E78" w:rsidRPr="00317682">
        <w:rPr>
          <w:color w:val="000000"/>
        </w:rPr>
        <w:t xml:space="preserve"> </w:t>
      </w:r>
      <w:r w:rsidR="00DB2E78" w:rsidRPr="00317682">
        <w:rPr>
          <w:color w:val="000000"/>
          <w:spacing w:val="-2"/>
        </w:rPr>
        <w:t>policy and planning</w:t>
      </w:r>
      <w:r w:rsidR="009853C6" w:rsidRPr="00317682">
        <w:rPr>
          <w:color w:val="000000"/>
          <w:spacing w:val="-2"/>
        </w:rPr>
        <w:t>, on</w:t>
      </w:r>
      <w:r w:rsidR="00DB2E78" w:rsidRPr="00317682">
        <w:rPr>
          <w:color w:val="000000"/>
          <w:spacing w:val="-2"/>
        </w:rPr>
        <w:t xml:space="preserve"> management and administration and</w:t>
      </w:r>
      <w:r w:rsidR="009853C6" w:rsidRPr="00317682">
        <w:rPr>
          <w:color w:val="000000"/>
          <w:spacing w:val="-2"/>
        </w:rPr>
        <w:t xml:space="preserve"> on</w:t>
      </w:r>
      <w:r w:rsidR="00DB2E78" w:rsidRPr="00317682">
        <w:rPr>
          <w:color w:val="000000"/>
          <w:spacing w:val="-2"/>
        </w:rPr>
        <w:t xml:space="preserve"> accountability and compliance.</w:t>
      </w:r>
      <w:r w:rsidR="00DB2E78" w:rsidRPr="00317682">
        <w:rPr>
          <w:color w:val="000000"/>
        </w:rPr>
        <w:t xml:space="preserve"> This is complemented by the economic and public sector governance component of the Enhanced Cooperation Program</w:t>
      </w:r>
      <w:r w:rsidRPr="00317682">
        <w:rPr>
          <w:color w:val="000000"/>
        </w:rPr>
        <w:t xml:space="preserve">, recently renamed the </w:t>
      </w:r>
      <w:proofErr w:type="spellStart"/>
      <w:r w:rsidRPr="00317682">
        <w:rPr>
          <w:color w:val="000000"/>
        </w:rPr>
        <w:t>Strongim</w:t>
      </w:r>
      <w:proofErr w:type="spellEnd"/>
      <w:r w:rsidRPr="00317682">
        <w:rPr>
          <w:color w:val="000000"/>
        </w:rPr>
        <w:t xml:space="preserve"> </w:t>
      </w:r>
      <w:proofErr w:type="spellStart"/>
      <w:r w:rsidRPr="00317682">
        <w:rPr>
          <w:color w:val="000000"/>
        </w:rPr>
        <w:t>Gavman</w:t>
      </w:r>
      <w:proofErr w:type="spellEnd"/>
      <w:r w:rsidRPr="00317682">
        <w:rPr>
          <w:color w:val="000000"/>
        </w:rPr>
        <w:t xml:space="preserve"> Program</w:t>
      </w:r>
      <w:r w:rsidR="00DB2E78" w:rsidRPr="00317682">
        <w:rPr>
          <w:color w:val="000000"/>
        </w:rPr>
        <w:t>. Strong support for public sector management is also provided through flexible modalities to East</w:t>
      </w:r>
      <w:r w:rsidR="009853C6" w:rsidRPr="00317682">
        <w:rPr>
          <w:color w:val="000000"/>
        </w:rPr>
        <w:t> </w:t>
      </w:r>
      <w:r w:rsidR="00DB2E78" w:rsidRPr="00317682">
        <w:rPr>
          <w:color w:val="000000"/>
        </w:rPr>
        <w:t xml:space="preserve">Timor, Samoa and </w:t>
      </w:r>
      <w:smartTag w:uri="urn:schemas-microsoft-com:office:smarttags" w:element="place">
        <w:smartTag w:uri="urn:schemas-microsoft-com:office:smarttags" w:element="country-region">
          <w:r w:rsidR="00DB2E78" w:rsidRPr="00317682">
            <w:rPr>
              <w:color w:val="000000"/>
            </w:rPr>
            <w:t>Solomon Islands</w:t>
          </w:r>
        </w:smartTag>
      </w:smartTag>
      <w:r w:rsidR="00DB2E78" w:rsidRPr="00317682">
        <w:rPr>
          <w:color w:val="000000"/>
        </w:rPr>
        <w:t>.</w:t>
      </w:r>
    </w:p>
    <w:p w:rsidR="00DB2E78" w:rsidRPr="00317682" w:rsidRDefault="00DB2E78" w:rsidP="00DB2E78">
      <w:pPr>
        <w:pStyle w:val="BodyText"/>
        <w:rPr>
          <w:color w:val="000000"/>
        </w:rPr>
      </w:pPr>
      <w:r w:rsidRPr="00317682">
        <w:rPr>
          <w:rStyle w:val="Heading5Char"/>
          <w:color w:val="000000"/>
        </w:rPr>
        <w:t>Local governance</w:t>
      </w:r>
      <w:r w:rsidR="00382299" w:rsidRPr="00317682">
        <w:rPr>
          <w:color w:val="000000"/>
        </w:rPr>
        <w:t> </w:t>
      </w:r>
      <w:proofErr w:type="gramStart"/>
      <w:r w:rsidRPr="00317682">
        <w:rPr>
          <w:color w:val="000000"/>
        </w:rPr>
        <w:t>The</w:t>
      </w:r>
      <w:proofErr w:type="gramEnd"/>
      <w:r w:rsidRPr="00317682">
        <w:rPr>
          <w:color w:val="000000"/>
        </w:rPr>
        <w:t xml:space="preserve"> two activities with a strong focus on improving governance and management at </w:t>
      </w:r>
      <w:r w:rsidR="00530428" w:rsidRPr="00317682">
        <w:rPr>
          <w:color w:val="000000"/>
        </w:rPr>
        <w:t>sub</w:t>
      </w:r>
      <w:r w:rsidRPr="00317682">
        <w:rPr>
          <w:color w:val="000000"/>
        </w:rPr>
        <w:t xml:space="preserve">national levels of government are the Sub-National Strategy in </w:t>
      </w:r>
      <w:smartTag w:uri="urn:schemas-microsoft-com:office:smarttags" w:element="country-region">
        <w:r w:rsidR="0042203A" w:rsidRPr="00317682">
          <w:rPr>
            <w:color w:val="000000"/>
          </w:rPr>
          <w:t>Papua New Guinea</w:t>
        </w:r>
      </w:smartTag>
      <w:r w:rsidR="0042203A" w:rsidRPr="00317682">
        <w:rPr>
          <w:color w:val="000000"/>
        </w:rPr>
        <w:t xml:space="preserve"> </w:t>
      </w:r>
      <w:r w:rsidRPr="00317682">
        <w:rPr>
          <w:color w:val="000000"/>
        </w:rPr>
        <w:t xml:space="preserve">and the </w:t>
      </w:r>
      <w:smartTag w:uri="urn:schemas-microsoft-com:office:smarttags" w:element="country-region">
        <w:r w:rsidRPr="00317682">
          <w:rPr>
            <w:color w:val="000000"/>
          </w:rPr>
          <w:t>Australia</w:t>
        </w:r>
      </w:smartTag>
      <w:r w:rsidR="0042203A" w:rsidRPr="00317682">
        <w:rPr>
          <w:rFonts w:ascii="Times New Roman" w:hAnsi="Times New Roman"/>
          <w:color w:val="000000"/>
          <w:sz w:val="12"/>
          <w:szCs w:val="12"/>
        </w:rPr>
        <w:t> </w:t>
      </w:r>
      <w:r w:rsidR="0042203A" w:rsidRPr="00317682">
        <w:rPr>
          <w:color w:val="000000"/>
        </w:rPr>
        <w:t>–</w:t>
      </w:r>
      <w:r w:rsidR="0042203A" w:rsidRPr="00317682">
        <w:rPr>
          <w:rFonts w:ascii="Times New Roman" w:hAnsi="Times New Roman"/>
          <w:color w:val="000000"/>
          <w:sz w:val="12"/>
          <w:szCs w:val="12"/>
        </w:rPr>
        <w:t> </w:t>
      </w:r>
      <w:r w:rsidRPr="00317682">
        <w:rPr>
          <w:color w:val="000000"/>
        </w:rPr>
        <w:t>Nusa Tenggara Assistance for Regional Autonomy</w:t>
      </w:r>
      <w:r w:rsidR="00C16EB4" w:rsidRPr="00317682">
        <w:rPr>
          <w:color w:val="000000"/>
        </w:rPr>
        <w:t xml:space="preserve"> </w:t>
      </w:r>
      <w:r w:rsidRPr="00317682">
        <w:rPr>
          <w:color w:val="000000"/>
        </w:rPr>
        <w:t xml:space="preserve">Program in </w:t>
      </w:r>
      <w:smartTag w:uri="urn:schemas-microsoft-com:office:smarttags" w:element="place">
        <w:smartTag w:uri="urn:schemas-microsoft-com:office:smarttags" w:element="country-region">
          <w:r w:rsidRPr="00317682">
            <w:rPr>
              <w:color w:val="000000"/>
            </w:rPr>
            <w:t>Indonesia</w:t>
          </w:r>
        </w:smartTag>
      </w:smartTag>
      <w:r w:rsidRPr="00317682">
        <w:rPr>
          <w:color w:val="000000"/>
        </w:rPr>
        <w:t xml:space="preserve">. Two other activities in </w:t>
      </w:r>
      <w:smartTag w:uri="urn:schemas-microsoft-com:office:smarttags" w:element="place">
        <w:smartTag w:uri="urn:schemas-microsoft-com:office:smarttags" w:element="country-region">
          <w:r w:rsidRPr="00317682">
            <w:rPr>
              <w:color w:val="000000"/>
            </w:rPr>
            <w:t>Indonesia</w:t>
          </w:r>
        </w:smartTag>
      </w:smartTag>
      <w:r w:rsidRPr="00317682">
        <w:rPr>
          <w:color w:val="000000"/>
        </w:rPr>
        <w:t xml:space="preserve"> under the Australia</w:t>
      </w:r>
      <w:r w:rsidR="0042203A" w:rsidRPr="00317682">
        <w:rPr>
          <w:color w:val="000000"/>
        </w:rPr>
        <w:t>–</w:t>
      </w:r>
      <w:r w:rsidRPr="00317682">
        <w:rPr>
          <w:color w:val="000000"/>
        </w:rPr>
        <w:t xml:space="preserve">Indonesia Partnership for Reconstruction and Development (AIPRD) in </w:t>
      </w:r>
      <w:proofErr w:type="spellStart"/>
      <w:r w:rsidRPr="00317682">
        <w:rPr>
          <w:color w:val="000000"/>
        </w:rPr>
        <w:t>Nias</w:t>
      </w:r>
      <w:proofErr w:type="spellEnd"/>
      <w:r w:rsidRPr="00317682">
        <w:rPr>
          <w:color w:val="000000"/>
        </w:rPr>
        <w:t xml:space="preserve"> and Aceh are assisting reconstruction after the 2004 tsunami. They support local governance by rebuilding local government and community infrastructure, and </w:t>
      </w:r>
      <w:r w:rsidR="0042203A" w:rsidRPr="00317682">
        <w:rPr>
          <w:color w:val="000000"/>
        </w:rPr>
        <w:t xml:space="preserve">helping </w:t>
      </w:r>
      <w:r w:rsidR="00530428" w:rsidRPr="00317682">
        <w:rPr>
          <w:color w:val="000000"/>
        </w:rPr>
        <w:t>sub</w:t>
      </w:r>
      <w:r w:rsidRPr="00317682">
        <w:rPr>
          <w:color w:val="000000"/>
        </w:rPr>
        <w:t>districts and communities to plan and manage small infrastructure activities. The Philippines</w:t>
      </w:r>
      <w:r w:rsidR="0042203A" w:rsidRPr="00317682">
        <w:rPr>
          <w:color w:val="000000"/>
        </w:rPr>
        <w:t>–</w:t>
      </w:r>
      <w:r w:rsidRPr="00317682">
        <w:rPr>
          <w:color w:val="000000"/>
        </w:rPr>
        <w:t xml:space="preserve">Australia Local Sustainability Program helps communities and local government units </w:t>
      </w:r>
      <w:r w:rsidR="0042203A" w:rsidRPr="00317682">
        <w:rPr>
          <w:color w:val="000000"/>
        </w:rPr>
        <w:t xml:space="preserve">to </w:t>
      </w:r>
      <w:r w:rsidRPr="00317682">
        <w:rPr>
          <w:color w:val="000000"/>
        </w:rPr>
        <w:t xml:space="preserve">plan and manage activities that improve the livelihoods of the rural poor in </w:t>
      </w:r>
      <w:proofErr w:type="spellStart"/>
      <w:smartTag w:uri="urn:schemas-microsoft-com:office:smarttags" w:element="place">
        <w:smartTag w:uri="urn:schemas-microsoft-com:office:smarttags" w:element="PlaceName">
          <w:r w:rsidRPr="00317682">
            <w:rPr>
              <w:color w:val="000000"/>
            </w:rPr>
            <w:t>Misamis</w:t>
          </w:r>
        </w:smartTag>
        <w:proofErr w:type="spellEnd"/>
        <w:r w:rsidRPr="00317682">
          <w:rPr>
            <w:color w:val="000000"/>
          </w:rPr>
          <w:t xml:space="preserve"> </w:t>
        </w:r>
        <w:smartTag w:uri="urn:schemas-microsoft-com:office:smarttags" w:element="PlaceName">
          <w:r w:rsidRPr="00317682">
            <w:rPr>
              <w:color w:val="000000"/>
            </w:rPr>
            <w:t>Occidental</w:t>
          </w:r>
        </w:smartTag>
        <w:r w:rsidRPr="00317682">
          <w:rPr>
            <w:color w:val="000000"/>
          </w:rPr>
          <w:t xml:space="preserve"> </w:t>
        </w:r>
        <w:smartTag w:uri="urn:schemas-microsoft-com:office:smarttags" w:element="PlaceType">
          <w:r w:rsidRPr="00317682">
            <w:rPr>
              <w:color w:val="000000"/>
            </w:rPr>
            <w:t>Province</w:t>
          </w:r>
        </w:smartTag>
      </w:smartTag>
      <w:r w:rsidRPr="00317682">
        <w:rPr>
          <w:color w:val="000000"/>
        </w:rPr>
        <w:t>.</w:t>
      </w:r>
    </w:p>
    <w:p w:rsidR="00DB2E78" w:rsidRPr="00317682" w:rsidRDefault="00DB2E78" w:rsidP="00DB2E78">
      <w:pPr>
        <w:pStyle w:val="BodyText"/>
        <w:rPr>
          <w:color w:val="000000"/>
        </w:rPr>
      </w:pPr>
      <w:r w:rsidRPr="00317682">
        <w:rPr>
          <w:rStyle w:val="Heading5Char"/>
          <w:color w:val="000000"/>
        </w:rPr>
        <w:t>Public sector linkages</w:t>
      </w:r>
      <w:r w:rsidR="00382299" w:rsidRPr="00317682">
        <w:rPr>
          <w:color w:val="000000"/>
        </w:rPr>
        <w:t> </w:t>
      </w:r>
      <w:proofErr w:type="gramStart"/>
      <w:r w:rsidRPr="00317682">
        <w:rPr>
          <w:color w:val="000000"/>
        </w:rPr>
        <w:t>There</w:t>
      </w:r>
      <w:proofErr w:type="gramEnd"/>
      <w:r w:rsidRPr="00317682">
        <w:rPr>
          <w:color w:val="000000"/>
        </w:rPr>
        <w:t xml:space="preserve"> are public sector linkage programs (also called governance funds) with </w:t>
      </w:r>
      <w:smartTag w:uri="urn:schemas-microsoft-com:office:smarttags" w:element="country-region">
        <w:r w:rsidRPr="00317682">
          <w:rPr>
            <w:color w:val="000000"/>
          </w:rPr>
          <w:t>China</w:t>
        </w:r>
      </w:smartTag>
      <w:r w:rsidRPr="00317682">
        <w:rPr>
          <w:color w:val="000000"/>
        </w:rPr>
        <w:t xml:space="preserve">, East Timor, Indonesia, </w:t>
      </w:r>
      <w:r w:rsidR="0042203A" w:rsidRPr="00317682">
        <w:rPr>
          <w:color w:val="000000"/>
        </w:rPr>
        <w:t xml:space="preserve">the </w:t>
      </w:r>
      <w:smartTag w:uri="urn:schemas-microsoft-com:office:smarttags" w:element="country-region">
        <w:r w:rsidRPr="00317682">
          <w:rPr>
            <w:color w:val="000000"/>
          </w:rPr>
          <w:t>Philippines</w:t>
        </w:r>
      </w:smartTag>
      <w:r w:rsidRPr="00317682">
        <w:rPr>
          <w:color w:val="000000"/>
        </w:rPr>
        <w:t xml:space="preserve">, countries in </w:t>
      </w:r>
      <w:smartTag w:uri="urn:schemas-microsoft-com:office:smarttags" w:element="place">
        <w:r w:rsidRPr="00317682">
          <w:rPr>
            <w:color w:val="000000"/>
          </w:rPr>
          <w:t>South Asia</w:t>
        </w:r>
      </w:smartTag>
      <w:r w:rsidRPr="00317682">
        <w:rPr>
          <w:color w:val="000000"/>
        </w:rPr>
        <w:t xml:space="preserve"> and </w:t>
      </w:r>
      <w:r w:rsidR="0042203A" w:rsidRPr="00317682">
        <w:rPr>
          <w:color w:val="000000"/>
        </w:rPr>
        <w:t xml:space="preserve">the </w:t>
      </w:r>
      <w:r w:rsidRPr="00317682">
        <w:rPr>
          <w:color w:val="000000"/>
        </w:rPr>
        <w:t xml:space="preserve">South Pacific, and </w:t>
      </w:r>
      <w:r w:rsidR="003957A4" w:rsidRPr="00317682">
        <w:rPr>
          <w:color w:val="000000"/>
        </w:rPr>
        <w:t xml:space="preserve">developing member economies of the </w:t>
      </w:r>
      <w:r w:rsidRPr="00317682">
        <w:rPr>
          <w:color w:val="000000"/>
        </w:rPr>
        <w:t xml:space="preserve">Asia Pacific Economic Cooperation. Most programs link agencies of the </w:t>
      </w:r>
      <w:r w:rsidR="003957A4" w:rsidRPr="00317682">
        <w:rPr>
          <w:color w:val="000000"/>
        </w:rPr>
        <w:t xml:space="preserve">Australian Government </w:t>
      </w:r>
      <w:r w:rsidRPr="00317682">
        <w:rPr>
          <w:color w:val="000000"/>
        </w:rPr>
        <w:t xml:space="preserve">with their </w:t>
      </w:r>
      <w:r w:rsidR="003957A4" w:rsidRPr="00317682">
        <w:rPr>
          <w:color w:val="000000"/>
        </w:rPr>
        <w:t>counterparts</w:t>
      </w:r>
      <w:r w:rsidRPr="00317682">
        <w:rPr>
          <w:color w:val="000000"/>
        </w:rPr>
        <w:t xml:space="preserve">, but some provide for links between </w:t>
      </w:r>
      <w:r w:rsidR="003957A4" w:rsidRPr="00317682">
        <w:rPr>
          <w:color w:val="000000"/>
        </w:rPr>
        <w:t xml:space="preserve">Australian </w:t>
      </w:r>
      <w:r w:rsidRPr="00317682">
        <w:rPr>
          <w:color w:val="000000"/>
        </w:rPr>
        <w:t xml:space="preserve">state and territory governments and universities. </w:t>
      </w:r>
      <w:smartTag w:uri="urn:schemas-microsoft-com:office:smarttags" w:element="place">
        <w:smartTag w:uri="urn:schemas-microsoft-com:office:smarttags" w:element="country-region">
          <w:r w:rsidRPr="00317682">
            <w:rPr>
              <w:color w:val="000000"/>
            </w:rPr>
            <w:t>Indonesia</w:t>
          </w:r>
        </w:smartTag>
      </w:smartTag>
      <w:r w:rsidRPr="00317682">
        <w:rPr>
          <w:color w:val="000000"/>
        </w:rPr>
        <w:t xml:space="preserve"> is by far the biggest focus, with a public sector linkage program commitment of $53 million </w:t>
      </w:r>
      <w:r w:rsidR="003957A4" w:rsidRPr="00317682">
        <w:rPr>
          <w:color w:val="000000"/>
        </w:rPr>
        <w:t xml:space="preserve">for </w:t>
      </w:r>
      <w:r w:rsidRPr="00317682">
        <w:rPr>
          <w:color w:val="000000"/>
        </w:rPr>
        <w:t>1996</w:t>
      </w:r>
      <w:r w:rsidR="003957A4" w:rsidRPr="00317682">
        <w:rPr>
          <w:color w:val="000000"/>
        </w:rPr>
        <w:t>–</w:t>
      </w:r>
      <w:r w:rsidRPr="00317682">
        <w:rPr>
          <w:color w:val="000000"/>
        </w:rPr>
        <w:t xml:space="preserve">2010, and another $50 million under the AIPRD Government Partnerships Fund </w:t>
      </w:r>
      <w:r w:rsidR="003957A4" w:rsidRPr="00317682">
        <w:rPr>
          <w:color w:val="000000"/>
        </w:rPr>
        <w:t xml:space="preserve">for </w:t>
      </w:r>
      <w:r w:rsidRPr="00317682">
        <w:rPr>
          <w:color w:val="000000"/>
        </w:rPr>
        <w:t>2005</w:t>
      </w:r>
      <w:r w:rsidR="003957A4" w:rsidRPr="00317682">
        <w:rPr>
          <w:color w:val="000000"/>
        </w:rPr>
        <w:t>–</w:t>
      </w:r>
      <w:r w:rsidRPr="00317682">
        <w:rPr>
          <w:color w:val="000000"/>
        </w:rPr>
        <w:t>10. Since the inception</w:t>
      </w:r>
      <w:r w:rsidR="00FD2F29" w:rsidRPr="00317682">
        <w:rPr>
          <w:color w:val="000000"/>
        </w:rPr>
        <w:t xml:space="preserve"> of the Government Partnerships Fund</w:t>
      </w:r>
      <w:r w:rsidRPr="00317682">
        <w:rPr>
          <w:color w:val="000000"/>
        </w:rPr>
        <w:t xml:space="preserve">, 13 </w:t>
      </w:r>
      <w:r w:rsidR="00FD2F29" w:rsidRPr="00317682">
        <w:rPr>
          <w:color w:val="000000"/>
        </w:rPr>
        <w:t xml:space="preserve">Australian government </w:t>
      </w:r>
      <w:r w:rsidRPr="00317682">
        <w:rPr>
          <w:color w:val="000000"/>
        </w:rPr>
        <w:t>agencies have formed partnerships with 15 Indonesian counterparts and around 1000 officials have exchanged expertise bilaterally.</w:t>
      </w:r>
      <w:r w:rsidR="003F20A5" w:rsidRPr="00317682">
        <w:rPr>
          <w:color w:val="000000"/>
        </w:rPr>
        <w:t xml:space="preserve"> From 2004 to </w:t>
      </w:r>
      <w:r w:rsidRPr="00317682">
        <w:rPr>
          <w:color w:val="000000"/>
        </w:rPr>
        <w:t xml:space="preserve">2008 the Pacific Governance Support Program funded 103 activities, implemented by 32 </w:t>
      </w:r>
      <w:r w:rsidR="00FD2F29" w:rsidRPr="00317682">
        <w:rPr>
          <w:color w:val="000000"/>
        </w:rPr>
        <w:t xml:space="preserve">Australian government </w:t>
      </w:r>
      <w:r w:rsidRPr="00317682">
        <w:rPr>
          <w:color w:val="000000"/>
        </w:rPr>
        <w:t>agencies at a total cost of $21 million.</w:t>
      </w:r>
    </w:p>
    <w:p w:rsidR="00DB2E78" w:rsidRPr="00317682" w:rsidRDefault="00DB2E78" w:rsidP="00DB2E78">
      <w:pPr>
        <w:pStyle w:val="Heading3"/>
        <w:rPr>
          <w:color w:val="000000"/>
        </w:rPr>
      </w:pPr>
      <w:bookmarkStart w:id="31" w:name="_Toc202340881"/>
      <w:bookmarkStart w:id="32" w:name="_Toc207514542"/>
      <w:r w:rsidRPr="00317682">
        <w:rPr>
          <w:color w:val="000000"/>
        </w:rPr>
        <w:t>Performance and results</w:t>
      </w:r>
      <w:bookmarkEnd w:id="31"/>
      <w:bookmarkEnd w:id="32"/>
    </w:p>
    <w:p w:rsidR="00F70701" w:rsidRPr="00317682" w:rsidRDefault="00DB2E78" w:rsidP="00DB2E78">
      <w:pPr>
        <w:pStyle w:val="BodyText"/>
        <w:rPr>
          <w:color w:val="000000"/>
        </w:rPr>
      </w:pPr>
      <w:proofErr w:type="spellStart"/>
      <w:r w:rsidRPr="00317682">
        <w:rPr>
          <w:color w:val="000000"/>
        </w:rPr>
        <w:t>AusAID’s</w:t>
      </w:r>
      <w:proofErr w:type="spellEnd"/>
      <w:r w:rsidRPr="00317682">
        <w:rPr>
          <w:color w:val="000000"/>
        </w:rPr>
        <w:t xml:space="preserve"> main </w:t>
      </w:r>
      <w:proofErr w:type="gramStart"/>
      <w:r w:rsidRPr="00317682">
        <w:rPr>
          <w:color w:val="000000"/>
        </w:rPr>
        <w:t>v</w:t>
      </w:r>
      <w:bookmarkStart w:id="33" w:name="_GoBack"/>
      <w:bookmarkEnd w:id="33"/>
      <w:r w:rsidRPr="00317682">
        <w:rPr>
          <w:color w:val="000000"/>
        </w:rPr>
        <w:t>ehicle for supporting public sector management are</w:t>
      </w:r>
      <w:proofErr w:type="gramEnd"/>
      <w:r w:rsidRPr="00317682">
        <w:rPr>
          <w:color w:val="000000"/>
        </w:rPr>
        <w:t xml:space="preserve"> ‘</w:t>
      </w:r>
      <w:r w:rsidR="00F70701" w:rsidRPr="00317682">
        <w:rPr>
          <w:color w:val="000000"/>
        </w:rPr>
        <w:t>facilities’</w:t>
      </w:r>
      <w:r w:rsidR="00BF1FB4" w:rsidRPr="00317682">
        <w:rPr>
          <w:color w:val="000000"/>
        </w:rPr>
        <w:t>. These are</w:t>
      </w:r>
      <w:r w:rsidRPr="00317682">
        <w:rPr>
          <w:color w:val="000000"/>
        </w:rPr>
        <w:t xml:space="preserve"> mechanism</w:t>
      </w:r>
      <w:r w:rsidR="00ED4FCA" w:rsidRPr="00317682">
        <w:rPr>
          <w:color w:val="000000"/>
        </w:rPr>
        <w:t>s</w:t>
      </w:r>
      <w:r w:rsidRPr="00317682">
        <w:rPr>
          <w:color w:val="000000"/>
        </w:rPr>
        <w:t xml:space="preserve"> to support rolling program design and implementation, ideally </w:t>
      </w:r>
      <w:r w:rsidR="00F70701" w:rsidRPr="00317682">
        <w:rPr>
          <w:color w:val="000000"/>
        </w:rPr>
        <w:t xml:space="preserve">by </w:t>
      </w:r>
      <w:r w:rsidRPr="00317682">
        <w:rPr>
          <w:color w:val="000000"/>
        </w:rPr>
        <w:t xml:space="preserve">working </w:t>
      </w:r>
      <w:r w:rsidRPr="00317682">
        <w:rPr>
          <w:color w:val="000000"/>
        </w:rPr>
        <w:lastRenderedPageBreak/>
        <w:t xml:space="preserve">collaboratively with partner governments on their priorities, and thus enhancing ownership and enabling the flexible matching of response to need. The key challenges with such a modality are: </w:t>
      </w:r>
    </w:p>
    <w:p w:rsidR="00F70701" w:rsidRPr="00317682" w:rsidRDefault="00DB2E78" w:rsidP="00F70701">
      <w:pPr>
        <w:pStyle w:val="ListBullet"/>
        <w:rPr>
          <w:color w:val="000000"/>
        </w:rPr>
      </w:pPr>
      <w:r w:rsidRPr="00317682">
        <w:rPr>
          <w:color w:val="000000"/>
        </w:rPr>
        <w:t>to strike a balance between the flexibility and opportunism needed to support locally owned agendas, while remaining focused and coherent</w:t>
      </w:r>
    </w:p>
    <w:p w:rsidR="00DB2E78" w:rsidRPr="00317682" w:rsidRDefault="00DB2E78" w:rsidP="00F70701">
      <w:pPr>
        <w:pStyle w:val="ListBullet"/>
        <w:rPr>
          <w:color w:val="000000"/>
        </w:rPr>
      </w:pPr>
      <w:proofErr w:type="gramStart"/>
      <w:r w:rsidRPr="00317682">
        <w:rPr>
          <w:color w:val="000000"/>
        </w:rPr>
        <w:t>to</w:t>
      </w:r>
      <w:proofErr w:type="gramEnd"/>
      <w:r w:rsidRPr="00317682">
        <w:rPr>
          <w:color w:val="000000"/>
        </w:rPr>
        <w:t xml:space="preserve"> have mechanisms and relationships for high</w:t>
      </w:r>
      <w:r w:rsidR="006747F8" w:rsidRPr="00317682">
        <w:rPr>
          <w:color w:val="000000"/>
        </w:rPr>
        <w:t>-</w:t>
      </w:r>
      <w:r w:rsidRPr="00317682">
        <w:rPr>
          <w:color w:val="000000"/>
        </w:rPr>
        <w:t xml:space="preserve">level policy dialogue in relation to the focus of the </w:t>
      </w:r>
      <w:r w:rsidR="00B81BB7" w:rsidRPr="00317682">
        <w:rPr>
          <w:color w:val="000000"/>
        </w:rPr>
        <w:t xml:space="preserve">facility </w:t>
      </w:r>
      <w:r w:rsidRPr="00317682">
        <w:rPr>
          <w:color w:val="000000"/>
        </w:rPr>
        <w:t>and</w:t>
      </w:r>
      <w:r w:rsidR="00B81BB7" w:rsidRPr="00317682">
        <w:rPr>
          <w:color w:val="000000"/>
        </w:rPr>
        <w:t xml:space="preserve"> the</w:t>
      </w:r>
      <w:r w:rsidRPr="00317682">
        <w:rPr>
          <w:color w:val="000000"/>
        </w:rPr>
        <w:t xml:space="preserve"> allocation of resources. </w:t>
      </w:r>
    </w:p>
    <w:p w:rsidR="00DB2E78" w:rsidRPr="00317682" w:rsidRDefault="00DB2E78" w:rsidP="00A047F9">
      <w:pPr>
        <w:pStyle w:val="Invisiblepara"/>
        <w:spacing w:before="240"/>
        <w:rPr>
          <w:color w:val="000000"/>
        </w:rPr>
      </w:pP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DB2E78" w:rsidRPr="00317682" w:rsidTr="00317682">
        <w:tblPrEx>
          <w:tblCellMar>
            <w:top w:w="0" w:type="dxa"/>
            <w:bottom w:w="0" w:type="dxa"/>
          </w:tblCellMar>
        </w:tblPrEx>
        <w:trPr>
          <w:cantSplit/>
          <w:trHeight w:val="340"/>
        </w:trPr>
        <w:tc>
          <w:tcPr>
            <w:tcW w:w="7938" w:type="dxa"/>
            <w:tcMar>
              <w:top w:w="57" w:type="dxa"/>
            </w:tcMar>
          </w:tcPr>
          <w:p w:rsidR="00DB2E78" w:rsidRPr="00317682" w:rsidRDefault="00DB2E78" w:rsidP="00DB2E78">
            <w:pPr>
              <w:pStyle w:val="Caption"/>
              <w:spacing w:before="80"/>
              <w:rPr>
                <w:color w:val="000000"/>
              </w:rPr>
            </w:pPr>
            <w:r w:rsidRPr="00317682">
              <w:rPr>
                <w:color w:val="000000"/>
              </w:rPr>
              <w:t xml:space="preserve">PNG Advisory Support Facility, Phase </w:t>
            </w:r>
            <w:r w:rsidR="00BF1FB4" w:rsidRPr="00317682">
              <w:rPr>
                <w:color w:val="000000"/>
              </w:rPr>
              <w:t>II</w:t>
            </w:r>
          </w:p>
        </w:tc>
      </w:tr>
      <w:tr w:rsidR="00DB2E78" w:rsidRPr="00317682" w:rsidTr="00317682">
        <w:tblPrEx>
          <w:tblCellMar>
            <w:top w:w="0" w:type="dxa"/>
            <w:bottom w:w="0" w:type="dxa"/>
          </w:tblCellMar>
        </w:tblPrEx>
        <w:trPr>
          <w:cantSplit/>
        </w:trPr>
        <w:tc>
          <w:tcPr>
            <w:tcW w:w="7938" w:type="dxa"/>
          </w:tcPr>
          <w:p w:rsidR="00DB2E78" w:rsidRPr="00317682" w:rsidRDefault="00DB2E78" w:rsidP="00DB2E78">
            <w:pPr>
              <w:pStyle w:val="BoxText"/>
              <w:rPr>
                <w:color w:val="000000"/>
              </w:rPr>
            </w:pPr>
            <w:r w:rsidRPr="00317682">
              <w:rPr>
                <w:color w:val="000000"/>
              </w:rPr>
              <w:t xml:space="preserve">An independent evaluation of </w:t>
            </w:r>
            <w:r w:rsidR="00BF1FB4" w:rsidRPr="00317682">
              <w:rPr>
                <w:color w:val="000000"/>
              </w:rPr>
              <w:t xml:space="preserve">the second phase </w:t>
            </w:r>
            <w:r w:rsidR="00B81BB7" w:rsidRPr="00317682">
              <w:rPr>
                <w:color w:val="000000"/>
              </w:rPr>
              <w:t xml:space="preserve">of </w:t>
            </w:r>
            <w:r w:rsidRPr="00317682">
              <w:rPr>
                <w:color w:val="000000"/>
              </w:rPr>
              <w:t xml:space="preserve">the PNG </w:t>
            </w:r>
            <w:r w:rsidR="00B81BB7" w:rsidRPr="00317682">
              <w:rPr>
                <w:color w:val="000000"/>
              </w:rPr>
              <w:t xml:space="preserve">Advisory Support Facility </w:t>
            </w:r>
            <w:r w:rsidRPr="00317682">
              <w:rPr>
                <w:color w:val="000000"/>
              </w:rPr>
              <w:t xml:space="preserve">concluded that it has helped the Government of </w:t>
            </w:r>
            <w:r w:rsidR="00B81BB7" w:rsidRPr="00317682">
              <w:rPr>
                <w:color w:val="000000"/>
              </w:rPr>
              <w:t xml:space="preserve">Papua New Guinea </w:t>
            </w:r>
            <w:r w:rsidRPr="00317682">
              <w:rPr>
                <w:color w:val="000000"/>
              </w:rPr>
              <w:t xml:space="preserve">to implement public sector reforms and can be regarded as a successful model </w:t>
            </w:r>
            <w:r w:rsidR="00B81BB7" w:rsidRPr="00317682">
              <w:rPr>
                <w:color w:val="000000"/>
              </w:rPr>
              <w:t xml:space="preserve">for building </w:t>
            </w:r>
            <w:r w:rsidRPr="00317682">
              <w:rPr>
                <w:color w:val="000000"/>
              </w:rPr>
              <w:t>capacity. Its approach of working in partnership on each agency’s own issues and within agency systems has been effective. Reasons for success were clear agency commitment</w:t>
            </w:r>
            <w:r w:rsidR="00F7141D" w:rsidRPr="00317682">
              <w:rPr>
                <w:color w:val="000000"/>
              </w:rPr>
              <w:t>,</w:t>
            </w:r>
            <w:r w:rsidRPr="00317682">
              <w:rPr>
                <w:color w:val="000000"/>
              </w:rPr>
              <w:t xml:space="preserve"> </w:t>
            </w:r>
            <w:r w:rsidR="00F7141D" w:rsidRPr="00317682">
              <w:rPr>
                <w:color w:val="000000"/>
              </w:rPr>
              <w:t xml:space="preserve">the </w:t>
            </w:r>
            <w:r w:rsidRPr="00317682">
              <w:rPr>
                <w:color w:val="000000"/>
              </w:rPr>
              <w:t>skills and qualities of both counterparts and advisers</w:t>
            </w:r>
            <w:r w:rsidR="00F7141D" w:rsidRPr="00317682">
              <w:rPr>
                <w:color w:val="000000"/>
              </w:rPr>
              <w:t>,</w:t>
            </w:r>
            <w:r w:rsidRPr="00317682">
              <w:rPr>
                <w:color w:val="000000"/>
              </w:rPr>
              <w:t xml:space="preserve"> and </w:t>
            </w:r>
            <w:r w:rsidR="00F7141D" w:rsidRPr="00317682">
              <w:rPr>
                <w:color w:val="000000"/>
              </w:rPr>
              <w:t xml:space="preserve">the </w:t>
            </w:r>
            <w:r w:rsidRPr="00317682">
              <w:rPr>
                <w:color w:val="000000"/>
              </w:rPr>
              <w:t xml:space="preserve">design and governance arrangements of the </w:t>
            </w:r>
            <w:r w:rsidR="00F7141D" w:rsidRPr="00317682">
              <w:rPr>
                <w:color w:val="000000"/>
              </w:rPr>
              <w:t>facility</w:t>
            </w:r>
            <w:r w:rsidRPr="00317682">
              <w:rPr>
                <w:color w:val="000000"/>
              </w:rPr>
              <w:t xml:space="preserve">. Positive benefits were realised for </w:t>
            </w:r>
            <w:r w:rsidR="00F7141D" w:rsidRPr="00317682">
              <w:rPr>
                <w:color w:val="000000"/>
              </w:rPr>
              <w:t xml:space="preserve">the </w:t>
            </w:r>
            <w:r w:rsidRPr="00317682">
              <w:rPr>
                <w:color w:val="000000"/>
              </w:rPr>
              <w:t xml:space="preserve">Government of </w:t>
            </w:r>
            <w:r w:rsidR="00F7141D" w:rsidRPr="00317682">
              <w:rPr>
                <w:color w:val="000000"/>
              </w:rPr>
              <w:t>Papua New Guinea</w:t>
            </w:r>
            <w:r w:rsidRPr="00317682">
              <w:rPr>
                <w:color w:val="000000"/>
              </w:rPr>
              <w:t xml:space="preserve">’s own </w:t>
            </w:r>
            <w:r w:rsidR="00431FAC" w:rsidRPr="00317682">
              <w:rPr>
                <w:color w:val="000000"/>
              </w:rPr>
              <w:t xml:space="preserve">strategic priorities for </w:t>
            </w:r>
            <w:r w:rsidRPr="00317682">
              <w:rPr>
                <w:color w:val="000000"/>
              </w:rPr>
              <w:t>public sector reform</w:t>
            </w:r>
            <w:r w:rsidR="00431FAC" w:rsidRPr="00317682">
              <w:rPr>
                <w:color w:val="000000"/>
              </w:rPr>
              <w:t>—</w:t>
            </w:r>
            <w:r w:rsidRPr="00317682">
              <w:rPr>
                <w:color w:val="000000"/>
              </w:rPr>
              <w:t>a public sector with a clear sense of direction</w:t>
            </w:r>
            <w:r w:rsidR="00431FAC" w:rsidRPr="00317682">
              <w:rPr>
                <w:color w:val="000000"/>
              </w:rPr>
              <w:t>,</w:t>
            </w:r>
            <w:r w:rsidRPr="00317682">
              <w:rPr>
                <w:color w:val="000000"/>
              </w:rPr>
              <w:t xml:space="preserve"> affordable government</w:t>
            </w:r>
            <w:r w:rsidR="00431FAC" w:rsidRPr="00317682">
              <w:rPr>
                <w:color w:val="000000"/>
              </w:rPr>
              <w:t>,</w:t>
            </w:r>
            <w:r w:rsidRPr="00317682">
              <w:rPr>
                <w:color w:val="000000"/>
              </w:rPr>
              <w:t xml:space="preserve"> improving performance</w:t>
            </w:r>
            <w:r w:rsidR="00431FAC" w:rsidRPr="00317682">
              <w:rPr>
                <w:color w:val="000000"/>
              </w:rPr>
              <w:t>,</w:t>
            </w:r>
            <w:r w:rsidRPr="00317682">
              <w:rPr>
                <w:color w:val="000000"/>
              </w:rPr>
              <w:t xml:space="preserve"> accountability and compliance.</w:t>
            </w:r>
          </w:p>
        </w:tc>
      </w:tr>
    </w:tbl>
    <w:p w:rsidR="00DB2E78" w:rsidRPr="00317682" w:rsidRDefault="00DB2E78" w:rsidP="00DB2E78">
      <w:pPr>
        <w:spacing w:after="120" w:line="14" w:lineRule="exact"/>
        <w:rPr>
          <w:color w:val="000000"/>
        </w:rPr>
      </w:pPr>
    </w:p>
    <w:p w:rsidR="00DB2E78" w:rsidRPr="00317682" w:rsidRDefault="00DB2E78" w:rsidP="008C5A2F">
      <w:pPr>
        <w:pStyle w:val="BodyText"/>
        <w:rPr>
          <w:color w:val="000000"/>
        </w:rPr>
      </w:pPr>
      <w:r w:rsidRPr="00317682">
        <w:rPr>
          <w:color w:val="000000"/>
        </w:rPr>
        <w:t>Flexible modalities allowing for both strategy and opportunity are particularly appropriate within a fragile context because the public sector is often at risk of being overwhelmed by factors such as social and political instability, political intrusions, and resource shortages. In</w:t>
      </w:r>
      <w:r w:rsidR="008C5A2F" w:rsidRPr="00317682">
        <w:rPr>
          <w:color w:val="000000"/>
        </w:rPr>
        <w:t> </w:t>
      </w:r>
      <w:r w:rsidRPr="00317682">
        <w:rPr>
          <w:color w:val="000000"/>
        </w:rPr>
        <w:t xml:space="preserve">East Timor, while the original strategy, design and scope of the Public Sector Capacity Development Program remain relevant, and the activities and progress are broadly supportive of the intended impact, there is a need to broaden and deepen the planned support of central agencies, and </w:t>
      </w:r>
      <w:r w:rsidR="008C5A2F" w:rsidRPr="00317682">
        <w:rPr>
          <w:color w:val="000000"/>
        </w:rPr>
        <w:t xml:space="preserve">to </w:t>
      </w:r>
      <w:r w:rsidRPr="00317682">
        <w:rPr>
          <w:color w:val="000000"/>
        </w:rPr>
        <w:t>ensure emergent, responsive activities avoid the downside</w:t>
      </w:r>
      <w:r w:rsidR="008C5A2F" w:rsidRPr="00317682">
        <w:rPr>
          <w:color w:val="000000"/>
        </w:rPr>
        <w:t>—a scattergun approach—</w:t>
      </w:r>
      <w:r w:rsidRPr="00317682">
        <w:rPr>
          <w:color w:val="000000"/>
        </w:rPr>
        <w:t>that flexibility can bring.</w:t>
      </w:r>
    </w:p>
    <w:p w:rsidR="00DB2E78" w:rsidRPr="00317682" w:rsidRDefault="00DB2E78" w:rsidP="00DB2E78">
      <w:pPr>
        <w:pStyle w:val="BodyText"/>
        <w:rPr>
          <w:color w:val="000000"/>
        </w:rPr>
      </w:pPr>
      <w:smartTag w:uri="urn:schemas-microsoft-com:office:smarttags" w:element="place">
        <w:smartTag w:uri="urn:schemas-microsoft-com:office:smarttags" w:element="PlaceName">
          <w:r w:rsidRPr="00317682">
            <w:rPr>
              <w:color w:val="000000"/>
            </w:rPr>
            <w:t>Solomon</w:t>
          </w:r>
        </w:smartTag>
        <w:r w:rsidRPr="00317682">
          <w:rPr>
            <w:color w:val="000000"/>
          </w:rPr>
          <w:t xml:space="preserve"> </w:t>
        </w:r>
        <w:smartTag w:uri="urn:schemas-microsoft-com:office:smarttags" w:element="PlaceName">
          <w:r w:rsidRPr="00317682">
            <w:rPr>
              <w:color w:val="000000"/>
            </w:rPr>
            <w:t>Island</w:t>
          </w:r>
        </w:smartTag>
      </w:smartTag>
      <w:r w:rsidRPr="00317682">
        <w:rPr>
          <w:color w:val="000000"/>
        </w:rPr>
        <w:t>’s Machinery of Government Program (which is broader than public sector management alone) was designed to provide a coherent approach to rebuilding the institutions of the state and through them the capacity, accountability and responsiveness of the government. Significant technical and capacity</w:t>
      </w:r>
      <w:r w:rsidR="00ED4FCA" w:rsidRPr="00317682">
        <w:rPr>
          <w:color w:val="000000"/>
        </w:rPr>
        <w:t>-</w:t>
      </w:r>
      <w:r w:rsidRPr="00317682">
        <w:rPr>
          <w:color w:val="000000"/>
        </w:rPr>
        <w:t xml:space="preserve">building outcomes have been achieved across the 22 </w:t>
      </w:r>
      <w:r w:rsidR="00ED4FCA" w:rsidRPr="00317682">
        <w:rPr>
          <w:color w:val="000000"/>
        </w:rPr>
        <w:t>initiatives of the p</w:t>
      </w:r>
      <w:r w:rsidRPr="00317682">
        <w:rPr>
          <w:color w:val="000000"/>
        </w:rPr>
        <w:t>rogram working within 13 departments</w:t>
      </w:r>
      <w:r w:rsidR="00ED4FCA" w:rsidRPr="00317682">
        <w:rPr>
          <w:color w:val="000000"/>
        </w:rPr>
        <w:t>.</w:t>
      </w:r>
      <w:r w:rsidRPr="00317682">
        <w:rPr>
          <w:color w:val="000000"/>
        </w:rPr>
        <w:t xml:space="preserve"> </w:t>
      </w:r>
      <w:r w:rsidR="00ED4FCA" w:rsidRPr="00317682">
        <w:rPr>
          <w:color w:val="000000"/>
        </w:rPr>
        <w:t>B</w:t>
      </w:r>
      <w:r w:rsidRPr="00317682">
        <w:rPr>
          <w:color w:val="000000"/>
        </w:rPr>
        <w:t>ut progress is uneven, largely due to political instability</w:t>
      </w:r>
      <w:r w:rsidR="00ED4FCA" w:rsidRPr="00317682">
        <w:rPr>
          <w:color w:val="000000"/>
        </w:rPr>
        <w:t>,</w:t>
      </w:r>
      <w:r w:rsidRPr="00317682">
        <w:rPr>
          <w:color w:val="000000"/>
        </w:rPr>
        <w:t xml:space="preserve"> and there has been a delay in establishing the major </w:t>
      </w:r>
      <w:r w:rsidR="00ED4FCA" w:rsidRPr="00317682">
        <w:rPr>
          <w:color w:val="000000"/>
        </w:rPr>
        <w:t xml:space="preserve">initiative </w:t>
      </w:r>
      <w:r w:rsidRPr="00317682">
        <w:rPr>
          <w:color w:val="000000"/>
        </w:rPr>
        <w:t xml:space="preserve">planned </w:t>
      </w:r>
      <w:r w:rsidR="00ED4FCA" w:rsidRPr="00317682">
        <w:rPr>
          <w:color w:val="000000"/>
        </w:rPr>
        <w:t xml:space="preserve">to improve the </w:t>
      </w:r>
      <w:r w:rsidRPr="00317682">
        <w:rPr>
          <w:color w:val="000000"/>
        </w:rPr>
        <w:t>public service.</w:t>
      </w:r>
    </w:p>
    <w:p w:rsidR="00ED4FCA" w:rsidRPr="00317682" w:rsidRDefault="00DB2E78" w:rsidP="00DB2E78">
      <w:pPr>
        <w:pStyle w:val="BodyText"/>
        <w:rPr>
          <w:color w:val="000000"/>
        </w:rPr>
      </w:pPr>
      <w:r w:rsidRPr="00317682">
        <w:rPr>
          <w:color w:val="000000"/>
        </w:rPr>
        <w:t xml:space="preserve">Most public sector management activities, particularly when implemented through </w:t>
      </w:r>
      <w:r w:rsidR="00ED4FCA" w:rsidRPr="00317682">
        <w:rPr>
          <w:color w:val="000000"/>
        </w:rPr>
        <w:t>facilities</w:t>
      </w:r>
      <w:r w:rsidRPr="00317682">
        <w:rPr>
          <w:color w:val="000000"/>
        </w:rPr>
        <w:t>, are dominated by the use of technical assistance</w:t>
      </w:r>
      <w:r w:rsidR="00ED4FCA" w:rsidRPr="00317682">
        <w:rPr>
          <w:color w:val="000000"/>
        </w:rPr>
        <w:t>.</w:t>
      </w:r>
      <w:r w:rsidRPr="00317682">
        <w:rPr>
          <w:color w:val="000000"/>
        </w:rPr>
        <w:t xml:space="preserve"> </w:t>
      </w:r>
      <w:proofErr w:type="spellStart"/>
      <w:r w:rsidRPr="00317682">
        <w:rPr>
          <w:color w:val="000000"/>
        </w:rPr>
        <w:t>AusAID</w:t>
      </w:r>
      <w:proofErr w:type="spellEnd"/>
      <w:r w:rsidRPr="00317682">
        <w:rPr>
          <w:color w:val="000000"/>
        </w:rPr>
        <w:t xml:space="preserve"> and others are currently concerned about the high use and cost of </w:t>
      </w:r>
      <w:r w:rsidR="00BF1FB4" w:rsidRPr="00317682">
        <w:rPr>
          <w:color w:val="000000"/>
        </w:rPr>
        <w:t xml:space="preserve">this </w:t>
      </w:r>
      <w:r w:rsidRPr="00317682">
        <w:rPr>
          <w:color w:val="000000"/>
        </w:rPr>
        <w:t xml:space="preserve">assistance. </w:t>
      </w:r>
      <w:proofErr w:type="spellStart"/>
      <w:r w:rsidRPr="00317682">
        <w:rPr>
          <w:color w:val="000000"/>
        </w:rPr>
        <w:t>AusAID</w:t>
      </w:r>
      <w:proofErr w:type="spellEnd"/>
      <w:r w:rsidRPr="00317682">
        <w:rPr>
          <w:color w:val="000000"/>
        </w:rPr>
        <w:t xml:space="preserve"> is mapping and evaluating its use</w:t>
      </w:r>
      <w:r w:rsidR="00ED4FCA" w:rsidRPr="00317682">
        <w:rPr>
          <w:color w:val="000000"/>
        </w:rPr>
        <w:t>;</w:t>
      </w:r>
      <w:r w:rsidRPr="00317682">
        <w:rPr>
          <w:color w:val="000000"/>
        </w:rPr>
        <w:t xml:space="preserve"> </w:t>
      </w:r>
      <w:r w:rsidR="00ED4FCA" w:rsidRPr="00317682">
        <w:rPr>
          <w:color w:val="000000"/>
        </w:rPr>
        <w:t>it</w:t>
      </w:r>
      <w:r w:rsidRPr="00317682">
        <w:rPr>
          <w:color w:val="000000"/>
        </w:rPr>
        <w:t xml:space="preserve"> also need</w:t>
      </w:r>
      <w:r w:rsidR="00ED4FCA" w:rsidRPr="00317682">
        <w:rPr>
          <w:color w:val="000000"/>
        </w:rPr>
        <w:t>s</w:t>
      </w:r>
      <w:r w:rsidRPr="00317682">
        <w:rPr>
          <w:color w:val="000000"/>
        </w:rPr>
        <w:t xml:space="preserve"> to ensure greater diversity in the sources for technical assistance. The evaluation of </w:t>
      </w:r>
      <w:r w:rsidR="00ED4FCA" w:rsidRPr="00317682">
        <w:rPr>
          <w:color w:val="000000"/>
        </w:rPr>
        <w:t xml:space="preserve">phase 2 of the PNG Advisory Support Facility </w:t>
      </w:r>
      <w:r w:rsidRPr="00317682">
        <w:rPr>
          <w:color w:val="000000"/>
        </w:rPr>
        <w:t>noted that</w:t>
      </w:r>
      <w:r w:rsidR="00ED4FCA" w:rsidRPr="00317682">
        <w:rPr>
          <w:color w:val="000000"/>
        </w:rPr>
        <w:t>:</w:t>
      </w:r>
    </w:p>
    <w:p w:rsidR="00ED4FCA" w:rsidRPr="00317682" w:rsidRDefault="00ED4FCA" w:rsidP="00ED4FCA">
      <w:pPr>
        <w:pStyle w:val="Quote"/>
        <w:rPr>
          <w:color w:val="000000"/>
        </w:rPr>
      </w:pPr>
      <w:r w:rsidRPr="00317682">
        <w:rPr>
          <w:color w:val="000000"/>
        </w:rPr>
        <w:t xml:space="preserve">… </w:t>
      </w:r>
      <w:r w:rsidR="00DB2E78" w:rsidRPr="00317682">
        <w:rPr>
          <w:color w:val="000000"/>
        </w:rPr>
        <w:t>advisory support as a form of aid can be effective so long as there is genuine commitment to ownership, capacity building and accountability for results, and there are structures and processes in place to recruit high quality advisers with capacity building skills.</w:t>
      </w:r>
    </w:p>
    <w:p w:rsidR="00DB2E78" w:rsidRPr="00317682" w:rsidRDefault="00DB2E78" w:rsidP="00DB2E78">
      <w:pPr>
        <w:pStyle w:val="BodyText"/>
        <w:rPr>
          <w:color w:val="000000"/>
        </w:rPr>
      </w:pPr>
      <w:r w:rsidRPr="00317682">
        <w:rPr>
          <w:color w:val="000000"/>
        </w:rPr>
        <w:t xml:space="preserve">In contrast, the East Timor Public Sector Capacity Development Program has been criticised after two years of operation for </w:t>
      </w:r>
      <w:r w:rsidR="00ED4FCA" w:rsidRPr="00317682">
        <w:rPr>
          <w:color w:val="000000"/>
        </w:rPr>
        <w:t xml:space="preserve">using </w:t>
      </w:r>
      <w:r w:rsidRPr="00317682">
        <w:rPr>
          <w:color w:val="000000"/>
        </w:rPr>
        <w:t>only technical assistance as a mode of support, even though the design explicitly envisaged a broader range of modes of assistance.</w:t>
      </w:r>
      <w:r w:rsidRPr="00317682">
        <w:rPr>
          <w:color w:val="000000"/>
          <w:highlight w:val="yellow"/>
        </w:rPr>
        <w:t xml:space="preserve"> </w:t>
      </w:r>
    </w:p>
    <w:p w:rsidR="00DB2E78" w:rsidRPr="00317682" w:rsidRDefault="00DB2E78" w:rsidP="00DB2E78">
      <w:pPr>
        <w:pStyle w:val="BodyText"/>
        <w:rPr>
          <w:color w:val="000000"/>
        </w:rPr>
      </w:pPr>
      <w:r w:rsidRPr="00317682">
        <w:rPr>
          <w:color w:val="000000"/>
        </w:rPr>
        <w:lastRenderedPageBreak/>
        <w:t>The second main modality is public sector linkage program</w:t>
      </w:r>
      <w:r w:rsidR="00D30A32" w:rsidRPr="00317682">
        <w:rPr>
          <w:color w:val="000000"/>
        </w:rPr>
        <w:t>s</w:t>
      </w:r>
      <w:r w:rsidRPr="00317682">
        <w:rPr>
          <w:color w:val="000000"/>
        </w:rPr>
        <w:t xml:space="preserve"> and again the results are mixed for a total commitment of over $100 million. Most Australian </w:t>
      </w:r>
      <w:r w:rsidR="00D30A32" w:rsidRPr="00317682">
        <w:rPr>
          <w:color w:val="000000"/>
        </w:rPr>
        <w:t xml:space="preserve">government </w:t>
      </w:r>
      <w:r w:rsidRPr="00317682">
        <w:rPr>
          <w:color w:val="000000"/>
        </w:rPr>
        <w:t xml:space="preserve">agencies have a strong sense of the importance of partnerships with countries of the region, and there are clear views that public sector linkage programs contribute consistently to their development. Organisation-to-organisation links are valued by partner governments, as is the experience that practising public servants bring. However, two independent reviews have found that it is difficult to be confident about the contribution of public sector linkage programs beyond the relationship-strengthening dimension. It can be argued that strong relationships have a value in themselves, particularly for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’s long-term development relationships. Strong relationships with partner governments are </w:t>
      </w:r>
      <w:r w:rsidR="00FE4ECC" w:rsidRPr="00317682">
        <w:rPr>
          <w:color w:val="000000"/>
        </w:rPr>
        <w:t xml:space="preserve">also </w:t>
      </w:r>
      <w:r w:rsidRPr="00317682">
        <w:rPr>
          <w:color w:val="000000"/>
        </w:rPr>
        <w:t xml:space="preserve">critical to sustainable development outcomes. Nevertheless, there is an ongoing need to identify the value of partnership objectives, what </w:t>
      </w:r>
      <w:r w:rsidR="00B40A17" w:rsidRPr="00317682">
        <w:rPr>
          <w:color w:val="000000"/>
        </w:rPr>
        <w:t>partnerships can</w:t>
      </w:r>
      <w:r w:rsidRPr="00317682">
        <w:rPr>
          <w:color w:val="000000"/>
        </w:rPr>
        <w:t xml:space="preserve"> realistic</w:t>
      </w:r>
      <w:r w:rsidR="00B40A17" w:rsidRPr="00317682">
        <w:rPr>
          <w:color w:val="000000"/>
        </w:rPr>
        <w:t>ally</w:t>
      </w:r>
      <w:r w:rsidRPr="00317682">
        <w:rPr>
          <w:color w:val="000000"/>
        </w:rPr>
        <w:t xml:space="preserve"> contribut</w:t>
      </w:r>
      <w:r w:rsidR="00B40A17" w:rsidRPr="00317682">
        <w:rPr>
          <w:color w:val="000000"/>
        </w:rPr>
        <w:t>e</w:t>
      </w:r>
      <w:r w:rsidRPr="00317682">
        <w:rPr>
          <w:color w:val="000000"/>
        </w:rPr>
        <w:t xml:space="preserve"> to development objectives and whether the costs and benefits are in balance. </w:t>
      </w:r>
    </w:p>
    <w:p w:rsidR="00DB2E78" w:rsidRPr="00317682" w:rsidRDefault="00DB2E78" w:rsidP="00DB2E78">
      <w:pPr>
        <w:pStyle w:val="BodyText"/>
        <w:rPr>
          <w:color w:val="000000"/>
          <w:spacing w:val="-2"/>
        </w:rPr>
      </w:pPr>
      <w:r w:rsidRPr="00317682">
        <w:rPr>
          <w:color w:val="000000"/>
          <w:spacing w:val="-2"/>
        </w:rPr>
        <w:t xml:space="preserve">The two reviews also found that activities tended to be </w:t>
      </w:r>
      <w:r w:rsidR="00B40A17" w:rsidRPr="00317682">
        <w:rPr>
          <w:color w:val="000000"/>
          <w:spacing w:val="-2"/>
        </w:rPr>
        <w:t xml:space="preserve">driven </w:t>
      </w:r>
      <w:r w:rsidRPr="00317682">
        <w:rPr>
          <w:color w:val="000000"/>
          <w:spacing w:val="-2"/>
        </w:rPr>
        <w:t xml:space="preserve">more </w:t>
      </w:r>
      <w:r w:rsidR="00B40A17" w:rsidRPr="00317682">
        <w:rPr>
          <w:color w:val="000000"/>
          <w:spacing w:val="-2"/>
        </w:rPr>
        <w:t xml:space="preserve">by </w:t>
      </w:r>
      <w:r w:rsidRPr="00317682">
        <w:rPr>
          <w:color w:val="000000"/>
          <w:spacing w:val="-2"/>
        </w:rPr>
        <w:t xml:space="preserve">supply than </w:t>
      </w:r>
      <w:r w:rsidR="00B40A17" w:rsidRPr="00317682">
        <w:rPr>
          <w:color w:val="000000"/>
          <w:spacing w:val="-2"/>
        </w:rPr>
        <w:t xml:space="preserve">by </w:t>
      </w:r>
      <w:r w:rsidRPr="00317682">
        <w:rPr>
          <w:color w:val="000000"/>
          <w:spacing w:val="-2"/>
        </w:rPr>
        <w:t xml:space="preserve">demand, and not always directed at issues of the highest priority for either </w:t>
      </w:r>
      <w:r w:rsidR="00FE4ECC" w:rsidRPr="00317682">
        <w:rPr>
          <w:color w:val="000000"/>
          <w:spacing w:val="-2"/>
        </w:rPr>
        <w:t xml:space="preserve">the </w:t>
      </w:r>
      <w:r w:rsidRPr="00317682">
        <w:rPr>
          <w:color w:val="000000"/>
          <w:spacing w:val="-2"/>
        </w:rPr>
        <w:t xml:space="preserve">partner governments or </w:t>
      </w:r>
      <w:smartTag w:uri="urn:schemas-microsoft-com:office:smarttags" w:element="place">
        <w:smartTag w:uri="urn:schemas-microsoft-com:office:smarttags" w:element="country-region">
          <w:r w:rsidRPr="00317682">
            <w:rPr>
              <w:color w:val="000000"/>
              <w:spacing w:val="-2"/>
            </w:rPr>
            <w:t>Australia</w:t>
          </w:r>
        </w:smartTag>
      </w:smartTag>
      <w:r w:rsidRPr="00317682">
        <w:rPr>
          <w:color w:val="000000"/>
          <w:spacing w:val="-2"/>
        </w:rPr>
        <w:t xml:space="preserve">’s own interests. </w:t>
      </w:r>
      <w:r w:rsidR="00FE4ECC" w:rsidRPr="00317682">
        <w:rPr>
          <w:color w:val="000000"/>
          <w:spacing w:val="-2"/>
        </w:rPr>
        <w:t>T</w:t>
      </w:r>
      <w:r w:rsidRPr="00317682">
        <w:rPr>
          <w:color w:val="000000"/>
          <w:spacing w:val="-2"/>
        </w:rPr>
        <w:t xml:space="preserve">his is </w:t>
      </w:r>
      <w:r w:rsidR="00FE4ECC" w:rsidRPr="00317682">
        <w:rPr>
          <w:color w:val="000000"/>
          <w:spacing w:val="-2"/>
        </w:rPr>
        <w:t xml:space="preserve">largely </w:t>
      </w:r>
      <w:r w:rsidRPr="00317682">
        <w:rPr>
          <w:color w:val="000000"/>
          <w:spacing w:val="-2"/>
        </w:rPr>
        <w:t xml:space="preserve">because </w:t>
      </w:r>
      <w:r w:rsidR="00FE4ECC" w:rsidRPr="00317682">
        <w:rPr>
          <w:color w:val="000000"/>
          <w:spacing w:val="-2"/>
        </w:rPr>
        <w:t xml:space="preserve">yearly </w:t>
      </w:r>
      <w:r w:rsidRPr="00317682">
        <w:rPr>
          <w:color w:val="000000"/>
          <w:spacing w:val="-2"/>
        </w:rPr>
        <w:t xml:space="preserve">or twice </w:t>
      </w:r>
      <w:r w:rsidR="00FE4ECC" w:rsidRPr="00317682">
        <w:rPr>
          <w:color w:val="000000"/>
          <w:spacing w:val="-2"/>
        </w:rPr>
        <w:t xml:space="preserve">yearly </w:t>
      </w:r>
      <w:r w:rsidRPr="00317682">
        <w:rPr>
          <w:color w:val="000000"/>
          <w:spacing w:val="-2"/>
        </w:rPr>
        <w:t xml:space="preserve">competitive grant processes are not the best basis for analysing priorities. Monitoring and evaluation and risk management are weak across public sector linkage programs because most individual activities (as opposed to aggregate programs) are low cost and low risk. It should be noted that public sector linkage programs, while nominally labelled public sector management, rarely support administrative governance as such, and focus strongly on very diverse technical activities of the public sector, ranging from crop protection, to </w:t>
      </w:r>
      <w:r w:rsidR="00FE4ECC" w:rsidRPr="00317682">
        <w:rPr>
          <w:color w:val="000000"/>
          <w:spacing w:val="-2"/>
        </w:rPr>
        <w:t xml:space="preserve">the </w:t>
      </w:r>
      <w:r w:rsidRPr="00317682">
        <w:rPr>
          <w:color w:val="000000"/>
          <w:spacing w:val="-2"/>
        </w:rPr>
        <w:t xml:space="preserve">prevention of HIV and avian influenza to </w:t>
      </w:r>
      <w:r w:rsidR="00FE4ECC" w:rsidRPr="00317682">
        <w:rPr>
          <w:color w:val="000000"/>
          <w:spacing w:val="-2"/>
        </w:rPr>
        <w:t xml:space="preserve">the </w:t>
      </w:r>
      <w:r w:rsidRPr="00317682">
        <w:rPr>
          <w:color w:val="000000"/>
          <w:spacing w:val="-2"/>
        </w:rPr>
        <w:t>manag</w:t>
      </w:r>
      <w:r w:rsidR="00FE4ECC" w:rsidRPr="00317682">
        <w:rPr>
          <w:color w:val="000000"/>
          <w:spacing w:val="-2"/>
        </w:rPr>
        <w:t xml:space="preserve">ement of </w:t>
      </w:r>
      <w:r w:rsidRPr="00317682">
        <w:rPr>
          <w:color w:val="000000"/>
          <w:spacing w:val="-2"/>
        </w:rPr>
        <w:t>environmental and resource issues.</w:t>
      </w:r>
    </w:p>
    <w:p w:rsidR="00DB2E78" w:rsidRPr="00317682" w:rsidRDefault="00DB2E78" w:rsidP="00DB2E78">
      <w:pPr>
        <w:pStyle w:val="BodyText"/>
        <w:rPr>
          <w:color w:val="000000"/>
        </w:rPr>
      </w:pPr>
      <w:r w:rsidRPr="00317682">
        <w:rPr>
          <w:color w:val="000000"/>
        </w:rPr>
        <w:t>It is perhaps surprising</w:t>
      </w:r>
      <w:r w:rsidR="00FE4ECC" w:rsidRPr="00317682">
        <w:rPr>
          <w:color w:val="000000"/>
        </w:rPr>
        <w:t>,</w:t>
      </w:r>
      <w:r w:rsidRPr="00317682">
        <w:rPr>
          <w:color w:val="000000"/>
        </w:rPr>
        <w:t xml:space="preserve"> given the attention </w:t>
      </w:r>
      <w:r w:rsidR="00B40A17" w:rsidRPr="00317682">
        <w:rPr>
          <w:color w:val="000000"/>
        </w:rPr>
        <w:t>focused on</w:t>
      </w:r>
      <w:r w:rsidR="00FE4ECC" w:rsidRPr="00317682">
        <w:rPr>
          <w:color w:val="000000"/>
        </w:rPr>
        <w:t xml:space="preserve"> </w:t>
      </w:r>
      <w:r w:rsidRPr="00317682">
        <w:rPr>
          <w:color w:val="000000"/>
        </w:rPr>
        <w:t xml:space="preserve">service delivery and therefore on working beyond the national level of government, that there are not more programs designed explicitly to support lower levels of government (although sectoral programs do often work at </w:t>
      </w:r>
      <w:r w:rsidR="00530428" w:rsidRPr="00317682">
        <w:rPr>
          <w:color w:val="000000"/>
        </w:rPr>
        <w:t>sub</w:t>
      </w:r>
      <w:r w:rsidRPr="00317682">
        <w:rPr>
          <w:color w:val="000000"/>
        </w:rPr>
        <w:t>national level</w:t>
      </w:r>
      <w:r w:rsidR="00FE4ECC" w:rsidRPr="00317682">
        <w:rPr>
          <w:color w:val="000000"/>
        </w:rPr>
        <w:t>s</w:t>
      </w:r>
      <w:r w:rsidRPr="00317682">
        <w:rPr>
          <w:color w:val="000000"/>
        </w:rPr>
        <w:t xml:space="preserve">). </w:t>
      </w:r>
      <w:bookmarkStart w:id="34" w:name="OLE_LINK5"/>
      <w:r w:rsidRPr="00317682">
        <w:rPr>
          <w:color w:val="000000"/>
        </w:rPr>
        <w:t xml:space="preserve">The Sub-National Strategy in </w:t>
      </w:r>
      <w:smartTag w:uri="urn:schemas-microsoft-com:office:smarttags" w:element="place">
        <w:smartTag w:uri="urn:schemas-microsoft-com:office:smarttags" w:element="country-region">
          <w:r w:rsidR="00FE4ECC" w:rsidRPr="00317682">
            <w:rPr>
              <w:color w:val="000000"/>
            </w:rPr>
            <w:t>Papua New Guinea</w:t>
          </w:r>
        </w:smartTag>
      </w:smartTag>
      <w:r w:rsidR="00FE4ECC" w:rsidRPr="00317682">
        <w:rPr>
          <w:color w:val="000000"/>
        </w:rPr>
        <w:t xml:space="preserve"> </w:t>
      </w:r>
      <w:r w:rsidRPr="00317682">
        <w:rPr>
          <w:color w:val="000000"/>
        </w:rPr>
        <w:t xml:space="preserve">is aligned </w:t>
      </w:r>
      <w:r w:rsidR="00FE4ECC" w:rsidRPr="00317682">
        <w:rPr>
          <w:color w:val="000000"/>
        </w:rPr>
        <w:t xml:space="preserve">with </w:t>
      </w:r>
      <w:r w:rsidRPr="00317682">
        <w:rPr>
          <w:color w:val="000000"/>
        </w:rPr>
        <w:t xml:space="preserve">the </w:t>
      </w:r>
      <w:r w:rsidR="00FE4ECC" w:rsidRPr="00317682">
        <w:rPr>
          <w:color w:val="000000"/>
        </w:rPr>
        <w:t xml:space="preserve">government’s </w:t>
      </w:r>
      <w:r w:rsidRPr="00317682">
        <w:rPr>
          <w:color w:val="000000"/>
        </w:rPr>
        <w:t xml:space="preserve">own provincial initiative and informs the alignment of </w:t>
      </w:r>
      <w:proofErr w:type="spellStart"/>
      <w:r w:rsidRPr="00317682">
        <w:rPr>
          <w:color w:val="000000"/>
        </w:rPr>
        <w:t>AusAID’s</w:t>
      </w:r>
      <w:proofErr w:type="spellEnd"/>
      <w:r w:rsidRPr="00317682">
        <w:rPr>
          <w:color w:val="000000"/>
        </w:rPr>
        <w:t xml:space="preserve"> sectoral programs in </w:t>
      </w:r>
      <w:r w:rsidR="00FE4ECC" w:rsidRPr="00317682">
        <w:rPr>
          <w:color w:val="000000"/>
        </w:rPr>
        <w:t xml:space="preserve">the country </w:t>
      </w:r>
      <w:r w:rsidRPr="00317682">
        <w:rPr>
          <w:color w:val="000000"/>
        </w:rPr>
        <w:t xml:space="preserve">so that they are more responsive to service delivery challenges at the </w:t>
      </w:r>
      <w:r w:rsidR="00530428" w:rsidRPr="00317682">
        <w:rPr>
          <w:color w:val="000000"/>
        </w:rPr>
        <w:t>sub</w:t>
      </w:r>
      <w:r w:rsidRPr="00317682">
        <w:rPr>
          <w:color w:val="000000"/>
        </w:rPr>
        <w:t>national level. It uses an innovative mechanism of co-location</w:t>
      </w:r>
      <w:r w:rsidR="00FE4ECC" w:rsidRPr="00317682">
        <w:rPr>
          <w:color w:val="000000"/>
        </w:rPr>
        <w:t>—</w:t>
      </w:r>
      <w:r w:rsidRPr="00317682">
        <w:rPr>
          <w:color w:val="000000"/>
        </w:rPr>
        <w:t xml:space="preserve">the posting of </w:t>
      </w:r>
      <w:proofErr w:type="spellStart"/>
      <w:r w:rsidRPr="00317682">
        <w:rPr>
          <w:color w:val="000000"/>
        </w:rPr>
        <w:t>AusAID’s</w:t>
      </w:r>
      <w:proofErr w:type="spellEnd"/>
      <w:r w:rsidRPr="00317682">
        <w:rPr>
          <w:color w:val="000000"/>
        </w:rPr>
        <w:t xml:space="preserve"> own Australian and locally engaged staff to the national department and selected </w:t>
      </w:r>
      <w:r w:rsidR="00FE4ECC" w:rsidRPr="00317682">
        <w:rPr>
          <w:color w:val="000000"/>
        </w:rPr>
        <w:t xml:space="preserve">provinces to </w:t>
      </w:r>
      <w:r w:rsidRPr="00317682">
        <w:rPr>
          <w:color w:val="000000"/>
        </w:rPr>
        <w:t>joint</w:t>
      </w:r>
      <w:r w:rsidR="00FE4ECC" w:rsidRPr="00317682">
        <w:rPr>
          <w:color w:val="000000"/>
        </w:rPr>
        <w:t>ly</w:t>
      </w:r>
      <w:r w:rsidRPr="00317682">
        <w:rPr>
          <w:color w:val="000000"/>
        </w:rPr>
        <w:t xml:space="preserve"> manage and direct</w:t>
      </w:r>
      <w:r w:rsidR="00FE4ECC" w:rsidRPr="00317682">
        <w:rPr>
          <w:color w:val="000000"/>
        </w:rPr>
        <w:t>ly</w:t>
      </w:r>
      <w:r w:rsidRPr="00317682">
        <w:rPr>
          <w:color w:val="000000"/>
        </w:rPr>
        <w:t xml:space="preserve"> implement the </w:t>
      </w:r>
      <w:r w:rsidR="00FE4ECC" w:rsidRPr="00317682">
        <w:rPr>
          <w:color w:val="000000"/>
        </w:rPr>
        <w:t>strategy</w:t>
      </w:r>
      <w:r w:rsidRPr="00317682">
        <w:rPr>
          <w:color w:val="000000"/>
        </w:rPr>
        <w:t xml:space="preserve">. </w:t>
      </w:r>
      <w:bookmarkEnd w:id="34"/>
      <w:r w:rsidRPr="00317682">
        <w:rPr>
          <w:color w:val="000000"/>
        </w:rPr>
        <w:t>The most fundamental role for the co-located officers is day</w:t>
      </w:r>
      <w:r w:rsidR="00FE4ECC" w:rsidRPr="00317682">
        <w:rPr>
          <w:color w:val="000000"/>
        </w:rPr>
        <w:t>-</w:t>
      </w:r>
      <w:r w:rsidRPr="00317682">
        <w:rPr>
          <w:color w:val="000000"/>
        </w:rPr>
        <w:t>to</w:t>
      </w:r>
      <w:r w:rsidR="00FE4ECC" w:rsidRPr="00317682">
        <w:rPr>
          <w:color w:val="000000"/>
        </w:rPr>
        <w:t>-</w:t>
      </w:r>
      <w:r w:rsidRPr="00317682">
        <w:rPr>
          <w:color w:val="000000"/>
        </w:rPr>
        <w:t>day policy engagement and dialogue with national agencies and provincial governments on key governance issues relat</w:t>
      </w:r>
      <w:r w:rsidR="00B40A17" w:rsidRPr="00317682">
        <w:rPr>
          <w:color w:val="000000"/>
        </w:rPr>
        <w:t>ed</w:t>
      </w:r>
      <w:r w:rsidRPr="00317682">
        <w:rPr>
          <w:color w:val="000000"/>
        </w:rPr>
        <w:t xml:space="preserve"> to decentralisation, public sector reform and service delivery. Co-location has resulted in improved coherence of the </w:t>
      </w:r>
      <w:proofErr w:type="spellStart"/>
      <w:r w:rsidRPr="00317682">
        <w:rPr>
          <w:color w:val="000000"/>
        </w:rPr>
        <w:t>AusAID</w:t>
      </w:r>
      <w:proofErr w:type="spellEnd"/>
      <w:r w:rsidRPr="00317682">
        <w:rPr>
          <w:color w:val="000000"/>
        </w:rPr>
        <w:t xml:space="preserve"> program, improved donor harmonisation, and donor activities better linked to provincial planning mechanisms.</w:t>
      </w:r>
    </w:p>
    <w:p w:rsidR="00DB2E78" w:rsidRPr="00317682" w:rsidRDefault="00DB2E78" w:rsidP="00DB2E78">
      <w:pPr>
        <w:pStyle w:val="BodyText"/>
        <w:rPr>
          <w:color w:val="000000"/>
        </w:rPr>
      </w:pPr>
      <w:r w:rsidRPr="00317682">
        <w:rPr>
          <w:color w:val="000000"/>
        </w:rPr>
        <w:t xml:space="preserve">The size of the task of supporting </w:t>
      </w:r>
      <w:r w:rsidR="00530428" w:rsidRPr="00317682">
        <w:rPr>
          <w:color w:val="000000"/>
        </w:rPr>
        <w:t>sub</w:t>
      </w:r>
      <w:r w:rsidRPr="00317682">
        <w:rPr>
          <w:color w:val="000000"/>
        </w:rPr>
        <w:t>national levels of government in Indonesia has led to a tight focus on the poor province of East Nusa Tenggara and within that a focus on six districts (</w:t>
      </w:r>
      <w:r w:rsidR="0042203A" w:rsidRPr="00317682">
        <w:rPr>
          <w:color w:val="000000"/>
        </w:rPr>
        <w:t>Australia</w:t>
      </w:r>
      <w:r w:rsidR="0042203A" w:rsidRPr="00317682">
        <w:rPr>
          <w:rFonts w:ascii="Times New Roman" w:hAnsi="Times New Roman"/>
          <w:color w:val="000000"/>
          <w:sz w:val="12"/>
          <w:szCs w:val="12"/>
        </w:rPr>
        <w:t> </w:t>
      </w:r>
      <w:r w:rsidR="0042203A" w:rsidRPr="00317682">
        <w:rPr>
          <w:color w:val="000000"/>
        </w:rPr>
        <w:t>–</w:t>
      </w:r>
      <w:r w:rsidR="0042203A" w:rsidRPr="00317682">
        <w:rPr>
          <w:rFonts w:ascii="Times New Roman" w:hAnsi="Times New Roman"/>
          <w:color w:val="000000"/>
          <w:sz w:val="12"/>
          <w:szCs w:val="12"/>
        </w:rPr>
        <w:t> </w:t>
      </w:r>
      <w:r w:rsidR="0042203A" w:rsidRPr="00317682">
        <w:rPr>
          <w:color w:val="000000"/>
        </w:rPr>
        <w:t>Nusa Tenggara Assistance for Regional Autonomy Program</w:t>
      </w:r>
      <w:r w:rsidRPr="00317682">
        <w:rPr>
          <w:color w:val="000000"/>
        </w:rPr>
        <w:t>) and on the tsunami</w:t>
      </w:r>
      <w:r w:rsidR="008954AF" w:rsidRPr="00317682">
        <w:rPr>
          <w:color w:val="000000"/>
        </w:rPr>
        <w:t>-</w:t>
      </w:r>
      <w:r w:rsidRPr="00317682">
        <w:rPr>
          <w:color w:val="000000"/>
        </w:rPr>
        <w:t xml:space="preserve">affected Aceh and </w:t>
      </w:r>
      <w:proofErr w:type="spellStart"/>
      <w:r w:rsidRPr="00317682">
        <w:rPr>
          <w:color w:val="000000"/>
        </w:rPr>
        <w:t>Nias</w:t>
      </w:r>
      <w:proofErr w:type="spellEnd"/>
      <w:r w:rsidRPr="00317682">
        <w:rPr>
          <w:color w:val="000000"/>
        </w:rPr>
        <w:t xml:space="preserve"> (Local Governance and Infrastructure for Communities in Aceh</w:t>
      </w:r>
      <w:r w:rsidR="00B40A17" w:rsidRPr="00317682">
        <w:rPr>
          <w:color w:val="000000"/>
        </w:rPr>
        <w:t>, know</w:t>
      </w:r>
      <w:r w:rsidR="002E7862" w:rsidRPr="00317682">
        <w:rPr>
          <w:color w:val="000000"/>
        </w:rPr>
        <w:t>n</w:t>
      </w:r>
      <w:r w:rsidR="00B40A17" w:rsidRPr="00317682">
        <w:rPr>
          <w:color w:val="000000"/>
        </w:rPr>
        <w:t xml:space="preserve"> as </w:t>
      </w:r>
      <w:r w:rsidRPr="00317682">
        <w:rPr>
          <w:color w:val="000000"/>
        </w:rPr>
        <w:t xml:space="preserve">LOGICA). Of the two, the Aceh Program Monitoring and Report Group </w:t>
      </w:r>
      <w:proofErr w:type="gramStart"/>
      <w:r w:rsidRPr="00317682">
        <w:rPr>
          <w:color w:val="000000"/>
        </w:rPr>
        <w:t>considers</w:t>
      </w:r>
      <w:proofErr w:type="gramEnd"/>
      <w:r w:rsidRPr="00317682">
        <w:rPr>
          <w:color w:val="000000"/>
        </w:rPr>
        <w:t xml:space="preserve"> that LOGICA is delivering excellent results. While in the first year the emphasis was on assisting reconstruction (land mapping and spatial planning), improv</w:t>
      </w:r>
      <w:r w:rsidR="008954AF" w:rsidRPr="00317682">
        <w:rPr>
          <w:color w:val="000000"/>
        </w:rPr>
        <w:t>ing</w:t>
      </w:r>
      <w:r w:rsidRPr="00317682">
        <w:rPr>
          <w:color w:val="000000"/>
        </w:rPr>
        <w:t xml:space="preserve"> government services has gradually assumed the key focus. LOGICA supports the clarification of the division of labour between layers of government, </w:t>
      </w:r>
      <w:r w:rsidR="008954AF" w:rsidRPr="00317682">
        <w:rPr>
          <w:color w:val="000000"/>
        </w:rPr>
        <w:t xml:space="preserve">the </w:t>
      </w:r>
      <w:r w:rsidRPr="00317682">
        <w:rPr>
          <w:color w:val="000000"/>
        </w:rPr>
        <w:t xml:space="preserve">implementation of fiscal decentralisation, </w:t>
      </w:r>
      <w:r w:rsidR="008954AF" w:rsidRPr="00317682">
        <w:rPr>
          <w:color w:val="000000"/>
        </w:rPr>
        <w:t xml:space="preserve">the </w:t>
      </w:r>
      <w:r w:rsidRPr="00317682">
        <w:rPr>
          <w:color w:val="000000"/>
        </w:rPr>
        <w:t xml:space="preserve">dissemination of government regulations and </w:t>
      </w:r>
      <w:r w:rsidR="008954AF" w:rsidRPr="00317682">
        <w:rPr>
          <w:color w:val="000000"/>
        </w:rPr>
        <w:t xml:space="preserve">the </w:t>
      </w:r>
      <w:r w:rsidRPr="00317682">
        <w:rPr>
          <w:color w:val="000000"/>
        </w:rPr>
        <w:t xml:space="preserve">training of village councils. An initiative </w:t>
      </w:r>
      <w:r w:rsidRPr="00317682">
        <w:rPr>
          <w:color w:val="000000"/>
        </w:rPr>
        <w:lastRenderedPageBreak/>
        <w:t>attracting widespread positive attention is the establishment of a ‘single window’ for service delivery</w:t>
      </w:r>
      <w:r w:rsidR="008954AF" w:rsidRPr="00317682">
        <w:rPr>
          <w:color w:val="000000"/>
        </w:rPr>
        <w:t xml:space="preserve"> in 18 subdistrict administrations</w:t>
      </w:r>
      <w:r w:rsidRPr="00317682">
        <w:rPr>
          <w:color w:val="000000"/>
        </w:rPr>
        <w:t xml:space="preserve">. A further 17 </w:t>
      </w:r>
      <w:r w:rsidR="00530428" w:rsidRPr="00317682">
        <w:rPr>
          <w:color w:val="000000"/>
        </w:rPr>
        <w:t>sub</w:t>
      </w:r>
      <w:r w:rsidRPr="00317682">
        <w:rPr>
          <w:color w:val="000000"/>
        </w:rPr>
        <w:t>districts are replicating this reform using their own funding.</w:t>
      </w:r>
    </w:p>
    <w:p w:rsidR="00DB2E78" w:rsidRPr="00317682" w:rsidRDefault="00DB2E78" w:rsidP="00DB2E78">
      <w:pPr>
        <w:pStyle w:val="Heading3"/>
        <w:rPr>
          <w:color w:val="000000"/>
        </w:rPr>
      </w:pPr>
      <w:bookmarkStart w:id="35" w:name="_Toc202340882"/>
      <w:bookmarkStart w:id="36" w:name="_Toc207514543"/>
      <w:r w:rsidRPr="00317682">
        <w:rPr>
          <w:color w:val="000000"/>
        </w:rPr>
        <w:t>Explanation</w:t>
      </w:r>
      <w:bookmarkEnd w:id="35"/>
      <w:bookmarkEnd w:id="36"/>
    </w:p>
    <w:p w:rsidR="00DB2E78" w:rsidRPr="00317682" w:rsidRDefault="00DB2E78" w:rsidP="00DB2E78">
      <w:pPr>
        <w:pStyle w:val="BodyText"/>
        <w:rPr>
          <w:color w:val="000000"/>
        </w:rPr>
      </w:pPr>
      <w:r w:rsidRPr="00317682">
        <w:rPr>
          <w:color w:val="000000"/>
        </w:rPr>
        <w:t xml:space="preserve">Within the four QAI categories this </w:t>
      </w:r>
      <w:r w:rsidR="00530428" w:rsidRPr="00317682">
        <w:rPr>
          <w:color w:val="000000"/>
        </w:rPr>
        <w:t>sub</w:t>
      </w:r>
      <w:r w:rsidRPr="00317682">
        <w:rPr>
          <w:color w:val="000000"/>
        </w:rPr>
        <w:t>sector performed best in implementation progress, with comparably favourable results in achieving objectives.</w:t>
      </w:r>
      <w:r w:rsidR="00C16EB4" w:rsidRPr="00317682">
        <w:rPr>
          <w:color w:val="000000"/>
        </w:rPr>
        <w:t xml:space="preserve"> </w:t>
      </w:r>
      <w:r w:rsidRPr="00317682">
        <w:rPr>
          <w:color w:val="000000"/>
        </w:rPr>
        <w:t xml:space="preserve">Monitoring and evaluation and sustainability </w:t>
      </w:r>
      <w:r w:rsidR="00B40A17" w:rsidRPr="00317682">
        <w:rPr>
          <w:color w:val="000000"/>
        </w:rPr>
        <w:t xml:space="preserve">were </w:t>
      </w:r>
      <w:r w:rsidRPr="00317682">
        <w:rPr>
          <w:color w:val="000000"/>
        </w:rPr>
        <w:t>not rate</w:t>
      </w:r>
      <w:r w:rsidR="00B40A17" w:rsidRPr="00317682">
        <w:rPr>
          <w:color w:val="000000"/>
        </w:rPr>
        <w:t>d</w:t>
      </w:r>
      <w:r w:rsidRPr="00317682">
        <w:rPr>
          <w:color w:val="000000"/>
        </w:rPr>
        <w:t xml:space="preserve"> as highly. This assessment </w:t>
      </w:r>
      <w:r w:rsidR="005243B2" w:rsidRPr="00317682">
        <w:rPr>
          <w:color w:val="000000"/>
        </w:rPr>
        <w:t xml:space="preserve">was </w:t>
      </w:r>
      <w:r w:rsidRPr="00317682">
        <w:rPr>
          <w:color w:val="000000"/>
        </w:rPr>
        <w:t>also influenced by mid-term and completion reviews</w:t>
      </w:r>
      <w:r w:rsidR="005243B2" w:rsidRPr="00317682">
        <w:rPr>
          <w:color w:val="000000"/>
        </w:rPr>
        <w:t>,</w:t>
      </w:r>
      <w:r w:rsidRPr="00317682">
        <w:rPr>
          <w:color w:val="000000"/>
        </w:rPr>
        <w:t xml:space="preserve"> the mixed nature of the public sector linkage programs</w:t>
      </w:r>
      <w:r w:rsidR="005243B2" w:rsidRPr="00317682">
        <w:rPr>
          <w:color w:val="000000"/>
        </w:rPr>
        <w:t>,</w:t>
      </w:r>
      <w:r w:rsidRPr="00317682">
        <w:rPr>
          <w:color w:val="000000"/>
        </w:rPr>
        <w:t xml:space="preserve"> and strengths being offset by weaknesses. There are good examples of supporting partner government priorities, working more within government systems, and better approaches to technical assistance. But the nature of public sector management work</w:t>
      </w:r>
      <w:r w:rsidR="005243B2" w:rsidRPr="00317682">
        <w:rPr>
          <w:color w:val="000000"/>
        </w:rPr>
        <w:t>—</w:t>
      </w:r>
      <w:r w:rsidRPr="00317682">
        <w:rPr>
          <w:color w:val="000000"/>
        </w:rPr>
        <w:t>beyond that embedded in sectoral programs</w:t>
      </w:r>
      <w:r w:rsidR="005243B2" w:rsidRPr="00317682">
        <w:rPr>
          <w:color w:val="000000"/>
        </w:rPr>
        <w:t>—</w:t>
      </w:r>
      <w:r w:rsidRPr="00317682">
        <w:rPr>
          <w:color w:val="000000"/>
        </w:rPr>
        <w:t>is sometimes piecemeal. Public sector management activities also suffer from the legacy of doctrinaire approaches</w:t>
      </w:r>
      <w:r w:rsidR="00B40A17" w:rsidRPr="00317682">
        <w:rPr>
          <w:color w:val="000000"/>
        </w:rPr>
        <w:t>,</w:t>
      </w:r>
      <w:r w:rsidRPr="00317682">
        <w:rPr>
          <w:color w:val="000000"/>
        </w:rPr>
        <w:t xml:space="preserve"> particularly so-called ‘</w:t>
      </w:r>
      <w:r w:rsidR="005243B2" w:rsidRPr="00317682">
        <w:rPr>
          <w:color w:val="000000"/>
        </w:rPr>
        <w:t>new public management’</w:t>
      </w:r>
      <w:r w:rsidRPr="00317682">
        <w:rPr>
          <w:color w:val="000000"/>
        </w:rPr>
        <w:t xml:space="preserve">, which seeks to introduce a market orientation to the public sector. </w:t>
      </w:r>
    </w:p>
    <w:p w:rsidR="00DB2E78" w:rsidRPr="00317682" w:rsidRDefault="00DB2E78" w:rsidP="00DB2E78">
      <w:pPr>
        <w:pStyle w:val="BodyText"/>
        <w:rPr>
          <w:color w:val="000000"/>
        </w:rPr>
      </w:pP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 has been far from alone in supporting the emphasis on employment contracts, restructuring, outsourcing, devolution of functions and other such structural adjustments. </w:t>
      </w:r>
      <w:r w:rsidR="005243B2" w:rsidRPr="00317682">
        <w:rPr>
          <w:color w:val="000000"/>
        </w:rPr>
        <w:t>In some contexts t</w:t>
      </w:r>
      <w:r w:rsidRPr="00317682">
        <w:rPr>
          <w:color w:val="000000"/>
        </w:rPr>
        <w:t xml:space="preserve">hese adjustments have overlooked the historical, political, </w:t>
      </w:r>
      <w:proofErr w:type="gramStart"/>
      <w:r w:rsidRPr="00317682">
        <w:rPr>
          <w:color w:val="000000"/>
        </w:rPr>
        <w:t>cultural</w:t>
      </w:r>
      <w:proofErr w:type="gramEnd"/>
      <w:r w:rsidRPr="00317682">
        <w:rPr>
          <w:color w:val="000000"/>
        </w:rPr>
        <w:t xml:space="preserve"> and resource factors operating in the public sectors of partner countries. They produce constraints </w:t>
      </w:r>
      <w:r w:rsidR="005243B2" w:rsidRPr="00317682">
        <w:rPr>
          <w:color w:val="000000"/>
        </w:rPr>
        <w:t xml:space="preserve">that </w:t>
      </w:r>
      <w:r w:rsidRPr="00317682">
        <w:rPr>
          <w:color w:val="000000"/>
        </w:rPr>
        <w:t>go beyond the technical</w:t>
      </w:r>
      <w:r w:rsidR="005243B2" w:rsidRPr="00317682">
        <w:rPr>
          <w:color w:val="000000"/>
        </w:rPr>
        <w:t>—</w:t>
      </w:r>
      <w:r w:rsidRPr="00317682">
        <w:rPr>
          <w:color w:val="000000"/>
        </w:rPr>
        <w:t xml:space="preserve">beyond organisational structures, systems and rules and regulations. </w:t>
      </w:r>
      <w:proofErr w:type="spellStart"/>
      <w:r w:rsidRPr="00317682">
        <w:rPr>
          <w:color w:val="000000"/>
        </w:rPr>
        <w:t>AusAID</w:t>
      </w:r>
      <w:proofErr w:type="spellEnd"/>
      <w:r w:rsidRPr="00317682">
        <w:rPr>
          <w:color w:val="000000"/>
        </w:rPr>
        <w:t xml:space="preserve"> and its partners need to invest more in understanding these factors. A start has been made</w:t>
      </w:r>
      <w:r w:rsidR="005243B2" w:rsidRPr="00317682">
        <w:rPr>
          <w:color w:val="000000"/>
        </w:rPr>
        <w:t>.</w:t>
      </w:r>
      <w:r w:rsidRPr="00317682">
        <w:rPr>
          <w:color w:val="000000"/>
        </w:rPr>
        <w:t xml:space="preserve"> </w:t>
      </w:r>
      <w:r w:rsidR="005243B2" w:rsidRPr="00317682">
        <w:rPr>
          <w:color w:val="000000"/>
        </w:rPr>
        <w:t>A</w:t>
      </w:r>
      <w:r w:rsidRPr="00317682">
        <w:rPr>
          <w:color w:val="000000"/>
        </w:rPr>
        <w:t xml:space="preserve"> ‘drivers of change’ analysis has been conducted for </w:t>
      </w:r>
      <w:smartTag w:uri="urn:schemas-microsoft-com:office:smarttags" w:element="country-region">
        <w:r w:rsidRPr="00317682">
          <w:rPr>
            <w:color w:val="000000"/>
          </w:rPr>
          <w:t>Vanuatu</w:t>
        </w:r>
      </w:smartTag>
      <w:r w:rsidRPr="00317682">
        <w:rPr>
          <w:color w:val="000000"/>
        </w:rPr>
        <w:t xml:space="preserve">, and is planned for </w:t>
      </w:r>
      <w:smartTag w:uri="urn:schemas-microsoft-com:office:smarttags" w:element="country-region">
        <w:r w:rsidR="005243B2" w:rsidRPr="00317682">
          <w:rPr>
            <w:color w:val="000000"/>
          </w:rPr>
          <w:t>Papua New Guinea</w:t>
        </w:r>
      </w:smartTag>
      <w:r w:rsidR="005243B2"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Tonga</w:t>
          </w:r>
        </w:smartTag>
      </w:smartTag>
      <w:r w:rsidRPr="00317682">
        <w:rPr>
          <w:color w:val="000000"/>
        </w:rPr>
        <w:t xml:space="preserve">. The challenge then </w:t>
      </w:r>
      <w:r w:rsidR="005243B2" w:rsidRPr="00317682">
        <w:rPr>
          <w:color w:val="000000"/>
        </w:rPr>
        <w:t xml:space="preserve">becomes </w:t>
      </w:r>
      <w:r w:rsidRPr="00317682">
        <w:rPr>
          <w:color w:val="000000"/>
        </w:rPr>
        <w:t>how to respond to the analysis in practical programming and design terms.</w:t>
      </w:r>
    </w:p>
    <w:p w:rsidR="00DB2E78" w:rsidRPr="00317682" w:rsidRDefault="00DB2E78" w:rsidP="00DB2E78">
      <w:pPr>
        <w:pStyle w:val="Heading2unnumbered"/>
        <w:rPr>
          <w:color w:val="000000"/>
        </w:rPr>
      </w:pPr>
      <w:bookmarkStart w:id="37" w:name="_Toc202340883"/>
      <w:bookmarkStart w:id="38" w:name="_Toc207514544"/>
      <w:bookmarkStart w:id="39" w:name="_Toc222041485"/>
      <w:r w:rsidRPr="00317682">
        <w:rPr>
          <w:color w:val="000000"/>
        </w:rPr>
        <w:t>Strengthening law and justice</w:t>
      </w:r>
      <w:bookmarkEnd w:id="37"/>
      <w:bookmarkEnd w:id="38"/>
      <w:bookmarkEnd w:id="39"/>
    </w:p>
    <w:p w:rsidR="00DB2E78" w:rsidRPr="00317682" w:rsidRDefault="00DB2E78" w:rsidP="00BB3F3C">
      <w:pPr>
        <w:pStyle w:val="Heading3"/>
        <w:spacing w:before="240"/>
        <w:rPr>
          <w:color w:val="000000"/>
        </w:rPr>
      </w:pPr>
      <w:bookmarkStart w:id="40" w:name="_Toc202340884"/>
      <w:bookmarkStart w:id="41" w:name="_Toc207514545"/>
      <w:r w:rsidRPr="00317682">
        <w:rPr>
          <w:color w:val="000000"/>
        </w:rPr>
        <w:t xml:space="preserve">What does </w:t>
      </w:r>
      <w:proofErr w:type="spellStart"/>
      <w:r w:rsidRPr="00317682">
        <w:rPr>
          <w:color w:val="000000"/>
        </w:rPr>
        <w:t>AusAID</w:t>
      </w:r>
      <w:proofErr w:type="spellEnd"/>
      <w:r w:rsidRPr="00317682">
        <w:rPr>
          <w:color w:val="000000"/>
        </w:rPr>
        <w:t xml:space="preserve"> do?</w:t>
      </w:r>
      <w:bookmarkEnd w:id="40"/>
      <w:bookmarkEnd w:id="41"/>
    </w:p>
    <w:p w:rsidR="00DB2E78" w:rsidRPr="00317682" w:rsidRDefault="00DB2E78" w:rsidP="00DB2E78">
      <w:pPr>
        <w:pStyle w:val="BodyText"/>
        <w:rPr>
          <w:color w:val="000000"/>
        </w:rPr>
      </w:pPr>
      <w:r w:rsidRPr="00317682">
        <w:rPr>
          <w:color w:val="000000"/>
        </w:rPr>
        <w:t xml:space="preserve">Over the past few years, </w:t>
      </w:r>
      <w:r w:rsidR="00CC20AC" w:rsidRPr="00317682">
        <w:rPr>
          <w:color w:val="000000"/>
        </w:rPr>
        <w:t xml:space="preserve">ODA related to </w:t>
      </w:r>
      <w:r w:rsidRPr="00317682">
        <w:rPr>
          <w:color w:val="000000"/>
        </w:rPr>
        <w:t xml:space="preserve">law and justice has increased from about </w:t>
      </w:r>
      <w:r w:rsidR="00CC20AC" w:rsidRPr="00317682">
        <w:rPr>
          <w:color w:val="000000"/>
        </w:rPr>
        <w:t xml:space="preserve">10 per cent </w:t>
      </w:r>
      <w:r w:rsidRPr="00317682">
        <w:rPr>
          <w:color w:val="000000"/>
        </w:rPr>
        <w:t>to more than 20</w:t>
      </w:r>
      <w:r w:rsidR="00B36A64" w:rsidRPr="00317682">
        <w:rPr>
          <w:color w:val="000000"/>
        </w:rPr>
        <w:t> per cent</w:t>
      </w:r>
      <w:r w:rsidRPr="00317682">
        <w:rPr>
          <w:color w:val="000000"/>
        </w:rPr>
        <w:t xml:space="preserve"> of governance assistance, which itself has grown as a proportion of </w:t>
      </w:r>
      <w:r w:rsidR="00B40A17" w:rsidRPr="00317682">
        <w:rPr>
          <w:color w:val="000000"/>
        </w:rPr>
        <w:t xml:space="preserve">Australian </w:t>
      </w:r>
      <w:r w:rsidRPr="00317682">
        <w:rPr>
          <w:color w:val="000000"/>
        </w:rPr>
        <w:t xml:space="preserve">ODA. </w:t>
      </w:r>
      <w:proofErr w:type="spellStart"/>
      <w:r w:rsidRPr="00317682">
        <w:rPr>
          <w:color w:val="000000"/>
        </w:rPr>
        <w:t>AusAID</w:t>
      </w:r>
      <w:proofErr w:type="spellEnd"/>
      <w:r w:rsidRPr="00317682">
        <w:rPr>
          <w:color w:val="000000"/>
        </w:rPr>
        <w:t xml:space="preserve"> and the Australian Federal Police (AFP) are the main agencies working in this </w:t>
      </w:r>
      <w:r w:rsidR="004F2B2E" w:rsidRPr="00317682">
        <w:rPr>
          <w:color w:val="000000"/>
        </w:rPr>
        <w:t>sub</w:t>
      </w:r>
      <w:r w:rsidRPr="00317682">
        <w:rPr>
          <w:color w:val="000000"/>
        </w:rPr>
        <w:t xml:space="preserve">sector, with </w:t>
      </w:r>
      <w:proofErr w:type="spellStart"/>
      <w:r w:rsidRPr="00317682">
        <w:rPr>
          <w:color w:val="000000"/>
        </w:rPr>
        <w:t>AusAID’s</w:t>
      </w:r>
      <w:proofErr w:type="spellEnd"/>
      <w:r w:rsidRPr="00317682">
        <w:rPr>
          <w:color w:val="000000"/>
        </w:rPr>
        <w:t xml:space="preserve"> </w:t>
      </w:r>
      <w:r w:rsidR="00530428" w:rsidRPr="00317682">
        <w:rPr>
          <w:color w:val="000000"/>
        </w:rPr>
        <w:t>2007–</w:t>
      </w:r>
      <w:r w:rsidRPr="00317682">
        <w:rPr>
          <w:color w:val="000000"/>
        </w:rPr>
        <w:t>08 commitments amounting to approximately $135</w:t>
      </w:r>
      <w:r w:rsidR="00530428" w:rsidRPr="00317682">
        <w:rPr>
          <w:color w:val="000000"/>
        </w:rPr>
        <w:t> </w:t>
      </w:r>
      <w:r w:rsidRPr="00317682">
        <w:rPr>
          <w:color w:val="000000"/>
        </w:rPr>
        <w:t xml:space="preserve">million </w:t>
      </w:r>
      <w:r w:rsidR="00CC20AC" w:rsidRPr="00317682">
        <w:rPr>
          <w:color w:val="000000"/>
        </w:rPr>
        <w:t>and</w:t>
      </w:r>
      <w:r w:rsidRPr="00317682">
        <w:rPr>
          <w:color w:val="000000"/>
        </w:rPr>
        <w:t xml:space="preserve"> the AFP’s </w:t>
      </w:r>
      <w:r w:rsidR="00CC20AC" w:rsidRPr="00317682">
        <w:rPr>
          <w:color w:val="000000"/>
        </w:rPr>
        <w:t xml:space="preserve">to </w:t>
      </w:r>
      <w:r w:rsidRPr="00317682">
        <w:rPr>
          <w:color w:val="000000"/>
        </w:rPr>
        <w:t xml:space="preserve">around $170 million. The Attorney-General’s Department is also working more modestly in </w:t>
      </w:r>
      <w:r w:rsidR="004F2B2E" w:rsidRPr="00317682">
        <w:rPr>
          <w:color w:val="000000"/>
        </w:rPr>
        <w:t>law and justice</w:t>
      </w:r>
      <w:r w:rsidRPr="00317682">
        <w:rPr>
          <w:color w:val="000000"/>
        </w:rPr>
        <w:t xml:space="preserve">, with </w:t>
      </w:r>
      <w:r w:rsidR="00530428" w:rsidRPr="00317682">
        <w:rPr>
          <w:color w:val="000000"/>
        </w:rPr>
        <w:t>20</w:t>
      </w:r>
      <w:r w:rsidRPr="00317682">
        <w:rPr>
          <w:color w:val="000000"/>
        </w:rPr>
        <w:t>07</w:t>
      </w:r>
      <w:r w:rsidR="00530428" w:rsidRPr="00317682">
        <w:rPr>
          <w:color w:val="000000"/>
        </w:rPr>
        <w:t>–</w:t>
      </w:r>
      <w:r w:rsidRPr="00317682">
        <w:rPr>
          <w:color w:val="000000"/>
        </w:rPr>
        <w:t>08 commitments amounting to around $3.5</w:t>
      </w:r>
      <w:r w:rsidR="00530428" w:rsidRPr="00317682">
        <w:rPr>
          <w:color w:val="000000"/>
        </w:rPr>
        <w:t> </w:t>
      </w:r>
      <w:r w:rsidRPr="00317682">
        <w:rPr>
          <w:color w:val="000000"/>
        </w:rPr>
        <w:t>million.</w:t>
      </w:r>
    </w:p>
    <w:p w:rsidR="00DB2E78" w:rsidRPr="00317682" w:rsidRDefault="00DB2E78" w:rsidP="00DB2E78">
      <w:pPr>
        <w:pStyle w:val="BodyText"/>
        <w:rPr>
          <w:color w:val="000000"/>
        </w:rPr>
      </w:pPr>
      <w:r w:rsidRPr="00317682">
        <w:rPr>
          <w:color w:val="000000"/>
        </w:rPr>
        <w:t>In a policy context this growth</w:t>
      </w:r>
      <w:r w:rsidR="00B40A17" w:rsidRPr="00317682">
        <w:rPr>
          <w:color w:val="000000"/>
        </w:rPr>
        <w:t xml:space="preserve"> in law and justice assistance</w:t>
      </w:r>
      <w:r w:rsidRPr="00317682">
        <w:rPr>
          <w:color w:val="000000"/>
        </w:rPr>
        <w:t xml:space="preserve"> comes about from the link made in the past decade between improved governance and the rule of law. As </w:t>
      </w:r>
      <w:proofErr w:type="spellStart"/>
      <w:r w:rsidRPr="00317682">
        <w:rPr>
          <w:color w:val="000000"/>
        </w:rPr>
        <w:t>AusAID</w:t>
      </w:r>
      <w:proofErr w:type="spellEnd"/>
      <w:r w:rsidRPr="00317682">
        <w:rPr>
          <w:color w:val="000000"/>
        </w:rPr>
        <w:t xml:space="preserve"> stated in 2000</w:t>
      </w:r>
      <w:r w:rsidRPr="00317682">
        <w:rPr>
          <w:rStyle w:val="FootnoteReference"/>
          <w:color w:val="000000"/>
          <w:sz w:val="12"/>
        </w:rPr>
        <w:footnoteReference w:id="13"/>
      </w:r>
      <w:r w:rsidR="008C674F" w:rsidRPr="00317682">
        <w:rPr>
          <w:color w:val="000000"/>
        </w:rPr>
        <w:t>,</w:t>
      </w:r>
      <w:r w:rsidRPr="00317682">
        <w:rPr>
          <w:color w:val="000000"/>
        </w:rPr>
        <w:t xml:space="preserve"> ‘good governance requires the primacy of the rule of law, maintained through an impartial and effective legal system</w:t>
      </w:r>
      <w:r w:rsidR="00B40A17" w:rsidRPr="00317682">
        <w:rPr>
          <w:color w:val="000000"/>
        </w:rPr>
        <w:t>’</w:t>
      </w:r>
      <w:r w:rsidRPr="00317682">
        <w:rPr>
          <w:color w:val="000000"/>
        </w:rPr>
        <w:t>.</w:t>
      </w:r>
      <w:r w:rsidR="00C16EB4" w:rsidRPr="00317682">
        <w:rPr>
          <w:color w:val="000000"/>
        </w:rPr>
        <w:t xml:space="preserve"> </w:t>
      </w:r>
      <w:r w:rsidRPr="00317682">
        <w:rPr>
          <w:color w:val="000000"/>
        </w:rPr>
        <w:t>There is also an emerging recognition of the significance of the rule of law, including accessible justice systems, as a key element of state</w:t>
      </w:r>
      <w:r w:rsidR="008C674F" w:rsidRPr="00317682">
        <w:rPr>
          <w:color w:val="000000"/>
        </w:rPr>
        <w:t xml:space="preserve"> </w:t>
      </w:r>
      <w:r w:rsidRPr="00317682">
        <w:rPr>
          <w:color w:val="000000"/>
        </w:rPr>
        <w:t xml:space="preserve">building and stability, both in contributing to the enabling environment for </w:t>
      </w:r>
      <w:r w:rsidR="008C674F" w:rsidRPr="00317682">
        <w:rPr>
          <w:color w:val="000000"/>
        </w:rPr>
        <w:t xml:space="preserve">economic </w:t>
      </w:r>
      <w:r w:rsidRPr="00317682">
        <w:rPr>
          <w:color w:val="000000"/>
        </w:rPr>
        <w:t xml:space="preserve">growth and as a fundamental area of service delivery in its own right. </w:t>
      </w:r>
      <w:proofErr w:type="spellStart"/>
      <w:r w:rsidRPr="00317682">
        <w:rPr>
          <w:color w:val="000000"/>
        </w:rPr>
        <w:t>AusAID</w:t>
      </w:r>
      <w:proofErr w:type="spellEnd"/>
      <w:r w:rsidRPr="00317682">
        <w:rPr>
          <w:color w:val="000000"/>
        </w:rPr>
        <w:t xml:space="preserve"> has emphasised that the effective functioning of a state’s institutions is central to development, and to that end has placed considerable emphasis on a more integrated approach to law and justice. </w:t>
      </w:r>
    </w:p>
    <w:p w:rsidR="008C674F" w:rsidRPr="00317682" w:rsidRDefault="00DB2E78" w:rsidP="00DB2E78">
      <w:pPr>
        <w:pStyle w:val="BodyText"/>
        <w:rPr>
          <w:color w:val="000000"/>
        </w:rPr>
      </w:pPr>
      <w:r w:rsidRPr="00317682">
        <w:rPr>
          <w:color w:val="000000"/>
        </w:rPr>
        <w:lastRenderedPageBreak/>
        <w:t>International and regional events also brought security</w:t>
      </w:r>
      <w:r w:rsidR="008C674F" w:rsidRPr="00317682">
        <w:rPr>
          <w:color w:val="000000"/>
        </w:rPr>
        <w:t>-</w:t>
      </w:r>
      <w:r w:rsidRPr="00317682">
        <w:rPr>
          <w:color w:val="000000"/>
        </w:rPr>
        <w:t xml:space="preserve">related issues such as transnational crime to the fore, so that </w:t>
      </w:r>
      <w:proofErr w:type="spellStart"/>
      <w:r w:rsidRPr="00317682">
        <w:rPr>
          <w:color w:val="000000"/>
        </w:rPr>
        <w:t>AusAID’s</w:t>
      </w:r>
      <w:proofErr w:type="spellEnd"/>
      <w:r w:rsidRPr="00317682">
        <w:rPr>
          <w:color w:val="000000"/>
        </w:rPr>
        <w:t xml:space="preserve"> current law and justice portfolio can be seen generically as covering two separate though related areas: </w:t>
      </w:r>
    </w:p>
    <w:p w:rsidR="008C674F" w:rsidRPr="00317682" w:rsidRDefault="00DB2E78" w:rsidP="008C674F">
      <w:pPr>
        <w:pStyle w:val="ListBullet"/>
        <w:rPr>
          <w:color w:val="000000"/>
        </w:rPr>
      </w:pPr>
      <w:r w:rsidRPr="00317682">
        <w:rPr>
          <w:color w:val="000000"/>
        </w:rPr>
        <w:t>improved functioning of the law and justice sector</w:t>
      </w:r>
      <w:r w:rsidR="008C674F" w:rsidRPr="00317682">
        <w:rPr>
          <w:color w:val="000000"/>
        </w:rPr>
        <w:t>,</w:t>
      </w:r>
      <w:r w:rsidRPr="00317682">
        <w:rPr>
          <w:color w:val="000000"/>
        </w:rPr>
        <w:t xml:space="preserve"> including integrated capacity</w:t>
      </w:r>
      <w:r w:rsidR="008C674F" w:rsidRPr="00317682">
        <w:rPr>
          <w:color w:val="000000"/>
        </w:rPr>
        <w:t>-</w:t>
      </w:r>
      <w:r w:rsidRPr="00317682">
        <w:rPr>
          <w:color w:val="000000"/>
        </w:rPr>
        <w:t>building assistance across formal and informal justice systems</w:t>
      </w:r>
    </w:p>
    <w:p w:rsidR="008C674F" w:rsidRPr="00317682" w:rsidRDefault="00DB2E78" w:rsidP="008C674F">
      <w:pPr>
        <w:pStyle w:val="ListBullet"/>
        <w:rPr>
          <w:color w:val="000000"/>
        </w:rPr>
      </w:pPr>
      <w:proofErr w:type="gramStart"/>
      <w:r w:rsidRPr="00317682">
        <w:rPr>
          <w:color w:val="000000"/>
        </w:rPr>
        <w:t>more</w:t>
      </w:r>
      <w:proofErr w:type="gramEnd"/>
      <w:r w:rsidRPr="00317682">
        <w:rPr>
          <w:color w:val="000000"/>
        </w:rPr>
        <w:t xml:space="preserve"> specific policing and security</w:t>
      </w:r>
      <w:r w:rsidR="008C674F" w:rsidRPr="00317682">
        <w:rPr>
          <w:color w:val="000000"/>
        </w:rPr>
        <w:t>-</w:t>
      </w:r>
      <w:r w:rsidRPr="00317682">
        <w:rPr>
          <w:color w:val="000000"/>
        </w:rPr>
        <w:t>related assistance</w:t>
      </w:r>
      <w:r w:rsidR="008C674F" w:rsidRPr="00317682">
        <w:rPr>
          <w:color w:val="000000"/>
        </w:rPr>
        <w:t>,</w:t>
      </w:r>
      <w:r w:rsidRPr="00317682">
        <w:rPr>
          <w:color w:val="000000"/>
        </w:rPr>
        <w:t xml:space="preserve"> including capacity development of police services, counterterrorism, border management and people trafficking. </w:t>
      </w:r>
    </w:p>
    <w:p w:rsidR="00DB2E78" w:rsidRPr="00317682" w:rsidRDefault="00DB2E78" w:rsidP="008C674F">
      <w:pPr>
        <w:pStyle w:val="BodyText"/>
        <w:spacing w:before="0"/>
        <w:rPr>
          <w:color w:val="000000"/>
        </w:rPr>
      </w:pPr>
      <w:r w:rsidRPr="00317682">
        <w:rPr>
          <w:color w:val="000000"/>
        </w:rPr>
        <w:t>A range of discrete activities in support of human rights also fit loosely across both areas.</w:t>
      </w:r>
      <w:r w:rsidRPr="00317682">
        <w:rPr>
          <w:rStyle w:val="FootnoteReference"/>
          <w:color w:val="000000"/>
          <w:sz w:val="12"/>
        </w:rPr>
        <w:footnoteReference w:id="14"/>
      </w:r>
      <w:r w:rsidR="00C16EB4" w:rsidRPr="00317682">
        <w:rPr>
          <w:color w:val="000000"/>
        </w:rPr>
        <w:t xml:space="preserve"> </w:t>
      </w:r>
    </w:p>
    <w:p w:rsidR="00DB2E78" w:rsidRPr="00317682" w:rsidRDefault="00DB2E78" w:rsidP="00DB2E78">
      <w:pPr>
        <w:pStyle w:val="BodyText"/>
        <w:rPr>
          <w:color w:val="000000"/>
        </w:rPr>
      </w:pPr>
      <w:r w:rsidRPr="00317682">
        <w:rPr>
          <w:color w:val="000000"/>
        </w:rPr>
        <w:t xml:space="preserve">Law and justice sectoral programming accounts for around half of </w:t>
      </w:r>
      <w:proofErr w:type="spellStart"/>
      <w:r w:rsidRPr="00317682">
        <w:rPr>
          <w:color w:val="000000"/>
        </w:rPr>
        <w:t>AusAID’s</w:t>
      </w:r>
      <w:proofErr w:type="spellEnd"/>
      <w:r w:rsidRPr="00317682">
        <w:rPr>
          <w:color w:val="000000"/>
        </w:rPr>
        <w:t xml:space="preserve"> total law and justice initiatives but almost 75</w:t>
      </w:r>
      <w:r w:rsidR="00B36A64" w:rsidRPr="00317682">
        <w:rPr>
          <w:color w:val="000000"/>
        </w:rPr>
        <w:t> per cent</w:t>
      </w:r>
      <w:r w:rsidRPr="00317682">
        <w:rPr>
          <w:color w:val="000000"/>
        </w:rPr>
        <w:t xml:space="preserve"> of </w:t>
      </w:r>
      <w:proofErr w:type="spellStart"/>
      <w:r w:rsidRPr="00317682">
        <w:rPr>
          <w:color w:val="000000"/>
        </w:rPr>
        <w:t>AusAID’s</w:t>
      </w:r>
      <w:proofErr w:type="spellEnd"/>
      <w:r w:rsidRPr="00317682">
        <w:rPr>
          <w:color w:val="000000"/>
        </w:rPr>
        <w:t xml:space="preserve"> total multi-year funding</w:t>
      </w:r>
      <w:r w:rsidR="008C674F" w:rsidRPr="00317682">
        <w:rPr>
          <w:color w:val="000000"/>
        </w:rPr>
        <w:t>—</w:t>
      </w:r>
      <w:r w:rsidRPr="00317682">
        <w:rPr>
          <w:color w:val="000000"/>
        </w:rPr>
        <w:t xml:space="preserve">not least because of the size of the programs in </w:t>
      </w:r>
      <w:smartTag w:uri="urn:schemas-microsoft-com:office:smarttags" w:element="country-region">
        <w:r w:rsidR="00975CE2" w:rsidRPr="00317682">
          <w:rPr>
            <w:color w:val="000000"/>
          </w:rPr>
          <w:t>Papua New Guinea</w:t>
        </w:r>
      </w:smartTag>
      <w:r w:rsidR="00975CE2"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xml:space="preserve"> alone (together amounting to a multi-year commitment of around $350 million). Apart from </w:t>
      </w:r>
      <w:smartTag w:uri="urn:schemas-microsoft-com:office:smarttags" w:element="country-region">
        <w:r w:rsidR="00975CE2" w:rsidRPr="00317682">
          <w:rPr>
            <w:color w:val="000000"/>
          </w:rPr>
          <w:t>Papua New Guinea</w:t>
        </w:r>
      </w:smartTag>
      <w:r w:rsidR="00975CE2" w:rsidRPr="00317682">
        <w:rPr>
          <w:color w:val="000000"/>
        </w:rPr>
        <w:t xml:space="preserve"> </w:t>
      </w:r>
      <w:r w:rsidRPr="00317682">
        <w:rPr>
          <w:color w:val="000000"/>
        </w:rPr>
        <w:t xml:space="preserve">and </w:t>
      </w:r>
      <w:smartTag w:uri="urn:schemas-microsoft-com:office:smarttags" w:element="country-region">
        <w:r w:rsidRPr="00317682">
          <w:rPr>
            <w:color w:val="000000"/>
          </w:rPr>
          <w:t>Solomon Islands</w:t>
        </w:r>
      </w:smartTag>
      <w:r w:rsidRPr="00317682">
        <w:rPr>
          <w:color w:val="000000"/>
        </w:rPr>
        <w:t xml:space="preserve">, </w:t>
      </w:r>
      <w:proofErr w:type="spellStart"/>
      <w:r w:rsidRPr="00317682">
        <w:rPr>
          <w:color w:val="000000"/>
        </w:rPr>
        <w:t>AusAID’s</w:t>
      </w:r>
      <w:proofErr w:type="spellEnd"/>
      <w:r w:rsidRPr="00317682">
        <w:rPr>
          <w:color w:val="000000"/>
        </w:rPr>
        <w:t xml:space="preserve"> other significant law and justice sectoral programs are undertaken in </w:t>
      </w:r>
      <w:smartTag w:uri="urn:schemas-microsoft-com:office:smarttags" w:element="country-region">
        <w:r w:rsidRPr="00317682">
          <w:rPr>
            <w:color w:val="000000"/>
          </w:rPr>
          <w:t>Cambodia</w:t>
        </w:r>
      </w:smartTag>
      <w:r w:rsidRPr="00317682">
        <w:rPr>
          <w:color w:val="000000"/>
        </w:rPr>
        <w:t xml:space="preserve">, </w:t>
      </w:r>
      <w:smartTag w:uri="urn:schemas-microsoft-com:office:smarttags" w:element="country-region">
        <w:r w:rsidRPr="00317682">
          <w:rPr>
            <w:color w:val="000000"/>
          </w:rPr>
          <w:t>Indonesia</w:t>
        </w:r>
      </w:smartTag>
      <w:r w:rsidRPr="00317682">
        <w:rPr>
          <w:color w:val="000000"/>
        </w:rPr>
        <w:t>, East Timor, Vanuatu</w:t>
      </w:r>
      <w:r w:rsidR="00975CE2" w:rsidRPr="00317682">
        <w:rPr>
          <w:color w:val="000000"/>
        </w:rPr>
        <w:t xml:space="preserve"> and</w:t>
      </w:r>
      <w:r w:rsidRPr="00317682">
        <w:rPr>
          <w:color w:val="000000"/>
        </w:rPr>
        <w:t xml:space="preserve"> </w:t>
      </w:r>
      <w:smartTag w:uri="urn:schemas-microsoft-com:office:smarttags" w:element="place">
        <w:smartTag w:uri="urn:schemas-microsoft-com:office:smarttags" w:element="country-region">
          <w:r w:rsidRPr="00317682">
            <w:rPr>
              <w:color w:val="000000"/>
            </w:rPr>
            <w:t>Fiji</w:t>
          </w:r>
        </w:smartTag>
      </w:smartTag>
      <w:r w:rsidRPr="00317682">
        <w:rPr>
          <w:color w:val="000000"/>
        </w:rPr>
        <w:t xml:space="preserve">, and on a regional basis through the Pacific Judicial Development Program. </w:t>
      </w:r>
    </w:p>
    <w:p w:rsidR="00DB2E78" w:rsidRPr="00317682" w:rsidRDefault="00DB2E78" w:rsidP="00DB2E78">
      <w:pPr>
        <w:pStyle w:val="BodyText"/>
        <w:rPr>
          <w:color w:val="000000"/>
          <w:spacing w:val="-2"/>
        </w:rPr>
      </w:pPr>
      <w:r w:rsidRPr="00317682">
        <w:rPr>
          <w:color w:val="000000"/>
        </w:rPr>
        <w:t xml:space="preserve">These initiatives vary considerably </w:t>
      </w:r>
      <w:r w:rsidR="008C123A" w:rsidRPr="00317682">
        <w:rPr>
          <w:color w:val="000000"/>
        </w:rPr>
        <w:t>in terms of</w:t>
      </w:r>
      <w:r w:rsidRPr="00317682">
        <w:rPr>
          <w:color w:val="000000"/>
        </w:rPr>
        <w:t xml:space="preserve"> objectives, budgets, stages of maturity, delivery mode, and breadth of sectoral integration</w:t>
      </w:r>
      <w:r w:rsidR="008C123A" w:rsidRPr="00317682">
        <w:rPr>
          <w:color w:val="000000"/>
        </w:rPr>
        <w:t>.</w:t>
      </w:r>
      <w:r w:rsidRPr="00317682">
        <w:rPr>
          <w:color w:val="000000"/>
        </w:rPr>
        <w:t xml:space="preserve"> </w:t>
      </w:r>
      <w:r w:rsidR="008C123A" w:rsidRPr="00317682">
        <w:rPr>
          <w:color w:val="000000"/>
        </w:rPr>
        <w:t>H</w:t>
      </w:r>
      <w:r w:rsidRPr="00317682">
        <w:rPr>
          <w:color w:val="000000"/>
        </w:rPr>
        <w:t>owever</w:t>
      </w:r>
      <w:r w:rsidR="008C123A" w:rsidRPr="00317682">
        <w:rPr>
          <w:color w:val="000000"/>
        </w:rPr>
        <w:t>,</w:t>
      </w:r>
      <w:r w:rsidRPr="00317682">
        <w:rPr>
          <w:color w:val="000000"/>
        </w:rPr>
        <w:t xml:space="preserve"> they all tend to assist in improv</w:t>
      </w:r>
      <w:r w:rsidR="008C123A" w:rsidRPr="00317682">
        <w:rPr>
          <w:color w:val="000000"/>
        </w:rPr>
        <w:t>ing</w:t>
      </w:r>
      <w:r w:rsidRPr="00317682">
        <w:rPr>
          <w:color w:val="000000"/>
        </w:rPr>
        <w:t xml:space="preserve"> </w:t>
      </w:r>
      <w:r w:rsidR="008C123A" w:rsidRPr="00317682">
        <w:rPr>
          <w:color w:val="000000"/>
        </w:rPr>
        <w:t xml:space="preserve">the </w:t>
      </w:r>
      <w:r w:rsidRPr="00317682">
        <w:rPr>
          <w:color w:val="000000"/>
        </w:rPr>
        <w:t>coordination and functioning of formal law and justice institutions (although frequently to the exclusion of policing</w:t>
      </w:r>
      <w:r w:rsidR="008C123A" w:rsidRPr="00317682">
        <w:rPr>
          <w:color w:val="000000"/>
        </w:rPr>
        <w:t>, which is discussed</w:t>
      </w:r>
      <w:r w:rsidRPr="00317682">
        <w:rPr>
          <w:color w:val="000000"/>
        </w:rPr>
        <w:t xml:space="preserve"> below). The capacity</w:t>
      </w:r>
      <w:r w:rsidR="008C123A" w:rsidRPr="00317682">
        <w:rPr>
          <w:color w:val="000000"/>
        </w:rPr>
        <w:t>-</w:t>
      </w:r>
      <w:r w:rsidRPr="00317682">
        <w:rPr>
          <w:color w:val="000000"/>
        </w:rPr>
        <w:t xml:space="preserve">building approaches adopted under these programs also vary from technical assistance, including deployments to in-line positions, training, and direct financial contributions in support of priority areas of service delivery. Assistance is also provided for the development of infrastructure such as prisons and court facilities, </w:t>
      </w:r>
      <w:r w:rsidR="00B40A17" w:rsidRPr="00317682">
        <w:rPr>
          <w:color w:val="000000"/>
        </w:rPr>
        <w:t>and</w:t>
      </w:r>
      <w:r w:rsidRPr="00317682">
        <w:rPr>
          <w:color w:val="000000"/>
        </w:rPr>
        <w:t xml:space="preserve"> in support of broader security interventions such as under the Regional </w:t>
      </w:r>
      <w:r w:rsidRPr="00317682">
        <w:rPr>
          <w:color w:val="000000"/>
          <w:spacing w:val="-2"/>
        </w:rPr>
        <w:t xml:space="preserve">Assistance Mission </w:t>
      </w:r>
      <w:r w:rsidR="008C123A" w:rsidRPr="00317682">
        <w:rPr>
          <w:color w:val="000000"/>
          <w:spacing w:val="-2"/>
        </w:rPr>
        <w:t xml:space="preserve">to </w:t>
      </w:r>
      <w:r w:rsidRPr="00317682">
        <w:rPr>
          <w:color w:val="000000"/>
          <w:spacing w:val="-2"/>
        </w:rPr>
        <w:t xml:space="preserve">Solomon Islands (RAMSI) Law and Justice Program in </w:t>
      </w:r>
      <w:smartTag w:uri="urn:schemas-microsoft-com:office:smarttags" w:element="place">
        <w:smartTag w:uri="urn:schemas-microsoft-com:office:smarttags" w:element="country-region">
          <w:r w:rsidRPr="00317682">
            <w:rPr>
              <w:color w:val="000000"/>
              <w:spacing w:val="-2"/>
            </w:rPr>
            <w:t>Solomon Islands</w:t>
          </w:r>
        </w:smartTag>
      </w:smartTag>
      <w:r w:rsidRPr="00317682">
        <w:rPr>
          <w:color w:val="000000"/>
          <w:spacing w:val="-2"/>
        </w:rPr>
        <w:t>.</w:t>
      </w:r>
    </w:p>
    <w:p w:rsidR="00DB2E78" w:rsidRPr="00317682" w:rsidRDefault="00DB2E78" w:rsidP="00DB2E78">
      <w:pPr>
        <w:pStyle w:val="BodyText"/>
        <w:rPr>
          <w:color w:val="000000"/>
        </w:rPr>
      </w:pPr>
      <w:r w:rsidRPr="00317682">
        <w:rPr>
          <w:color w:val="000000"/>
        </w:rPr>
        <w:t>In some cases (</w:t>
      </w:r>
      <w:r w:rsidR="00530428" w:rsidRPr="00317682">
        <w:rPr>
          <w:color w:val="000000"/>
        </w:rPr>
        <w:t xml:space="preserve">for example, </w:t>
      </w:r>
      <w:r w:rsidR="008C123A" w:rsidRPr="00317682">
        <w:rPr>
          <w:color w:val="000000"/>
        </w:rPr>
        <w:t xml:space="preserve">in </w:t>
      </w:r>
      <w:smartTag w:uri="urn:schemas-microsoft-com:office:smarttags" w:element="country-region">
        <w:r w:rsidR="008C123A" w:rsidRPr="00317682">
          <w:rPr>
            <w:color w:val="000000"/>
          </w:rPr>
          <w:t>Papua New Guinea</w:t>
        </w:r>
      </w:smartTag>
      <w:r w:rsidR="008C123A" w:rsidRPr="00317682">
        <w:rPr>
          <w:color w:val="000000"/>
        </w:rPr>
        <w:t xml:space="preserve"> </w:t>
      </w:r>
      <w:r w:rsidR="00530428" w:rsidRPr="00317682">
        <w:rPr>
          <w:color w:val="000000"/>
        </w:rPr>
        <w:t>and</w:t>
      </w:r>
      <w:r w:rsidRPr="00317682">
        <w:rPr>
          <w:color w:val="000000"/>
        </w:rPr>
        <w:t xml:space="preserve"> </w:t>
      </w:r>
      <w:smartTag w:uri="urn:schemas-microsoft-com:office:smarttags" w:element="country-region">
        <w:r w:rsidRPr="00317682">
          <w:rPr>
            <w:color w:val="000000"/>
          </w:rPr>
          <w:t>Fiji</w:t>
        </w:r>
      </w:smartTag>
      <w:r w:rsidRPr="00317682">
        <w:rPr>
          <w:color w:val="000000"/>
        </w:rPr>
        <w:t>) and increasingly (</w:t>
      </w:r>
      <w:r w:rsidR="008C123A" w:rsidRPr="00317682">
        <w:rPr>
          <w:color w:val="000000"/>
        </w:rPr>
        <w:t>for example, in</w:t>
      </w:r>
      <w:r w:rsidRPr="00317682">
        <w:rPr>
          <w:color w:val="000000"/>
        </w:rPr>
        <w:t xml:space="preserve"> </w:t>
      </w:r>
      <w:smartTag w:uri="urn:schemas-microsoft-com:office:smarttags" w:element="country-region">
        <w:r w:rsidRPr="00317682">
          <w:rPr>
            <w:color w:val="000000"/>
          </w:rPr>
          <w:t>Solomon Islands</w:t>
        </w:r>
      </w:smartTag>
      <w:r w:rsidR="008C123A" w:rsidRPr="00317682">
        <w:rPr>
          <w:color w:val="000000"/>
        </w:rPr>
        <w:t xml:space="preserve"> and</w:t>
      </w:r>
      <w:r w:rsidRPr="00317682">
        <w:rPr>
          <w:color w:val="000000"/>
        </w:rPr>
        <w:t xml:space="preserve"> </w:t>
      </w:r>
      <w:smartTag w:uri="urn:schemas-microsoft-com:office:smarttags" w:element="place">
        <w:r w:rsidRPr="00317682">
          <w:rPr>
            <w:color w:val="000000"/>
          </w:rPr>
          <w:t>East Timor</w:t>
        </w:r>
      </w:smartTag>
      <w:r w:rsidRPr="00317682">
        <w:rPr>
          <w:color w:val="000000"/>
        </w:rPr>
        <w:t>), the integrated focus of these initiatives includes support for strengthening the linkages with, and capacities of, informal or community-based justice systems and crime prevention. Further work is also under</w:t>
      </w:r>
      <w:r w:rsidR="008C123A" w:rsidRPr="00317682">
        <w:rPr>
          <w:color w:val="000000"/>
        </w:rPr>
        <w:t xml:space="preserve"> </w:t>
      </w:r>
      <w:r w:rsidRPr="00317682">
        <w:rPr>
          <w:color w:val="000000"/>
        </w:rPr>
        <w:t xml:space="preserve">way to expand the focus of current programs in understanding and addressing ‘demand side’ justice issues, notably through a new collaboration with the World Bank’s Justice for the Poor </w:t>
      </w:r>
      <w:r w:rsidR="008C123A" w:rsidRPr="00317682">
        <w:rPr>
          <w:color w:val="000000"/>
        </w:rPr>
        <w:t>Initiative</w:t>
      </w:r>
      <w:r w:rsidRPr="00317682">
        <w:rPr>
          <w:color w:val="000000"/>
        </w:rPr>
        <w:t>.</w:t>
      </w:r>
    </w:p>
    <w:p w:rsidR="00DB2E78" w:rsidRPr="00317682" w:rsidRDefault="00DB2E78" w:rsidP="00DB2E78">
      <w:pPr>
        <w:pStyle w:val="BodyText"/>
        <w:rPr>
          <w:color w:val="000000"/>
        </w:rPr>
      </w:pPr>
      <w:proofErr w:type="spellStart"/>
      <w:r w:rsidRPr="00317682">
        <w:rPr>
          <w:color w:val="000000"/>
        </w:rPr>
        <w:t>AusAID’s</w:t>
      </w:r>
      <w:proofErr w:type="spellEnd"/>
      <w:r w:rsidR="008C123A" w:rsidRPr="00317682">
        <w:rPr>
          <w:color w:val="000000"/>
        </w:rPr>
        <w:t xml:space="preserve"> initiatives related to</w:t>
      </w:r>
      <w:r w:rsidRPr="00317682">
        <w:rPr>
          <w:color w:val="000000"/>
        </w:rPr>
        <w:t xml:space="preserve"> policing and security amount to around 25</w:t>
      </w:r>
      <w:r w:rsidR="00B36A64" w:rsidRPr="00317682">
        <w:rPr>
          <w:color w:val="000000"/>
        </w:rPr>
        <w:t> per cent</w:t>
      </w:r>
      <w:r w:rsidRPr="00317682">
        <w:rPr>
          <w:color w:val="000000"/>
        </w:rPr>
        <w:t xml:space="preserve"> of law and justice programming and involve a more singular focus on </w:t>
      </w:r>
      <w:r w:rsidR="008C123A" w:rsidRPr="00317682">
        <w:rPr>
          <w:color w:val="000000"/>
        </w:rPr>
        <w:t xml:space="preserve">developing </w:t>
      </w:r>
      <w:r w:rsidRPr="00317682">
        <w:rPr>
          <w:color w:val="000000"/>
        </w:rPr>
        <w:t>the capacity of police (</w:t>
      </w:r>
      <w:r w:rsidR="008C123A" w:rsidRPr="00317682">
        <w:rPr>
          <w:color w:val="000000"/>
        </w:rPr>
        <w:t>for example, in</w:t>
      </w:r>
      <w:r w:rsidRPr="00317682">
        <w:rPr>
          <w:color w:val="000000"/>
        </w:rPr>
        <w:t xml:space="preserve"> Iraq, East Timor, Vanuatu</w:t>
      </w:r>
      <w:r w:rsidR="008C123A" w:rsidRPr="00317682">
        <w:rPr>
          <w:color w:val="000000"/>
        </w:rPr>
        <w:t xml:space="preserve"> and</w:t>
      </w:r>
      <w:r w:rsidRPr="00317682">
        <w:rPr>
          <w:color w:val="000000"/>
        </w:rPr>
        <w:t xml:space="preserve"> Samoa, and on a regional basis through the Pacific Regional Policing Initiative), as well as provi</w:t>
      </w:r>
      <w:r w:rsidR="008C123A" w:rsidRPr="00317682">
        <w:rPr>
          <w:color w:val="000000"/>
        </w:rPr>
        <w:t>ding</w:t>
      </w:r>
      <w:r w:rsidRPr="00317682">
        <w:rPr>
          <w:color w:val="000000"/>
        </w:rPr>
        <w:t xml:space="preserve"> technical assistance in security</w:t>
      </w:r>
      <w:r w:rsidR="008C123A" w:rsidRPr="00317682">
        <w:rPr>
          <w:color w:val="000000"/>
        </w:rPr>
        <w:t>-</w:t>
      </w:r>
      <w:r w:rsidRPr="00317682">
        <w:rPr>
          <w:color w:val="000000"/>
        </w:rPr>
        <w:t xml:space="preserve">related areas such as people trafficking, border management and counterterrorism. Funding for these </w:t>
      </w:r>
      <w:proofErr w:type="spellStart"/>
      <w:r w:rsidRPr="00317682">
        <w:rPr>
          <w:color w:val="000000"/>
        </w:rPr>
        <w:t>AusAID</w:t>
      </w:r>
      <w:proofErr w:type="spellEnd"/>
      <w:r w:rsidRPr="00317682">
        <w:rPr>
          <w:color w:val="000000"/>
        </w:rPr>
        <w:t xml:space="preserve">-managed policing and security initiatives is only a fraction of ODA funding managed directly by the AFP, whose remit covers various deployments around the </w:t>
      </w:r>
      <w:r w:rsidR="003F20A5" w:rsidRPr="00317682">
        <w:rPr>
          <w:color w:val="000000"/>
        </w:rPr>
        <w:t>Asia-Pacific</w:t>
      </w:r>
      <w:r w:rsidRPr="00317682">
        <w:rPr>
          <w:color w:val="000000"/>
        </w:rPr>
        <w:t xml:space="preserve"> region and beyond. In particular, large AFP policing assistance and stabilisation missions are</w:t>
      </w:r>
      <w:r w:rsidR="00B40A17" w:rsidRPr="00317682">
        <w:rPr>
          <w:color w:val="000000"/>
        </w:rPr>
        <w:t> </w:t>
      </w:r>
      <w:r w:rsidRPr="00317682">
        <w:rPr>
          <w:color w:val="000000"/>
        </w:rPr>
        <w:t>currently operati</w:t>
      </w:r>
      <w:r w:rsidR="00B40A17" w:rsidRPr="00317682">
        <w:rPr>
          <w:color w:val="000000"/>
        </w:rPr>
        <w:t>ng</w:t>
      </w:r>
      <w:r w:rsidRPr="00317682">
        <w:rPr>
          <w:color w:val="000000"/>
        </w:rPr>
        <w:t xml:space="preserve"> in </w:t>
      </w:r>
      <w:smartTag w:uri="urn:schemas-microsoft-com:office:smarttags" w:element="country-region">
        <w:r w:rsidRPr="00317682">
          <w:rPr>
            <w:color w:val="000000"/>
          </w:rPr>
          <w:t>Solomon Islands</w:t>
        </w:r>
      </w:smartTag>
      <w:r w:rsidRPr="00317682">
        <w:rPr>
          <w:color w:val="000000"/>
        </w:rPr>
        <w:t xml:space="preserve"> ($118 million in </w:t>
      </w:r>
      <w:r w:rsidR="003F20A5" w:rsidRPr="00317682">
        <w:rPr>
          <w:color w:val="000000"/>
        </w:rPr>
        <w:t xml:space="preserve">2007–08) and </w:t>
      </w:r>
      <w:smartTag w:uri="urn:schemas-microsoft-com:office:smarttags" w:element="place">
        <w:r w:rsidR="003F20A5" w:rsidRPr="00317682">
          <w:rPr>
            <w:color w:val="000000"/>
          </w:rPr>
          <w:t>East Timor</w:t>
        </w:r>
      </w:smartTag>
      <w:r w:rsidR="003F20A5" w:rsidRPr="00317682">
        <w:rPr>
          <w:color w:val="000000"/>
        </w:rPr>
        <w:t xml:space="preserve"> ($14 </w:t>
      </w:r>
      <w:r w:rsidRPr="00317682">
        <w:rPr>
          <w:color w:val="000000"/>
        </w:rPr>
        <w:t xml:space="preserve">million in </w:t>
      </w:r>
      <w:r w:rsidR="003F20A5" w:rsidRPr="00317682">
        <w:rPr>
          <w:color w:val="000000"/>
        </w:rPr>
        <w:t>20</w:t>
      </w:r>
      <w:r w:rsidRPr="00317682">
        <w:rPr>
          <w:color w:val="000000"/>
        </w:rPr>
        <w:t>07</w:t>
      </w:r>
      <w:r w:rsidR="003F20A5" w:rsidRPr="00317682">
        <w:rPr>
          <w:color w:val="000000"/>
        </w:rPr>
        <w:t>–</w:t>
      </w:r>
      <w:r w:rsidRPr="00317682">
        <w:rPr>
          <w:color w:val="000000"/>
        </w:rPr>
        <w:t>08).</w:t>
      </w:r>
    </w:p>
    <w:p w:rsidR="00DB2E78" w:rsidRPr="00317682" w:rsidRDefault="00DB2E78" w:rsidP="005D51AC">
      <w:pPr>
        <w:pStyle w:val="Heading3"/>
        <w:spacing w:before="300"/>
        <w:rPr>
          <w:color w:val="000000"/>
        </w:rPr>
      </w:pPr>
      <w:bookmarkStart w:id="42" w:name="_Toc202340885"/>
      <w:bookmarkStart w:id="43" w:name="_Toc207514546"/>
      <w:r w:rsidRPr="00317682">
        <w:rPr>
          <w:color w:val="000000"/>
        </w:rPr>
        <w:lastRenderedPageBreak/>
        <w:t>Performance and results</w:t>
      </w:r>
      <w:bookmarkEnd w:id="42"/>
      <w:bookmarkEnd w:id="43"/>
    </w:p>
    <w:p w:rsidR="00DB2E78" w:rsidRPr="00317682" w:rsidRDefault="00DB2E78" w:rsidP="006B35DF">
      <w:pPr>
        <w:pStyle w:val="BodyText"/>
        <w:rPr>
          <w:color w:val="000000"/>
        </w:rPr>
      </w:pPr>
      <w:r w:rsidRPr="00317682">
        <w:rPr>
          <w:color w:val="000000"/>
        </w:rPr>
        <w:t>In relation to the law and justice sectoral initiatives, areas of best practice can be found among the larger</w:t>
      </w:r>
      <w:r w:rsidR="00962618" w:rsidRPr="00317682">
        <w:rPr>
          <w:color w:val="000000"/>
        </w:rPr>
        <w:t xml:space="preserve"> </w:t>
      </w:r>
      <w:r w:rsidRPr="00317682">
        <w:rPr>
          <w:color w:val="000000"/>
        </w:rPr>
        <w:t>scale, and arguably more integrated programs, particularly the PNG Law and Justice Sector Program and the RAMSI Law and Justice Program. The strength of the PNG program, for example, appears to come from a number of factors</w:t>
      </w:r>
      <w:r w:rsidR="00B40A17" w:rsidRPr="00317682">
        <w:rPr>
          <w:color w:val="000000"/>
        </w:rPr>
        <w:t>,</w:t>
      </w:r>
      <w:r w:rsidRPr="00317682">
        <w:rPr>
          <w:color w:val="000000"/>
        </w:rPr>
        <w:t xml:space="preserve"> including a home-grown law and justice policy that identifies clear goals and strategies and guides both government and donor resource allocations. The PNG program also channels assistance into the sector using PNG government systems and processes. This has contributed to a high degree of local ownership and accountability for reform.</w:t>
      </w:r>
    </w:p>
    <w:p w:rsidR="006B35DF" w:rsidRPr="00317682" w:rsidRDefault="006B35DF" w:rsidP="005D51AC">
      <w:pPr>
        <w:pStyle w:val="Invisiblepara"/>
        <w:framePr w:hSpace="181" w:wrap="around" w:hAnchor="text" w:yAlign="bottom"/>
        <w:spacing w:before="120"/>
        <w:rPr>
          <w:color w:val="000000"/>
        </w:rPr>
      </w:pP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6B35DF" w:rsidRPr="00317682" w:rsidTr="00317682">
        <w:tblPrEx>
          <w:tblCellMar>
            <w:top w:w="0" w:type="dxa"/>
            <w:bottom w:w="0" w:type="dxa"/>
          </w:tblCellMar>
        </w:tblPrEx>
        <w:trPr>
          <w:cantSplit/>
          <w:trHeight w:val="340"/>
        </w:trPr>
        <w:tc>
          <w:tcPr>
            <w:tcW w:w="7938" w:type="dxa"/>
            <w:tcMar>
              <w:top w:w="57" w:type="dxa"/>
            </w:tcMar>
          </w:tcPr>
          <w:p w:rsidR="006B35DF" w:rsidRPr="00317682" w:rsidRDefault="00962618" w:rsidP="0064574A">
            <w:pPr>
              <w:pStyle w:val="Caption"/>
              <w:framePr w:hSpace="181" w:wrap="around" w:hAnchor="text" w:yAlign="bottom"/>
              <w:spacing w:before="80"/>
              <w:rPr>
                <w:color w:val="000000"/>
              </w:rPr>
            </w:pPr>
            <w:r w:rsidRPr="00317682">
              <w:rPr>
                <w:color w:val="000000"/>
              </w:rPr>
              <w:t>Australian s</w:t>
            </w:r>
            <w:r w:rsidR="006B35DF" w:rsidRPr="00317682">
              <w:rPr>
                <w:color w:val="000000"/>
              </w:rPr>
              <w:t xml:space="preserve">upport to </w:t>
            </w:r>
            <w:r w:rsidRPr="00317682">
              <w:rPr>
                <w:color w:val="000000"/>
              </w:rPr>
              <w:t xml:space="preserve">the </w:t>
            </w:r>
            <w:r w:rsidR="006B35DF" w:rsidRPr="00317682">
              <w:rPr>
                <w:color w:val="000000"/>
              </w:rPr>
              <w:t>PNG Law and Justice</w:t>
            </w:r>
            <w:r w:rsidRPr="00317682">
              <w:rPr>
                <w:color w:val="000000"/>
              </w:rPr>
              <w:t xml:space="preserve"> Sector Program</w:t>
            </w:r>
          </w:p>
        </w:tc>
      </w:tr>
      <w:tr w:rsidR="006B35DF" w:rsidRPr="00317682" w:rsidTr="00317682">
        <w:tblPrEx>
          <w:tblCellMar>
            <w:top w:w="0" w:type="dxa"/>
            <w:bottom w:w="0" w:type="dxa"/>
          </w:tblCellMar>
        </w:tblPrEx>
        <w:trPr>
          <w:cantSplit/>
        </w:trPr>
        <w:tc>
          <w:tcPr>
            <w:tcW w:w="7938" w:type="dxa"/>
          </w:tcPr>
          <w:p w:rsidR="0064574A" w:rsidRPr="00317682" w:rsidRDefault="006B35DF" w:rsidP="0064574A">
            <w:pPr>
              <w:pStyle w:val="BoxText"/>
              <w:framePr w:hSpace="181" w:wrap="around" w:hAnchor="text" w:yAlign="bottom"/>
              <w:rPr>
                <w:color w:val="000000"/>
              </w:rPr>
            </w:pPr>
            <w:r w:rsidRPr="00317682">
              <w:rPr>
                <w:color w:val="000000"/>
              </w:rPr>
              <w:t xml:space="preserve">Australian support to the law and justice sector in </w:t>
            </w:r>
            <w:smartTag w:uri="urn:schemas-microsoft-com:office:smarttags" w:element="place">
              <w:smartTag w:uri="urn:schemas-microsoft-com:office:smarttags" w:element="country-region">
                <w:r w:rsidR="00962618" w:rsidRPr="00317682">
                  <w:rPr>
                    <w:color w:val="000000"/>
                  </w:rPr>
                  <w:t>Papua New Guinea</w:t>
                </w:r>
              </w:smartTag>
            </w:smartTag>
            <w:r w:rsidR="00962618" w:rsidRPr="00317682">
              <w:rPr>
                <w:color w:val="000000"/>
              </w:rPr>
              <w:t xml:space="preserve"> </w:t>
            </w:r>
            <w:r w:rsidRPr="00317682">
              <w:rPr>
                <w:color w:val="000000"/>
              </w:rPr>
              <w:t xml:space="preserve">has evolved over several years from project-based assistance through to a more flexible program approach that operates in an integrated way, directly in support of </w:t>
            </w:r>
            <w:r w:rsidR="00962618" w:rsidRPr="00317682">
              <w:rPr>
                <w:color w:val="000000"/>
              </w:rPr>
              <w:t xml:space="preserve">the country’s </w:t>
            </w:r>
            <w:r w:rsidRPr="00317682">
              <w:rPr>
                <w:color w:val="000000"/>
              </w:rPr>
              <w:t xml:space="preserve">policies and objectives. </w:t>
            </w:r>
          </w:p>
          <w:p w:rsidR="0064574A" w:rsidRPr="00317682" w:rsidRDefault="006B35DF" w:rsidP="0064574A">
            <w:pPr>
              <w:pStyle w:val="BoxText"/>
              <w:framePr w:hSpace="181" w:wrap="around" w:hAnchor="text" w:yAlign="bottom"/>
              <w:rPr>
                <w:color w:val="000000"/>
              </w:rPr>
            </w:pPr>
            <w:r w:rsidRPr="00317682">
              <w:rPr>
                <w:color w:val="000000"/>
              </w:rPr>
              <w:t xml:space="preserve">The Government of </w:t>
            </w:r>
            <w:r w:rsidR="00962618" w:rsidRPr="00317682">
              <w:rPr>
                <w:color w:val="000000"/>
              </w:rPr>
              <w:t xml:space="preserve">Papua New Guinea </w:t>
            </w:r>
            <w:r w:rsidRPr="00317682">
              <w:rPr>
                <w:color w:val="000000"/>
              </w:rPr>
              <w:t xml:space="preserve">has developed a robust and ambitious policy reform agenda to tackle the complex issues of law and justice in </w:t>
            </w:r>
            <w:r w:rsidR="0064574A" w:rsidRPr="00317682">
              <w:rPr>
                <w:color w:val="000000"/>
              </w:rPr>
              <w:t>the country</w:t>
            </w:r>
            <w:r w:rsidRPr="00317682">
              <w:rPr>
                <w:color w:val="000000"/>
              </w:rPr>
              <w:t xml:space="preserve">, with support from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 </w:t>
            </w:r>
            <w:r w:rsidR="0064574A" w:rsidRPr="00317682">
              <w:rPr>
                <w:color w:val="000000"/>
              </w:rPr>
              <w:t xml:space="preserve">Its </w:t>
            </w:r>
            <w:r w:rsidRPr="00317682">
              <w:rPr>
                <w:color w:val="000000"/>
              </w:rPr>
              <w:t xml:space="preserve">approach places equal emphasis on a coordinated formal system and collaboration with community-based and traditional justice systems that provide the bulk of law and justice services across the country.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’s assistance is grounded in the principle of PNG ownership and leadership of the reform agenda</w:t>
            </w:r>
            <w:r w:rsidR="0064574A" w:rsidRPr="00317682">
              <w:rPr>
                <w:color w:val="000000"/>
              </w:rPr>
              <w:t>.</w:t>
            </w:r>
            <w:r w:rsidRPr="00317682">
              <w:rPr>
                <w:color w:val="000000"/>
              </w:rPr>
              <w:t xml:space="preserve"> </w:t>
            </w:r>
            <w:r w:rsidR="0064574A" w:rsidRPr="00317682">
              <w:rPr>
                <w:color w:val="000000"/>
              </w:rPr>
              <w:t xml:space="preserve">This places </w:t>
            </w:r>
            <w:r w:rsidRPr="00317682">
              <w:rPr>
                <w:color w:val="000000"/>
              </w:rPr>
              <w:t xml:space="preserve">the emphasis on </w:t>
            </w:r>
            <w:r w:rsidRPr="00317682">
              <w:rPr>
                <w:i/>
                <w:color w:val="000000"/>
              </w:rPr>
              <w:t>how</w:t>
            </w:r>
            <w:r w:rsidRPr="00317682">
              <w:rPr>
                <w:color w:val="000000"/>
              </w:rPr>
              <w:t xml:space="preserve"> assistance can be provided to help </w:t>
            </w:r>
            <w:smartTag w:uri="urn:schemas-microsoft-com:office:smarttags" w:element="country-region">
              <w:r w:rsidR="0064574A" w:rsidRPr="00317682">
                <w:rPr>
                  <w:color w:val="000000"/>
                </w:rPr>
                <w:t>Papua New Guinea</w:t>
              </w:r>
            </w:smartTag>
            <w:r w:rsidR="0064574A" w:rsidRPr="00317682">
              <w:rPr>
                <w:color w:val="000000"/>
              </w:rPr>
              <w:t xml:space="preserve"> </w:t>
            </w:r>
            <w:r w:rsidRPr="00317682">
              <w:rPr>
                <w:color w:val="000000"/>
              </w:rPr>
              <w:t xml:space="preserve">meet its goals, rather than </w:t>
            </w:r>
            <w:r w:rsidR="00B40A17" w:rsidRPr="00317682">
              <w:rPr>
                <w:color w:val="000000"/>
              </w:rPr>
              <w:t xml:space="preserve">on </w:t>
            </w:r>
            <w:r w:rsidRPr="00317682">
              <w:rPr>
                <w:i/>
                <w:color w:val="000000"/>
              </w:rPr>
              <w:t xml:space="preserve">what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 will support. Priority is afforded to supporting areas that will continue to drive sustainable reform such as sector coordination mechanisms, and technical assistance to develop capacity in critical areas such as public administration and policy. This sits alongside flexible and direct funding for service delivery priorities determined on an annual basis through the PNG Government’s sectoral planning and budgeting process. Integrated support for sector performance monitoring and accountability for results reflects the joint responsibility for achievement of outcomes. </w:t>
            </w:r>
          </w:p>
          <w:p w:rsidR="006B35DF" w:rsidRPr="00317682" w:rsidRDefault="006B35DF" w:rsidP="0064574A">
            <w:pPr>
              <w:pStyle w:val="BoxText"/>
              <w:framePr w:hSpace="181" w:wrap="around" w:hAnchor="text" w:yAlign="bottom"/>
              <w:rPr>
                <w:color w:val="000000"/>
              </w:rPr>
            </w:pPr>
            <w:r w:rsidRPr="00317682">
              <w:rPr>
                <w:color w:val="000000"/>
              </w:rPr>
              <w:t xml:space="preserve">This is an example </w:t>
            </w:r>
            <w:r w:rsidR="0064574A" w:rsidRPr="00317682">
              <w:rPr>
                <w:color w:val="000000"/>
              </w:rPr>
              <w:t xml:space="preserve">of </w:t>
            </w:r>
            <w:r w:rsidRPr="00317682">
              <w:rPr>
                <w:color w:val="000000"/>
              </w:rPr>
              <w:t xml:space="preserve">where an incremental approach to working through government systems while continuing to build the capacity of those systems is bringing rewards based on joint learning and shared goals between the governments of </w:t>
            </w:r>
            <w:smartTag w:uri="urn:schemas-microsoft-com:office:smarttags" w:element="country-region">
              <w:r w:rsidR="0064574A" w:rsidRPr="00317682">
                <w:rPr>
                  <w:color w:val="000000"/>
                </w:rPr>
                <w:t>Papua New Guinea</w:t>
              </w:r>
            </w:smartTag>
            <w:r w:rsidR="0064574A"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w:t>
            </w:r>
          </w:p>
        </w:tc>
      </w:tr>
    </w:tbl>
    <w:p w:rsidR="006B35DF" w:rsidRPr="00317682" w:rsidRDefault="006B35DF" w:rsidP="0064574A">
      <w:pPr>
        <w:framePr w:hSpace="181" w:wrap="around" w:hAnchor="text" w:yAlign="bottom"/>
        <w:spacing w:line="14" w:lineRule="exact"/>
        <w:rPr>
          <w:color w:val="000000"/>
        </w:rPr>
      </w:pPr>
    </w:p>
    <w:p w:rsidR="00DB2E78" w:rsidRPr="00317682" w:rsidRDefault="00DB2E78" w:rsidP="006B35DF">
      <w:pPr>
        <w:pStyle w:val="BodyText"/>
        <w:rPr>
          <w:color w:val="000000"/>
        </w:rPr>
      </w:pPr>
      <w:r w:rsidRPr="00317682">
        <w:rPr>
          <w:color w:val="000000"/>
        </w:rPr>
        <w:t xml:space="preserve">The main </w:t>
      </w:r>
      <w:r w:rsidR="0064574A" w:rsidRPr="00317682">
        <w:rPr>
          <w:color w:val="000000"/>
        </w:rPr>
        <w:t xml:space="preserve">achievement </w:t>
      </w:r>
      <w:r w:rsidRPr="00317682">
        <w:rPr>
          <w:color w:val="000000"/>
        </w:rPr>
        <w:t xml:space="preserve">of the RAMSI </w:t>
      </w:r>
      <w:r w:rsidR="0064574A" w:rsidRPr="00317682">
        <w:rPr>
          <w:color w:val="000000"/>
        </w:rPr>
        <w:t>Law and Justice P</w:t>
      </w:r>
      <w:r w:rsidRPr="00317682">
        <w:rPr>
          <w:color w:val="000000"/>
        </w:rPr>
        <w:t>rogram in a post-conflict situation since mid-2003 has been to significantly restore the proper functioning of the state’s justice sector institutions, working across courts and correctional services and in partnership with the RAMSI Participating Police Force. Attention is now turning to longer term capacity development and the need to refocus support toward more affordable, sustainable and community-focused outcomes.</w:t>
      </w:r>
    </w:p>
    <w:p w:rsidR="00DB2E78" w:rsidRPr="00317682" w:rsidRDefault="00DB2E78" w:rsidP="006B35DF">
      <w:pPr>
        <w:pStyle w:val="BodyText"/>
        <w:rPr>
          <w:color w:val="000000"/>
        </w:rPr>
      </w:pPr>
      <w:r w:rsidRPr="00317682">
        <w:rPr>
          <w:color w:val="000000"/>
        </w:rPr>
        <w:t>Of the mid-sized programs, the Indonesia Legal Development Facility is performing well, particularly due to the flexibility of the facility and responsiveness to partner country needs across the four areas of strategic focus</w:t>
      </w:r>
      <w:r w:rsidR="0064574A" w:rsidRPr="00317682">
        <w:rPr>
          <w:color w:val="000000"/>
        </w:rPr>
        <w:t>—</w:t>
      </w:r>
      <w:r w:rsidRPr="00317682">
        <w:rPr>
          <w:color w:val="000000"/>
        </w:rPr>
        <w:t>access to justice</w:t>
      </w:r>
      <w:r w:rsidR="00B40A17" w:rsidRPr="00317682">
        <w:rPr>
          <w:color w:val="000000"/>
        </w:rPr>
        <w:t>,</w:t>
      </w:r>
      <w:r w:rsidRPr="00317682">
        <w:rPr>
          <w:color w:val="000000"/>
        </w:rPr>
        <w:t xml:space="preserve"> human rights</w:t>
      </w:r>
      <w:r w:rsidR="00B40A17" w:rsidRPr="00317682">
        <w:rPr>
          <w:color w:val="000000"/>
        </w:rPr>
        <w:t>,</w:t>
      </w:r>
      <w:r w:rsidRPr="00317682">
        <w:rPr>
          <w:color w:val="000000"/>
        </w:rPr>
        <w:t xml:space="preserve"> anticorruption and </w:t>
      </w:r>
      <w:r w:rsidRPr="00317682">
        <w:rPr>
          <w:color w:val="000000"/>
          <w:spacing w:val="-2"/>
        </w:rPr>
        <w:t xml:space="preserve">transnational crime. </w:t>
      </w:r>
      <w:proofErr w:type="gramStart"/>
      <w:r w:rsidRPr="00317682">
        <w:rPr>
          <w:color w:val="000000"/>
          <w:spacing w:val="-2"/>
        </w:rPr>
        <w:t xml:space="preserve">Programs in </w:t>
      </w:r>
      <w:smartTag w:uri="urn:schemas-microsoft-com:office:smarttags" w:element="country-region">
        <w:r w:rsidRPr="00317682">
          <w:rPr>
            <w:color w:val="000000"/>
            <w:spacing w:val="-2"/>
          </w:rPr>
          <w:t>Cambodia</w:t>
        </w:r>
      </w:smartTag>
      <w:r w:rsidRPr="00317682">
        <w:rPr>
          <w:color w:val="000000"/>
          <w:spacing w:val="-2"/>
        </w:rPr>
        <w:t xml:space="preserve"> and </w:t>
      </w:r>
      <w:smartTag w:uri="urn:schemas-microsoft-com:office:smarttags" w:element="place">
        <w:smartTag w:uri="urn:schemas-microsoft-com:office:smarttags" w:element="country-region">
          <w:r w:rsidRPr="00317682">
            <w:rPr>
              <w:color w:val="000000"/>
              <w:spacing w:val="-2"/>
            </w:rPr>
            <w:t>Vanuatu</w:t>
          </w:r>
        </w:smartTag>
      </w:smartTag>
      <w:r w:rsidRPr="00317682">
        <w:rPr>
          <w:color w:val="000000"/>
          <w:spacing w:val="-2"/>
        </w:rPr>
        <w:t>, which take a less integrated</w:t>
      </w:r>
      <w:r w:rsidRPr="00317682">
        <w:rPr>
          <w:color w:val="000000"/>
        </w:rPr>
        <w:t xml:space="preserve"> approach</w:t>
      </w:r>
      <w:r w:rsidR="0064574A" w:rsidRPr="00317682">
        <w:rPr>
          <w:color w:val="000000"/>
        </w:rPr>
        <w:t xml:space="preserve"> and</w:t>
      </w:r>
      <w:r w:rsidRPr="00317682">
        <w:rPr>
          <w:color w:val="000000"/>
        </w:rPr>
        <w:t xml:space="preserve"> appear to suffer from weaker local ownership and a lack of clear objectives, are performing less well overall, and particularly in relation to monitoring</w:t>
      </w:r>
      <w:r w:rsidR="00B40A17" w:rsidRPr="00317682">
        <w:rPr>
          <w:color w:val="000000"/>
        </w:rPr>
        <w:t xml:space="preserve"> and</w:t>
      </w:r>
      <w:r w:rsidRPr="00317682">
        <w:rPr>
          <w:color w:val="000000"/>
        </w:rPr>
        <w:t xml:space="preserve"> evaluation and the </w:t>
      </w:r>
      <w:r w:rsidRPr="00317682">
        <w:rPr>
          <w:color w:val="000000"/>
        </w:rPr>
        <w:lastRenderedPageBreak/>
        <w:t>sustainability of outputs.</w:t>
      </w:r>
      <w:proofErr w:type="gramEnd"/>
      <w:r w:rsidRPr="00317682">
        <w:rPr>
          <w:color w:val="000000"/>
        </w:rPr>
        <w:t xml:space="preserve"> </w:t>
      </w:r>
    </w:p>
    <w:p w:rsidR="00DB2E78" w:rsidRPr="00317682" w:rsidRDefault="00DB2E78" w:rsidP="006B35DF">
      <w:pPr>
        <w:pStyle w:val="BodyText"/>
        <w:rPr>
          <w:color w:val="000000"/>
        </w:rPr>
      </w:pPr>
      <w:r w:rsidRPr="00317682">
        <w:rPr>
          <w:color w:val="000000"/>
        </w:rPr>
        <w:t xml:space="preserve">In the case of </w:t>
      </w:r>
      <w:proofErr w:type="spellStart"/>
      <w:r w:rsidRPr="00317682">
        <w:rPr>
          <w:color w:val="000000"/>
        </w:rPr>
        <w:t>AusAID’s</w:t>
      </w:r>
      <w:proofErr w:type="spellEnd"/>
      <w:r w:rsidRPr="00317682">
        <w:rPr>
          <w:color w:val="000000"/>
        </w:rPr>
        <w:t xml:space="preserve"> assistance to policing and security</w:t>
      </w:r>
      <w:r w:rsidR="0064574A" w:rsidRPr="00317682">
        <w:rPr>
          <w:color w:val="000000"/>
        </w:rPr>
        <w:t>-</w:t>
      </w:r>
      <w:r w:rsidRPr="00317682">
        <w:rPr>
          <w:color w:val="000000"/>
        </w:rPr>
        <w:t>related programs, the Pacific Regional Policing Initiative is performing well, with an emphasis on strengthening and using local</w:t>
      </w:r>
      <w:r w:rsidR="0064574A" w:rsidRPr="00317682">
        <w:rPr>
          <w:color w:val="000000"/>
        </w:rPr>
        <w:t xml:space="preserve"> and </w:t>
      </w:r>
      <w:r w:rsidRPr="00317682">
        <w:rPr>
          <w:color w:val="000000"/>
        </w:rPr>
        <w:t xml:space="preserve">regional expertise to drive change and providing a flexible program of technical assistance to support these efforts. Similarly, </w:t>
      </w:r>
      <w:proofErr w:type="spellStart"/>
      <w:r w:rsidRPr="00317682">
        <w:rPr>
          <w:color w:val="000000"/>
        </w:rPr>
        <w:t>AusAID’s</w:t>
      </w:r>
      <w:proofErr w:type="spellEnd"/>
      <w:r w:rsidRPr="00317682">
        <w:rPr>
          <w:color w:val="000000"/>
        </w:rPr>
        <w:t xml:space="preserve"> Samoa Police Project has worked to align Australian assistance more closely with the priorities of the Samoa Police Service, with significant organisational reforms now under</w:t>
      </w:r>
      <w:r w:rsidR="0064574A" w:rsidRPr="00317682">
        <w:rPr>
          <w:color w:val="000000"/>
        </w:rPr>
        <w:t xml:space="preserve"> </w:t>
      </w:r>
      <w:r w:rsidRPr="00317682">
        <w:rPr>
          <w:color w:val="000000"/>
        </w:rPr>
        <w:t xml:space="preserve">way with strong local leadership. In both cases, </w:t>
      </w:r>
      <w:r w:rsidR="00B40A17" w:rsidRPr="00317682">
        <w:rPr>
          <w:color w:val="000000"/>
        </w:rPr>
        <w:t>the</w:t>
      </w:r>
      <w:r w:rsidRPr="00317682">
        <w:rPr>
          <w:color w:val="000000"/>
        </w:rPr>
        <w:t xml:space="preserve"> sustainability of gains made through assistance provided to date are linked to the success of the forthcoming transition to the AFP as lead implementing partner for Australian assistance to policing in the region. </w:t>
      </w:r>
    </w:p>
    <w:p w:rsidR="00DB2E78" w:rsidRPr="00317682" w:rsidRDefault="00DB2E78" w:rsidP="006B35DF">
      <w:pPr>
        <w:pStyle w:val="BodyText"/>
        <w:rPr>
          <w:color w:val="000000"/>
        </w:rPr>
      </w:pPr>
      <w:r w:rsidRPr="00317682">
        <w:rPr>
          <w:color w:val="000000"/>
        </w:rPr>
        <w:t>Although not a large or conceptually integrated component of the law and justice portfolio, the</w:t>
      </w:r>
      <w:r w:rsidR="00B40A17" w:rsidRPr="00317682">
        <w:rPr>
          <w:color w:val="000000"/>
        </w:rPr>
        <w:t> </w:t>
      </w:r>
      <w:smartTag w:uri="urn:schemas-microsoft-com:office:smarttags" w:element="place">
        <w:smartTag w:uri="urn:schemas-microsoft-com:office:smarttags" w:element="country-region">
          <w:r w:rsidRPr="00317682">
            <w:rPr>
              <w:color w:val="000000"/>
            </w:rPr>
            <w:t>China</w:t>
          </w:r>
        </w:smartTag>
      </w:smartTag>
      <w:r w:rsidRPr="00317682">
        <w:rPr>
          <w:color w:val="000000"/>
        </w:rPr>
        <w:t xml:space="preserve"> program’s Human Rights Technical Cooperation </w:t>
      </w:r>
      <w:r w:rsidR="00740781" w:rsidRPr="00317682">
        <w:rPr>
          <w:color w:val="000000"/>
        </w:rPr>
        <w:t xml:space="preserve">Initiative </w:t>
      </w:r>
      <w:r w:rsidRPr="00317682">
        <w:rPr>
          <w:color w:val="000000"/>
        </w:rPr>
        <w:t>is also performing well. However, the limitations of the modality</w:t>
      </w:r>
      <w:r w:rsidR="00740781" w:rsidRPr="00317682">
        <w:rPr>
          <w:color w:val="000000"/>
        </w:rPr>
        <w:t>—</w:t>
      </w:r>
      <w:r w:rsidRPr="00317682">
        <w:rPr>
          <w:color w:val="000000"/>
        </w:rPr>
        <w:t>a series of discrete, short</w:t>
      </w:r>
      <w:r w:rsidR="00740781" w:rsidRPr="00317682">
        <w:rPr>
          <w:color w:val="000000"/>
        </w:rPr>
        <w:t>-</w:t>
      </w:r>
      <w:r w:rsidRPr="00317682">
        <w:rPr>
          <w:color w:val="000000"/>
        </w:rPr>
        <w:t>term activities</w:t>
      </w:r>
      <w:r w:rsidR="00740781" w:rsidRPr="00317682">
        <w:rPr>
          <w:color w:val="000000"/>
        </w:rPr>
        <w:t>—</w:t>
      </w:r>
      <w:r w:rsidRPr="00317682">
        <w:rPr>
          <w:color w:val="000000"/>
        </w:rPr>
        <w:t>are acknowledged in terms of longer term outcome</w:t>
      </w:r>
      <w:r w:rsidR="00740781" w:rsidRPr="00317682">
        <w:rPr>
          <w:color w:val="000000"/>
        </w:rPr>
        <w:t>s</w:t>
      </w:r>
      <w:r w:rsidRPr="00317682">
        <w:rPr>
          <w:color w:val="000000"/>
        </w:rPr>
        <w:t>.</w:t>
      </w:r>
    </w:p>
    <w:p w:rsidR="00DB2E78" w:rsidRPr="00317682" w:rsidRDefault="00DB2E78" w:rsidP="00DB2E78">
      <w:pPr>
        <w:pStyle w:val="Heading3"/>
        <w:rPr>
          <w:color w:val="000000"/>
        </w:rPr>
      </w:pPr>
      <w:bookmarkStart w:id="44" w:name="_Toc202340886"/>
      <w:bookmarkStart w:id="45" w:name="_Toc207514547"/>
      <w:r w:rsidRPr="00317682">
        <w:rPr>
          <w:color w:val="000000"/>
        </w:rPr>
        <w:t>Explanation</w:t>
      </w:r>
      <w:bookmarkEnd w:id="44"/>
      <w:bookmarkEnd w:id="45"/>
    </w:p>
    <w:p w:rsidR="00DB2E78" w:rsidRPr="00317682" w:rsidRDefault="00DB2E78" w:rsidP="00676F19">
      <w:pPr>
        <w:pStyle w:val="BodyText"/>
        <w:rPr>
          <w:color w:val="000000"/>
        </w:rPr>
      </w:pPr>
      <w:r w:rsidRPr="00317682">
        <w:rPr>
          <w:color w:val="000000"/>
        </w:rPr>
        <w:t>There has been strong progress in some areas</w:t>
      </w:r>
      <w:r w:rsidR="00740781" w:rsidRPr="00317682">
        <w:rPr>
          <w:color w:val="000000"/>
        </w:rPr>
        <w:t>;</w:t>
      </w:r>
      <w:r w:rsidRPr="00317682">
        <w:rPr>
          <w:color w:val="000000"/>
        </w:rPr>
        <w:t xml:space="preserve"> however, overall results have varied.</w:t>
      </w:r>
      <w:r w:rsidR="00C16EB4" w:rsidRPr="00317682">
        <w:rPr>
          <w:color w:val="000000"/>
        </w:rPr>
        <w:t xml:space="preserve"> </w:t>
      </w:r>
      <w:r w:rsidRPr="00317682">
        <w:rPr>
          <w:color w:val="000000"/>
        </w:rPr>
        <w:t xml:space="preserve">Within the four QAI categories this </w:t>
      </w:r>
      <w:r w:rsidR="00530428" w:rsidRPr="00317682">
        <w:rPr>
          <w:color w:val="000000"/>
        </w:rPr>
        <w:t>sub</w:t>
      </w:r>
      <w:r w:rsidRPr="00317682">
        <w:rPr>
          <w:color w:val="000000"/>
        </w:rPr>
        <w:t>sector performed best in achieving objectives, with comparably favourable results in implementation progress.</w:t>
      </w:r>
      <w:r w:rsidR="00C16EB4" w:rsidRPr="00317682">
        <w:rPr>
          <w:color w:val="000000"/>
        </w:rPr>
        <w:t xml:space="preserve"> </w:t>
      </w:r>
      <w:r w:rsidRPr="00317682">
        <w:rPr>
          <w:color w:val="000000"/>
        </w:rPr>
        <w:t xml:space="preserve">Monitoring and evaluation and sustainability </w:t>
      </w:r>
      <w:r w:rsidR="00740781" w:rsidRPr="00317682">
        <w:rPr>
          <w:color w:val="000000"/>
        </w:rPr>
        <w:t xml:space="preserve">were </w:t>
      </w:r>
      <w:r w:rsidRPr="00317682">
        <w:rPr>
          <w:color w:val="000000"/>
        </w:rPr>
        <w:t>not rate</w:t>
      </w:r>
      <w:r w:rsidR="00740781" w:rsidRPr="00317682">
        <w:rPr>
          <w:color w:val="000000"/>
        </w:rPr>
        <w:t>d</w:t>
      </w:r>
      <w:r w:rsidRPr="00317682">
        <w:rPr>
          <w:color w:val="000000"/>
        </w:rPr>
        <w:t xml:space="preserve"> as </w:t>
      </w:r>
      <w:r w:rsidR="00B40A17" w:rsidRPr="00317682">
        <w:rPr>
          <w:color w:val="000000"/>
        </w:rPr>
        <w:t>high</w:t>
      </w:r>
      <w:r w:rsidRPr="00317682">
        <w:rPr>
          <w:color w:val="000000"/>
        </w:rPr>
        <w:t>.</w:t>
      </w:r>
      <w:r w:rsidR="00C16EB4" w:rsidRPr="00317682">
        <w:rPr>
          <w:color w:val="000000"/>
        </w:rPr>
        <w:t xml:space="preserve"> </w:t>
      </w:r>
      <w:r w:rsidRPr="00317682">
        <w:rPr>
          <w:color w:val="000000"/>
        </w:rPr>
        <w:t>Other related evaluation</w:t>
      </w:r>
      <w:r w:rsidR="00B40A17" w:rsidRPr="00317682">
        <w:rPr>
          <w:color w:val="000000"/>
        </w:rPr>
        <w:t>s</w:t>
      </w:r>
      <w:r w:rsidRPr="00317682">
        <w:rPr>
          <w:color w:val="000000"/>
        </w:rPr>
        <w:t xml:space="preserve"> such as technical assistance group reviews, mid</w:t>
      </w:r>
      <w:r w:rsidR="00740781" w:rsidRPr="00317682">
        <w:rPr>
          <w:color w:val="000000"/>
        </w:rPr>
        <w:t>-</w:t>
      </w:r>
      <w:r w:rsidRPr="00317682">
        <w:rPr>
          <w:color w:val="000000"/>
        </w:rPr>
        <w:t>term reviews</w:t>
      </w:r>
      <w:r w:rsidR="00740781" w:rsidRPr="00317682">
        <w:rPr>
          <w:color w:val="000000"/>
        </w:rPr>
        <w:t>,</w:t>
      </w:r>
      <w:r w:rsidRPr="00317682">
        <w:rPr>
          <w:color w:val="000000"/>
        </w:rPr>
        <w:t xml:space="preserve"> independent completion reports where they exist and</w:t>
      </w:r>
      <w:r w:rsidR="00740781" w:rsidRPr="00317682">
        <w:rPr>
          <w:color w:val="000000"/>
        </w:rPr>
        <w:t>,</w:t>
      </w:r>
      <w:r w:rsidRPr="00317682">
        <w:rPr>
          <w:color w:val="000000"/>
        </w:rPr>
        <w:t xml:space="preserve"> in their absence, the contextual knowledge derived from </w:t>
      </w:r>
      <w:proofErr w:type="spellStart"/>
      <w:r w:rsidRPr="00317682">
        <w:rPr>
          <w:color w:val="000000"/>
        </w:rPr>
        <w:t>AusAID</w:t>
      </w:r>
      <w:proofErr w:type="spellEnd"/>
      <w:r w:rsidRPr="00317682">
        <w:rPr>
          <w:color w:val="000000"/>
        </w:rPr>
        <w:t xml:space="preserve"> country teams were also considered.</w:t>
      </w:r>
      <w:r w:rsidR="00C16EB4" w:rsidRPr="00317682">
        <w:rPr>
          <w:color w:val="000000"/>
        </w:rPr>
        <w:t xml:space="preserve"> </w:t>
      </w:r>
    </w:p>
    <w:p w:rsidR="00DB2E78" w:rsidRPr="00317682" w:rsidRDefault="00DB2E78" w:rsidP="00676F19">
      <w:pPr>
        <w:pStyle w:val="BodyText"/>
        <w:rPr>
          <w:color w:val="000000"/>
        </w:rPr>
      </w:pPr>
      <w:r w:rsidRPr="00317682">
        <w:rPr>
          <w:color w:val="000000"/>
        </w:rPr>
        <w:t>Performance of the larger sectoral programs</w:t>
      </w:r>
      <w:r w:rsidR="00B40A17" w:rsidRPr="00317682">
        <w:rPr>
          <w:color w:val="000000"/>
        </w:rPr>
        <w:t>—</w:t>
      </w:r>
      <w:r w:rsidR="00740781" w:rsidRPr="00317682">
        <w:rPr>
          <w:color w:val="000000"/>
        </w:rPr>
        <w:t xml:space="preserve">in </w:t>
      </w:r>
      <w:smartTag w:uri="urn:schemas-microsoft-com:office:smarttags" w:element="country-region">
        <w:r w:rsidR="00740781" w:rsidRPr="00317682">
          <w:rPr>
            <w:color w:val="000000"/>
          </w:rPr>
          <w:t>Papua New Guinea</w:t>
        </w:r>
      </w:smartTag>
      <w:r w:rsidR="00740781"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Solomon Islands</w:t>
          </w:r>
        </w:smartTag>
      </w:smartTag>
      <w:r w:rsidR="00B40A17" w:rsidRPr="00317682">
        <w:rPr>
          <w:color w:val="000000"/>
        </w:rPr>
        <w:t>—</w:t>
      </w:r>
      <w:r w:rsidRPr="00317682">
        <w:rPr>
          <w:color w:val="000000"/>
        </w:rPr>
        <w:t>is</w:t>
      </w:r>
      <w:r w:rsidR="00B40A17" w:rsidRPr="00317682">
        <w:rPr>
          <w:color w:val="000000"/>
        </w:rPr>
        <w:t> </w:t>
      </w:r>
      <w:r w:rsidRPr="00317682">
        <w:rPr>
          <w:color w:val="000000"/>
        </w:rPr>
        <w:t xml:space="preserve">on track in terms of meeting objectives. In </w:t>
      </w:r>
      <w:smartTag w:uri="urn:schemas-microsoft-com:office:smarttags" w:element="place">
        <w:smartTag w:uri="urn:schemas-microsoft-com:office:smarttags" w:element="country-region">
          <w:r w:rsidR="00740781" w:rsidRPr="00317682">
            <w:rPr>
              <w:color w:val="000000"/>
            </w:rPr>
            <w:t>Papua New Guinea</w:t>
          </w:r>
        </w:smartTag>
      </w:smartTag>
      <w:r w:rsidRPr="00317682">
        <w:rPr>
          <w:color w:val="000000"/>
        </w:rPr>
        <w:t>’s case, for example, this is partly a function of the investment in ongoing sector evaluation</w:t>
      </w:r>
      <w:r w:rsidR="00740781" w:rsidRPr="00317682">
        <w:rPr>
          <w:color w:val="000000"/>
        </w:rPr>
        <w:t>,</w:t>
      </w:r>
      <w:r w:rsidRPr="00317682">
        <w:rPr>
          <w:color w:val="000000"/>
        </w:rPr>
        <w:t xml:space="preserve"> including through modalities such</w:t>
      </w:r>
      <w:r w:rsidR="00740781" w:rsidRPr="00317682">
        <w:rPr>
          <w:color w:val="000000"/>
        </w:rPr>
        <w:t> </w:t>
      </w:r>
      <w:r w:rsidRPr="00317682">
        <w:rPr>
          <w:color w:val="000000"/>
        </w:rPr>
        <w:t>as the Justice Advisory Group. It is also a function of the long</w:t>
      </w:r>
      <w:r w:rsidR="00740781" w:rsidRPr="00317682">
        <w:rPr>
          <w:color w:val="000000"/>
        </w:rPr>
        <w:t>-</w:t>
      </w:r>
      <w:r w:rsidRPr="00317682">
        <w:rPr>
          <w:color w:val="000000"/>
        </w:rPr>
        <w:t xml:space="preserve">term support given to underlying issues of weak governance and public administration that hamper service delivery across all sectors. </w:t>
      </w:r>
    </w:p>
    <w:p w:rsidR="00DB2E78" w:rsidRPr="00317682" w:rsidRDefault="00DB2E78" w:rsidP="00676F19">
      <w:pPr>
        <w:pStyle w:val="BodyText"/>
        <w:rPr>
          <w:color w:val="000000"/>
        </w:rPr>
      </w:pPr>
      <w:r w:rsidRPr="00317682">
        <w:rPr>
          <w:color w:val="000000"/>
        </w:rPr>
        <w:t xml:space="preserve">At the same time there are a number of higher order issues affecting many of the activities in this </w:t>
      </w:r>
      <w:r w:rsidR="00740781" w:rsidRPr="00317682">
        <w:rPr>
          <w:color w:val="000000"/>
        </w:rPr>
        <w:t>sub</w:t>
      </w:r>
      <w:r w:rsidRPr="00317682">
        <w:rPr>
          <w:color w:val="000000"/>
        </w:rPr>
        <w:t xml:space="preserve">sector. These can be attributed </w:t>
      </w:r>
      <w:r w:rsidR="00740781" w:rsidRPr="00317682">
        <w:rPr>
          <w:color w:val="000000"/>
        </w:rPr>
        <w:t xml:space="preserve">largely </w:t>
      </w:r>
      <w:r w:rsidRPr="00317682">
        <w:rPr>
          <w:color w:val="000000"/>
        </w:rPr>
        <w:t>to the following factors:</w:t>
      </w:r>
    </w:p>
    <w:p w:rsidR="00DB2E78" w:rsidRPr="00317682" w:rsidRDefault="00DB2E78" w:rsidP="00676F19">
      <w:pPr>
        <w:pStyle w:val="ListBullet"/>
        <w:rPr>
          <w:color w:val="000000"/>
        </w:rPr>
      </w:pPr>
      <w:r w:rsidRPr="00317682">
        <w:rPr>
          <w:color w:val="000000"/>
        </w:rPr>
        <w:t>constraints associated with particular aid modalities (</w:t>
      </w:r>
      <w:r w:rsidR="00740781" w:rsidRPr="00317682">
        <w:rPr>
          <w:color w:val="000000"/>
        </w:rPr>
        <w:t>for example,</w:t>
      </w:r>
      <w:r w:rsidRPr="00317682">
        <w:rPr>
          <w:color w:val="000000"/>
        </w:rPr>
        <w:t xml:space="preserve"> the </w:t>
      </w:r>
      <w:r w:rsidR="00740781" w:rsidRPr="00317682">
        <w:rPr>
          <w:color w:val="000000"/>
        </w:rPr>
        <w:t xml:space="preserve">law and justice </w:t>
      </w:r>
      <w:r w:rsidRPr="00317682">
        <w:rPr>
          <w:color w:val="000000"/>
        </w:rPr>
        <w:t xml:space="preserve">and </w:t>
      </w:r>
      <w:r w:rsidR="00740781" w:rsidRPr="00317682">
        <w:rPr>
          <w:color w:val="000000"/>
        </w:rPr>
        <w:t xml:space="preserve">border management </w:t>
      </w:r>
      <w:r w:rsidRPr="00317682">
        <w:rPr>
          <w:color w:val="000000"/>
        </w:rPr>
        <w:t xml:space="preserve">components of </w:t>
      </w:r>
      <w:r w:rsidR="00740781" w:rsidRPr="00317682">
        <w:rPr>
          <w:color w:val="000000"/>
        </w:rPr>
        <w:t xml:space="preserve">Papua New Guinea’s </w:t>
      </w:r>
      <w:proofErr w:type="spellStart"/>
      <w:r w:rsidRPr="00317682">
        <w:rPr>
          <w:color w:val="000000"/>
        </w:rPr>
        <w:t>Strongim</w:t>
      </w:r>
      <w:proofErr w:type="spellEnd"/>
      <w:r w:rsidRPr="00317682">
        <w:rPr>
          <w:color w:val="000000"/>
        </w:rPr>
        <w:t xml:space="preserve"> </w:t>
      </w:r>
      <w:proofErr w:type="spellStart"/>
      <w:r w:rsidRPr="00317682">
        <w:rPr>
          <w:color w:val="000000"/>
        </w:rPr>
        <w:t>Gavman</w:t>
      </w:r>
      <w:proofErr w:type="spellEnd"/>
      <w:r w:rsidRPr="00317682">
        <w:rPr>
          <w:color w:val="000000"/>
        </w:rPr>
        <w:t xml:space="preserve"> Program, which rely on deployments of technical assistance to in-line positions and, as such, are grappling to achieve the right balance between capacity replacement and longer term capacity development objectives)</w:t>
      </w:r>
    </w:p>
    <w:p w:rsidR="00DB2E78" w:rsidRPr="00317682" w:rsidRDefault="00DB2E78" w:rsidP="00676F19">
      <w:pPr>
        <w:pStyle w:val="ListBullet"/>
        <w:rPr>
          <w:color w:val="000000"/>
        </w:rPr>
      </w:pPr>
      <w:r w:rsidRPr="00317682">
        <w:rPr>
          <w:color w:val="000000"/>
        </w:rPr>
        <w:t>the political externalities and complexities of particular operating environments (</w:t>
      </w:r>
      <w:r w:rsidR="00B40A17" w:rsidRPr="00317682">
        <w:rPr>
          <w:color w:val="000000"/>
        </w:rPr>
        <w:t>for </w:t>
      </w:r>
      <w:r w:rsidR="00740781" w:rsidRPr="00317682">
        <w:rPr>
          <w:color w:val="000000"/>
        </w:rPr>
        <w:t xml:space="preserve">example, </w:t>
      </w:r>
      <w:r w:rsidRPr="00317682">
        <w:rPr>
          <w:color w:val="000000"/>
        </w:rPr>
        <w:t xml:space="preserve">Fiji’s Law </w:t>
      </w:r>
      <w:r w:rsidR="00740781" w:rsidRPr="00317682">
        <w:rPr>
          <w:color w:val="000000"/>
        </w:rPr>
        <w:t xml:space="preserve">and </w:t>
      </w:r>
      <w:r w:rsidRPr="00317682">
        <w:rPr>
          <w:color w:val="000000"/>
        </w:rPr>
        <w:t>Justice Program, which following the coup of December 2006 was transformed into a Community Justice Program, and East Timor’s Law and Justice Development Program, the implementation of which has been significantly affected by ongoing political fragility)</w:t>
      </w:r>
    </w:p>
    <w:p w:rsidR="00DB2E78" w:rsidRPr="00317682" w:rsidRDefault="00DB2E78" w:rsidP="00676F19">
      <w:pPr>
        <w:pStyle w:val="ListBullet"/>
        <w:rPr>
          <w:color w:val="000000"/>
        </w:rPr>
      </w:pPr>
      <w:proofErr w:type="gramStart"/>
      <w:r w:rsidRPr="00317682">
        <w:rPr>
          <w:color w:val="000000"/>
        </w:rPr>
        <w:t>uncertainties</w:t>
      </w:r>
      <w:proofErr w:type="gramEnd"/>
      <w:r w:rsidRPr="00317682">
        <w:rPr>
          <w:color w:val="000000"/>
        </w:rPr>
        <w:t xml:space="preserve"> associated with</w:t>
      </w:r>
      <w:r w:rsidR="00B40A17" w:rsidRPr="00317682">
        <w:rPr>
          <w:color w:val="000000"/>
        </w:rPr>
        <w:t xml:space="preserve"> the</w:t>
      </w:r>
      <w:r w:rsidRPr="00317682">
        <w:rPr>
          <w:color w:val="000000"/>
        </w:rPr>
        <w:t xml:space="preserve"> impending strategic review or changes in operational policy (</w:t>
      </w:r>
      <w:r w:rsidR="00740781" w:rsidRPr="00317682">
        <w:rPr>
          <w:color w:val="000000"/>
        </w:rPr>
        <w:t xml:space="preserve">for </w:t>
      </w:r>
      <w:r w:rsidR="007A3835" w:rsidRPr="00317682">
        <w:rPr>
          <w:color w:val="000000"/>
        </w:rPr>
        <w:t>example</w:t>
      </w:r>
      <w:r w:rsidR="00740781" w:rsidRPr="00317682">
        <w:rPr>
          <w:color w:val="000000"/>
        </w:rPr>
        <w:t>,</w:t>
      </w:r>
      <w:r w:rsidRPr="00317682">
        <w:rPr>
          <w:color w:val="000000"/>
        </w:rPr>
        <w:t xml:space="preserve"> RAMSI</w:t>
      </w:r>
      <w:r w:rsidR="00740781" w:rsidRPr="00317682">
        <w:rPr>
          <w:color w:val="000000"/>
        </w:rPr>
        <w:t xml:space="preserve"> and the</w:t>
      </w:r>
      <w:r w:rsidRPr="00317682">
        <w:rPr>
          <w:color w:val="000000"/>
        </w:rPr>
        <w:t xml:space="preserve"> </w:t>
      </w:r>
      <w:proofErr w:type="spellStart"/>
      <w:r w:rsidRPr="00317682">
        <w:rPr>
          <w:color w:val="000000"/>
        </w:rPr>
        <w:t>Strongim</w:t>
      </w:r>
      <w:proofErr w:type="spellEnd"/>
      <w:r w:rsidRPr="00317682">
        <w:rPr>
          <w:color w:val="000000"/>
        </w:rPr>
        <w:t xml:space="preserve"> </w:t>
      </w:r>
      <w:proofErr w:type="spellStart"/>
      <w:r w:rsidRPr="00317682">
        <w:rPr>
          <w:color w:val="000000"/>
        </w:rPr>
        <w:t>Gavman</w:t>
      </w:r>
      <w:proofErr w:type="spellEnd"/>
      <w:r w:rsidRPr="00317682">
        <w:rPr>
          <w:color w:val="000000"/>
        </w:rPr>
        <w:t xml:space="preserve"> Program).</w:t>
      </w:r>
    </w:p>
    <w:p w:rsidR="00DB2E78" w:rsidRPr="00317682" w:rsidRDefault="00DB2E78" w:rsidP="00676F19">
      <w:pPr>
        <w:pStyle w:val="BodyText"/>
        <w:rPr>
          <w:color w:val="000000"/>
        </w:rPr>
      </w:pPr>
      <w:r w:rsidRPr="00317682">
        <w:rPr>
          <w:color w:val="000000"/>
        </w:rPr>
        <w:t xml:space="preserve">The evolving mandate of Australian whole-of-government partners as they expand their engagement in supporting development efforts is another factor affecting overall performance in this </w:t>
      </w:r>
      <w:r w:rsidR="00740781" w:rsidRPr="00317682">
        <w:rPr>
          <w:color w:val="000000"/>
        </w:rPr>
        <w:t>sub</w:t>
      </w:r>
      <w:r w:rsidRPr="00317682">
        <w:rPr>
          <w:color w:val="000000"/>
        </w:rPr>
        <w:t xml:space="preserve">sector. This is particularly the case in relation to the current array of policing </w:t>
      </w:r>
      <w:r w:rsidRPr="00317682">
        <w:rPr>
          <w:color w:val="000000"/>
        </w:rPr>
        <w:lastRenderedPageBreak/>
        <w:t xml:space="preserve">programs in the Pacific, due to the imminent transition from </w:t>
      </w:r>
      <w:proofErr w:type="spellStart"/>
      <w:r w:rsidRPr="00317682">
        <w:rPr>
          <w:color w:val="000000"/>
        </w:rPr>
        <w:t>AusAID</w:t>
      </w:r>
      <w:proofErr w:type="spellEnd"/>
      <w:r w:rsidR="00B40A17" w:rsidRPr="00317682">
        <w:rPr>
          <w:color w:val="000000"/>
        </w:rPr>
        <w:t xml:space="preserve"> </w:t>
      </w:r>
      <w:r w:rsidRPr="00317682">
        <w:rPr>
          <w:color w:val="000000"/>
        </w:rPr>
        <w:t>manage</w:t>
      </w:r>
      <w:r w:rsidR="00B40A17" w:rsidRPr="00317682">
        <w:rPr>
          <w:color w:val="000000"/>
        </w:rPr>
        <w:t>ment</w:t>
      </w:r>
      <w:r w:rsidRPr="00317682">
        <w:rPr>
          <w:color w:val="000000"/>
        </w:rPr>
        <w:t xml:space="preserve"> to AFP</w:t>
      </w:r>
      <w:r w:rsidR="00B40A17" w:rsidRPr="00317682">
        <w:rPr>
          <w:color w:val="000000"/>
        </w:rPr>
        <w:t xml:space="preserve"> management</w:t>
      </w:r>
      <w:r w:rsidRPr="00317682">
        <w:rPr>
          <w:color w:val="000000"/>
        </w:rPr>
        <w:t xml:space="preserve">. The </w:t>
      </w:r>
      <w:r w:rsidR="00CC20AC" w:rsidRPr="00317682">
        <w:rPr>
          <w:color w:val="000000"/>
        </w:rPr>
        <w:t>Attorney-General’s Department</w:t>
      </w:r>
      <w:r w:rsidRPr="00317682">
        <w:rPr>
          <w:color w:val="000000"/>
        </w:rPr>
        <w:t xml:space="preserve"> is also increasing its operations across the Pacific, both through participation in specific initiatives such as the </w:t>
      </w:r>
      <w:proofErr w:type="spellStart"/>
      <w:r w:rsidRPr="00317682">
        <w:rPr>
          <w:color w:val="000000"/>
        </w:rPr>
        <w:t>Strongim</w:t>
      </w:r>
      <w:proofErr w:type="spellEnd"/>
      <w:r w:rsidRPr="00317682">
        <w:rPr>
          <w:color w:val="000000"/>
        </w:rPr>
        <w:t xml:space="preserve"> </w:t>
      </w:r>
      <w:proofErr w:type="spellStart"/>
      <w:r w:rsidRPr="00317682">
        <w:rPr>
          <w:color w:val="000000"/>
        </w:rPr>
        <w:t>Gavman</w:t>
      </w:r>
      <w:proofErr w:type="spellEnd"/>
      <w:r w:rsidRPr="00317682">
        <w:rPr>
          <w:color w:val="000000"/>
        </w:rPr>
        <w:t xml:space="preserve"> Program in </w:t>
      </w:r>
      <w:r w:rsidR="005D51AC" w:rsidRPr="00317682">
        <w:rPr>
          <w:color w:val="000000"/>
        </w:rPr>
        <w:t>Papua New Guinea</w:t>
      </w:r>
      <w:r w:rsidRPr="00317682">
        <w:rPr>
          <w:color w:val="000000"/>
        </w:rPr>
        <w:t>, as well as through a variety of institutional linkages relating to issues of regional interest such as money laundering, extradition, mutual assistance and model</w:t>
      </w:r>
      <w:r w:rsidR="005D51AC" w:rsidRPr="00317682">
        <w:rPr>
          <w:color w:val="000000"/>
        </w:rPr>
        <w:t> </w:t>
      </w:r>
      <w:r w:rsidRPr="00317682">
        <w:rPr>
          <w:color w:val="000000"/>
        </w:rPr>
        <w:t>legislation.</w:t>
      </w:r>
    </w:p>
    <w:p w:rsidR="00DB2E78" w:rsidRPr="00317682" w:rsidRDefault="00DB2E78" w:rsidP="00676F19">
      <w:pPr>
        <w:pStyle w:val="BodyText"/>
        <w:rPr>
          <w:color w:val="000000"/>
        </w:rPr>
      </w:pPr>
      <w:r w:rsidRPr="00317682">
        <w:rPr>
          <w:color w:val="000000"/>
        </w:rPr>
        <w:t xml:space="preserve">As for </w:t>
      </w:r>
      <w:proofErr w:type="spellStart"/>
      <w:r w:rsidRPr="00317682">
        <w:rPr>
          <w:color w:val="000000"/>
        </w:rPr>
        <w:t>AusAID’s</w:t>
      </w:r>
      <w:proofErr w:type="spellEnd"/>
      <w:r w:rsidRPr="00317682">
        <w:rPr>
          <w:color w:val="000000"/>
        </w:rPr>
        <w:t xml:space="preserve"> current law and justice initiatives, and consistent with the overall trend for governance activities, quality reporting has indicated that monitoring and evaluation, </w:t>
      </w:r>
      <w:r w:rsidR="00706E06" w:rsidRPr="00317682">
        <w:rPr>
          <w:color w:val="000000"/>
        </w:rPr>
        <w:t xml:space="preserve">as well as </w:t>
      </w:r>
      <w:r w:rsidRPr="00317682">
        <w:rPr>
          <w:color w:val="000000"/>
        </w:rPr>
        <w:t>sustainability</w:t>
      </w:r>
      <w:r w:rsidR="00706E06" w:rsidRPr="00317682">
        <w:rPr>
          <w:color w:val="000000"/>
        </w:rPr>
        <w:t>,</w:t>
      </w:r>
      <w:r w:rsidRPr="00317682">
        <w:rPr>
          <w:color w:val="000000"/>
        </w:rPr>
        <w:t xml:space="preserve"> are areas of weakness across </w:t>
      </w:r>
      <w:proofErr w:type="spellStart"/>
      <w:r w:rsidRPr="00317682">
        <w:rPr>
          <w:color w:val="000000"/>
        </w:rPr>
        <w:t>AusAID’s</w:t>
      </w:r>
      <w:proofErr w:type="spellEnd"/>
      <w:r w:rsidRPr="00317682">
        <w:rPr>
          <w:color w:val="000000"/>
        </w:rPr>
        <w:t xml:space="preserve"> law and justice portfolio. A range of strategies is needed to address these concerns</w:t>
      </w:r>
      <w:r w:rsidR="00706E06" w:rsidRPr="00317682">
        <w:rPr>
          <w:color w:val="000000"/>
        </w:rPr>
        <w:t xml:space="preserve">—for </w:t>
      </w:r>
      <w:r w:rsidR="007A3835" w:rsidRPr="00317682">
        <w:rPr>
          <w:color w:val="000000"/>
        </w:rPr>
        <w:t>example, to</w:t>
      </w:r>
      <w:r w:rsidRPr="00317682">
        <w:rPr>
          <w:color w:val="000000"/>
        </w:rPr>
        <w:t xml:space="preserve"> improve processes and tools, particularly the availability of performance data, needed to properly assess the effectiveness of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’s law and justice initiatives and the aid program’s contribution to results. This will require further attention </w:t>
      </w:r>
      <w:r w:rsidR="00706E06" w:rsidRPr="00317682">
        <w:rPr>
          <w:color w:val="000000"/>
        </w:rPr>
        <w:t xml:space="preserve">be given to </w:t>
      </w:r>
      <w:r w:rsidRPr="00317682">
        <w:rPr>
          <w:color w:val="000000"/>
        </w:rPr>
        <w:t>the availability of performance data within partner countries, as well as an increased focus on quality assurance, performance monitoring and evaluation processes as part of</w:t>
      </w:r>
      <w:r w:rsidR="00706E06" w:rsidRPr="00317682">
        <w:rPr>
          <w:color w:val="000000"/>
        </w:rPr>
        <w:t xml:space="preserve"> the management arrangements for the</w:t>
      </w:r>
      <w:r w:rsidRPr="00317682">
        <w:rPr>
          <w:color w:val="000000"/>
        </w:rPr>
        <w:t xml:space="preserve"> aid program. This is critical to ensure that Australian assistance to law and justice is strategically targeted and positioned more clearly in support of broader development objectives. </w:t>
      </w:r>
    </w:p>
    <w:p w:rsidR="00DB2E78" w:rsidRPr="00317682" w:rsidRDefault="00DB2E78" w:rsidP="00676F19">
      <w:pPr>
        <w:pStyle w:val="BodyText"/>
        <w:rPr>
          <w:color w:val="000000"/>
          <w:spacing w:val="-2"/>
        </w:rPr>
      </w:pPr>
      <w:r w:rsidRPr="00317682">
        <w:rPr>
          <w:color w:val="000000"/>
          <w:spacing w:val="-2"/>
        </w:rPr>
        <w:t xml:space="preserve">Attention is also required to deepen whole-of-government engagement in order to support greater strategic coherence and sectoral integration, and to better coordinate the emerging aid modalities of Australian implementing partners at the bilateral level and, in the case of the Pacific, on a regional basis. This requires whole-of-government planning to support agreed short, medium and longer term objectives and the use of aid modalities that recognise and more clearly address the different development contexts and capacity development needs across the law and justice sector within stable, fragile, conflict and post-conflict settings. It also suggests the need for more consistent and ongoing performance monitoring and reporting across </w:t>
      </w:r>
      <w:proofErr w:type="spellStart"/>
      <w:r w:rsidRPr="00317682">
        <w:rPr>
          <w:color w:val="000000"/>
          <w:spacing w:val="-2"/>
        </w:rPr>
        <w:t>AusAID</w:t>
      </w:r>
      <w:proofErr w:type="spellEnd"/>
      <w:r w:rsidRPr="00317682">
        <w:rPr>
          <w:color w:val="000000"/>
          <w:spacing w:val="-2"/>
        </w:rPr>
        <w:t xml:space="preserve"> and its whole-of-government partners. Broader strategic guidance would also add value.</w:t>
      </w:r>
    </w:p>
    <w:p w:rsidR="00DB2E78" w:rsidRPr="00317682" w:rsidRDefault="00DB2E78" w:rsidP="00676F19">
      <w:pPr>
        <w:pStyle w:val="Heading2unnumbered"/>
        <w:rPr>
          <w:color w:val="000000"/>
        </w:rPr>
      </w:pPr>
      <w:bookmarkStart w:id="46" w:name="_Toc202340887"/>
      <w:bookmarkStart w:id="47" w:name="_Toc207514548"/>
      <w:bookmarkStart w:id="48" w:name="_Toc222041486"/>
      <w:r w:rsidRPr="00317682">
        <w:rPr>
          <w:color w:val="000000"/>
        </w:rPr>
        <w:t>Developing civil society</w:t>
      </w:r>
      <w:bookmarkEnd w:id="46"/>
      <w:bookmarkEnd w:id="47"/>
      <w:bookmarkEnd w:id="48"/>
    </w:p>
    <w:p w:rsidR="00DB2E78" w:rsidRPr="00317682" w:rsidRDefault="00DB2E78" w:rsidP="00BB3F3C">
      <w:pPr>
        <w:pStyle w:val="Heading3"/>
        <w:numPr>
          <w:ilvl w:val="0"/>
          <w:numId w:val="0"/>
        </w:numPr>
        <w:spacing w:before="240"/>
        <w:rPr>
          <w:color w:val="000000"/>
        </w:rPr>
      </w:pPr>
      <w:bookmarkStart w:id="49" w:name="_Toc202340888"/>
      <w:bookmarkStart w:id="50" w:name="_Toc207514549"/>
      <w:r w:rsidRPr="00317682">
        <w:rPr>
          <w:color w:val="000000"/>
        </w:rPr>
        <w:t xml:space="preserve">What does </w:t>
      </w:r>
      <w:proofErr w:type="spellStart"/>
      <w:r w:rsidRPr="00317682">
        <w:rPr>
          <w:color w:val="000000"/>
        </w:rPr>
        <w:t>AusAID</w:t>
      </w:r>
      <w:proofErr w:type="spellEnd"/>
      <w:r w:rsidRPr="00317682">
        <w:rPr>
          <w:color w:val="000000"/>
        </w:rPr>
        <w:t xml:space="preserve"> do?</w:t>
      </w:r>
      <w:bookmarkEnd w:id="49"/>
      <w:bookmarkEnd w:id="50"/>
    </w:p>
    <w:p w:rsidR="00DB2E78" w:rsidRPr="00317682" w:rsidRDefault="00DB2E78" w:rsidP="00676F19">
      <w:pPr>
        <w:pStyle w:val="BodyText"/>
        <w:rPr>
          <w:color w:val="000000"/>
          <w:spacing w:val="-2"/>
        </w:rPr>
      </w:pPr>
      <w:r w:rsidRPr="00317682">
        <w:rPr>
          <w:color w:val="000000"/>
          <w:spacing w:val="-2"/>
        </w:rPr>
        <w:t>A view of civil society common among many donors is that of organisations</w:t>
      </w:r>
      <w:r w:rsidR="002175A4" w:rsidRPr="00317682">
        <w:rPr>
          <w:color w:val="000000"/>
          <w:spacing w:val="-2"/>
        </w:rPr>
        <w:t>—</w:t>
      </w:r>
      <w:r w:rsidRPr="00317682">
        <w:rPr>
          <w:color w:val="000000"/>
          <w:spacing w:val="-2"/>
        </w:rPr>
        <w:t>of voluntary associations independent of the state. A further view treats civil society as a realm of public activity</w:t>
      </w:r>
      <w:r w:rsidR="002175A4" w:rsidRPr="00317682">
        <w:rPr>
          <w:color w:val="000000"/>
          <w:spacing w:val="-2"/>
        </w:rPr>
        <w:t>—</w:t>
      </w:r>
      <w:r w:rsidRPr="00317682">
        <w:rPr>
          <w:color w:val="000000"/>
          <w:spacing w:val="-2"/>
        </w:rPr>
        <w:t xml:space="preserve">a social arena between the state and the family or individual. Support for the former has traditionally been through technical support and organisational development. New approaches also recognise the importance of fostering and strengthening the enabling environment between government and civil society, particularly for good governance outcomes. </w:t>
      </w:r>
    </w:p>
    <w:p w:rsidR="00DB2E78" w:rsidRPr="00317682" w:rsidRDefault="00DB2E78" w:rsidP="00676F19">
      <w:pPr>
        <w:pStyle w:val="BodyText"/>
        <w:rPr>
          <w:color w:val="000000"/>
        </w:rPr>
      </w:pPr>
      <w:proofErr w:type="spellStart"/>
      <w:r w:rsidRPr="00317682">
        <w:rPr>
          <w:color w:val="000000"/>
        </w:rPr>
        <w:t>AusAID’s</w:t>
      </w:r>
      <w:proofErr w:type="spellEnd"/>
      <w:r w:rsidRPr="00317682">
        <w:rPr>
          <w:color w:val="000000"/>
        </w:rPr>
        <w:t xml:space="preserve"> engagement </w:t>
      </w:r>
      <w:r w:rsidR="002175A4" w:rsidRPr="00317682">
        <w:rPr>
          <w:color w:val="000000"/>
        </w:rPr>
        <w:t xml:space="preserve">uses </w:t>
      </w:r>
      <w:r w:rsidRPr="00317682">
        <w:rPr>
          <w:color w:val="000000"/>
        </w:rPr>
        <w:t>different approaches for different objectives</w:t>
      </w:r>
      <w:r w:rsidR="00B40A17" w:rsidRPr="00317682">
        <w:rPr>
          <w:color w:val="000000"/>
        </w:rPr>
        <w:t>,</w:t>
      </w:r>
      <w:r w:rsidRPr="00317682">
        <w:rPr>
          <w:color w:val="000000"/>
        </w:rPr>
        <w:t xml:space="preserve"> depending on the circumstances and environment. Programs identified as directly enhancing civil society do not constitute the entirety of </w:t>
      </w:r>
      <w:proofErr w:type="spellStart"/>
      <w:r w:rsidRPr="00317682">
        <w:rPr>
          <w:color w:val="000000"/>
        </w:rPr>
        <w:t>AusAID’s</w:t>
      </w:r>
      <w:proofErr w:type="spellEnd"/>
      <w:r w:rsidRPr="00317682">
        <w:rPr>
          <w:color w:val="000000"/>
        </w:rPr>
        <w:t xml:space="preserve"> engagement with civil society</w:t>
      </w:r>
      <w:r w:rsidR="002175A4" w:rsidRPr="00317682">
        <w:rPr>
          <w:color w:val="000000"/>
        </w:rPr>
        <w:t>;</w:t>
      </w:r>
      <w:r w:rsidRPr="00317682">
        <w:rPr>
          <w:color w:val="000000"/>
        </w:rPr>
        <w:t xml:space="preserve"> many programs not identified </w:t>
      </w:r>
      <w:r w:rsidR="00B40A17" w:rsidRPr="00317682">
        <w:rPr>
          <w:color w:val="000000"/>
        </w:rPr>
        <w:t>by the label</w:t>
      </w:r>
      <w:r w:rsidRPr="00317682">
        <w:rPr>
          <w:color w:val="000000"/>
        </w:rPr>
        <w:t xml:space="preserve"> of ‘civil society support’ have social accountability approaches </w:t>
      </w:r>
      <w:r w:rsidRPr="00317682">
        <w:rPr>
          <w:color w:val="000000"/>
          <w:spacing w:val="-2"/>
        </w:rPr>
        <w:t xml:space="preserve">embedded within their work. An example of this is the </w:t>
      </w:r>
      <w:r w:rsidR="00B40A17" w:rsidRPr="00317682">
        <w:rPr>
          <w:color w:val="000000"/>
          <w:spacing w:val="-2"/>
        </w:rPr>
        <w:t xml:space="preserve">second phase of the </w:t>
      </w:r>
      <w:r w:rsidRPr="00317682">
        <w:rPr>
          <w:color w:val="000000"/>
          <w:spacing w:val="-2"/>
        </w:rPr>
        <w:t xml:space="preserve">PNG Electoral Support Program </w:t>
      </w:r>
      <w:r w:rsidRPr="00317682">
        <w:rPr>
          <w:color w:val="000000"/>
        </w:rPr>
        <w:t>(considered a ‘</w:t>
      </w:r>
      <w:r w:rsidR="002175A4" w:rsidRPr="00317682">
        <w:rPr>
          <w:color w:val="000000"/>
        </w:rPr>
        <w:t xml:space="preserve">political governance’ </w:t>
      </w:r>
      <w:r w:rsidRPr="00317682">
        <w:rPr>
          <w:color w:val="000000"/>
        </w:rPr>
        <w:t>program in this context), which included support to civil society for voter awareness and monitoring of the 2007 national elections.</w:t>
      </w:r>
    </w:p>
    <w:p w:rsidR="00DB2E78" w:rsidRPr="00317682" w:rsidRDefault="00DB2E78" w:rsidP="00676F19">
      <w:pPr>
        <w:pStyle w:val="BodyText"/>
        <w:rPr>
          <w:color w:val="000000"/>
        </w:rPr>
      </w:pPr>
      <w:r w:rsidRPr="00317682">
        <w:rPr>
          <w:color w:val="000000"/>
        </w:rPr>
        <w:t>Under the recently established Better Governance and Leadership Initiative</w:t>
      </w:r>
      <w:r w:rsidR="002175A4" w:rsidRPr="00317682">
        <w:rPr>
          <w:color w:val="000000"/>
        </w:rPr>
        <w:t>—</w:t>
      </w:r>
      <w:r w:rsidRPr="00317682">
        <w:rPr>
          <w:color w:val="000000"/>
        </w:rPr>
        <w:t xml:space="preserve">which encompasses a range of approaches designed to increase the ability of citizens to participate in decisions that affect their lives, to influence and act on how development challenges are met </w:t>
      </w:r>
      <w:r w:rsidRPr="00317682">
        <w:rPr>
          <w:color w:val="000000"/>
        </w:rPr>
        <w:lastRenderedPageBreak/>
        <w:t>and to hold governments and other institutions to account</w:t>
      </w:r>
      <w:r w:rsidR="002175A4" w:rsidRPr="00317682">
        <w:rPr>
          <w:color w:val="000000"/>
        </w:rPr>
        <w:t>—</w:t>
      </w:r>
      <w:proofErr w:type="spellStart"/>
      <w:r w:rsidRPr="00317682">
        <w:rPr>
          <w:color w:val="000000"/>
        </w:rPr>
        <w:t>AusAID</w:t>
      </w:r>
      <w:proofErr w:type="spellEnd"/>
      <w:r w:rsidRPr="00317682">
        <w:rPr>
          <w:color w:val="000000"/>
        </w:rPr>
        <w:t xml:space="preserve"> has begun to establish a framework for civil society support aimed at improving governance</w:t>
      </w:r>
      <w:r w:rsidR="00BA2076" w:rsidRPr="00317682">
        <w:rPr>
          <w:color w:val="000000"/>
        </w:rPr>
        <w:t>. It has</w:t>
      </w:r>
      <w:r w:rsidRPr="00317682">
        <w:rPr>
          <w:color w:val="000000"/>
        </w:rPr>
        <w:t xml:space="preserve"> three themes: accountability</w:t>
      </w:r>
      <w:r w:rsidR="002175A4" w:rsidRPr="00317682">
        <w:rPr>
          <w:color w:val="000000"/>
        </w:rPr>
        <w:t>,</w:t>
      </w:r>
      <w:r w:rsidRPr="00317682">
        <w:rPr>
          <w:color w:val="000000"/>
        </w:rPr>
        <w:t xml:space="preserve"> access to information</w:t>
      </w:r>
      <w:r w:rsidR="002175A4" w:rsidRPr="00317682">
        <w:rPr>
          <w:color w:val="000000"/>
        </w:rPr>
        <w:t>,</w:t>
      </w:r>
      <w:r w:rsidRPr="00317682">
        <w:rPr>
          <w:color w:val="000000"/>
        </w:rPr>
        <w:t xml:space="preserve"> and leadership. Activities are interrelated and often mutually dependent, and some programs reside under multiple themes.</w:t>
      </w:r>
    </w:p>
    <w:p w:rsidR="00DB2E78" w:rsidRPr="00317682" w:rsidRDefault="00DB2E78" w:rsidP="00676F19">
      <w:pPr>
        <w:pStyle w:val="BodyText"/>
        <w:rPr>
          <w:color w:val="000000"/>
        </w:rPr>
      </w:pPr>
      <w:r w:rsidRPr="00317682">
        <w:rPr>
          <w:rStyle w:val="Heading5Char"/>
          <w:color w:val="000000"/>
        </w:rPr>
        <w:t>Accountability</w:t>
      </w:r>
      <w:r w:rsidR="002175A4" w:rsidRPr="00317682">
        <w:rPr>
          <w:color w:val="000000"/>
        </w:rPr>
        <w:t> </w:t>
      </w:r>
      <w:r w:rsidR="0050667A" w:rsidRPr="00317682">
        <w:rPr>
          <w:color w:val="000000"/>
        </w:rPr>
        <w:t>There is a</w:t>
      </w:r>
      <w:r w:rsidRPr="00317682">
        <w:rPr>
          <w:color w:val="000000"/>
        </w:rPr>
        <w:t xml:space="preserve"> range of strategies used to strengthen the accountability of government to citizens. Examples of activities include public expenditure tracking, participatory budgeting, monitoring the delivery of public services, citizen report cards and community</w:t>
      </w:r>
      <w:r w:rsidR="00063C3C" w:rsidRPr="00317682">
        <w:rPr>
          <w:color w:val="000000"/>
        </w:rPr>
        <w:t>-</w:t>
      </w:r>
      <w:r w:rsidRPr="00317682">
        <w:rPr>
          <w:color w:val="000000"/>
        </w:rPr>
        <w:t>based participatory monitoring. Strengthening civil society organisations directly to undertake this work is an important component.</w:t>
      </w:r>
      <w:r w:rsidR="00C16EB4" w:rsidRPr="00317682">
        <w:rPr>
          <w:color w:val="000000"/>
        </w:rPr>
        <w:t xml:space="preserve"> </w:t>
      </w:r>
      <w:r w:rsidRPr="00317682">
        <w:rPr>
          <w:color w:val="000000"/>
        </w:rPr>
        <w:t xml:space="preserve">In a number of countries where the capacity of the state is weak, </w:t>
      </w:r>
      <w:bookmarkStart w:id="51" w:name="OLE_LINK1"/>
      <w:r w:rsidRPr="00317682">
        <w:rPr>
          <w:color w:val="000000"/>
        </w:rPr>
        <w:t xml:space="preserve">civil society organisations </w:t>
      </w:r>
      <w:bookmarkEnd w:id="51"/>
      <w:r w:rsidRPr="00317682">
        <w:rPr>
          <w:color w:val="000000"/>
        </w:rPr>
        <w:t xml:space="preserve">work directly with government to </w:t>
      </w:r>
      <w:r w:rsidRPr="00317682">
        <w:rPr>
          <w:color w:val="000000"/>
          <w:spacing w:val="-1"/>
        </w:rPr>
        <w:t xml:space="preserve">provide services to citizens. Examples of </w:t>
      </w:r>
      <w:proofErr w:type="spellStart"/>
      <w:r w:rsidRPr="00317682">
        <w:rPr>
          <w:color w:val="000000"/>
          <w:spacing w:val="-1"/>
        </w:rPr>
        <w:t>AusAID</w:t>
      </w:r>
      <w:proofErr w:type="spellEnd"/>
      <w:r w:rsidRPr="00317682">
        <w:rPr>
          <w:color w:val="000000"/>
          <w:spacing w:val="-1"/>
        </w:rPr>
        <w:t xml:space="preserve"> activities include the PNG Church Partner</w:t>
      </w:r>
      <w:r w:rsidR="003F20A5" w:rsidRPr="00317682">
        <w:rPr>
          <w:color w:val="000000"/>
          <w:spacing w:val="-1"/>
        </w:rPr>
        <w:t>ship</w:t>
      </w:r>
      <w:r w:rsidR="003F20A5" w:rsidRPr="00317682">
        <w:rPr>
          <w:color w:val="000000"/>
        </w:rPr>
        <w:t xml:space="preserve"> Program ($26 million</w:t>
      </w:r>
      <w:r w:rsidR="006B15A0" w:rsidRPr="00317682">
        <w:rPr>
          <w:color w:val="000000"/>
        </w:rPr>
        <w:t xml:space="preserve"> for</w:t>
      </w:r>
      <w:r w:rsidR="003F20A5" w:rsidRPr="00317682">
        <w:rPr>
          <w:color w:val="000000"/>
        </w:rPr>
        <w:t xml:space="preserve"> 2003–</w:t>
      </w:r>
      <w:r w:rsidRPr="00317682">
        <w:rPr>
          <w:color w:val="000000"/>
        </w:rPr>
        <w:t>09) and the Philippines</w:t>
      </w:r>
      <w:r w:rsidR="006B15A0" w:rsidRPr="00317682">
        <w:rPr>
          <w:color w:val="000000"/>
        </w:rPr>
        <w:t>–</w:t>
      </w:r>
      <w:r w:rsidRPr="00317682">
        <w:rPr>
          <w:color w:val="000000"/>
        </w:rPr>
        <w:t>Australia Community Assistance Program</w:t>
      </w:r>
      <w:r w:rsidR="006B15A0" w:rsidRPr="00317682">
        <w:rPr>
          <w:color w:val="000000"/>
        </w:rPr>
        <w:t xml:space="preserve">, which has </w:t>
      </w:r>
      <w:r w:rsidR="00BA2076" w:rsidRPr="00317682">
        <w:rPr>
          <w:color w:val="000000"/>
        </w:rPr>
        <w:t xml:space="preserve">a </w:t>
      </w:r>
      <w:r w:rsidR="006B15A0" w:rsidRPr="00317682">
        <w:rPr>
          <w:color w:val="000000"/>
        </w:rPr>
        <w:t>component</w:t>
      </w:r>
      <w:r w:rsidRPr="00317682">
        <w:rPr>
          <w:color w:val="000000"/>
        </w:rPr>
        <w:t xml:space="preserve"> </w:t>
      </w:r>
      <w:r w:rsidR="006B15A0" w:rsidRPr="00317682">
        <w:rPr>
          <w:color w:val="000000"/>
        </w:rPr>
        <w:t xml:space="preserve">to </w:t>
      </w:r>
      <w:r w:rsidRPr="00317682">
        <w:rPr>
          <w:color w:val="000000"/>
        </w:rPr>
        <w:t xml:space="preserve">build demand for better governance </w:t>
      </w:r>
      <w:r w:rsidR="00BA2076" w:rsidRPr="00317682">
        <w:rPr>
          <w:color w:val="000000"/>
        </w:rPr>
        <w:t>(</w:t>
      </w:r>
      <w:r w:rsidR="003F20A5" w:rsidRPr="00317682">
        <w:rPr>
          <w:color w:val="000000"/>
        </w:rPr>
        <w:t>$1.08 million</w:t>
      </w:r>
      <w:r w:rsidR="006B15A0" w:rsidRPr="00317682">
        <w:rPr>
          <w:color w:val="000000"/>
        </w:rPr>
        <w:t xml:space="preserve"> for</w:t>
      </w:r>
      <w:r w:rsidR="003F20A5" w:rsidRPr="00317682">
        <w:rPr>
          <w:color w:val="000000"/>
        </w:rPr>
        <w:t xml:space="preserve"> 2007–</w:t>
      </w:r>
      <w:r w:rsidRPr="00317682">
        <w:rPr>
          <w:color w:val="000000"/>
        </w:rPr>
        <w:t>09</w:t>
      </w:r>
      <w:r w:rsidR="00BA2076" w:rsidRPr="00317682">
        <w:rPr>
          <w:color w:val="000000"/>
        </w:rPr>
        <w:t>)</w:t>
      </w:r>
      <w:r w:rsidRPr="00317682">
        <w:rPr>
          <w:color w:val="000000"/>
        </w:rPr>
        <w:t>. An example of the activities under</w:t>
      </w:r>
      <w:r w:rsidR="006B15A0" w:rsidRPr="00317682">
        <w:rPr>
          <w:color w:val="000000"/>
        </w:rPr>
        <w:t xml:space="preserve"> </w:t>
      </w:r>
      <w:r w:rsidRPr="00317682">
        <w:rPr>
          <w:color w:val="000000"/>
        </w:rPr>
        <w:t xml:space="preserve">way in the </w:t>
      </w:r>
      <w:smartTag w:uri="urn:schemas-microsoft-com:office:smarttags" w:element="country-region">
        <w:r w:rsidRPr="00317682">
          <w:rPr>
            <w:color w:val="000000"/>
          </w:rPr>
          <w:t>Philippines</w:t>
        </w:r>
      </w:smartTag>
      <w:r w:rsidRPr="00317682">
        <w:rPr>
          <w:color w:val="000000"/>
        </w:rPr>
        <w:t xml:space="preserve"> is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’s support to Road Watch, a coalition of citizen and road user groups working to strengthen the voice and influence of citizens in ensuring transparency and proper use of public funds for roads.</w:t>
      </w:r>
    </w:p>
    <w:p w:rsidR="00DB2E78" w:rsidRPr="00317682" w:rsidRDefault="00DB2E78" w:rsidP="00676F19">
      <w:pPr>
        <w:pStyle w:val="BodyText"/>
        <w:rPr>
          <w:color w:val="000000"/>
        </w:rPr>
      </w:pPr>
      <w:r w:rsidRPr="00317682">
        <w:rPr>
          <w:rStyle w:val="Heading5Char"/>
          <w:color w:val="000000"/>
        </w:rPr>
        <w:t>Access to information</w:t>
      </w:r>
      <w:r w:rsidR="002175A4" w:rsidRPr="00317682">
        <w:rPr>
          <w:color w:val="000000"/>
        </w:rPr>
        <w:t> </w:t>
      </w:r>
      <w:proofErr w:type="gramStart"/>
      <w:r w:rsidRPr="00317682">
        <w:rPr>
          <w:color w:val="000000"/>
        </w:rPr>
        <w:t>For</w:t>
      </w:r>
      <w:proofErr w:type="gramEnd"/>
      <w:r w:rsidRPr="00317682">
        <w:rPr>
          <w:color w:val="000000"/>
        </w:rPr>
        <w:t xml:space="preserve"> civil society to be in a position to influence and engage with government, information on the activities of government and </w:t>
      </w:r>
      <w:r w:rsidR="006B15A0" w:rsidRPr="00317682">
        <w:rPr>
          <w:color w:val="000000"/>
        </w:rPr>
        <w:t xml:space="preserve">on </w:t>
      </w:r>
      <w:r w:rsidRPr="00317682">
        <w:rPr>
          <w:color w:val="000000"/>
        </w:rPr>
        <w:t xml:space="preserve">citizens’ rights and responsibilities must be freely available. By investing in quality journalism and media infrastructure, </w:t>
      </w:r>
      <w:proofErr w:type="spellStart"/>
      <w:r w:rsidRPr="00317682">
        <w:rPr>
          <w:color w:val="000000"/>
        </w:rPr>
        <w:t>AusAID</w:t>
      </w:r>
      <w:proofErr w:type="spellEnd"/>
      <w:r w:rsidRPr="00317682">
        <w:rPr>
          <w:color w:val="000000"/>
        </w:rPr>
        <w:t xml:space="preserve"> is increasing access to information about government processes and service delivery. Examples of this work include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’s regional Pacific Media As</w:t>
      </w:r>
      <w:r w:rsidR="003F20A5" w:rsidRPr="00317682">
        <w:rPr>
          <w:color w:val="000000"/>
        </w:rPr>
        <w:t>sistance Scheme ($836</w:t>
      </w:r>
      <w:r w:rsidR="006B15A0" w:rsidRPr="00317682">
        <w:rPr>
          <w:color w:val="000000"/>
        </w:rPr>
        <w:t> </w:t>
      </w:r>
      <w:r w:rsidR="003F20A5" w:rsidRPr="00317682">
        <w:rPr>
          <w:color w:val="000000"/>
        </w:rPr>
        <w:t>000</w:t>
      </w:r>
      <w:r w:rsidR="006B15A0" w:rsidRPr="00317682">
        <w:rPr>
          <w:color w:val="000000"/>
        </w:rPr>
        <w:t xml:space="preserve"> for</w:t>
      </w:r>
      <w:r w:rsidR="003F20A5" w:rsidRPr="00317682">
        <w:rPr>
          <w:color w:val="000000"/>
        </w:rPr>
        <w:t xml:space="preserve"> 2007–</w:t>
      </w:r>
      <w:r w:rsidRPr="00317682">
        <w:rPr>
          <w:color w:val="000000"/>
        </w:rPr>
        <w:t xml:space="preserve">09) and the Timor </w:t>
      </w:r>
      <w:proofErr w:type="spellStart"/>
      <w:r w:rsidRPr="00317682">
        <w:rPr>
          <w:color w:val="000000"/>
        </w:rPr>
        <w:t>Leste</w:t>
      </w:r>
      <w:proofErr w:type="spellEnd"/>
      <w:r w:rsidRPr="00317682">
        <w:rPr>
          <w:color w:val="000000"/>
        </w:rPr>
        <w:t xml:space="preserve"> Media and Communications </w:t>
      </w:r>
      <w:r w:rsidR="006B15A0" w:rsidRPr="00317682">
        <w:rPr>
          <w:color w:val="000000"/>
        </w:rPr>
        <w:t xml:space="preserve">Program </w:t>
      </w:r>
      <w:r w:rsidR="003F20A5" w:rsidRPr="00317682">
        <w:rPr>
          <w:color w:val="000000"/>
        </w:rPr>
        <w:t>($1 million</w:t>
      </w:r>
      <w:r w:rsidR="006B15A0" w:rsidRPr="00317682">
        <w:rPr>
          <w:color w:val="000000"/>
        </w:rPr>
        <w:t xml:space="preserve"> for</w:t>
      </w:r>
      <w:r w:rsidR="003F20A5" w:rsidRPr="00317682">
        <w:rPr>
          <w:color w:val="000000"/>
        </w:rPr>
        <w:t xml:space="preserve"> 2007–</w:t>
      </w:r>
      <w:r w:rsidRPr="00317682">
        <w:rPr>
          <w:color w:val="000000"/>
        </w:rPr>
        <w:t>09).</w:t>
      </w:r>
    </w:p>
    <w:p w:rsidR="00DB2E78" w:rsidRPr="00317682" w:rsidRDefault="00DB2E78" w:rsidP="00676F19">
      <w:pPr>
        <w:pStyle w:val="BodyText"/>
        <w:rPr>
          <w:color w:val="000000"/>
        </w:rPr>
      </w:pPr>
      <w:r w:rsidRPr="00317682">
        <w:rPr>
          <w:color w:val="000000"/>
        </w:rPr>
        <w:t xml:space="preserve">Civic education provides civil society with an increased awareness of what should be expected from government, and how </w:t>
      </w:r>
      <w:r w:rsidR="006B15A0" w:rsidRPr="00317682">
        <w:rPr>
          <w:color w:val="000000"/>
        </w:rPr>
        <w:t xml:space="preserve">civil society organisations </w:t>
      </w:r>
      <w:r w:rsidRPr="00317682">
        <w:rPr>
          <w:color w:val="000000"/>
        </w:rPr>
        <w:t xml:space="preserve">can work together for improved development outcomes. Civic education can incorporate voter education, but is broader than this alone. </w:t>
      </w:r>
      <w:r w:rsidR="006B15A0" w:rsidRPr="00317682">
        <w:rPr>
          <w:color w:val="000000"/>
        </w:rPr>
        <w:t>An e</w:t>
      </w:r>
      <w:r w:rsidRPr="00317682">
        <w:rPr>
          <w:color w:val="000000"/>
        </w:rPr>
        <w:t xml:space="preserve">xample </w:t>
      </w:r>
      <w:r w:rsidR="006B15A0" w:rsidRPr="00317682">
        <w:rPr>
          <w:color w:val="000000"/>
        </w:rPr>
        <w:t xml:space="preserve">is the </w:t>
      </w:r>
      <w:r w:rsidRPr="00317682">
        <w:rPr>
          <w:color w:val="000000"/>
        </w:rPr>
        <w:t>work to develop a civics and governance component to</w:t>
      </w:r>
      <w:r w:rsidR="006B15A0" w:rsidRPr="00317682">
        <w:rPr>
          <w:color w:val="000000"/>
        </w:rPr>
        <w:t xml:space="preserve"> add to</w:t>
      </w:r>
      <w:r w:rsidRPr="00317682">
        <w:rPr>
          <w:color w:val="000000"/>
        </w:rPr>
        <w:t xml:space="preserve"> the BRIDGE (Building Resources in Democracy, Governance and Elections) Project ($600</w:t>
      </w:r>
      <w:r w:rsidR="006B15A0" w:rsidRPr="00317682">
        <w:rPr>
          <w:color w:val="000000"/>
        </w:rPr>
        <w:t> </w:t>
      </w:r>
      <w:r w:rsidRPr="00317682">
        <w:rPr>
          <w:color w:val="000000"/>
        </w:rPr>
        <w:t>000</w:t>
      </w:r>
      <w:r w:rsidR="006B15A0" w:rsidRPr="00317682">
        <w:rPr>
          <w:color w:val="000000"/>
        </w:rPr>
        <w:t xml:space="preserve"> for</w:t>
      </w:r>
      <w:r w:rsidR="00F81527" w:rsidRPr="00317682">
        <w:rPr>
          <w:color w:val="000000"/>
        </w:rPr>
        <w:t> </w:t>
      </w:r>
      <w:r w:rsidRPr="00317682">
        <w:rPr>
          <w:color w:val="000000"/>
        </w:rPr>
        <w:t xml:space="preserve">2007-09). </w:t>
      </w:r>
    </w:p>
    <w:p w:rsidR="00DB2E78" w:rsidRPr="00317682" w:rsidRDefault="00DB2E78" w:rsidP="00676F19">
      <w:pPr>
        <w:pStyle w:val="BodyText"/>
        <w:rPr>
          <w:color w:val="000000"/>
        </w:rPr>
      </w:pPr>
      <w:r w:rsidRPr="00317682">
        <w:rPr>
          <w:rStyle w:val="Heading5Char"/>
          <w:color w:val="000000"/>
        </w:rPr>
        <w:t>Leadership</w:t>
      </w:r>
      <w:r w:rsidR="002175A4" w:rsidRPr="00317682">
        <w:rPr>
          <w:color w:val="000000"/>
        </w:rPr>
        <w:t> </w:t>
      </w:r>
      <w:r w:rsidRPr="00317682">
        <w:rPr>
          <w:color w:val="000000"/>
        </w:rPr>
        <w:t xml:space="preserve">Working with and increasing the pool of leaders at all levels in the community committed to good governance principles supports civil society </w:t>
      </w:r>
      <w:r w:rsidR="002B0B26" w:rsidRPr="00317682">
        <w:rPr>
          <w:color w:val="000000"/>
        </w:rPr>
        <w:t xml:space="preserve">by </w:t>
      </w:r>
      <w:r w:rsidRPr="00317682">
        <w:rPr>
          <w:color w:val="000000"/>
        </w:rPr>
        <w:t>improving the enabling environment within which it operates. The new Pacific Leadership Program ($10.1 million</w:t>
      </w:r>
      <w:r w:rsidR="002B0B26" w:rsidRPr="00317682">
        <w:rPr>
          <w:color w:val="000000"/>
        </w:rPr>
        <w:t xml:space="preserve"> for</w:t>
      </w:r>
      <w:r w:rsidRPr="00317682">
        <w:rPr>
          <w:color w:val="000000"/>
        </w:rPr>
        <w:t xml:space="preserve"> 2007</w:t>
      </w:r>
      <w:r w:rsidR="002B0B26" w:rsidRPr="00317682">
        <w:rPr>
          <w:color w:val="000000"/>
        </w:rPr>
        <w:t>–</w:t>
      </w:r>
      <w:r w:rsidRPr="00317682">
        <w:rPr>
          <w:color w:val="000000"/>
        </w:rPr>
        <w:t xml:space="preserve">09), supported by research and analysis on leadership and good governance, is building on current momentum in the region to build demand for better governance by responding to Pacific </w:t>
      </w:r>
      <w:r w:rsidR="002B0B26" w:rsidRPr="00317682">
        <w:rPr>
          <w:color w:val="000000"/>
        </w:rPr>
        <w:t xml:space="preserve">islanders’ </w:t>
      </w:r>
      <w:r w:rsidRPr="00317682">
        <w:rPr>
          <w:color w:val="000000"/>
        </w:rPr>
        <w:t>own priorities</w:t>
      </w:r>
      <w:r w:rsidR="002B0B26" w:rsidRPr="00317682">
        <w:rPr>
          <w:color w:val="000000"/>
        </w:rPr>
        <w:t>—</w:t>
      </w:r>
      <w:r w:rsidRPr="00317682">
        <w:rPr>
          <w:color w:val="000000"/>
        </w:rPr>
        <w:t xml:space="preserve">youth, women and the private sector. </w:t>
      </w:r>
    </w:p>
    <w:p w:rsidR="00DB2E78" w:rsidRPr="00317682" w:rsidRDefault="00DB2E78" w:rsidP="00676F19">
      <w:pPr>
        <w:pStyle w:val="BodyText"/>
        <w:rPr>
          <w:color w:val="000000"/>
        </w:rPr>
      </w:pPr>
      <w:r w:rsidRPr="00317682">
        <w:rPr>
          <w:rStyle w:val="Heading5Char"/>
          <w:color w:val="000000"/>
        </w:rPr>
        <w:t>Community development, including small grants and microfinance</w:t>
      </w:r>
      <w:r w:rsidR="002175A4" w:rsidRPr="00317682">
        <w:rPr>
          <w:color w:val="000000"/>
        </w:rPr>
        <w:t> </w:t>
      </w:r>
      <w:r w:rsidRPr="00317682">
        <w:rPr>
          <w:color w:val="000000"/>
        </w:rPr>
        <w:t>Of the 28 civil society initiatives, 14 fall into this category. Together they comprise 58</w:t>
      </w:r>
      <w:r w:rsidR="00B36A64" w:rsidRPr="00317682">
        <w:rPr>
          <w:color w:val="000000"/>
        </w:rPr>
        <w:t> per cent</w:t>
      </w:r>
      <w:r w:rsidRPr="00317682">
        <w:rPr>
          <w:color w:val="000000"/>
        </w:rPr>
        <w:t xml:space="preserve"> of the total multi-year value of civil society programming. Many of these initiatives commenced prior to the new tripartite ‘building demand for better governance’ framework, and have evolved, beginning as programs </w:t>
      </w:r>
      <w:r w:rsidR="00BA2076" w:rsidRPr="00317682">
        <w:rPr>
          <w:color w:val="000000"/>
        </w:rPr>
        <w:t xml:space="preserve">of small grants </w:t>
      </w:r>
      <w:r w:rsidRPr="00317682">
        <w:rPr>
          <w:color w:val="000000"/>
        </w:rPr>
        <w:t xml:space="preserve">and developing into larger community development schemes, sometimes raising issues </w:t>
      </w:r>
      <w:r w:rsidR="00F81527" w:rsidRPr="00317682">
        <w:rPr>
          <w:color w:val="000000"/>
        </w:rPr>
        <w:t>about</w:t>
      </w:r>
      <w:r w:rsidRPr="00317682">
        <w:rPr>
          <w:color w:val="000000"/>
        </w:rPr>
        <w:t xml:space="preserve"> the suitability of objectives. In addition, much civil society and community development work does not have an explicit governance focus, consisting of programs </w:t>
      </w:r>
      <w:r w:rsidR="00F81527" w:rsidRPr="00317682">
        <w:rPr>
          <w:color w:val="000000"/>
        </w:rPr>
        <w:t xml:space="preserve">such </w:t>
      </w:r>
      <w:r w:rsidRPr="00317682">
        <w:rPr>
          <w:color w:val="000000"/>
        </w:rPr>
        <w:t>as microfinance schemes, with an example being the Vietnam Capital Aid Fund for Employment of the Poor Microfinance Expa</w:t>
      </w:r>
      <w:r w:rsidR="00676F19" w:rsidRPr="00317682">
        <w:rPr>
          <w:color w:val="000000"/>
        </w:rPr>
        <w:t>nsion Project ($7</w:t>
      </w:r>
      <w:r w:rsidR="002B0B26" w:rsidRPr="00317682">
        <w:rPr>
          <w:color w:val="000000"/>
        </w:rPr>
        <w:t> </w:t>
      </w:r>
      <w:r w:rsidR="00676F19" w:rsidRPr="00317682">
        <w:rPr>
          <w:color w:val="000000"/>
        </w:rPr>
        <w:t>million</w:t>
      </w:r>
      <w:r w:rsidR="002B0B26" w:rsidRPr="00317682">
        <w:rPr>
          <w:color w:val="000000"/>
        </w:rPr>
        <w:t xml:space="preserve"> for</w:t>
      </w:r>
      <w:r w:rsidR="00F81527" w:rsidRPr="00317682">
        <w:rPr>
          <w:color w:val="000000"/>
        </w:rPr>
        <w:t> </w:t>
      </w:r>
      <w:r w:rsidR="00676F19" w:rsidRPr="00317682">
        <w:rPr>
          <w:color w:val="000000"/>
        </w:rPr>
        <w:t>2000–</w:t>
      </w:r>
      <w:r w:rsidRPr="00317682">
        <w:rPr>
          <w:color w:val="000000"/>
        </w:rPr>
        <w:t xml:space="preserve">08). </w:t>
      </w:r>
    </w:p>
    <w:p w:rsidR="00DB2E78" w:rsidRPr="00317682" w:rsidRDefault="00DB2E78" w:rsidP="00DB2E78">
      <w:pPr>
        <w:pStyle w:val="Heading3"/>
        <w:rPr>
          <w:color w:val="000000"/>
        </w:rPr>
      </w:pPr>
      <w:bookmarkStart w:id="52" w:name="_Toc202340889"/>
      <w:bookmarkStart w:id="53" w:name="_Toc207514550"/>
      <w:r w:rsidRPr="00317682">
        <w:rPr>
          <w:color w:val="000000"/>
        </w:rPr>
        <w:lastRenderedPageBreak/>
        <w:t>Performance and results</w:t>
      </w:r>
      <w:bookmarkEnd w:id="52"/>
      <w:bookmarkEnd w:id="53"/>
    </w:p>
    <w:p w:rsidR="00DB2E78" w:rsidRPr="00317682" w:rsidRDefault="00DB2E78" w:rsidP="00676F19">
      <w:pPr>
        <w:pStyle w:val="BodyText"/>
        <w:rPr>
          <w:color w:val="000000"/>
        </w:rPr>
      </w:pPr>
      <w:r w:rsidRPr="00317682">
        <w:rPr>
          <w:color w:val="000000"/>
        </w:rPr>
        <w:t xml:space="preserve">To usefully discuss the performance of activities across the broad range of civil society engagements focused on governance, it is necessary to do so under two headings: that of direct support to civil society and organisations including community development programs; and that of improving the enabling environment. </w:t>
      </w:r>
    </w:p>
    <w:p w:rsidR="00BA2076" w:rsidRPr="00317682" w:rsidRDefault="00BA2076" w:rsidP="00BA2076">
      <w:pPr>
        <w:pStyle w:val="BodyText"/>
        <w:rPr>
          <w:color w:val="000000"/>
        </w:rPr>
      </w:pPr>
      <w:r w:rsidRPr="00317682">
        <w:rPr>
          <w:color w:val="000000"/>
        </w:rPr>
        <w:t xml:space="preserve">A common lesson drawn from across the range of activities is the need to be realistic about what can be achieved. Recent research commissioned by </w:t>
      </w:r>
      <w:proofErr w:type="spellStart"/>
      <w:r w:rsidRPr="00317682">
        <w:rPr>
          <w:color w:val="000000"/>
        </w:rPr>
        <w:t>AusAID</w:t>
      </w:r>
      <w:proofErr w:type="spellEnd"/>
      <w:r w:rsidRPr="00317682">
        <w:rPr>
          <w:color w:val="000000"/>
        </w:rPr>
        <w:t xml:space="preserve"> indicates that working with civil society on governance is slow, complex, incremental, iterative and a reflexive process dependent on extensive relationship building. Programs and their objectives, indicators and outcomes sit within complex social domains such as governance (in its broadest sense), social cohesion and empowerment. This further highlights the need for effective monitoring and evaluation and learning systems to recognise and build on success. </w:t>
      </w:r>
    </w:p>
    <w:p w:rsidR="00930FC4" w:rsidRPr="00317682" w:rsidRDefault="00930FC4" w:rsidP="00D162E2">
      <w:pPr>
        <w:pStyle w:val="Heading4"/>
        <w:spacing w:before="300"/>
        <w:rPr>
          <w:color w:val="000000"/>
        </w:rPr>
      </w:pPr>
      <w:r w:rsidRPr="00317682">
        <w:rPr>
          <w:color w:val="000000"/>
        </w:rPr>
        <w:t>Direct support</w:t>
      </w:r>
    </w:p>
    <w:p w:rsidR="00DB2E78" w:rsidRPr="00317682" w:rsidRDefault="00DB2E78" w:rsidP="00676F19">
      <w:pPr>
        <w:pStyle w:val="BodyText"/>
        <w:rPr>
          <w:color w:val="000000"/>
        </w:rPr>
      </w:pPr>
      <w:r w:rsidRPr="00317682">
        <w:rPr>
          <w:color w:val="000000"/>
        </w:rPr>
        <w:t>Direct support to civil society generally takes the form of small</w:t>
      </w:r>
      <w:r w:rsidR="00930FC4" w:rsidRPr="00317682">
        <w:rPr>
          <w:color w:val="000000"/>
        </w:rPr>
        <w:t>-</w:t>
      </w:r>
      <w:r w:rsidRPr="00317682">
        <w:rPr>
          <w:color w:val="000000"/>
        </w:rPr>
        <w:t>grant programs, usually competitive in nature, and often linked to capacity</w:t>
      </w:r>
      <w:r w:rsidR="00930FC4" w:rsidRPr="00317682">
        <w:rPr>
          <w:color w:val="000000"/>
        </w:rPr>
        <w:t>-</w:t>
      </w:r>
      <w:r w:rsidRPr="00317682">
        <w:rPr>
          <w:color w:val="000000"/>
        </w:rPr>
        <w:t xml:space="preserve">building activities intended to strengthen the ability of civil society organisations to undertake work and relate with government. While civil society support and community development activities report success in meeting objectives at the activity level and positive outcomes for communities involved, difficulties exist in developing an understanding of their contribution to and performance against higher order objectives. This is due </w:t>
      </w:r>
      <w:r w:rsidR="00930FC4" w:rsidRPr="00317682">
        <w:rPr>
          <w:color w:val="000000"/>
        </w:rPr>
        <w:t xml:space="preserve">in part </w:t>
      </w:r>
      <w:r w:rsidRPr="00317682">
        <w:rPr>
          <w:color w:val="000000"/>
        </w:rPr>
        <w:t xml:space="preserve">to a lack of monitoring and evaluation mechanisms to undertake this, and in part to a lack of clarity within the programs themselves as to what their higher level objectives are and how these link to country strategy objectives. </w:t>
      </w:r>
    </w:p>
    <w:p w:rsidR="00DB2E78" w:rsidRPr="00317682" w:rsidRDefault="00DB2E78" w:rsidP="00676F19">
      <w:pPr>
        <w:pStyle w:val="BodyText"/>
        <w:rPr>
          <w:color w:val="000000"/>
        </w:rPr>
      </w:pPr>
      <w:r w:rsidRPr="00317682">
        <w:rPr>
          <w:color w:val="000000"/>
        </w:rPr>
        <w:t xml:space="preserve">Examples of difficulties with monitoring and evaluation mechanisms </w:t>
      </w:r>
      <w:r w:rsidR="00930FC4" w:rsidRPr="00317682">
        <w:rPr>
          <w:color w:val="000000"/>
        </w:rPr>
        <w:t xml:space="preserve">can be found in the </w:t>
      </w:r>
      <w:r w:rsidRPr="00317682">
        <w:rPr>
          <w:color w:val="000000"/>
        </w:rPr>
        <w:t xml:space="preserve">Australian Community Development and Civil Society Strengthening Scheme and the Islam and Civil Society programs in Indonesia, the Community Support Program in Solomon Islands, and the PNG Church Partnerships </w:t>
      </w:r>
      <w:r w:rsidR="00930FC4" w:rsidRPr="00317682">
        <w:rPr>
          <w:color w:val="000000"/>
        </w:rPr>
        <w:t>Program</w:t>
      </w:r>
      <w:r w:rsidRPr="00317682">
        <w:rPr>
          <w:color w:val="000000"/>
        </w:rPr>
        <w:t xml:space="preserve">. Reporting for each of these programs outlines difficulties in </w:t>
      </w:r>
      <w:r w:rsidR="00930FC4" w:rsidRPr="00317682">
        <w:rPr>
          <w:color w:val="000000"/>
        </w:rPr>
        <w:t>re</w:t>
      </w:r>
      <w:r w:rsidRPr="00317682">
        <w:rPr>
          <w:color w:val="000000"/>
        </w:rPr>
        <w:t xml:space="preserve">lating activity and program impacts (which are often well captured) to higher level objectives. </w:t>
      </w:r>
    </w:p>
    <w:p w:rsidR="00930FC4" w:rsidRPr="00317682" w:rsidRDefault="00930FC4" w:rsidP="00D162E2">
      <w:pPr>
        <w:pStyle w:val="Heading4"/>
        <w:spacing w:before="300"/>
        <w:rPr>
          <w:color w:val="000000"/>
        </w:rPr>
      </w:pPr>
      <w:r w:rsidRPr="00317682">
        <w:rPr>
          <w:color w:val="000000"/>
        </w:rPr>
        <w:t>Improving the enabling environment</w:t>
      </w:r>
    </w:p>
    <w:p w:rsidR="00DB2E78" w:rsidRPr="00317682" w:rsidRDefault="00DB2E78" w:rsidP="00676F19">
      <w:pPr>
        <w:pStyle w:val="BodyText"/>
        <w:rPr>
          <w:color w:val="000000"/>
        </w:rPr>
      </w:pPr>
      <w:proofErr w:type="spellStart"/>
      <w:r w:rsidRPr="00317682">
        <w:rPr>
          <w:color w:val="000000"/>
        </w:rPr>
        <w:t>AusAID’s</w:t>
      </w:r>
      <w:proofErr w:type="spellEnd"/>
      <w:r w:rsidRPr="00317682">
        <w:rPr>
          <w:color w:val="000000"/>
        </w:rPr>
        <w:t xml:space="preserve"> work in improving the enabling environment for civil society takes a number of forms, including increasing access to information through working with the media and civic education, supporting participatory planning processes, and working with leaders and government to encourage participation by civil society in policy dialogue, improving public sector management of service delivery and contributing to acceptance of the rule of law. This work is supported by research and analysis. </w:t>
      </w:r>
    </w:p>
    <w:p w:rsidR="00071974" w:rsidRPr="00317682" w:rsidRDefault="00071974" w:rsidP="00071974">
      <w:pPr>
        <w:pStyle w:val="Invisiblepara"/>
        <w:spacing w:before="240"/>
        <w:rPr>
          <w:color w:val="000000"/>
        </w:rPr>
      </w:pP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071974" w:rsidRPr="00317682" w:rsidTr="00317682">
        <w:tblPrEx>
          <w:tblCellMar>
            <w:top w:w="0" w:type="dxa"/>
            <w:bottom w:w="0" w:type="dxa"/>
          </w:tblCellMar>
        </w:tblPrEx>
        <w:trPr>
          <w:cantSplit/>
          <w:trHeight w:val="340"/>
        </w:trPr>
        <w:tc>
          <w:tcPr>
            <w:tcW w:w="7938" w:type="dxa"/>
            <w:tcMar>
              <w:top w:w="57" w:type="dxa"/>
            </w:tcMar>
          </w:tcPr>
          <w:p w:rsidR="00071974" w:rsidRPr="00317682" w:rsidRDefault="00071974" w:rsidP="00171681">
            <w:pPr>
              <w:pStyle w:val="Caption"/>
              <w:spacing w:before="80"/>
              <w:rPr>
                <w:color w:val="000000"/>
              </w:rPr>
            </w:pPr>
            <w:r w:rsidRPr="00317682">
              <w:rPr>
                <w:color w:val="000000"/>
              </w:rPr>
              <w:t>Timor-Leste Leadership and Communication Capacity for National Renewal Program</w:t>
            </w:r>
          </w:p>
        </w:tc>
      </w:tr>
      <w:tr w:rsidR="00071974" w:rsidRPr="00317682" w:rsidTr="00317682">
        <w:tblPrEx>
          <w:tblCellMar>
            <w:top w:w="0" w:type="dxa"/>
            <w:bottom w:w="0" w:type="dxa"/>
          </w:tblCellMar>
        </w:tblPrEx>
        <w:trPr>
          <w:cantSplit/>
        </w:trPr>
        <w:tc>
          <w:tcPr>
            <w:tcW w:w="7938" w:type="dxa"/>
          </w:tcPr>
          <w:p w:rsidR="00071974" w:rsidRPr="00317682" w:rsidRDefault="00071974" w:rsidP="00171681">
            <w:pPr>
              <w:pStyle w:val="BoxText"/>
              <w:rPr>
                <w:color w:val="000000"/>
              </w:rPr>
            </w:pPr>
            <w:r w:rsidRPr="00317682">
              <w:rPr>
                <w:color w:val="000000"/>
              </w:rPr>
              <w:t>In partnership with the World Bank, the Timor-Leste Leadership and Communication Capacity for National Renewal Program is working towards improving the capacity of civil society organisations and the media to engage with government, and promote peace and reconciliation efforts. This is being achieved through small grants to national and international civil society and non-government organisations, as well as a leadership and communication training program that involves a series of workshops and a mentoring program.</w:t>
            </w:r>
          </w:p>
          <w:p w:rsidR="00071974" w:rsidRPr="00317682" w:rsidRDefault="00071974" w:rsidP="00171681">
            <w:pPr>
              <w:pStyle w:val="BoxHeading1"/>
            </w:pPr>
            <w:r w:rsidRPr="00317682">
              <w:t>Success</w:t>
            </w:r>
          </w:p>
          <w:p w:rsidR="00071974" w:rsidRPr="00317682" w:rsidRDefault="00071974" w:rsidP="00171681">
            <w:pPr>
              <w:pStyle w:val="BoxText"/>
              <w:rPr>
                <w:color w:val="000000"/>
              </w:rPr>
            </w:pPr>
            <w:r w:rsidRPr="00317682">
              <w:rPr>
                <w:color w:val="000000"/>
              </w:rPr>
              <w:t xml:space="preserve">Through working with and bringing together all levels of national leaders—from grassroots and civil society, to national elected leaders—the project is seen as a valuable and strategic initiative, helping to lessen the potential for a confrontational ‘them and us’ stance to be further embedded. </w:t>
            </w:r>
          </w:p>
          <w:p w:rsidR="00071974" w:rsidRPr="00317682" w:rsidRDefault="00071974" w:rsidP="00171681">
            <w:pPr>
              <w:pStyle w:val="BoxHeading1"/>
            </w:pPr>
            <w:r w:rsidRPr="00317682">
              <w:t>For improvement</w:t>
            </w:r>
          </w:p>
          <w:p w:rsidR="00071974" w:rsidRPr="00317682" w:rsidRDefault="00071974" w:rsidP="00171681">
            <w:pPr>
              <w:pStyle w:val="BoxText"/>
              <w:rPr>
                <w:color w:val="000000"/>
              </w:rPr>
            </w:pPr>
            <w:r w:rsidRPr="00317682">
              <w:rPr>
                <w:color w:val="000000"/>
              </w:rPr>
              <w:t>Encouraging the involvement of leaders at higher levels will greatly enhance the ability of the program to meet its objectives.</w:t>
            </w:r>
          </w:p>
        </w:tc>
      </w:tr>
    </w:tbl>
    <w:p w:rsidR="00071974" w:rsidRPr="00317682" w:rsidRDefault="00071974" w:rsidP="00071974">
      <w:pPr>
        <w:spacing w:after="240" w:line="14" w:lineRule="exact"/>
        <w:rPr>
          <w:color w:val="000000"/>
        </w:rPr>
      </w:pPr>
    </w:p>
    <w:p w:rsidR="00DB2E78" w:rsidRPr="00317682" w:rsidRDefault="00D6570C" w:rsidP="00676F19">
      <w:pPr>
        <w:pStyle w:val="BodyText"/>
        <w:rPr>
          <w:color w:val="000000"/>
        </w:rPr>
      </w:pPr>
      <w:r w:rsidRPr="00317682">
        <w:rPr>
          <w:color w:val="000000"/>
        </w:rPr>
        <w:t>Implementation of t</w:t>
      </w:r>
      <w:r w:rsidR="00DB2E78" w:rsidRPr="00317682">
        <w:rPr>
          <w:color w:val="000000"/>
        </w:rPr>
        <w:t>he Pacific Leadership Program was delayed due to internal political instability in Fiji, the host country of the Pacific Islands Forum Secretariat</w:t>
      </w:r>
      <w:r w:rsidRPr="00317682">
        <w:rPr>
          <w:color w:val="000000"/>
        </w:rPr>
        <w:t>—</w:t>
      </w:r>
      <w:r w:rsidR="00DB2E78" w:rsidRPr="00317682">
        <w:rPr>
          <w:color w:val="000000"/>
        </w:rPr>
        <w:t>a key Pacific Leadership Program partner. Political factors impacted on a number of programs, highlighting difficulties in working on the enabling environment for civil society. However</w:t>
      </w:r>
      <w:r w:rsidR="0063448F" w:rsidRPr="00317682">
        <w:rPr>
          <w:color w:val="000000"/>
        </w:rPr>
        <w:t>,</w:t>
      </w:r>
      <w:r w:rsidR="00DB2E78" w:rsidRPr="00317682">
        <w:rPr>
          <w:color w:val="000000"/>
        </w:rPr>
        <w:t xml:space="preserve"> the development of the Pacific Leadership Program itself was an example of good practice in engaging civil society. The program underwent a rigorous design process that engaged with a wide range of stakeholders to ensure that the program would be welcomed and would be effective. Quality</w:t>
      </w:r>
      <w:r w:rsidR="0063448F" w:rsidRPr="00317682">
        <w:rPr>
          <w:color w:val="000000"/>
        </w:rPr>
        <w:t>-</w:t>
      </w:r>
      <w:r w:rsidR="00DB2E78" w:rsidRPr="00317682">
        <w:rPr>
          <w:color w:val="000000"/>
        </w:rPr>
        <w:t>at</w:t>
      </w:r>
      <w:r w:rsidR="0063448F" w:rsidRPr="00317682">
        <w:rPr>
          <w:color w:val="000000"/>
        </w:rPr>
        <w:t>-</w:t>
      </w:r>
      <w:r w:rsidRPr="00317682">
        <w:rPr>
          <w:color w:val="000000"/>
        </w:rPr>
        <w:t xml:space="preserve">entry </w:t>
      </w:r>
      <w:r w:rsidR="00DB2E78" w:rsidRPr="00317682">
        <w:rPr>
          <w:color w:val="000000"/>
        </w:rPr>
        <w:t xml:space="preserve">ratings were uniformly high. </w:t>
      </w:r>
    </w:p>
    <w:p w:rsidR="00DB2E78" w:rsidRPr="00317682" w:rsidRDefault="00DB2E78" w:rsidP="00DB2E78">
      <w:pPr>
        <w:pStyle w:val="Heading3"/>
        <w:rPr>
          <w:color w:val="000000"/>
        </w:rPr>
      </w:pPr>
      <w:bookmarkStart w:id="54" w:name="_Toc202340890"/>
      <w:bookmarkStart w:id="55" w:name="_Toc207514551"/>
      <w:r w:rsidRPr="00317682">
        <w:rPr>
          <w:color w:val="000000"/>
        </w:rPr>
        <w:t>Explanation</w:t>
      </w:r>
      <w:bookmarkEnd w:id="54"/>
      <w:bookmarkEnd w:id="55"/>
    </w:p>
    <w:p w:rsidR="00DB2E78" w:rsidRPr="00317682" w:rsidRDefault="00DB2E78" w:rsidP="00441FC6">
      <w:pPr>
        <w:pStyle w:val="BodyText"/>
        <w:rPr>
          <w:color w:val="000000"/>
        </w:rPr>
      </w:pPr>
      <w:r w:rsidRPr="00317682">
        <w:rPr>
          <w:color w:val="000000"/>
        </w:rPr>
        <w:t xml:space="preserve">Overall, the performance of </w:t>
      </w:r>
      <w:proofErr w:type="spellStart"/>
      <w:r w:rsidRPr="00317682">
        <w:rPr>
          <w:color w:val="000000"/>
        </w:rPr>
        <w:t>AusAID’s</w:t>
      </w:r>
      <w:proofErr w:type="spellEnd"/>
      <w:r w:rsidRPr="00317682">
        <w:rPr>
          <w:color w:val="000000"/>
        </w:rPr>
        <w:t xml:space="preserve"> civil society activities varies.</w:t>
      </w:r>
      <w:r w:rsidRPr="00317682" w:rsidDel="00925817">
        <w:rPr>
          <w:color w:val="000000"/>
        </w:rPr>
        <w:t xml:space="preserve"> </w:t>
      </w:r>
      <w:r w:rsidRPr="00317682">
        <w:rPr>
          <w:color w:val="000000"/>
        </w:rPr>
        <w:t>Civil society programs made up an estimated 20</w:t>
      </w:r>
      <w:r w:rsidR="00B36A64" w:rsidRPr="00317682">
        <w:rPr>
          <w:color w:val="000000"/>
        </w:rPr>
        <w:t> per cent</w:t>
      </w:r>
      <w:r w:rsidRPr="00317682">
        <w:rPr>
          <w:color w:val="000000"/>
        </w:rPr>
        <w:t xml:space="preserve"> of</w:t>
      </w:r>
      <w:r w:rsidR="003F20A5" w:rsidRPr="00317682">
        <w:rPr>
          <w:color w:val="000000"/>
        </w:rPr>
        <w:t xml:space="preserve"> governance expenditure in 2007–</w:t>
      </w:r>
      <w:r w:rsidRPr="00317682">
        <w:rPr>
          <w:color w:val="000000"/>
        </w:rPr>
        <w:t xml:space="preserve">08. </w:t>
      </w:r>
      <w:r w:rsidR="001E2CC6" w:rsidRPr="00317682">
        <w:rPr>
          <w:color w:val="000000"/>
        </w:rPr>
        <w:t>These programs were</w:t>
      </w:r>
      <w:r w:rsidRPr="00317682">
        <w:rPr>
          <w:color w:val="000000"/>
        </w:rPr>
        <w:t xml:space="preserve"> assessed as performing best in implementation progress, followed by achieving objectives.</w:t>
      </w:r>
      <w:r w:rsidR="00C16EB4" w:rsidRPr="00317682">
        <w:rPr>
          <w:color w:val="000000"/>
        </w:rPr>
        <w:t xml:space="preserve"> </w:t>
      </w:r>
      <w:r w:rsidRPr="00317682">
        <w:rPr>
          <w:color w:val="000000"/>
        </w:rPr>
        <w:t xml:space="preserve">Monitoring and evaluation and sustainability </w:t>
      </w:r>
      <w:r w:rsidR="00C25838" w:rsidRPr="00317682">
        <w:rPr>
          <w:color w:val="000000"/>
        </w:rPr>
        <w:t xml:space="preserve">were </w:t>
      </w:r>
      <w:r w:rsidRPr="00317682">
        <w:rPr>
          <w:color w:val="000000"/>
        </w:rPr>
        <w:t>generally rated lower.</w:t>
      </w:r>
      <w:r w:rsidR="00C16EB4" w:rsidRPr="00317682">
        <w:rPr>
          <w:color w:val="000000"/>
        </w:rPr>
        <w:t xml:space="preserve"> </w:t>
      </w:r>
      <w:r w:rsidRPr="00317682">
        <w:rPr>
          <w:color w:val="000000"/>
        </w:rPr>
        <w:t xml:space="preserve">Evidence at the community level indicates the programs are making a positive contribution. There are good examples of civil society and community development programs using participatory planning to encourage grass-roots development. Work at the level of the enabling environment is crosscutting, and appears to be having early success. </w:t>
      </w:r>
    </w:p>
    <w:p w:rsidR="00DB2E78" w:rsidRPr="00317682" w:rsidRDefault="00DB2E78" w:rsidP="00441FC6">
      <w:pPr>
        <w:pStyle w:val="BodyText"/>
        <w:rPr>
          <w:b/>
          <w:color w:val="000000"/>
        </w:rPr>
      </w:pPr>
      <w:proofErr w:type="gramStart"/>
      <w:r w:rsidRPr="00317682">
        <w:rPr>
          <w:color w:val="000000"/>
        </w:rPr>
        <w:t xml:space="preserve">However, demonstrating the contribution of civil society programs </w:t>
      </w:r>
      <w:r w:rsidR="00C25838" w:rsidRPr="00317682">
        <w:rPr>
          <w:color w:val="000000"/>
        </w:rPr>
        <w:t xml:space="preserve">to </w:t>
      </w:r>
      <w:r w:rsidRPr="00317682">
        <w:rPr>
          <w:color w:val="000000"/>
        </w:rPr>
        <w:t>improv</w:t>
      </w:r>
      <w:r w:rsidR="00C25838" w:rsidRPr="00317682">
        <w:rPr>
          <w:color w:val="000000"/>
        </w:rPr>
        <w:t>ing</w:t>
      </w:r>
      <w:r w:rsidRPr="00317682">
        <w:rPr>
          <w:color w:val="000000"/>
        </w:rPr>
        <w:t xml:space="preserve"> governance and </w:t>
      </w:r>
      <w:r w:rsidR="00C25838" w:rsidRPr="00317682">
        <w:rPr>
          <w:color w:val="000000"/>
        </w:rPr>
        <w:t xml:space="preserve">to </w:t>
      </w:r>
      <w:r w:rsidRPr="00317682">
        <w:rPr>
          <w:color w:val="000000"/>
        </w:rPr>
        <w:t>the ultimate goal of reducing poverty remains problematic.</w:t>
      </w:r>
      <w:proofErr w:type="gramEnd"/>
      <w:r w:rsidRPr="00317682">
        <w:rPr>
          <w:color w:val="000000"/>
        </w:rPr>
        <w:t xml:space="preserve"> Calls for </w:t>
      </w:r>
      <w:r w:rsidR="00C25838" w:rsidRPr="00317682">
        <w:rPr>
          <w:color w:val="000000"/>
        </w:rPr>
        <w:t xml:space="preserve">better </w:t>
      </w:r>
      <w:r w:rsidRPr="00317682">
        <w:rPr>
          <w:color w:val="000000"/>
        </w:rPr>
        <w:t xml:space="preserve">methods of monitoring and evaluating civil society programs are common across many of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’s programs. Programs have tended to measure activities and processes rather than outcomes and impacts or demonstrate how these programs contribute to </w:t>
      </w:r>
      <w:proofErr w:type="spellStart"/>
      <w:r w:rsidRPr="00317682">
        <w:rPr>
          <w:color w:val="000000"/>
        </w:rPr>
        <w:t>AusAID’s</w:t>
      </w:r>
      <w:proofErr w:type="spellEnd"/>
      <w:r w:rsidRPr="00317682">
        <w:rPr>
          <w:color w:val="000000"/>
        </w:rPr>
        <w:t xml:space="preserve"> support at a country or sectoral level. </w:t>
      </w:r>
      <w:proofErr w:type="spellStart"/>
      <w:r w:rsidRPr="00317682">
        <w:rPr>
          <w:color w:val="000000"/>
        </w:rPr>
        <w:t>AusAID</w:t>
      </w:r>
      <w:proofErr w:type="spellEnd"/>
      <w:r w:rsidRPr="00317682">
        <w:rPr>
          <w:color w:val="000000"/>
        </w:rPr>
        <w:t xml:space="preserve"> has acknowledged this and is undertaking research to provide a practical guide on the characteristics of high</w:t>
      </w:r>
      <w:r w:rsidR="00C25838" w:rsidRPr="00317682">
        <w:rPr>
          <w:color w:val="000000"/>
        </w:rPr>
        <w:t>-</w:t>
      </w:r>
      <w:r w:rsidRPr="00317682">
        <w:rPr>
          <w:color w:val="000000"/>
        </w:rPr>
        <w:t xml:space="preserve">quality </w:t>
      </w:r>
      <w:r w:rsidR="00C25838" w:rsidRPr="00317682">
        <w:rPr>
          <w:color w:val="000000"/>
        </w:rPr>
        <w:t>monitoring and evaluating</w:t>
      </w:r>
      <w:r w:rsidRPr="00317682">
        <w:rPr>
          <w:color w:val="000000"/>
        </w:rPr>
        <w:t xml:space="preserve"> systems for community engagement programs, including assessment and promotion of gender equality. </w:t>
      </w:r>
    </w:p>
    <w:p w:rsidR="00DB2E78" w:rsidRPr="00317682" w:rsidRDefault="00DB2E78" w:rsidP="00441FC6">
      <w:pPr>
        <w:pStyle w:val="Heading2unnumbered"/>
        <w:rPr>
          <w:color w:val="000000"/>
        </w:rPr>
      </w:pPr>
      <w:bookmarkStart w:id="56" w:name="_Toc202340891"/>
      <w:bookmarkStart w:id="57" w:name="_Toc207514552"/>
      <w:bookmarkStart w:id="58" w:name="_Toc222041487"/>
      <w:r w:rsidRPr="00317682">
        <w:rPr>
          <w:color w:val="000000"/>
        </w:rPr>
        <w:lastRenderedPageBreak/>
        <w:t>Improving democratic processes</w:t>
      </w:r>
      <w:bookmarkEnd w:id="56"/>
      <w:bookmarkEnd w:id="57"/>
      <w:bookmarkEnd w:id="58"/>
    </w:p>
    <w:p w:rsidR="00DB2E78" w:rsidRPr="00317682" w:rsidRDefault="00DB2E78" w:rsidP="00BB3F3C">
      <w:pPr>
        <w:pStyle w:val="Heading3"/>
        <w:spacing w:before="240"/>
        <w:rPr>
          <w:color w:val="000000"/>
        </w:rPr>
      </w:pPr>
      <w:bookmarkStart w:id="59" w:name="_Toc202340892"/>
      <w:bookmarkStart w:id="60" w:name="_Toc207514553"/>
      <w:r w:rsidRPr="00317682">
        <w:rPr>
          <w:color w:val="000000"/>
        </w:rPr>
        <w:t xml:space="preserve">What does </w:t>
      </w:r>
      <w:proofErr w:type="spellStart"/>
      <w:r w:rsidRPr="00317682">
        <w:rPr>
          <w:color w:val="000000"/>
        </w:rPr>
        <w:t>AusAID</w:t>
      </w:r>
      <w:proofErr w:type="spellEnd"/>
      <w:r w:rsidRPr="00317682">
        <w:rPr>
          <w:color w:val="000000"/>
        </w:rPr>
        <w:t xml:space="preserve"> do?</w:t>
      </w:r>
      <w:bookmarkEnd w:id="59"/>
      <w:bookmarkEnd w:id="60"/>
    </w:p>
    <w:p w:rsidR="00DB2E78" w:rsidRPr="00317682" w:rsidRDefault="00DB2E78" w:rsidP="00441FC6">
      <w:pPr>
        <w:pStyle w:val="BodyText"/>
        <w:rPr>
          <w:color w:val="000000"/>
        </w:rPr>
      </w:pPr>
      <w:r w:rsidRPr="00317682">
        <w:rPr>
          <w:color w:val="000000"/>
        </w:rPr>
        <w:t xml:space="preserve">Improved democratic processes first appeared as one of the </w:t>
      </w:r>
      <w:r w:rsidR="00530428" w:rsidRPr="00317682">
        <w:rPr>
          <w:color w:val="000000"/>
        </w:rPr>
        <w:t>sub</w:t>
      </w:r>
      <w:r w:rsidRPr="00317682">
        <w:rPr>
          <w:color w:val="000000"/>
        </w:rPr>
        <w:t xml:space="preserve">sectors of governance </w:t>
      </w:r>
      <w:proofErr w:type="gramStart"/>
      <w:r w:rsidRPr="00317682">
        <w:rPr>
          <w:color w:val="000000"/>
        </w:rPr>
        <w:t>in the 2003</w:t>
      </w:r>
      <w:r w:rsidR="00C25838" w:rsidRPr="00317682">
        <w:rPr>
          <w:color w:val="000000"/>
        </w:rPr>
        <w:t>–</w:t>
      </w:r>
      <w:r w:rsidRPr="00317682">
        <w:rPr>
          <w:color w:val="000000"/>
        </w:rPr>
        <w:t xml:space="preserve">04 </w:t>
      </w:r>
      <w:r w:rsidR="004964C3" w:rsidRPr="00317682">
        <w:rPr>
          <w:color w:val="000000"/>
        </w:rPr>
        <w:t>Ministerial Budget Statement</w:t>
      </w:r>
      <w:proofErr w:type="gramEnd"/>
      <w:r w:rsidRPr="00317682">
        <w:rPr>
          <w:color w:val="000000"/>
        </w:rPr>
        <w:t>.</w:t>
      </w:r>
      <w:r w:rsidR="00C16EB4" w:rsidRPr="00317682">
        <w:rPr>
          <w:color w:val="000000"/>
        </w:rPr>
        <w:t xml:space="preserve"> </w:t>
      </w:r>
      <w:r w:rsidRPr="00317682">
        <w:rPr>
          <w:color w:val="000000"/>
        </w:rPr>
        <w:t xml:space="preserve">Its inclusion coincided with growing domestic concern about the deteriorating security situation in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xml:space="preserve"> and more generally about the character of political governance across the Pacific. It also coincided with a growing body of international analysis </w:t>
      </w:r>
      <w:r w:rsidR="004964C3" w:rsidRPr="00317682">
        <w:rPr>
          <w:color w:val="000000"/>
        </w:rPr>
        <w:t xml:space="preserve">providing evidence of </w:t>
      </w:r>
      <w:r w:rsidRPr="00317682">
        <w:rPr>
          <w:color w:val="000000"/>
        </w:rPr>
        <w:t>the limited efficacy of efforts to strengthen the capacity of governments where the political economy and the incentive structures remained unaltered.</w:t>
      </w:r>
    </w:p>
    <w:p w:rsidR="00DB2E78" w:rsidRPr="00317682" w:rsidRDefault="004964C3" w:rsidP="00441FC6">
      <w:pPr>
        <w:pStyle w:val="BodyText"/>
        <w:rPr>
          <w:color w:val="000000"/>
        </w:rPr>
      </w:pPr>
      <w:r w:rsidRPr="00317682">
        <w:rPr>
          <w:color w:val="000000"/>
        </w:rPr>
        <w:t>Democratic processes</w:t>
      </w:r>
      <w:r w:rsidR="00DB2E78" w:rsidRPr="00317682">
        <w:rPr>
          <w:color w:val="000000"/>
        </w:rPr>
        <w:t xml:space="preserve"> </w:t>
      </w:r>
      <w:r w:rsidRPr="00317682">
        <w:rPr>
          <w:color w:val="000000"/>
        </w:rPr>
        <w:t xml:space="preserve">account for 5 per cent of total governance </w:t>
      </w:r>
      <w:r w:rsidR="00581EC1" w:rsidRPr="00317682">
        <w:rPr>
          <w:color w:val="000000"/>
        </w:rPr>
        <w:t>programming and make up</w:t>
      </w:r>
      <w:r w:rsidRPr="00317682">
        <w:rPr>
          <w:color w:val="000000"/>
        </w:rPr>
        <w:t xml:space="preserve"> </w:t>
      </w:r>
      <w:r w:rsidR="00DB2E78" w:rsidRPr="00317682">
        <w:rPr>
          <w:color w:val="000000"/>
        </w:rPr>
        <w:t xml:space="preserve">the smallest of the governance </w:t>
      </w:r>
      <w:r w:rsidR="00530428" w:rsidRPr="00317682">
        <w:rPr>
          <w:color w:val="000000"/>
        </w:rPr>
        <w:t>sub</w:t>
      </w:r>
      <w:r w:rsidR="00DB2E78" w:rsidRPr="00317682">
        <w:rPr>
          <w:color w:val="000000"/>
        </w:rPr>
        <w:t xml:space="preserve">sectors. Activity is concentrated in </w:t>
      </w:r>
      <w:r w:rsidR="00581EC1" w:rsidRPr="00317682">
        <w:rPr>
          <w:color w:val="000000"/>
        </w:rPr>
        <w:t>several</w:t>
      </w:r>
      <w:r w:rsidR="00DB2E78" w:rsidRPr="00317682">
        <w:rPr>
          <w:color w:val="000000"/>
        </w:rPr>
        <w:t xml:space="preserve"> areas</w:t>
      </w:r>
      <w:r w:rsidR="00581EC1" w:rsidRPr="00317682">
        <w:rPr>
          <w:color w:val="000000"/>
        </w:rPr>
        <w:t>.</w:t>
      </w:r>
    </w:p>
    <w:p w:rsidR="00DB2E78" w:rsidRPr="00317682" w:rsidRDefault="00DB2E78" w:rsidP="00071974">
      <w:pPr>
        <w:pStyle w:val="BodyText"/>
        <w:spacing w:before="60" w:after="60"/>
        <w:rPr>
          <w:color w:val="000000"/>
        </w:rPr>
      </w:pPr>
      <w:r w:rsidRPr="00317682">
        <w:rPr>
          <w:rStyle w:val="Heading5Char"/>
          <w:color w:val="000000"/>
        </w:rPr>
        <w:t>Supporting elections and electoral processes, and voter education</w:t>
      </w:r>
      <w:r w:rsidR="00581EC1" w:rsidRPr="00317682">
        <w:rPr>
          <w:color w:val="000000"/>
        </w:rPr>
        <w:t> </w:t>
      </w:r>
      <w:r w:rsidR="00581EC1" w:rsidRPr="00317682">
        <w:rPr>
          <w:color w:val="000000"/>
        </w:rPr>
        <w:t>Electoral support and voter education</w:t>
      </w:r>
      <w:r w:rsidRPr="00317682">
        <w:rPr>
          <w:color w:val="000000"/>
        </w:rPr>
        <w:t xml:space="preserve"> </w:t>
      </w:r>
      <w:r w:rsidR="00581EC1" w:rsidRPr="00317682">
        <w:rPr>
          <w:color w:val="000000"/>
        </w:rPr>
        <w:t xml:space="preserve">are </w:t>
      </w:r>
      <w:r w:rsidRPr="00317682">
        <w:rPr>
          <w:color w:val="000000"/>
        </w:rPr>
        <w:t>the predominant activit</w:t>
      </w:r>
      <w:r w:rsidR="00581EC1" w:rsidRPr="00317682">
        <w:rPr>
          <w:color w:val="000000"/>
        </w:rPr>
        <w:t>ies</w:t>
      </w:r>
      <w:r w:rsidRPr="00317682">
        <w:rPr>
          <w:color w:val="000000"/>
        </w:rPr>
        <w:t xml:space="preserve"> in value and range, spanning a large number of countries from Africa and Pakistan to Tonga, and a spectrum of activities from broad institutional strengthening of electoral machinery to minor inputs around an electoral event, and from nationwide voter education to training for a small group of journalists in the lead-up to a national election</w:t>
      </w:r>
      <w:r w:rsidR="00581EC1" w:rsidRPr="00317682">
        <w:rPr>
          <w:color w:val="000000"/>
        </w:rPr>
        <w:t>.</w:t>
      </w:r>
      <w:r w:rsidRPr="00317682">
        <w:rPr>
          <w:color w:val="000000"/>
        </w:rPr>
        <w:t xml:space="preserve"> </w:t>
      </w:r>
      <w:r w:rsidR="00581EC1" w:rsidRPr="00317682">
        <w:rPr>
          <w:color w:val="000000"/>
        </w:rPr>
        <w:t>I</w:t>
      </w:r>
      <w:r w:rsidRPr="00317682">
        <w:rPr>
          <w:color w:val="000000"/>
        </w:rPr>
        <w:t xml:space="preserve">mplementing partners for significant projects include </w:t>
      </w:r>
      <w:r w:rsidR="00581EC1" w:rsidRPr="00317682">
        <w:rPr>
          <w:color w:val="000000"/>
        </w:rPr>
        <w:t xml:space="preserve">the </w:t>
      </w:r>
      <w:r w:rsidRPr="00317682">
        <w:rPr>
          <w:color w:val="000000"/>
        </w:rPr>
        <w:t>United Nations Development Program</w:t>
      </w:r>
      <w:r w:rsidR="00581EC1" w:rsidRPr="00317682">
        <w:rPr>
          <w:color w:val="000000"/>
        </w:rPr>
        <w:t>me</w:t>
      </w:r>
      <w:r w:rsidRPr="00317682">
        <w:rPr>
          <w:color w:val="000000"/>
        </w:rPr>
        <w:t xml:space="preserve"> (UNDP</w:t>
      </w:r>
      <w:r w:rsidR="00581EC1" w:rsidRPr="00317682">
        <w:rPr>
          <w:color w:val="000000"/>
        </w:rPr>
        <w:t>)</w:t>
      </w:r>
      <w:r w:rsidR="00C16EB4" w:rsidRPr="00317682">
        <w:rPr>
          <w:color w:val="000000"/>
        </w:rPr>
        <w:t xml:space="preserve"> </w:t>
      </w:r>
      <w:r w:rsidR="00581EC1" w:rsidRPr="00317682">
        <w:rPr>
          <w:color w:val="000000"/>
        </w:rPr>
        <w:t xml:space="preserve">in </w:t>
      </w:r>
      <w:smartTag w:uri="urn:schemas-microsoft-com:office:smarttags" w:element="country-region">
        <w:r w:rsidRPr="00317682">
          <w:rPr>
            <w:color w:val="000000"/>
          </w:rPr>
          <w:t>Cambodia</w:t>
        </w:r>
      </w:smartTag>
      <w:r w:rsidRPr="00317682">
        <w:rPr>
          <w:color w:val="000000"/>
        </w:rPr>
        <w:t xml:space="preserve"> and East Timor and the Australian Electoral Commission </w:t>
      </w:r>
      <w:r w:rsidR="00581EC1" w:rsidRPr="00317682">
        <w:rPr>
          <w:color w:val="000000"/>
        </w:rPr>
        <w:t xml:space="preserve">in </w:t>
      </w:r>
      <w:smartTag w:uri="urn:schemas-microsoft-com:office:smarttags" w:element="country-region">
        <w:r w:rsidR="00581EC1" w:rsidRPr="00317682">
          <w:rPr>
            <w:color w:val="000000"/>
          </w:rPr>
          <w:t>Papua New Guinea</w:t>
        </w:r>
      </w:smartTag>
      <w:r w:rsidR="00581EC1" w:rsidRPr="00317682">
        <w:rPr>
          <w:color w:val="000000"/>
        </w:rPr>
        <w:t xml:space="preserve"> </w:t>
      </w:r>
      <w:r w:rsidRPr="00317682">
        <w:rPr>
          <w:color w:val="000000"/>
        </w:rPr>
        <w:t xml:space="preserve">and </w:t>
      </w:r>
      <w:smartTag w:uri="urn:schemas-microsoft-com:office:smarttags" w:element="place">
        <w:smartTag w:uri="urn:schemas-microsoft-com:office:smarttags" w:element="country-region">
          <w:r w:rsidRPr="00317682">
            <w:rPr>
              <w:color w:val="000000"/>
            </w:rPr>
            <w:t>Solomon Islands</w:t>
          </w:r>
        </w:smartTag>
      </w:smartTag>
      <w:r w:rsidR="00581EC1" w:rsidRPr="00317682">
        <w:rPr>
          <w:color w:val="000000"/>
        </w:rPr>
        <w:t>.</w:t>
      </w:r>
    </w:p>
    <w:p w:rsidR="00DB2E78" w:rsidRPr="00317682" w:rsidRDefault="00DB2E78" w:rsidP="00071974">
      <w:pPr>
        <w:pStyle w:val="BodyText"/>
        <w:spacing w:before="60" w:after="60"/>
        <w:rPr>
          <w:color w:val="000000"/>
        </w:rPr>
      </w:pPr>
      <w:r w:rsidRPr="00317682">
        <w:rPr>
          <w:rStyle w:val="Heading5Char"/>
          <w:color w:val="000000"/>
        </w:rPr>
        <w:t>Parliamentary strengthening</w:t>
      </w:r>
      <w:r w:rsidR="0050667A" w:rsidRPr="00317682">
        <w:rPr>
          <w:color w:val="000000"/>
        </w:rPr>
        <w:t xml:space="preserve"> </w:t>
      </w:r>
      <w:r w:rsidRPr="00317682">
        <w:rPr>
          <w:color w:val="000000"/>
        </w:rPr>
        <w:t xml:space="preserve">is limited to a </w:t>
      </w:r>
      <w:r w:rsidR="008632C9" w:rsidRPr="00317682">
        <w:rPr>
          <w:color w:val="000000"/>
        </w:rPr>
        <w:t>few</w:t>
      </w:r>
      <w:r w:rsidRPr="00317682">
        <w:rPr>
          <w:color w:val="000000"/>
        </w:rPr>
        <w:t xml:space="preserve"> countries, generally in partnership with </w:t>
      </w:r>
      <w:r w:rsidR="008632C9" w:rsidRPr="00317682">
        <w:rPr>
          <w:color w:val="000000"/>
        </w:rPr>
        <w:t xml:space="preserve">the </w:t>
      </w:r>
      <w:r w:rsidRPr="00317682">
        <w:rPr>
          <w:color w:val="000000"/>
        </w:rPr>
        <w:t xml:space="preserve">UNDP, and is directed </w:t>
      </w:r>
      <w:r w:rsidR="008632C9" w:rsidRPr="00317682">
        <w:rPr>
          <w:color w:val="000000"/>
        </w:rPr>
        <w:t xml:space="preserve">largely </w:t>
      </w:r>
      <w:r w:rsidRPr="00317682">
        <w:rPr>
          <w:color w:val="000000"/>
        </w:rPr>
        <w:t xml:space="preserve">towards building the capacity of </w:t>
      </w:r>
      <w:r w:rsidR="008632C9" w:rsidRPr="00317682">
        <w:rPr>
          <w:color w:val="000000"/>
        </w:rPr>
        <w:t xml:space="preserve">parliamentary </w:t>
      </w:r>
      <w:r w:rsidRPr="00317682">
        <w:rPr>
          <w:color w:val="000000"/>
        </w:rPr>
        <w:t xml:space="preserve">secretariats, strengthening the operation of </w:t>
      </w:r>
      <w:r w:rsidR="008632C9" w:rsidRPr="00317682">
        <w:rPr>
          <w:color w:val="000000"/>
        </w:rPr>
        <w:t xml:space="preserve">parliamentary </w:t>
      </w:r>
      <w:r w:rsidRPr="00317682">
        <w:rPr>
          <w:color w:val="000000"/>
        </w:rPr>
        <w:t xml:space="preserve">committees and providing development for </w:t>
      </w:r>
      <w:r w:rsidR="008632C9" w:rsidRPr="00317682">
        <w:rPr>
          <w:color w:val="000000"/>
        </w:rPr>
        <w:t>parliamentarians.</w:t>
      </w:r>
      <w:r w:rsidRPr="00317682">
        <w:rPr>
          <w:color w:val="000000"/>
        </w:rPr>
        <w:t xml:space="preserve"> </w:t>
      </w:r>
      <w:r w:rsidR="008632C9" w:rsidRPr="00317682">
        <w:rPr>
          <w:color w:val="000000"/>
        </w:rPr>
        <w:t>S</w:t>
      </w:r>
      <w:r w:rsidRPr="00317682">
        <w:rPr>
          <w:color w:val="000000"/>
        </w:rPr>
        <w:t>maller inputs are made through the Centre for Democratic Institutions and the Australian Parliament</w:t>
      </w:r>
      <w:r w:rsidR="008632C9" w:rsidRPr="00317682">
        <w:rPr>
          <w:color w:val="000000"/>
        </w:rPr>
        <w:t>.</w:t>
      </w:r>
    </w:p>
    <w:p w:rsidR="00DB2E78" w:rsidRPr="00317682" w:rsidRDefault="00DB2E78" w:rsidP="00071974">
      <w:pPr>
        <w:pStyle w:val="BodyText"/>
        <w:spacing w:before="60" w:after="60"/>
        <w:rPr>
          <w:color w:val="000000"/>
        </w:rPr>
      </w:pPr>
      <w:r w:rsidRPr="00317682">
        <w:rPr>
          <w:rStyle w:val="Heading5Char"/>
          <w:color w:val="000000"/>
        </w:rPr>
        <w:t>Strengthening accountability institutions</w:t>
      </w:r>
      <w:r w:rsidR="008632C9" w:rsidRPr="00317682">
        <w:rPr>
          <w:color w:val="000000"/>
        </w:rPr>
        <w:t> </w:t>
      </w:r>
      <w:proofErr w:type="gramStart"/>
      <w:r w:rsidR="008632C9" w:rsidRPr="00317682">
        <w:rPr>
          <w:color w:val="000000"/>
        </w:rPr>
        <w:t>The</w:t>
      </w:r>
      <w:proofErr w:type="gramEnd"/>
      <w:r w:rsidR="008632C9" w:rsidRPr="00317682">
        <w:rPr>
          <w:color w:val="000000"/>
        </w:rPr>
        <w:t xml:space="preserve"> institutions involved are </w:t>
      </w:r>
      <w:r w:rsidRPr="00317682">
        <w:rPr>
          <w:color w:val="000000"/>
        </w:rPr>
        <w:t>supreme audit</w:t>
      </w:r>
      <w:r w:rsidR="008632C9" w:rsidRPr="00317682">
        <w:rPr>
          <w:color w:val="000000"/>
        </w:rPr>
        <w:t xml:space="preserve"> offices,</w:t>
      </w:r>
      <w:r w:rsidRPr="00317682">
        <w:rPr>
          <w:color w:val="000000"/>
        </w:rPr>
        <w:t xml:space="preserve"> </w:t>
      </w:r>
      <w:r w:rsidR="008632C9" w:rsidRPr="00317682">
        <w:rPr>
          <w:color w:val="000000"/>
        </w:rPr>
        <w:t>ombudsmen,</w:t>
      </w:r>
      <w:r w:rsidRPr="00317682">
        <w:rPr>
          <w:color w:val="000000"/>
        </w:rPr>
        <w:t xml:space="preserve"> </w:t>
      </w:r>
      <w:r w:rsidR="008632C9" w:rsidRPr="00317682">
        <w:rPr>
          <w:color w:val="000000"/>
        </w:rPr>
        <w:t>leadership code commissions</w:t>
      </w:r>
      <w:r w:rsidRPr="00317682">
        <w:rPr>
          <w:color w:val="000000"/>
        </w:rPr>
        <w:t xml:space="preserve"> and </w:t>
      </w:r>
      <w:r w:rsidR="008632C9" w:rsidRPr="00317682">
        <w:rPr>
          <w:color w:val="000000"/>
        </w:rPr>
        <w:t>corruption commissions</w:t>
      </w:r>
      <w:r w:rsidRPr="00317682">
        <w:rPr>
          <w:color w:val="000000"/>
        </w:rPr>
        <w:t xml:space="preserve">. In some instances, the activity forms part of a </w:t>
      </w:r>
      <w:r w:rsidR="008632C9" w:rsidRPr="00317682">
        <w:rPr>
          <w:color w:val="000000"/>
        </w:rPr>
        <w:t xml:space="preserve">law and justice </w:t>
      </w:r>
      <w:r w:rsidR="00071974" w:rsidRPr="00317682">
        <w:rPr>
          <w:color w:val="000000"/>
        </w:rPr>
        <w:t xml:space="preserve">program </w:t>
      </w:r>
      <w:r w:rsidRPr="00317682">
        <w:rPr>
          <w:color w:val="000000"/>
        </w:rPr>
        <w:t>(</w:t>
      </w:r>
      <w:r w:rsidR="008632C9" w:rsidRPr="00317682">
        <w:rPr>
          <w:color w:val="000000"/>
        </w:rPr>
        <w:t>for example, in</w:t>
      </w:r>
      <w:r w:rsidRPr="00317682">
        <w:rPr>
          <w:color w:val="000000"/>
        </w:rPr>
        <w:t xml:space="preserve"> </w:t>
      </w:r>
      <w:r w:rsidR="008632C9" w:rsidRPr="00317682">
        <w:rPr>
          <w:color w:val="000000"/>
        </w:rPr>
        <w:t xml:space="preserve">Papua New </w:t>
      </w:r>
      <w:smartTag w:uri="urn:schemas-microsoft-com:office:smarttags" w:element="place">
        <w:smartTag w:uri="urn:schemas-microsoft-com:office:smarttags" w:element="country-region">
          <w:r w:rsidR="008632C9" w:rsidRPr="00317682">
            <w:rPr>
              <w:color w:val="000000"/>
            </w:rPr>
            <w:t>Guinea</w:t>
          </w:r>
        </w:smartTag>
      </w:smartTag>
      <w:r w:rsidRPr="00317682">
        <w:rPr>
          <w:color w:val="000000"/>
        </w:rPr>
        <w:t xml:space="preserve">) or </w:t>
      </w:r>
      <w:r w:rsidR="00071974" w:rsidRPr="00317682">
        <w:rPr>
          <w:color w:val="000000"/>
        </w:rPr>
        <w:t xml:space="preserve">an </w:t>
      </w:r>
      <w:r w:rsidRPr="00317682">
        <w:rPr>
          <w:color w:val="000000"/>
        </w:rPr>
        <w:t>economic governance program</w:t>
      </w:r>
      <w:r w:rsidR="008632C9" w:rsidRPr="00317682">
        <w:rPr>
          <w:color w:val="000000"/>
        </w:rPr>
        <w:t>.</w:t>
      </w:r>
    </w:p>
    <w:p w:rsidR="00DB2E78" w:rsidRPr="00317682" w:rsidRDefault="00DB2E78" w:rsidP="00071974">
      <w:pPr>
        <w:pStyle w:val="BodyText"/>
        <w:spacing w:before="60" w:after="60"/>
        <w:rPr>
          <w:color w:val="000000"/>
        </w:rPr>
      </w:pPr>
      <w:r w:rsidRPr="00317682">
        <w:rPr>
          <w:rStyle w:val="Heading5Char"/>
          <w:color w:val="000000"/>
        </w:rPr>
        <w:t>Media development</w:t>
      </w:r>
      <w:r w:rsidR="004964C3" w:rsidRPr="00317682">
        <w:rPr>
          <w:color w:val="000000"/>
        </w:rPr>
        <w:t> </w:t>
      </w:r>
      <w:proofErr w:type="gramStart"/>
      <w:r w:rsidR="004964C3" w:rsidRPr="00317682">
        <w:rPr>
          <w:color w:val="000000"/>
        </w:rPr>
        <w:t>S</w:t>
      </w:r>
      <w:r w:rsidRPr="00317682">
        <w:rPr>
          <w:color w:val="000000"/>
        </w:rPr>
        <w:t>everal</w:t>
      </w:r>
      <w:proofErr w:type="gramEnd"/>
      <w:r w:rsidRPr="00317682">
        <w:rPr>
          <w:color w:val="000000"/>
        </w:rPr>
        <w:t xml:space="preserve"> national broadcasters are receiving support for infrastructure and/or technical skills, including </w:t>
      </w:r>
      <w:r w:rsidR="008632C9" w:rsidRPr="00317682">
        <w:rPr>
          <w:color w:val="000000"/>
        </w:rPr>
        <w:t xml:space="preserve">in </w:t>
      </w:r>
      <w:smartTag w:uri="urn:schemas-microsoft-com:office:smarttags" w:element="country-region">
        <w:r w:rsidRPr="00317682">
          <w:rPr>
            <w:color w:val="000000"/>
          </w:rPr>
          <w:t>Cambodia</w:t>
        </w:r>
      </w:smartTag>
      <w:r w:rsidRPr="00317682">
        <w:rPr>
          <w:color w:val="000000"/>
        </w:rPr>
        <w:t xml:space="preserve">, </w:t>
      </w:r>
      <w:smartTag w:uri="urn:schemas-microsoft-com:office:smarttags" w:element="country-region">
        <w:r w:rsidR="008632C9" w:rsidRPr="00317682">
          <w:rPr>
            <w:color w:val="000000"/>
          </w:rPr>
          <w:t>Papua New Guinea</w:t>
        </w:r>
      </w:smartTag>
      <w:r w:rsidRPr="00317682">
        <w:rPr>
          <w:color w:val="000000"/>
        </w:rPr>
        <w:t xml:space="preserve">, </w:t>
      </w:r>
      <w:smartTag w:uri="urn:schemas-microsoft-com:office:smarttags" w:element="country-region">
        <w:r w:rsidRPr="00317682">
          <w:rPr>
            <w:color w:val="000000"/>
          </w:rPr>
          <w:t>Vanuatu</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Solomon Islands</w:t>
          </w:r>
        </w:smartTag>
      </w:smartTag>
      <w:r w:rsidR="008632C9" w:rsidRPr="00317682">
        <w:rPr>
          <w:color w:val="000000"/>
        </w:rPr>
        <w:t>.</w:t>
      </w:r>
      <w:r w:rsidRPr="00317682">
        <w:rPr>
          <w:color w:val="000000"/>
        </w:rPr>
        <w:t xml:space="preserve"> </w:t>
      </w:r>
      <w:r w:rsidR="008632C9" w:rsidRPr="00317682">
        <w:rPr>
          <w:color w:val="000000"/>
        </w:rPr>
        <w:t>L</w:t>
      </w:r>
      <w:r w:rsidRPr="00317682">
        <w:rPr>
          <w:color w:val="000000"/>
        </w:rPr>
        <w:t>ess often, support is provided to independent media</w:t>
      </w:r>
      <w:r w:rsidR="008632C9" w:rsidRPr="00317682">
        <w:rPr>
          <w:color w:val="000000"/>
        </w:rPr>
        <w:t xml:space="preserve">, as in East Timor and </w:t>
      </w:r>
      <w:smartTag w:uri="urn:schemas-microsoft-com:office:smarttags" w:element="place">
        <w:smartTag w:uri="urn:schemas-microsoft-com:office:smarttags" w:element="country-region">
          <w:r w:rsidR="008632C9" w:rsidRPr="00317682">
            <w:rPr>
              <w:color w:val="000000"/>
            </w:rPr>
            <w:t>Solomon Islands</w:t>
          </w:r>
        </w:smartTag>
      </w:smartTag>
      <w:r w:rsidR="008632C9" w:rsidRPr="00317682">
        <w:rPr>
          <w:color w:val="000000"/>
        </w:rPr>
        <w:t>.</w:t>
      </w:r>
      <w:r w:rsidRPr="00317682">
        <w:rPr>
          <w:color w:val="000000"/>
        </w:rPr>
        <w:t xml:space="preserve"> </w:t>
      </w:r>
      <w:r w:rsidR="00733CA2" w:rsidRPr="00317682">
        <w:rPr>
          <w:color w:val="000000"/>
        </w:rPr>
        <w:t>Media development a</w:t>
      </w:r>
      <w:r w:rsidRPr="00317682">
        <w:rPr>
          <w:color w:val="000000"/>
        </w:rPr>
        <w:t>ctivity is often part of a larger multi-donor activity</w:t>
      </w:r>
      <w:r w:rsidR="00733CA2" w:rsidRPr="00317682">
        <w:rPr>
          <w:color w:val="000000"/>
        </w:rPr>
        <w:t xml:space="preserve">—for example, </w:t>
      </w:r>
      <w:r w:rsidRPr="00317682">
        <w:rPr>
          <w:color w:val="000000"/>
        </w:rPr>
        <w:t xml:space="preserve">with the World Bank in </w:t>
      </w:r>
      <w:smartTag w:uri="urn:schemas-microsoft-com:office:smarttags" w:element="country-region">
        <w:r w:rsidRPr="00317682">
          <w:rPr>
            <w:color w:val="000000"/>
          </w:rPr>
          <w:t>Cambodia</w:t>
        </w:r>
      </w:smartTag>
      <w:r w:rsidRPr="00317682">
        <w:rPr>
          <w:color w:val="000000"/>
        </w:rPr>
        <w:t xml:space="preserve"> and with USAID in </w:t>
      </w:r>
      <w:smartTag w:uri="urn:schemas-microsoft-com:office:smarttags" w:element="place">
        <w:r w:rsidRPr="00317682">
          <w:rPr>
            <w:color w:val="000000"/>
          </w:rPr>
          <w:t>East Timor</w:t>
        </w:r>
      </w:smartTag>
      <w:r w:rsidR="00733CA2" w:rsidRPr="00317682">
        <w:rPr>
          <w:color w:val="000000"/>
        </w:rPr>
        <w:t>.</w:t>
      </w:r>
    </w:p>
    <w:p w:rsidR="00DB2E78" w:rsidRPr="00317682" w:rsidRDefault="00DB2E78" w:rsidP="00071974">
      <w:pPr>
        <w:pStyle w:val="BodyText"/>
        <w:spacing w:before="60" w:after="60"/>
        <w:rPr>
          <w:color w:val="000000"/>
        </w:rPr>
      </w:pPr>
      <w:r w:rsidRPr="00317682">
        <w:rPr>
          <w:rStyle w:val="Heading5Char"/>
          <w:color w:val="000000"/>
        </w:rPr>
        <w:t>Advancing women in leadership</w:t>
      </w:r>
      <w:r w:rsidR="004964C3" w:rsidRPr="00317682">
        <w:rPr>
          <w:color w:val="000000"/>
        </w:rPr>
        <w:t> </w:t>
      </w:r>
      <w:proofErr w:type="gramStart"/>
      <w:r w:rsidR="00071974" w:rsidRPr="00317682">
        <w:rPr>
          <w:color w:val="000000"/>
        </w:rPr>
        <w:t>Some</w:t>
      </w:r>
      <w:proofErr w:type="gramEnd"/>
      <w:r w:rsidRPr="00317682">
        <w:rPr>
          <w:color w:val="000000"/>
        </w:rPr>
        <w:t xml:space="preserve"> very recent initiatives are addressing </w:t>
      </w:r>
      <w:r w:rsidR="006969AB" w:rsidRPr="00317682">
        <w:rPr>
          <w:color w:val="000000"/>
        </w:rPr>
        <w:t xml:space="preserve">the lack of </w:t>
      </w:r>
      <w:r w:rsidRPr="00317682">
        <w:rPr>
          <w:color w:val="000000"/>
        </w:rPr>
        <w:t xml:space="preserve">women </w:t>
      </w:r>
      <w:r w:rsidR="00071974" w:rsidRPr="00317682">
        <w:rPr>
          <w:color w:val="000000"/>
        </w:rPr>
        <w:t xml:space="preserve">as </w:t>
      </w:r>
      <w:r w:rsidRPr="00317682">
        <w:rPr>
          <w:color w:val="000000"/>
        </w:rPr>
        <w:t>leaders</w:t>
      </w:r>
      <w:r w:rsidR="006969AB" w:rsidRPr="00317682">
        <w:rPr>
          <w:color w:val="000000"/>
        </w:rPr>
        <w:t>.</w:t>
      </w:r>
      <w:r w:rsidRPr="00317682">
        <w:rPr>
          <w:color w:val="000000"/>
        </w:rPr>
        <w:t xml:space="preserve"> </w:t>
      </w:r>
      <w:r w:rsidR="006969AB" w:rsidRPr="00317682">
        <w:rPr>
          <w:color w:val="000000"/>
        </w:rPr>
        <w:t>A</w:t>
      </w:r>
      <w:r w:rsidRPr="00317682">
        <w:rPr>
          <w:color w:val="000000"/>
        </w:rPr>
        <w:t>ll are in the Pacific, where women have the lowest rate of election to national political office globally</w:t>
      </w:r>
      <w:r w:rsidR="006969AB" w:rsidRPr="00317682">
        <w:rPr>
          <w:color w:val="000000"/>
        </w:rPr>
        <w:t>.</w:t>
      </w:r>
    </w:p>
    <w:p w:rsidR="00DB2E78" w:rsidRPr="00317682" w:rsidRDefault="00DB2E78" w:rsidP="00071974">
      <w:pPr>
        <w:pStyle w:val="BodyText"/>
        <w:spacing w:before="60" w:after="60"/>
        <w:rPr>
          <w:color w:val="000000"/>
        </w:rPr>
      </w:pPr>
      <w:r w:rsidRPr="00317682">
        <w:rPr>
          <w:rStyle w:val="Heading5Char"/>
          <w:color w:val="000000"/>
        </w:rPr>
        <w:t>Core funding</w:t>
      </w:r>
      <w:r w:rsidR="0050667A" w:rsidRPr="00317682">
        <w:rPr>
          <w:color w:val="000000"/>
        </w:rPr>
        <w:t xml:space="preserve"> </w:t>
      </w:r>
      <w:r w:rsidR="006969AB" w:rsidRPr="00317682">
        <w:rPr>
          <w:color w:val="000000"/>
        </w:rPr>
        <w:t xml:space="preserve">is </w:t>
      </w:r>
      <w:r w:rsidRPr="00317682">
        <w:rPr>
          <w:color w:val="000000"/>
        </w:rPr>
        <w:t xml:space="preserve">provided to a </w:t>
      </w:r>
      <w:r w:rsidR="006969AB" w:rsidRPr="00317682">
        <w:rPr>
          <w:color w:val="000000"/>
        </w:rPr>
        <w:t xml:space="preserve">few </w:t>
      </w:r>
      <w:r w:rsidRPr="00317682">
        <w:rPr>
          <w:color w:val="000000"/>
        </w:rPr>
        <w:t>of bodies supporting the development of democratic processes: the Centre for Democratic Institutions</w:t>
      </w:r>
      <w:r w:rsidR="006969AB" w:rsidRPr="00317682">
        <w:rPr>
          <w:color w:val="000000"/>
        </w:rPr>
        <w:t>,</w:t>
      </w:r>
      <w:r w:rsidRPr="00317682">
        <w:rPr>
          <w:color w:val="000000"/>
        </w:rPr>
        <w:t xml:space="preserve"> the UN Democracy Fund and the Partnership for Democratic Governance. </w:t>
      </w:r>
    </w:p>
    <w:p w:rsidR="00DB2E78" w:rsidRPr="00317682" w:rsidRDefault="00DB2E78" w:rsidP="00441FC6">
      <w:pPr>
        <w:pStyle w:val="BodyText"/>
        <w:rPr>
          <w:color w:val="000000"/>
        </w:rPr>
      </w:pPr>
      <w:r w:rsidRPr="00317682">
        <w:rPr>
          <w:color w:val="000000"/>
        </w:rPr>
        <w:t xml:space="preserve">Much of the activity </w:t>
      </w:r>
      <w:r w:rsidR="00071974" w:rsidRPr="00317682">
        <w:rPr>
          <w:color w:val="000000"/>
        </w:rPr>
        <w:t xml:space="preserve">on democratic processes </w:t>
      </w:r>
      <w:r w:rsidRPr="00317682">
        <w:rPr>
          <w:color w:val="000000"/>
        </w:rPr>
        <w:t>is small</w:t>
      </w:r>
      <w:r w:rsidR="006969AB" w:rsidRPr="00317682">
        <w:rPr>
          <w:color w:val="000000"/>
        </w:rPr>
        <w:t xml:space="preserve"> </w:t>
      </w:r>
      <w:r w:rsidRPr="00317682">
        <w:rPr>
          <w:color w:val="000000"/>
        </w:rPr>
        <w:t>scale</w:t>
      </w:r>
      <w:r w:rsidR="006969AB" w:rsidRPr="00317682">
        <w:rPr>
          <w:color w:val="000000"/>
        </w:rPr>
        <w:t>—</w:t>
      </w:r>
      <w:r w:rsidRPr="00317682">
        <w:rPr>
          <w:color w:val="000000"/>
        </w:rPr>
        <w:t xml:space="preserve">under the $3 million </w:t>
      </w:r>
      <w:r w:rsidR="006969AB" w:rsidRPr="00317682">
        <w:rPr>
          <w:color w:val="000000"/>
        </w:rPr>
        <w:t xml:space="preserve">minimum </w:t>
      </w:r>
      <w:r w:rsidRPr="00317682">
        <w:rPr>
          <w:color w:val="000000"/>
        </w:rPr>
        <w:t>for QAI assessments</w:t>
      </w:r>
      <w:r w:rsidR="00071974" w:rsidRPr="00317682">
        <w:rPr>
          <w:color w:val="000000"/>
        </w:rPr>
        <w:t>—</w:t>
      </w:r>
      <w:r w:rsidRPr="00317682">
        <w:rPr>
          <w:color w:val="000000"/>
        </w:rPr>
        <w:t>and much is implemented through partnerships with multilateral organisations, whole-of-government agencies, and regional and international non</w:t>
      </w:r>
      <w:r w:rsidR="00B5756F" w:rsidRPr="00317682">
        <w:rPr>
          <w:color w:val="000000"/>
        </w:rPr>
        <w:t>-</w:t>
      </w:r>
      <w:r w:rsidRPr="00317682">
        <w:rPr>
          <w:color w:val="000000"/>
        </w:rPr>
        <w:t>government organisations.</w:t>
      </w:r>
      <w:r w:rsidR="00C16EB4" w:rsidRPr="00317682">
        <w:rPr>
          <w:color w:val="000000"/>
        </w:rPr>
        <w:t xml:space="preserve"> </w:t>
      </w:r>
    </w:p>
    <w:p w:rsidR="00DB2E78" w:rsidRPr="00317682" w:rsidRDefault="00DB2E78" w:rsidP="00DB2E78">
      <w:pPr>
        <w:pStyle w:val="Heading3"/>
        <w:rPr>
          <w:color w:val="000000"/>
        </w:rPr>
      </w:pPr>
      <w:bookmarkStart w:id="61" w:name="_Toc202340893"/>
      <w:bookmarkStart w:id="62" w:name="_Toc207514554"/>
      <w:r w:rsidRPr="00317682">
        <w:rPr>
          <w:color w:val="000000"/>
        </w:rPr>
        <w:lastRenderedPageBreak/>
        <w:t>Performance and results</w:t>
      </w:r>
      <w:bookmarkEnd w:id="61"/>
      <w:bookmarkEnd w:id="62"/>
    </w:p>
    <w:p w:rsidR="00DB2E78" w:rsidRPr="00317682" w:rsidRDefault="00DB2E78" w:rsidP="00441FC6">
      <w:pPr>
        <w:pStyle w:val="BodyText"/>
        <w:rPr>
          <w:color w:val="000000"/>
        </w:rPr>
      </w:pPr>
      <w:r w:rsidRPr="00317682">
        <w:rPr>
          <w:color w:val="000000"/>
        </w:rPr>
        <w:t xml:space="preserve">Approaches </w:t>
      </w:r>
      <w:r w:rsidR="00095BE1" w:rsidRPr="00317682">
        <w:rPr>
          <w:color w:val="000000"/>
        </w:rPr>
        <w:t xml:space="preserve">to improving democratic processes </w:t>
      </w:r>
      <w:r w:rsidRPr="00317682">
        <w:rPr>
          <w:color w:val="000000"/>
        </w:rPr>
        <w:t xml:space="preserve">are substantially guided by the country context and the orientation of </w:t>
      </w:r>
      <w:r w:rsidR="00095BE1" w:rsidRPr="00317682">
        <w:rPr>
          <w:color w:val="000000"/>
        </w:rPr>
        <w:t xml:space="preserve">country strategies </w:t>
      </w:r>
      <w:r w:rsidRPr="00317682">
        <w:rPr>
          <w:color w:val="000000"/>
        </w:rPr>
        <w:t xml:space="preserve">and </w:t>
      </w:r>
      <w:r w:rsidR="00095BE1" w:rsidRPr="00317682">
        <w:rPr>
          <w:color w:val="000000"/>
        </w:rPr>
        <w:t xml:space="preserve">are </w:t>
      </w:r>
      <w:r w:rsidRPr="00317682">
        <w:rPr>
          <w:color w:val="000000"/>
        </w:rPr>
        <w:t xml:space="preserve">likely </w:t>
      </w:r>
      <w:r w:rsidR="00095BE1" w:rsidRPr="00317682">
        <w:rPr>
          <w:color w:val="000000"/>
        </w:rPr>
        <w:t xml:space="preserve">to </w:t>
      </w:r>
      <w:r w:rsidRPr="00317682">
        <w:rPr>
          <w:color w:val="000000"/>
        </w:rPr>
        <w:t xml:space="preserve">benefit from a detailed policy framework. Democratic governance has greatest prominence in the </w:t>
      </w:r>
      <w:r w:rsidR="00095BE1" w:rsidRPr="00317682">
        <w:rPr>
          <w:color w:val="000000"/>
        </w:rPr>
        <w:t xml:space="preserve">country strategies </w:t>
      </w:r>
      <w:r w:rsidRPr="00317682">
        <w:rPr>
          <w:color w:val="000000"/>
        </w:rPr>
        <w:t>for Indonesia, East Timor and the countries of Melanesia, although elements of associated programming</w:t>
      </w:r>
      <w:r w:rsidR="00095BE1" w:rsidRPr="00317682">
        <w:rPr>
          <w:color w:val="000000"/>
        </w:rPr>
        <w:t>—</w:t>
      </w:r>
      <w:r w:rsidRPr="00317682">
        <w:rPr>
          <w:color w:val="000000"/>
        </w:rPr>
        <w:t>most especially</w:t>
      </w:r>
      <w:r w:rsidR="00095BE1" w:rsidRPr="00317682">
        <w:rPr>
          <w:color w:val="000000"/>
        </w:rPr>
        <w:t>,</w:t>
      </w:r>
      <w:r w:rsidRPr="00317682">
        <w:rPr>
          <w:color w:val="000000"/>
        </w:rPr>
        <w:t xml:space="preserve"> forms of electoral support</w:t>
      </w:r>
      <w:r w:rsidR="00095BE1" w:rsidRPr="00317682">
        <w:rPr>
          <w:color w:val="000000"/>
        </w:rPr>
        <w:t>—</w:t>
      </w:r>
      <w:r w:rsidRPr="00317682">
        <w:rPr>
          <w:color w:val="000000"/>
        </w:rPr>
        <w:t xml:space="preserve">are scattered across many of the countries where </w:t>
      </w:r>
      <w:proofErr w:type="spellStart"/>
      <w:r w:rsidRPr="00317682">
        <w:rPr>
          <w:color w:val="000000"/>
        </w:rPr>
        <w:t>AusAID</w:t>
      </w:r>
      <w:proofErr w:type="spellEnd"/>
      <w:r w:rsidRPr="00317682">
        <w:rPr>
          <w:color w:val="000000"/>
        </w:rPr>
        <w:t xml:space="preserve"> is working. </w:t>
      </w:r>
    </w:p>
    <w:p w:rsidR="00DB2E78" w:rsidRPr="00317682" w:rsidRDefault="00DB2E78" w:rsidP="00441FC6">
      <w:pPr>
        <w:pStyle w:val="BodyText"/>
        <w:rPr>
          <w:color w:val="000000"/>
        </w:rPr>
      </w:pPr>
      <w:r w:rsidRPr="00317682">
        <w:rPr>
          <w:color w:val="000000"/>
        </w:rPr>
        <w:t>The performance of the larger electoral strengthening initiatives is mixed</w:t>
      </w:r>
      <w:r w:rsidR="00095BE1" w:rsidRPr="00317682">
        <w:rPr>
          <w:color w:val="000000"/>
        </w:rPr>
        <w:t>.</w:t>
      </w:r>
      <w:r w:rsidRPr="00317682">
        <w:rPr>
          <w:color w:val="000000"/>
        </w:rPr>
        <w:t xml:space="preserve"> </w:t>
      </w:r>
      <w:r w:rsidR="00095BE1" w:rsidRPr="00317682">
        <w:rPr>
          <w:color w:val="000000"/>
        </w:rPr>
        <w:t>A</w:t>
      </w:r>
      <w:r w:rsidRPr="00317682">
        <w:rPr>
          <w:color w:val="000000"/>
        </w:rPr>
        <w:t xml:space="preserve">ssistance with electoral events and broad civic education </w:t>
      </w:r>
      <w:r w:rsidR="00095BE1" w:rsidRPr="00317682">
        <w:rPr>
          <w:color w:val="000000"/>
        </w:rPr>
        <w:t xml:space="preserve">has </w:t>
      </w:r>
      <w:r w:rsidRPr="00317682">
        <w:rPr>
          <w:color w:val="000000"/>
        </w:rPr>
        <w:t>yield</w:t>
      </w:r>
      <w:r w:rsidR="00095BE1" w:rsidRPr="00317682">
        <w:rPr>
          <w:color w:val="000000"/>
        </w:rPr>
        <w:t>ed</w:t>
      </w:r>
      <w:r w:rsidRPr="00317682">
        <w:rPr>
          <w:color w:val="000000"/>
        </w:rPr>
        <w:t xml:space="preserve"> more tangible results than the more challenging </w:t>
      </w:r>
      <w:r w:rsidR="00095BE1" w:rsidRPr="00317682">
        <w:rPr>
          <w:color w:val="000000"/>
        </w:rPr>
        <w:t xml:space="preserve">strengthening of </w:t>
      </w:r>
      <w:r w:rsidRPr="00317682">
        <w:rPr>
          <w:color w:val="000000"/>
        </w:rPr>
        <w:t>institution</w:t>
      </w:r>
      <w:r w:rsidR="00095BE1" w:rsidRPr="00317682">
        <w:rPr>
          <w:color w:val="000000"/>
        </w:rPr>
        <w:t>s</w:t>
      </w:r>
      <w:r w:rsidRPr="00317682">
        <w:rPr>
          <w:color w:val="000000"/>
        </w:rPr>
        <w:t xml:space="preserve">. Multi-donor UNDP projects in </w:t>
      </w:r>
      <w:smartTag w:uri="urn:schemas-microsoft-com:office:smarttags" w:element="country-region">
        <w:r w:rsidRPr="00317682">
          <w:rPr>
            <w:color w:val="000000"/>
          </w:rPr>
          <w:t>Cambodia</w:t>
        </w:r>
      </w:smartTag>
      <w:r w:rsidRPr="00317682">
        <w:rPr>
          <w:color w:val="000000"/>
        </w:rPr>
        <w:t xml:space="preserve"> and </w:t>
      </w:r>
      <w:smartTag w:uri="urn:schemas-microsoft-com:office:smarttags" w:element="place">
        <w:r w:rsidRPr="00317682">
          <w:rPr>
            <w:color w:val="000000"/>
          </w:rPr>
          <w:t>East Timor</w:t>
        </w:r>
      </w:smartTag>
      <w:r w:rsidRPr="00317682">
        <w:rPr>
          <w:color w:val="000000"/>
        </w:rPr>
        <w:t xml:space="preserve"> achieved qualified results. </w:t>
      </w:r>
      <w:r w:rsidR="00095BE1" w:rsidRPr="00317682">
        <w:rPr>
          <w:color w:val="000000"/>
        </w:rPr>
        <w:t xml:space="preserve">East </w:t>
      </w:r>
      <w:r w:rsidRPr="00317682">
        <w:rPr>
          <w:color w:val="000000"/>
        </w:rPr>
        <w:t>Timor’s 2007 elections were administered in accordance with the constitution and assessed as free and fair, with 81</w:t>
      </w:r>
      <w:r w:rsidR="00B36A64" w:rsidRPr="00317682">
        <w:rPr>
          <w:color w:val="000000"/>
        </w:rPr>
        <w:t> per cent</w:t>
      </w:r>
      <w:r w:rsidRPr="00317682">
        <w:rPr>
          <w:color w:val="000000"/>
        </w:rPr>
        <w:t xml:space="preserve"> voter turnout and no violence</w:t>
      </w:r>
      <w:r w:rsidR="00095BE1" w:rsidRPr="00317682">
        <w:rPr>
          <w:color w:val="000000"/>
        </w:rPr>
        <w:t>,</w:t>
      </w:r>
      <w:r w:rsidRPr="00317682">
        <w:rPr>
          <w:color w:val="000000"/>
        </w:rPr>
        <w:t xml:space="preserve"> although project inputs</w:t>
      </w:r>
      <w:r w:rsidR="00095BE1" w:rsidRPr="00317682">
        <w:rPr>
          <w:color w:val="000000"/>
        </w:rPr>
        <w:t>,</w:t>
      </w:r>
      <w:r w:rsidRPr="00317682">
        <w:rPr>
          <w:color w:val="000000"/>
        </w:rPr>
        <w:t xml:space="preserve"> including voter and civic education, </w:t>
      </w:r>
      <w:r w:rsidR="00095BE1" w:rsidRPr="00317682">
        <w:rPr>
          <w:color w:val="000000"/>
        </w:rPr>
        <w:t xml:space="preserve">the </w:t>
      </w:r>
      <w:r w:rsidRPr="00317682">
        <w:rPr>
          <w:color w:val="000000"/>
        </w:rPr>
        <w:t xml:space="preserve">training of polling officials and </w:t>
      </w:r>
      <w:r w:rsidR="00095BE1" w:rsidRPr="00317682">
        <w:rPr>
          <w:color w:val="000000"/>
        </w:rPr>
        <w:t xml:space="preserve">the </w:t>
      </w:r>
      <w:r w:rsidRPr="00317682">
        <w:rPr>
          <w:color w:val="000000"/>
        </w:rPr>
        <w:t xml:space="preserve">passage of electoral laws were delivered behind </w:t>
      </w:r>
      <w:r w:rsidR="00095BE1" w:rsidRPr="00317682">
        <w:rPr>
          <w:color w:val="000000"/>
        </w:rPr>
        <w:t>schedule</w:t>
      </w:r>
      <w:r w:rsidRPr="00317682">
        <w:rPr>
          <w:color w:val="000000"/>
        </w:rPr>
        <w:t xml:space="preserve">. The </w:t>
      </w:r>
      <w:smartTag w:uri="urn:schemas-microsoft-com:office:smarttags" w:element="place">
        <w:smartTag w:uri="urn:schemas-microsoft-com:office:smarttags" w:element="country-region">
          <w:r w:rsidRPr="00317682">
            <w:rPr>
              <w:color w:val="000000"/>
            </w:rPr>
            <w:t>Cambodia</w:t>
          </w:r>
        </w:smartTag>
      </w:smartTag>
      <w:r w:rsidRPr="00317682">
        <w:rPr>
          <w:color w:val="000000"/>
        </w:rPr>
        <w:t xml:space="preserve"> project is assessed as having contributed to a reduction in political violence but made only modest progress in improving the enabling environment and strengthening the management capacity for free and fair elections at the national and local levels</w:t>
      </w:r>
      <w:r w:rsidR="00095BE1" w:rsidRPr="00317682">
        <w:rPr>
          <w:color w:val="000000"/>
        </w:rPr>
        <w:t>. The project’s</w:t>
      </w:r>
      <w:r w:rsidRPr="00317682">
        <w:rPr>
          <w:color w:val="000000"/>
        </w:rPr>
        <w:t xml:space="preserve"> design is considered to have been overly ambitious and was unable to attract sufficient donor interest for full implementation.</w:t>
      </w:r>
    </w:p>
    <w:p w:rsidR="00DB2E78" w:rsidRPr="00317682" w:rsidRDefault="00DB2E78" w:rsidP="00441FC6">
      <w:pPr>
        <w:pStyle w:val="BodyText"/>
        <w:rPr>
          <w:color w:val="000000"/>
        </w:rPr>
      </w:pPr>
      <w:r w:rsidRPr="00317682">
        <w:rPr>
          <w:color w:val="000000"/>
        </w:rPr>
        <w:t>The PNG Electoral Support Program has a broad remit to plan, prepare and support elections, and a key focus in 2007 was the national election</w:t>
      </w:r>
      <w:r w:rsidR="00627FEB" w:rsidRPr="00317682">
        <w:rPr>
          <w:color w:val="000000"/>
        </w:rPr>
        <w:t>s</w:t>
      </w:r>
      <w:r w:rsidRPr="00317682">
        <w:rPr>
          <w:color w:val="000000"/>
        </w:rPr>
        <w:t xml:space="preserve">. Within the </w:t>
      </w:r>
      <w:r w:rsidR="00627FEB" w:rsidRPr="00317682">
        <w:rPr>
          <w:color w:val="000000"/>
        </w:rPr>
        <w:t>Government of Papua New Guinea</w:t>
      </w:r>
      <w:r w:rsidRPr="00317682">
        <w:rPr>
          <w:color w:val="000000"/>
        </w:rPr>
        <w:t>, a coordinated approach in the lead-up to the election</w:t>
      </w:r>
      <w:r w:rsidR="00627FEB" w:rsidRPr="00317682">
        <w:rPr>
          <w:color w:val="000000"/>
        </w:rPr>
        <w:t>s</w:t>
      </w:r>
      <w:r w:rsidRPr="00317682">
        <w:rPr>
          <w:color w:val="000000"/>
        </w:rPr>
        <w:t xml:space="preserve"> meant the election</w:t>
      </w:r>
      <w:r w:rsidR="00627FEB" w:rsidRPr="00317682">
        <w:rPr>
          <w:color w:val="000000"/>
        </w:rPr>
        <w:t>s</w:t>
      </w:r>
      <w:r w:rsidRPr="00317682">
        <w:rPr>
          <w:color w:val="000000"/>
        </w:rPr>
        <w:t xml:space="preserve"> </w:t>
      </w:r>
      <w:r w:rsidR="00627FEB" w:rsidRPr="00317682">
        <w:rPr>
          <w:color w:val="000000"/>
        </w:rPr>
        <w:t xml:space="preserve">were </w:t>
      </w:r>
      <w:r w:rsidRPr="00317682">
        <w:rPr>
          <w:color w:val="000000"/>
        </w:rPr>
        <w:t>fully funded from the national budget and logistical support for the event, including the mobilisation of 4000 police, was more coordinated. A wide-ranging voter education program included training for 4000 civil society representatives as trainers and the provision of face</w:t>
      </w:r>
      <w:r w:rsidR="00627FEB" w:rsidRPr="00317682">
        <w:rPr>
          <w:color w:val="000000"/>
        </w:rPr>
        <w:t>-</w:t>
      </w:r>
      <w:r w:rsidRPr="00317682">
        <w:rPr>
          <w:color w:val="000000"/>
        </w:rPr>
        <w:t>to</w:t>
      </w:r>
      <w:r w:rsidR="00627FEB" w:rsidRPr="00317682">
        <w:rPr>
          <w:color w:val="000000"/>
        </w:rPr>
        <w:t>-</w:t>
      </w:r>
      <w:r w:rsidRPr="00317682">
        <w:rPr>
          <w:color w:val="000000"/>
        </w:rPr>
        <w:t xml:space="preserve">face training to </w:t>
      </w:r>
      <w:r w:rsidR="00627FEB" w:rsidRPr="00317682">
        <w:rPr>
          <w:color w:val="000000"/>
        </w:rPr>
        <w:t xml:space="preserve">more than </w:t>
      </w:r>
      <w:r w:rsidRPr="00317682">
        <w:rPr>
          <w:color w:val="000000"/>
        </w:rPr>
        <w:t>750</w:t>
      </w:r>
      <w:r w:rsidR="00627FEB" w:rsidRPr="00317682">
        <w:rPr>
          <w:color w:val="000000"/>
        </w:rPr>
        <w:t> </w:t>
      </w:r>
      <w:r w:rsidRPr="00317682">
        <w:rPr>
          <w:color w:val="000000"/>
        </w:rPr>
        <w:t>000 people. Overall election management also improved significantly</w:t>
      </w:r>
      <w:r w:rsidR="002C1746" w:rsidRPr="00317682">
        <w:rPr>
          <w:color w:val="000000"/>
        </w:rPr>
        <w:t>.</w:t>
      </w:r>
      <w:r w:rsidRPr="00317682">
        <w:rPr>
          <w:color w:val="000000"/>
        </w:rPr>
        <w:t xml:space="preserve"> </w:t>
      </w:r>
      <w:r w:rsidR="002C1746" w:rsidRPr="00317682">
        <w:rPr>
          <w:color w:val="000000"/>
        </w:rPr>
        <w:t xml:space="preserve">A </w:t>
      </w:r>
      <w:r w:rsidRPr="00317682">
        <w:rPr>
          <w:color w:val="000000"/>
        </w:rPr>
        <w:t>new ward</w:t>
      </w:r>
      <w:r w:rsidR="002C1746" w:rsidRPr="00317682">
        <w:rPr>
          <w:color w:val="000000"/>
        </w:rPr>
        <w:t>-</w:t>
      </w:r>
      <w:r w:rsidRPr="00317682">
        <w:rPr>
          <w:color w:val="000000"/>
        </w:rPr>
        <w:t xml:space="preserve">based electoral roll, improved Electoral Commission planning, secure ballot papers, consistent counting procedures and devolved provincial budget management all contributed to the outcome. </w:t>
      </w:r>
      <w:r w:rsidR="00D45417" w:rsidRPr="00317682">
        <w:rPr>
          <w:color w:val="000000"/>
        </w:rPr>
        <w:t>However, t</w:t>
      </w:r>
      <w:r w:rsidRPr="00317682">
        <w:rPr>
          <w:color w:val="000000"/>
        </w:rPr>
        <w:t xml:space="preserve">he pressure to deliver a robust electoral event meant that capacity building was </w:t>
      </w:r>
      <w:r w:rsidR="002C1746" w:rsidRPr="00317682">
        <w:rPr>
          <w:color w:val="000000"/>
        </w:rPr>
        <w:t>sacrificed</w:t>
      </w:r>
      <w:r w:rsidRPr="00317682">
        <w:rPr>
          <w:color w:val="000000"/>
        </w:rPr>
        <w:t xml:space="preserve"> </w:t>
      </w:r>
      <w:r w:rsidR="002C1746" w:rsidRPr="00317682">
        <w:rPr>
          <w:color w:val="000000"/>
        </w:rPr>
        <w:t xml:space="preserve">for </w:t>
      </w:r>
      <w:r w:rsidRPr="00317682">
        <w:rPr>
          <w:color w:val="000000"/>
        </w:rPr>
        <w:t xml:space="preserve">a more </w:t>
      </w:r>
      <w:r w:rsidR="002C1746" w:rsidRPr="00317682">
        <w:rPr>
          <w:color w:val="000000"/>
        </w:rPr>
        <w:t>hands-</w:t>
      </w:r>
      <w:r w:rsidRPr="00317682">
        <w:rPr>
          <w:color w:val="000000"/>
        </w:rPr>
        <w:t xml:space="preserve">on approach by advisers. </w:t>
      </w:r>
      <w:r w:rsidR="00D45417" w:rsidRPr="00317682">
        <w:rPr>
          <w:color w:val="000000"/>
        </w:rPr>
        <w:t>After the election, the emphasis returned to institutional strengthening.</w:t>
      </w:r>
    </w:p>
    <w:p w:rsidR="00DB2E78" w:rsidRPr="00317682" w:rsidRDefault="00DB2E78" w:rsidP="00441FC6">
      <w:pPr>
        <w:pStyle w:val="BodyText"/>
        <w:rPr>
          <w:color w:val="000000"/>
        </w:rPr>
      </w:pPr>
      <w:r w:rsidRPr="00317682">
        <w:rPr>
          <w:color w:val="000000"/>
        </w:rPr>
        <w:t xml:space="preserve">The </w:t>
      </w:r>
      <w:r w:rsidR="00D45417" w:rsidRPr="00317682">
        <w:rPr>
          <w:color w:val="000000"/>
        </w:rPr>
        <w:t xml:space="preserve">results of the </w:t>
      </w:r>
      <w:r w:rsidRPr="00317682">
        <w:rPr>
          <w:color w:val="000000"/>
        </w:rPr>
        <w:t xml:space="preserve">three main </w:t>
      </w:r>
      <w:r w:rsidR="00D45417" w:rsidRPr="00317682">
        <w:rPr>
          <w:color w:val="000000"/>
        </w:rPr>
        <w:t xml:space="preserve">parliamentary </w:t>
      </w:r>
      <w:r w:rsidRPr="00317682">
        <w:rPr>
          <w:color w:val="000000"/>
        </w:rPr>
        <w:t>projects</w:t>
      </w:r>
      <w:r w:rsidR="00D45417" w:rsidRPr="00317682">
        <w:rPr>
          <w:color w:val="000000"/>
        </w:rPr>
        <w:t>—</w:t>
      </w:r>
      <w:r w:rsidRPr="00317682">
        <w:rPr>
          <w:color w:val="000000"/>
        </w:rPr>
        <w:t xml:space="preserve">implemented in partnership with </w:t>
      </w:r>
      <w:r w:rsidR="00D45417" w:rsidRPr="00317682">
        <w:rPr>
          <w:color w:val="000000"/>
        </w:rPr>
        <w:t xml:space="preserve">the </w:t>
      </w:r>
      <w:r w:rsidRPr="00317682">
        <w:rPr>
          <w:color w:val="000000"/>
        </w:rPr>
        <w:t xml:space="preserve">UNDP in </w:t>
      </w:r>
      <w:smartTag w:uri="urn:schemas-microsoft-com:office:smarttags" w:element="country-region">
        <w:r w:rsidRPr="00317682">
          <w:rPr>
            <w:color w:val="000000"/>
          </w:rPr>
          <w:t>Solomon Islands</w:t>
        </w:r>
      </w:smartTag>
      <w:r w:rsidRPr="00317682">
        <w:rPr>
          <w:color w:val="000000"/>
        </w:rPr>
        <w:t xml:space="preserve">, East Timor and </w:t>
      </w:r>
      <w:smartTag w:uri="urn:schemas-microsoft-com:office:smarttags" w:element="place">
        <w:smartTag w:uri="urn:schemas-microsoft-com:office:smarttags" w:element="country-region">
          <w:r w:rsidR="00D45417" w:rsidRPr="00317682">
            <w:rPr>
              <w:color w:val="000000"/>
            </w:rPr>
            <w:t>Papua New Guinea</w:t>
          </w:r>
        </w:smartTag>
      </w:smartTag>
      <w:r w:rsidR="00D45417" w:rsidRPr="00317682">
        <w:rPr>
          <w:color w:val="000000"/>
        </w:rPr>
        <w:t>—</w:t>
      </w:r>
      <w:r w:rsidRPr="00317682">
        <w:rPr>
          <w:color w:val="000000"/>
        </w:rPr>
        <w:t>were highly variable</w:t>
      </w:r>
      <w:r w:rsidR="00D45417" w:rsidRPr="00317682">
        <w:rPr>
          <w:color w:val="000000"/>
        </w:rPr>
        <w:t>.</w:t>
      </w:r>
      <w:r w:rsidRPr="00317682">
        <w:rPr>
          <w:color w:val="000000"/>
        </w:rPr>
        <w:t xml:space="preserve"> </w:t>
      </w:r>
      <w:r w:rsidR="00D45417" w:rsidRPr="00317682">
        <w:rPr>
          <w:color w:val="000000"/>
        </w:rPr>
        <w:t>B</w:t>
      </w:r>
      <w:r w:rsidRPr="00317682">
        <w:rPr>
          <w:color w:val="000000"/>
        </w:rPr>
        <w:t>roadly the same factors shap</w:t>
      </w:r>
      <w:r w:rsidR="00D45417" w:rsidRPr="00317682">
        <w:rPr>
          <w:color w:val="000000"/>
        </w:rPr>
        <w:t>ed</w:t>
      </w:r>
      <w:r w:rsidRPr="00317682">
        <w:rPr>
          <w:color w:val="000000"/>
        </w:rPr>
        <w:t xml:space="preserve"> performance in each case: the strength of support and commitment of the </w:t>
      </w:r>
      <w:r w:rsidR="00D45417" w:rsidRPr="00317682">
        <w:rPr>
          <w:color w:val="000000"/>
        </w:rPr>
        <w:t xml:space="preserve">parliamentary speaker </w:t>
      </w:r>
      <w:r w:rsidRPr="00317682">
        <w:rPr>
          <w:color w:val="000000"/>
        </w:rPr>
        <w:t>and other principals</w:t>
      </w:r>
      <w:r w:rsidR="00D45417" w:rsidRPr="00317682">
        <w:rPr>
          <w:color w:val="000000"/>
        </w:rPr>
        <w:t>,</w:t>
      </w:r>
      <w:r w:rsidRPr="00317682">
        <w:rPr>
          <w:color w:val="000000"/>
        </w:rPr>
        <w:t xml:space="preserve"> the quality and skills of the project manager</w:t>
      </w:r>
      <w:r w:rsidR="00D45417" w:rsidRPr="00317682">
        <w:rPr>
          <w:color w:val="000000"/>
        </w:rPr>
        <w:t>,</w:t>
      </w:r>
      <w:r w:rsidRPr="00317682">
        <w:rPr>
          <w:color w:val="000000"/>
        </w:rPr>
        <w:t xml:space="preserve"> and the strategic orientation of the work</w:t>
      </w:r>
      <w:r w:rsidR="00D45417" w:rsidRPr="00317682">
        <w:rPr>
          <w:color w:val="000000"/>
        </w:rPr>
        <w:t xml:space="preserve"> </w:t>
      </w:r>
      <w:r w:rsidRPr="00317682">
        <w:rPr>
          <w:color w:val="000000"/>
        </w:rPr>
        <w:t>plan. Where these factors are align</w:t>
      </w:r>
      <w:r w:rsidR="00A96222" w:rsidRPr="00317682">
        <w:rPr>
          <w:color w:val="000000"/>
        </w:rPr>
        <w:t>ed</w:t>
      </w:r>
      <w:r w:rsidRPr="00317682">
        <w:rPr>
          <w:color w:val="000000"/>
        </w:rPr>
        <w:t xml:space="preserve">, as in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the results can be impressive.</w:t>
      </w:r>
    </w:p>
    <w:p w:rsidR="00A96222" w:rsidRPr="00317682" w:rsidRDefault="00A96222" w:rsidP="00A96222">
      <w:pPr>
        <w:pStyle w:val="BodyText"/>
        <w:rPr>
          <w:color w:val="000000"/>
        </w:rPr>
      </w:pPr>
      <w:r w:rsidRPr="00317682">
        <w:rPr>
          <w:color w:val="000000"/>
          <w:spacing w:val="-2"/>
        </w:rPr>
        <w:t xml:space="preserve">The only directly designed </w:t>
      </w:r>
      <w:r w:rsidR="00CA62C7" w:rsidRPr="00317682">
        <w:rPr>
          <w:color w:val="000000"/>
          <w:spacing w:val="-2"/>
        </w:rPr>
        <w:t xml:space="preserve">parliamentary </w:t>
      </w:r>
      <w:r w:rsidRPr="00317682">
        <w:rPr>
          <w:color w:val="000000"/>
          <w:spacing w:val="-2"/>
        </w:rPr>
        <w:t xml:space="preserve">activity not executed in partnership with </w:t>
      </w:r>
      <w:r w:rsidR="00CA62C7" w:rsidRPr="00317682">
        <w:rPr>
          <w:color w:val="000000"/>
          <w:spacing w:val="-2"/>
        </w:rPr>
        <w:t xml:space="preserve">the </w:t>
      </w:r>
      <w:r w:rsidRPr="00317682">
        <w:rPr>
          <w:color w:val="000000"/>
          <w:spacing w:val="-2"/>
        </w:rPr>
        <w:t xml:space="preserve">UNDP is the relatively minor </w:t>
      </w:r>
      <w:r w:rsidR="00CA62C7" w:rsidRPr="00317682">
        <w:rPr>
          <w:color w:val="000000"/>
          <w:spacing w:val="-2"/>
        </w:rPr>
        <w:t xml:space="preserve">parliamentary </w:t>
      </w:r>
      <w:r w:rsidRPr="00317682">
        <w:rPr>
          <w:color w:val="000000"/>
          <w:spacing w:val="-2"/>
        </w:rPr>
        <w:t xml:space="preserve">subcomponent of the Africa Governance Facility, where a regional organisation was selected as the implementing partner. Although </w:t>
      </w:r>
      <w:proofErr w:type="spellStart"/>
      <w:r w:rsidRPr="00317682">
        <w:rPr>
          <w:color w:val="000000"/>
          <w:spacing w:val="-2"/>
        </w:rPr>
        <w:t>AusAID</w:t>
      </w:r>
      <w:proofErr w:type="spellEnd"/>
      <w:r w:rsidRPr="00317682">
        <w:rPr>
          <w:color w:val="000000"/>
          <w:spacing w:val="-2"/>
        </w:rPr>
        <w:t xml:space="preserve"> is a relatively small player in the region, the decision was taken not to join a donor pool with the </w:t>
      </w:r>
      <w:smartTag w:uri="urn:schemas-microsoft-com:office:smarttags" w:element="place">
        <w:smartTag w:uri="urn:schemas-microsoft-com:office:smarttags" w:element="country-region">
          <w:r w:rsidRPr="00317682">
            <w:rPr>
              <w:color w:val="000000"/>
              <w:spacing w:val="-2"/>
            </w:rPr>
            <w:t>United Kingdom</w:t>
          </w:r>
        </w:smartTag>
      </w:smartTag>
      <w:r w:rsidRPr="00317682">
        <w:rPr>
          <w:color w:val="000000"/>
          <w:spacing w:val="-2"/>
        </w:rPr>
        <w:t xml:space="preserve">’s Department for International Development and </w:t>
      </w:r>
      <w:r w:rsidR="00CA62C7" w:rsidRPr="00317682">
        <w:rPr>
          <w:color w:val="000000"/>
          <w:spacing w:val="-2"/>
        </w:rPr>
        <w:t xml:space="preserve">the </w:t>
      </w:r>
      <w:r w:rsidRPr="00317682">
        <w:rPr>
          <w:color w:val="000000"/>
          <w:spacing w:val="-2"/>
        </w:rPr>
        <w:t>UNDP</w:t>
      </w:r>
      <w:r w:rsidR="00E73F27" w:rsidRPr="00317682">
        <w:rPr>
          <w:color w:val="000000"/>
          <w:spacing w:val="-2"/>
        </w:rPr>
        <w:t>,</w:t>
      </w:r>
      <w:r w:rsidRPr="00317682">
        <w:rPr>
          <w:color w:val="000000"/>
          <w:spacing w:val="-2"/>
        </w:rPr>
        <w:t xml:space="preserve"> as participation in this mechanism was seen as marginalising the comparative value of </w:t>
      </w:r>
      <w:proofErr w:type="spellStart"/>
      <w:r w:rsidRPr="00317682">
        <w:rPr>
          <w:color w:val="000000"/>
          <w:spacing w:val="-2"/>
        </w:rPr>
        <w:t>AusAID</w:t>
      </w:r>
      <w:proofErr w:type="spellEnd"/>
      <w:r w:rsidRPr="00317682">
        <w:rPr>
          <w:color w:val="000000"/>
          <w:spacing w:val="-2"/>
        </w:rPr>
        <w:t xml:space="preserve"> contributions.</w:t>
      </w:r>
      <w:r w:rsidRPr="00317682">
        <w:rPr>
          <w:rStyle w:val="FootnoteReference"/>
          <w:color w:val="000000"/>
          <w:spacing w:val="-2"/>
          <w:sz w:val="12"/>
        </w:rPr>
        <w:footnoteReference w:id="15"/>
      </w:r>
      <w:r w:rsidRPr="00317682">
        <w:rPr>
          <w:color w:val="000000"/>
        </w:rPr>
        <w:t xml:space="preserve"> Although the medium</w:t>
      </w:r>
      <w:r w:rsidR="00E73F27" w:rsidRPr="00317682">
        <w:rPr>
          <w:color w:val="000000"/>
        </w:rPr>
        <w:t>-</w:t>
      </w:r>
      <w:r w:rsidRPr="00317682">
        <w:rPr>
          <w:color w:val="000000"/>
        </w:rPr>
        <w:t xml:space="preserve">term review </w:t>
      </w:r>
      <w:r w:rsidR="00071974" w:rsidRPr="00317682">
        <w:rPr>
          <w:color w:val="000000"/>
        </w:rPr>
        <w:t xml:space="preserve">of the parliamentary activity </w:t>
      </w:r>
      <w:r w:rsidRPr="00317682">
        <w:rPr>
          <w:color w:val="000000"/>
        </w:rPr>
        <w:t xml:space="preserve">is </w:t>
      </w:r>
      <w:r w:rsidR="00E73F27" w:rsidRPr="00317682">
        <w:rPr>
          <w:color w:val="000000"/>
        </w:rPr>
        <w:t>positive</w:t>
      </w:r>
      <w:r w:rsidRPr="00317682">
        <w:rPr>
          <w:color w:val="000000"/>
        </w:rPr>
        <w:t xml:space="preserve">, achievements are </w:t>
      </w:r>
      <w:r w:rsidRPr="00317682">
        <w:rPr>
          <w:color w:val="000000"/>
        </w:rPr>
        <w:lastRenderedPageBreak/>
        <w:t xml:space="preserve">largely limited to fairly basic outputs related to activity start-up, which itself faltered in some of the target countries. More substantial outputs included support for the development of nine constituency offices and the strengthening of 28 offices in </w:t>
      </w:r>
      <w:smartTag w:uri="urn:schemas-microsoft-com:office:smarttags" w:element="country-region">
        <w:r w:rsidRPr="00317682">
          <w:rPr>
            <w:color w:val="000000"/>
          </w:rPr>
          <w:t>Zambia</w:t>
        </w:r>
      </w:smartTag>
      <w:r w:rsidRPr="00317682">
        <w:rPr>
          <w:color w:val="000000"/>
        </w:rPr>
        <w:t xml:space="preserve">, and the establishment of a public participation unit in </w:t>
      </w:r>
      <w:smartTag w:uri="urn:schemas-microsoft-com:office:smarttags" w:element="State">
        <w:r w:rsidRPr="00317682">
          <w:rPr>
            <w:color w:val="000000"/>
          </w:rPr>
          <w:t>Eastern Cape</w:t>
        </w:r>
      </w:smartTag>
      <w:r w:rsidRPr="00317682">
        <w:rPr>
          <w:color w:val="000000"/>
        </w:rPr>
        <w:t xml:space="preserve">, </w:t>
      </w:r>
      <w:smartTag w:uri="urn:schemas-microsoft-com:office:smarttags" w:element="place">
        <w:smartTag w:uri="urn:schemas-microsoft-com:office:smarttags" w:element="country-region">
          <w:r w:rsidRPr="00317682">
            <w:rPr>
              <w:color w:val="000000"/>
            </w:rPr>
            <w:t>South Africa</w:t>
          </w:r>
        </w:smartTag>
      </w:smartTag>
      <w:r w:rsidRPr="00317682">
        <w:rPr>
          <w:color w:val="000000"/>
        </w:rPr>
        <w:t>, to increase the sensitisation of communities to the need to participate in public hearings.</w:t>
      </w:r>
    </w:p>
    <w:p w:rsidR="00441FC6" w:rsidRPr="00317682" w:rsidRDefault="00441FC6" w:rsidP="005E3012">
      <w:pPr>
        <w:pStyle w:val="Invisiblepara"/>
        <w:framePr w:hSpace="181" w:wrap="around" w:hAnchor="text" w:y="-283"/>
        <w:spacing w:before="240"/>
        <w:rPr>
          <w:color w:val="000000"/>
        </w:rPr>
      </w:pP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441FC6" w:rsidRPr="00317682" w:rsidTr="00317682">
        <w:tblPrEx>
          <w:tblCellMar>
            <w:top w:w="0" w:type="dxa"/>
            <w:bottom w:w="0" w:type="dxa"/>
          </w:tblCellMar>
        </w:tblPrEx>
        <w:trPr>
          <w:cantSplit/>
          <w:trHeight w:val="340"/>
        </w:trPr>
        <w:tc>
          <w:tcPr>
            <w:tcW w:w="7938" w:type="dxa"/>
            <w:tcMar>
              <w:top w:w="57" w:type="dxa"/>
            </w:tcMar>
          </w:tcPr>
          <w:p w:rsidR="00441FC6" w:rsidRPr="00317682" w:rsidRDefault="00441FC6" w:rsidP="005E3012">
            <w:pPr>
              <w:pStyle w:val="Caption"/>
              <w:framePr w:hSpace="181" w:wrap="around" w:hAnchor="text" w:y="-283"/>
              <w:spacing w:before="80"/>
              <w:rPr>
                <w:color w:val="000000"/>
              </w:rPr>
            </w:pP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 xml:space="preserve"> Parliamentary Strengthening Program</w:t>
            </w:r>
          </w:p>
        </w:tc>
      </w:tr>
      <w:tr w:rsidR="00441FC6" w:rsidRPr="00317682" w:rsidTr="00317682">
        <w:tblPrEx>
          <w:tblCellMar>
            <w:top w:w="0" w:type="dxa"/>
            <w:bottom w:w="0" w:type="dxa"/>
          </w:tblCellMar>
        </w:tblPrEx>
        <w:trPr>
          <w:cantSplit/>
        </w:trPr>
        <w:tc>
          <w:tcPr>
            <w:tcW w:w="7938" w:type="dxa"/>
          </w:tcPr>
          <w:p w:rsidR="00441FC6" w:rsidRPr="00317682" w:rsidRDefault="0031565D" w:rsidP="005E3012">
            <w:pPr>
              <w:pStyle w:val="BoxText"/>
              <w:framePr w:hSpace="181" w:wrap="around" w:hAnchor="text" w:y="-283"/>
              <w:rPr>
                <w:color w:val="000000"/>
              </w:rPr>
            </w:pPr>
            <w:r w:rsidRPr="00317682">
              <w:rPr>
                <w:color w:val="000000"/>
              </w:rPr>
              <w:t xml:space="preserve">The </w:t>
            </w:r>
            <w:r w:rsidR="00F501E5" w:rsidRPr="00317682">
              <w:rPr>
                <w:color w:val="000000"/>
              </w:rPr>
              <w:t xml:space="preserve">Solomon Islands Parliamentary Strengthening Program </w:t>
            </w:r>
            <w:r w:rsidR="00441FC6" w:rsidRPr="00317682">
              <w:rPr>
                <w:color w:val="000000"/>
              </w:rPr>
              <w:t>commenced i</w:t>
            </w:r>
            <w:r w:rsidR="00F501E5" w:rsidRPr="00317682">
              <w:rPr>
                <w:color w:val="000000"/>
              </w:rPr>
              <w:t>n 2004 and w</w:t>
            </w:r>
            <w:r w:rsidR="00441FC6" w:rsidRPr="00317682">
              <w:rPr>
                <w:color w:val="000000"/>
              </w:rPr>
              <w:t xml:space="preserve">as recently extended to 2012 following a very positive evaluation in 2007. It has equipped </w:t>
            </w:r>
            <w:r w:rsidR="00F501E5" w:rsidRPr="00317682">
              <w:rPr>
                <w:color w:val="000000"/>
              </w:rPr>
              <w:t xml:space="preserve">members of parliament </w:t>
            </w:r>
            <w:r w:rsidR="00441FC6" w:rsidRPr="00317682">
              <w:rPr>
                <w:color w:val="000000"/>
              </w:rPr>
              <w:t>to better understand and perform their roles through a highly acclaimed training program that has been exported to other Pacif</w:t>
            </w:r>
            <w:r w:rsidR="00F501E5" w:rsidRPr="00317682">
              <w:rPr>
                <w:color w:val="000000"/>
              </w:rPr>
              <w:t>ic countries</w:t>
            </w:r>
            <w:r w:rsidR="00071974" w:rsidRPr="00317682">
              <w:rPr>
                <w:color w:val="000000"/>
              </w:rPr>
              <w:t>.</w:t>
            </w:r>
            <w:r w:rsidR="00F501E5" w:rsidRPr="00317682">
              <w:rPr>
                <w:color w:val="000000"/>
              </w:rPr>
              <w:t xml:space="preserve"> It</w:t>
            </w:r>
            <w:r w:rsidR="00441FC6" w:rsidRPr="00317682">
              <w:rPr>
                <w:color w:val="000000"/>
              </w:rPr>
              <w:t xml:space="preserve"> has </w:t>
            </w:r>
            <w:r w:rsidR="00F501E5" w:rsidRPr="00317682">
              <w:rPr>
                <w:color w:val="000000"/>
              </w:rPr>
              <w:t xml:space="preserve">also </w:t>
            </w:r>
            <w:r w:rsidR="00441FC6" w:rsidRPr="00317682">
              <w:rPr>
                <w:color w:val="000000"/>
              </w:rPr>
              <w:t xml:space="preserve">improved the tools available to </w:t>
            </w:r>
            <w:r w:rsidR="00F501E5" w:rsidRPr="00317682">
              <w:rPr>
                <w:color w:val="000000"/>
              </w:rPr>
              <w:t xml:space="preserve">members </w:t>
            </w:r>
            <w:r w:rsidR="00441FC6" w:rsidRPr="00317682">
              <w:rPr>
                <w:color w:val="000000"/>
              </w:rPr>
              <w:t xml:space="preserve">to perform their oversight role </w:t>
            </w:r>
            <w:r w:rsidR="00F501E5" w:rsidRPr="00317682">
              <w:rPr>
                <w:color w:val="000000"/>
              </w:rPr>
              <w:t>by</w:t>
            </w:r>
            <w:r w:rsidR="00441FC6" w:rsidRPr="00317682">
              <w:rPr>
                <w:color w:val="000000"/>
              </w:rPr>
              <w:t xml:space="preserve"> </w:t>
            </w:r>
            <w:r w:rsidR="00F501E5" w:rsidRPr="00317682">
              <w:rPr>
                <w:color w:val="000000"/>
              </w:rPr>
              <w:t>expanding</w:t>
            </w:r>
            <w:r w:rsidR="00441FC6" w:rsidRPr="00317682">
              <w:rPr>
                <w:color w:val="000000"/>
              </w:rPr>
              <w:t xml:space="preserve"> the Parliamentary Secretariat</w:t>
            </w:r>
            <w:r w:rsidR="00F501E5" w:rsidRPr="00317682">
              <w:rPr>
                <w:color w:val="000000"/>
              </w:rPr>
              <w:t xml:space="preserve"> and increasing its skills</w:t>
            </w:r>
            <w:r w:rsidR="00441FC6" w:rsidRPr="00317682">
              <w:rPr>
                <w:color w:val="000000"/>
              </w:rPr>
              <w:t xml:space="preserve">, strengthening of the </w:t>
            </w:r>
            <w:r w:rsidR="00F501E5" w:rsidRPr="00317682">
              <w:rPr>
                <w:color w:val="000000"/>
              </w:rPr>
              <w:t xml:space="preserve">parliamentary </w:t>
            </w:r>
            <w:r w:rsidR="00441FC6" w:rsidRPr="00317682">
              <w:rPr>
                <w:color w:val="000000"/>
              </w:rPr>
              <w:t>research capacity (including the library and secretariat) and revitalis</w:t>
            </w:r>
            <w:r w:rsidR="00F501E5" w:rsidRPr="00317682">
              <w:rPr>
                <w:color w:val="000000"/>
              </w:rPr>
              <w:t>ing</w:t>
            </w:r>
            <w:r w:rsidR="00441FC6" w:rsidRPr="00317682">
              <w:rPr>
                <w:color w:val="000000"/>
              </w:rPr>
              <w:t xml:space="preserve"> the </w:t>
            </w:r>
            <w:r w:rsidR="00F501E5" w:rsidRPr="00317682">
              <w:rPr>
                <w:color w:val="000000"/>
              </w:rPr>
              <w:t>parliamentary committee system.</w:t>
            </w:r>
            <w:r w:rsidR="00441FC6" w:rsidRPr="00317682">
              <w:rPr>
                <w:color w:val="000000"/>
              </w:rPr>
              <w:t xml:space="preserve"> </w:t>
            </w:r>
            <w:r w:rsidR="00F501E5" w:rsidRPr="00317682">
              <w:rPr>
                <w:color w:val="000000"/>
              </w:rPr>
              <w:t>In addition, the program</w:t>
            </w:r>
            <w:r w:rsidR="00441FC6" w:rsidRPr="00317682">
              <w:rPr>
                <w:color w:val="000000"/>
              </w:rPr>
              <w:t xml:space="preserve"> has re-established </w:t>
            </w:r>
            <w:r w:rsidR="00F501E5" w:rsidRPr="00317682">
              <w:rPr>
                <w:color w:val="000000"/>
              </w:rPr>
              <w:t xml:space="preserve">parliamentary </w:t>
            </w:r>
            <w:r w:rsidR="00441FC6" w:rsidRPr="00317682">
              <w:rPr>
                <w:color w:val="000000"/>
              </w:rPr>
              <w:t xml:space="preserve">scrutiny of national accounts, which had been largely dormant for </w:t>
            </w:r>
            <w:r w:rsidR="00F501E5" w:rsidRPr="00317682">
              <w:rPr>
                <w:color w:val="000000"/>
              </w:rPr>
              <w:t>more than</w:t>
            </w:r>
            <w:r w:rsidR="00441FC6" w:rsidRPr="00317682">
              <w:rPr>
                <w:color w:val="000000"/>
              </w:rPr>
              <w:t xml:space="preserve"> 20 years. The </w:t>
            </w:r>
            <w:r w:rsidR="00F501E5" w:rsidRPr="00317682">
              <w:rPr>
                <w:color w:val="000000"/>
              </w:rPr>
              <w:t>program</w:t>
            </w:r>
            <w:r w:rsidR="00441FC6" w:rsidRPr="00317682">
              <w:rPr>
                <w:color w:val="000000"/>
              </w:rPr>
              <w:t xml:space="preserve"> has also drawn in other partners, including the Centre for Democratic Institutions, the </w:t>
            </w:r>
            <w:r w:rsidR="00F501E5" w:rsidRPr="00317682">
              <w:rPr>
                <w:color w:val="000000"/>
              </w:rPr>
              <w:t>New South Wales</w:t>
            </w:r>
            <w:r w:rsidR="00441FC6" w:rsidRPr="00317682">
              <w:rPr>
                <w:color w:val="000000"/>
              </w:rPr>
              <w:t xml:space="preserve"> Parliament and the Commonwealth Parliamentary Association to extend its reach and legitimacy. </w:t>
            </w:r>
          </w:p>
        </w:tc>
      </w:tr>
    </w:tbl>
    <w:p w:rsidR="00441FC6" w:rsidRPr="00317682" w:rsidRDefault="00441FC6" w:rsidP="005E3012">
      <w:pPr>
        <w:framePr w:hSpace="181" w:wrap="around" w:hAnchor="text" w:y="-283"/>
        <w:spacing w:after="240" w:line="14" w:lineRule="exact"/>
        <w:rPr>
          <w:color w:val="000000"/>
        </w:rPr>
      </w:pPr>
    </w:p>
    <w:p w:rsidR="00DB2E78" w:rsidRPr="00317682" w:rsidRDefault="00DB2E78" w:rsidP="00441FC6">
      <w:pPr>
        <w:pStyle w:val="BodyText"/>
        <w:rPr>
          <w:color w:val="000000"/>
        </w:rPr>
      </w:pPr>
      <w:r w:rsidRPr="00317682">
        <w:rPr>
          <w:color w:val="000000"/>
        </w:rPr>
        <w:t>Assistance for strengthening accountability machinery is generally small</w:t>
      </w:r>
      <w:r w:rsidR="007D7EAE" w:rsidRPr="00317682">
        <w:rPr>
          <w:color w:val="000000"/>
        </w:rPr>
        <w:t xml:space="preserve"> </w:t>
      </w:r>
      <w:r w:rsidRPr="00317682">
        <w:rPr>
          <w:color w:val="000000"/>
        </w:rPr>
        <w:t>scale. An exception is the Solomon Islands Accountability Program</w:t>
      </w:r>
      <w:r w:rsidR="007D7EAE" w:rsidRPr="00317682">
        <w:rPr>
          <w:color w:val="000000"/>
        </w:rPr>
        <w:t>,</w:t>
      </w:r>
      <w:r w:rsidRPr="00317682">
        <w:rPr>
          <w:color w:val="000000"/>
        </w:rPr>
        <w:t xml:space="preserve"> which supports the Office of the Auditor-General, the Ombudsman’s Office and the Leadership Code Commission, and their interface with the wider elements of the national integrity system. While progress against some elements of the program has been lacklustre, results in the audit area are outstanding</w:t>
      </w:r>
      <w:r w:rsidR="007D7EAE" w:rsidRPr="00317682">
        <w:rPr>
          <w:color w:val="000000"/>
        </w:rPr>
        <w:t>—</w:t>
      </w:r>
      <w:r w:rsidRPr="00317682">
        <w:rPr>
          <w:color w:val="000000"/>
        </w:rPr>
        <w:t>a</w:t>
      </w:r>
      <w:r w:rsidR="007D7EAE" w:rsidRPr="00317682">
        <w:rPr>
          <w:color w:val="000000"/>
        </w:rPr>
        <w:t> </w:t>
      </w:r>
      <w:r w:rsidRPr="00317682">
        <w:rPr>
          <w:color w:val="000000"/>
        </w:rPr>
        <w:t xml:space="preserve">product of strong leadership by the Auditor-General and his astute positioning of the office. </w:t>
      </w:r>
      <w:r w:rsidR="007D7EAE" w:rsidRPr="00317682">
        <w:rPr>
          <w:color w:val="000000"/>
        </w:rPr>
        <w:t xml:space="preserve">During </w:t>
      </w:r>
      <w:r w:rsidRPr="00317682">
        <w:rPr>
          <w:color w:val="000000"/>
        </w:rPr>
        <w:t xml:space="preserve">the first four years of the </w:t>
      </w:r>
      <w:r w:rsidR="007D7EAE" w:rsidRPr="00317682">
        <w:rPr>
          <w:color w:val="000000"/>
        </w:rPr>
        <w:t>program</w:t>
      </w:r>
      <w:r w:rsidRPr="00317682">
        <w:rPr>
          <w:color w:val="000000"/>
        </w:rPr>
        <w:t xml:space="preserve">, office staffing </w:t>
      </w:r>
      <w:r w:rsidR="007D7EAE" w:rsidRPr="00317682">
        <w:rPr>
          <w:color w:val="000000"/>
        </w:rPr>
        <w:t>was</w:t>
      </w:r>
      <w:r w:rsidRPr="00317682">
        <w:rPr>
          <w:color w:val="000000"/>
        </w:rPr>
        <w:t xml:space="preserve"> rebuilt to 29 (from two when RAMSI was deployed), </w:t>
      </w:r>
      <w:r w:rsidR="007D7EAE" w:rsidRPr="00317682">
        <w:rPr>
          <w:color w:val="000000"/>
        </w:rPr>
        <w:t xml:space="preserve">10 </w:t>
      </w:r>
      <w:r w:rsidRPr="00317682">
        <w:rPr>
          <w:color w:val="000000"/>
        </w:rPr>
        <w:t xml:space="preserve">special audits in revenue-sensitive areas </w:t>
      </w:r>
      <w:r w:rsidR="007D7EAE" w:rsidRPr="00317682">
        <w:rPr>
          <w:color w:val="000000"/>
        </w:rPr>
        <w:t>were</w:t>
      </w:r>
      <w:r w:rsidRPr="00317682">
        <w:rPr>
          <w:color w:val="000000"/>
        </w:rPr>
        <w:t xml:space="preserve"> completed and referred to Parliament for consideration, a </w:t>
      </w:r>
      <w:r w:rsidR="007D7EAE" w:rsidRPr="00317682">
        <w:rPr>
          <w:color w:val="000000"/>
        </w:rPr>
        <w:t>20</w:t>
      </w:r>
      <w:r w:rsidRPr="00317682">
        <w:rPr>
          <w:color w:val="000000"/>
        </w:rPr>
        <w:t xml:space="preserve">-year auditing backlog of national and provincial accounts </w:t>
      </w:r>
      <w:r w:rsidR="007D7EAE" w:rsidRPr="00317682">
        <w:rPr>
          <w:color w:val="000000"/>
        </w:rPr>
        <w:t xml:space="preserve">was </w:t>
      </w:r>
      <w:r w:rsidRPr="00317682">
        <w:rPr>
          <w:color w:val="000000"/>
        </w:rPr>
        <w:t>almost up to date</w:t>
      </w:r>
      <w:r w:rsidR="00071974" w:rsidRPr="00317682">
        <w:rPr>
          <w:color w:val="000000"/>
        </w:rPr>
        <w:t>,</w:t>
      </w:r>
      <w:r w:rsidRPr="00317682">
        <w:rPr>
          <w:color w:val="000000"/>
        </w:rPr>
        <w:t xml:space="preserve"> and serious corruption </w:t>
      </w:r>
      <w:r w:rsidR="007D7EAE" w:rsidRPr="00317682">
        <w:rPr>
          <w:color w:val="000000"/>
        </w:rPr>
        <w:t>was</w:t>
      </w:r>
      <w:r w:rsidRPr="00317682">
        <w:rPr>
          <w:color w:val="000000"/>
        </w:rPr>
        <w:t xml:space="preserve"> exposed, leading to police investigation and charges.</w:t>
      </w:r>
    </w:p>
    <w:p w:rsidR="00DB2E78" w:rsidRPr="00317682" w:rsidRDefault="00DB2E78" w:rsidP="00441FC6">
      <w:pPr>
        <w:pStyle w:val="Heading3"/>
        <w:numPr>
          <w:ilvl w:val="0"/>
          <w:numId w:val="0"/>
        </w:numPr>
        <w:rPr>
          <w:color w:val="000000"/>
        </w:rPr>
      </w:pPr>
      <w:bookmarkStart w:id="63" w:name="_Toc202340894"/>
      <w:bookmarkStart w:id="64" w:name="_Toc207514555"/>
      <w:r w:rsidRPr="00317682">
        <w:rPr>
          <w:color w:val="000000"/>
        </w:rPr>
        <w:t>Explanation</w:t>
      </w:r>
      <w:bookmarkEnd w:id="63"/>
      <w:bookmarkEnd w:id="64"/>
    </w:p>
    <w:p w:rsidR="00DB2E78" w:rsidRPr="00317682" w:rsidRDefault="00DB2E78" w:rsidP="00441FC6">
      <w:pPr>
        <w:pStyle w:val="BodyText"/>
        <w:rPr>
          <w:color w:val="000000"/>
        </w:rPr>
      </w:pPr>
      <w:proofErr w:type="spellStart"/>
      <w:r w:rsidRPr="00317682">
        <w:rPr>
          <w:color w:val="000000"/>
        </w:rPr>
        <w:t>AusAID’s</w:t>
      </w:r>
      <w:proofErr w:type="spellEnd"/>
      <w:r w:rsidRPr="00317682">
        <w:rPr>
          <w:color w:val="000000"/>
        </w:rPr>
        <w:t xml:space="preserve"> performance in this area largely reflects international experience and the complexity and sensitivity of many of the issues in delivering what may be described as variable outcomes. Across the four QAI categories this </w:t>
      </w:r>
      <w:r w:rsidR="00530428" w:rsidRPr="00317682">
        <w:rPr>
          <w:color w:val="000000"/>
        </w:rPr>
        <w:t>sub</w:t>
      </w:r>
      <w:r w:rsidRPr="00317682">
        <w:rPr>
          <w:color w:val="000000"/>
        </w:rPr>
        <w:t>sector performed best in implementation progress and achieving objectives</w:t>
      </w:r>
      <w:r w:rsidR="009207C9" w:rsidRPr="00317682">
        <w:rPr>
          <w:color w:val="000000"/>
        </w:rPr>
        <w:t>,</w:t>
      </w:r>
      <w:r w:rsidRPr="00317682">
        <w:rPr>
          <w:color w:val="000000"/>
        </w:rPr>
        <w:t xml:space="preserve"> with the majority of activities rated as good quality.</w:t>
      </w:r>
      <w:r w:rsidR="00C16EB4" w:rsidRPr="00317682">
        <w:rPr>
          <w:color w:val="000000"/>
        </w:rPr>
        <w:t xml:space="preserve"> </w:t>
      </w:r>
      <w:r w:rsidRPr="00317682">
        <w:rPr>
          <w:color w:val="000000"/>
        </w:rPr>
        <w:t>With respect to monitoring and evaluation and sustainability</w:t>
      </w:r>
      <w:r w:rsidR="009207C9" w:rsidRPr="00317682">
        <w:rPr>
          <w:color w:val="000000"/>
        </w:rPr>
        <w:t>,</w:t>
      </w:r>
      <w:r w:rsidRPr="00317682">
        <w:rPr>
          <w:color w:val="000000"/>
        </w:rPr>
        <w:t xml:space="preserve"> activities attained similar results. In practice, while there are some impressive individual initiatives characterised by strong internal leadership, </w:t>
      </w:r>
      <w:r w:rsidR="009207C9" w:rsidRPr="00317682">
        <w:rPr>
          <w:color w:val="000000"/>
        </w:rPr>
        <w:t xml:space="preserve">many </w:t>
      </w:r>
      <w:r w:rsidRPr="00317682">
        <w:rPr>
          <w:color w:val="000000"/>
        </w:rPr>
        <w:t xml:space="preserve">of the remainder </w:t>
      </w:r>
      <w:r w:rsidR="009207C9" w:rsidRPr="00317682">
        <w:rPr>
          <w:color w:val="000000"/>
        </w:rPr>
        <w:t xml:space="preserve">are </w:t>
      </w:r>
      <w:r w:rsidRPr="00317682">
        <w:rPr>
          <w:color w:val="000000"/>
        </w:rPr>
        <w:t xml:space="preserve">delivering largely operational outcomes without evidence of fundamental institutional change. </w:t>
      </w:r>
    </w:p>
    <w:p w:rsidR="00DB2E78" w:rsidRPr="00317682" w:rsidRDefault="00DB2E78" w:rsidP="00441FC6">
      <w:pPr>
        <w:pStyle w:val="BodyText"/>
        <w:rPr>
          <w:color w:val="000000"/>
        </w:rPr>
      </w:pPr>
      <w:r w:rsidRPr="00317682">
        <w:rPr>
          <w:color w:val="000000"/>
        </w:rPr>
        <w:t xml:space="preserve">While the implicit driver of activity in this </w:t>
      </w:r>
      <w:r w:rsidR="00530428" w:rsidRPr="00317682">
        <w:rPr>
          <w:color w:val="000000"/>
        </w:rPr>
        <w:t>sub</w:t>
      </w:r>
      <w:r w:rsidRPr="00317682">
        <w:rPr>
          <w:color w:val="000000"/>
        </w:rPr>
        <w:t>sector is strengthening the institutions that act as a check on executive government, the character of programming suggests that this is not necessarily well understood. As a result, activity is frequently small</w:t>
      </w:r>
      <w:r w:rsidR="009207C9" w:rsidRPr="00317682">
        <w:rPr>
          <w:color w:val="000000"/>
        </w:rPr>
        <w:t xml:space="preserve"> </w:t>
      </w:r>
      <w:r w:rsidRPr="00317682">
        <w:rPr>
          <w:color w:val="000000"/>
        </w:rPr>
        <w:t>scale and project</w:t>
      </w:r>
      <w:r w:rsidR="009207C9" w:rsidRPr="00317682">
        <w:rPr>
          <w:color w:val="000000"/>
        </w:rPr>
        <w:t xml:space="preserve"> </w:t>
      </w:r>
      <w:r w:rsidRPr="00317682">
        <w:rPr>
          <w:color w:val="000000"/>
        </w:rPr>
        <w:t xml:space="preserve">based, and opportunities to take a more systemic approach are at times missed.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 is</w:t>
      </w:r>
      <w:r w:rsidR="009207C9" w:rsidRPr="00317682">
        <w:rPr>
          <w:color w:val="000000"/>
        </w:rPr>
        <w:t>,</w:t>
      </w:r>
      <w:r w:rsidRPr="00317682">
        <w:rPr>
          <w:color w:val="000000"/>
        </w:rPr>
        <w:t xml:space="preserve"> however, </w:t>
      </w:r>
      <w:r w:rsidRPr="00317682">
        <w:rPr>
          <w:color w:val="000000"/>
        </w:rPr>
        <w:lastRenderedPageBreak/>
        <w:t>increasingly working to address this. For example, Australia is working to avoid electoral activity that is concentrated around the conduct of an electoral event rather than where the real impediments to enfranchisement are embedded in the electoral system itself, such as the integrity of the electoral roll</w:t>
      </w:r>
      <w:r w:rsidR="009207C9" w:rsidRPr="00317682">
        <w:rPr>
          <w:color w:val="000000"/>
        </w:rPr>
        <w:t>,</w:t>
      </w:r>
      <w:r w:rsidRPr="00317682">
        <w:rPr>
          <w:color w:val="000000"/>
        </w:rPr>
        <w:t xml:space="preserve"> the procedures for voter registration and for voting</w:t>
      </w:r>
      <w:r w:rsidR="009207C9" w:rsidRPr="00317682">
        <w:rPr>
          <w:color w:val="000000"/>
        </w:rPr>
        <w:t>,</w:t>
      </w:r>
      <w:r w:rsidRPr="00317682">
        <w:rPr>
          <w:color w:val="000000"/>
        </w:rPr>
        <w:t xml:space="preserve"> and the rules governing campaigning. </w:t>
      </w:r>
    </w:p>
    <w:p w:rsidR="00DB2E78" w:rsidRPr="00317682" w:rsidRDefault="00DB2E78" w:rsidP="00441FC6">
      <w:pPr>
        <w:pStyle w:val="BodyText"/>
        <w:rPr>
          <w:color w:val="000000"/>
        </w:rPr>
      </w:pPr>
      <w:r w:rsidRPr="00317682">
        <w:rPr>
          <w:color w:val="000000"/>
        </w:rPr>
        <w:t>However, the Australian experience in working in the democrat</w:t>
      </w:r>
      <w:r w:rsidR="00441FC6" w:rsidRPr="00317682">
        <w:rPr>
          <w:color w:val="000000"/>
        </w:rPr>
        <w:t>ic and political governance sub</w:t>
      </w:r>
      <w:r w:rsidRPr="00317682">
        <w:rPr>
          <w:color w:val="000000"/>
        </w:rPr>
        <w:t>sector remains broadly consistent with international patterns:</w:t>
      </w:r>
    </w:p>
    <w:p w:rsidR="00DB2E78" w:rsidRPr="00317682" w:rsidRDefault="00DB2E78" w:rsidP="00441FC6">
      <w:pPr>
        <w:pStyle w:val="Quote"/>
        <w:rPr>
          <w:color w:val="000000"/>
        </w:rPr>
      </w:pPr>
      <w:r w:rsidRPr="00317682">
        <w:rPr>
          <w:color w:val="000000"/>
        </w:rPr>
        <w:t>[A]</w:t>
      </w:r>
      <w:proofErr w:type="spellStart"/>
      <w:r w:rsidRPr="00317682">
        <w:rPr>
          <w:color w:val="000000"/>
        </w:rPr>
        <w:t>ssistance</w:t>
      </w:r>
      <w:proofErr w:type="spellEnd"/>
      <w:r w:rsidRPr="00317682">
        <w:rPr>
          <w:color w:val="000000"/>
        </w:rPr>
        <w:t xml:space="preserve"> is still not sufficiently adapted to the challenging contexts of democratisation processes which are often either stuck, or at risk of meltdown. It is too standardised, still frequently focuses on elections rather than on wider structural and institutional changes, and seeks results too quickly. Moreover, harmonisation and alignment among a rather fragmented field of actors and more rigorous and comprehensive assessments of ‘what works’ are urgently needed to share experiences and lessons more systematically and improve current practice.</w:t>
      </w:r>
      <w:r w:rsidRPr="00317682">
        <w:rPr>
          <w:rStyle w:val="FootnoteReference"/>
          <w:color w:val="000000"/>
          <w:sz w:val="12"/>
        </w:rPr>
        <w:footnoteReference w:id="16"/>
      </w:r>
    </w:p>
    <w:p w:rsidR="00DB2E78" w:rsidRPr="00317682" w:rsidRDefault="00DB2E78" w:rsidP="00441FC6">
      <w:pPr>
        <w:pStyle w:val="BodyText"/>
        <w:rPr>
          <w:b/>
          <w:color w:val="000000"/>
        </w:rPr>
      </w:pPr>
      <w:r w:rsidRPr="00317682">
        <w:rPr>
          <w:color w:val="000000"/>
        </w:rPr>
        <w:t xml:space="preserve">The activities assigned to the democratic processes </w:t>
      </w:r>
      <w:r w:rsidR="00530428" w:rsidRPr="00317682">
        <w:rPr>
          <w:color w:val="000000"/>
        </w:rPr>
        <w:t>sub</w:t>
      </w:r>
      <w:r w:rsidRPr="00317682">
        <w:rPr>
          <w:color w:val="000000"/>
        </w:rPr>
        <w:t>sector align closely with work to strengthen leadership and build demand for better governance</w:t>
      </w:r>
      <w:r w:rsidR="00ED3514" w:rsidRPr="00317682">
        <w:rPr>
          <w:color w:val="000000"/>
        </w:rPr>
        <w:t>,</w:t>
      </w:r>
      <w:r w:rsidRPr="00317682">
        <w:rPr>
          <w:color w:val="000000"/>
        </w:rPr>
        <w:t xml:space="preserve"> </w:t>
      </w:r>
      <w:r w:rsidR="00ED3514" w:rsidRPr="00317682">
        <w:rPr>
          <w:color w:val="000000"/>
        </w:rPr>
        <w:t xml:space="preserve">which </w:t>
      </w:r>
      <w:r w:rsidRPr="00317682">
        <w:rPr>
          <w:color w:val="000000"/>
        </w:rPr>
        <w:t xml:space="preserve">sits largely within the civil society </w:t>
      </w:r>
      <w:r w:rsidR="00530428" w:rsidRPr="00317682">
        <w:rPr>
          <w:color w:val="000000"/>
        </w:rPr>
        <w:t>sub</w:t>
      </w:r>
      <w:r w:rsidRPr="00317682">
        <w:rPr>
          <w:color w:val="000000"/>
        </w:rPr>
        <w:t>sector of governance work. The separation is an artificial one as both are broadly working to</w:t>
      </w:r>
      <w:r w:rsidR="00ED3514" w:rsidRPr="00317682">
        <w:rPr>
          <w:color w:val="000000"/>
        </w:rPr>
        <w:t>wards</w:t>
      </w:r>
      <w:r w:rsidRPr="00317682">
        <w:rPr>
          <w:color w:val="000000"/>
        </w:rPr>
        <w:t xml:space="preserve"> the same goals of strengthening accountability and responsiveness of government, irrespective of whether state or non-state actors are the medium of engagement. </w:t>
      </w:r>
    </w:p>
    <w:p w:rsidR="00DB2E78" w:rsidRPr="00317682" w:rsidRDefault="00DB2E78" w:rsidP="00441FC6">
      <w:pPr>
        <w:pStyle w:val="Heading2unnumbered"/>
        <w:rPr>
          <w:color w:val="000000"/>
        </w:rPr>
      </w:pPr>
      <w:bookmarkStart w:id="65" w:name="_Toc202340895"/>
      <w:bookmarkStart w:id="66" w:name="_Toc207514556"/>
      <w:bookmarkStart w:id="67" w:name="_Toc222041488"/>
      <w:r w:rsidRPr="00317682">
        <w:rPr>
          <w:color w:val="000000"/>
        </w:rPr>
        <w:t>Combating corruption</w:t>
      </w:r>
      <w:bookmarkEnd w:id="65"/>
      <w:bookmarkEnd w:id="66"/>
      <w:bookmarkEnd w:id="67"/>
    </w:p>
    <w:p w:rsidR="00DB2E78" w:rsidRPr="00317682" w:rsidRDefault="00DB2E78" w:rsidP="004B2FB5">
      <w:pPr>
        <w:pStyle w:val="Heading3"/>
        <w:numPr>
          <w:ilvl w:val="0"/>
          <w:numId w:val="0"/>
        </w:numPr>
        <w:spacing w:before="180"/>
        <w:rPr>
          <w:color w:val="000000"/>
        </w:rPr>
      </w:pPr>
      <w:bookmarkStart w:id="68" w:name="_Toc207514557"/>
      <w:r w:rsidRPr="00317682">
        <w:rPr>
          <w:color w:val="000000"/>
        </w:rPr>
        <w:t xml:space="preserve">What does </w:t>
      </w:r>
      <w:proofErr w:type="spellStart"/>
      <w:r w:rsidRPr="00317682">
        <w:rPr>
          <w:color w:val="000000"/>
        </w:rPr>
        <w:t>AusAID</w:t>
      </w:r>
      <w:proofErr w:type="spellEnd"/>
      <w:r w:rsidRPr="00317682">
        <w:rPr>
          <w:color w:val="000000"/>
        </w:rPr>
        <w:t xml:space="preserve"> do?</w:t>
      </w:r>
      <w:bookmarkEnd w:id="68"/>
    </w:p>
    <w:p w:rsidR="00DB2E78" w:rsidRPr="00317682" w:rsidRDefault="00DB2E78" w:rsidP="00441FC6">
      <w:pPr>
        <w:pStyle w:val="BodyText"/>
        <w:rPr>
          <w:color w:val="000000"/>
        </w:rPr>
      </w:pPr>
      <w:r w:rsidRPr="00317682">
        <w:rPr>
          <w:color w:val="000000"/>
        </w:rPr>
        <w:t>Corruption is a symptom of poor governance</w:t>
      </w:r>
      <w:r w:rsidR="00CB25F9" w:rsidRPr="00317682">
        <w:rPr>
          <w:color w:val="000000"/>
        </w:rPr>
        <w:t>;</w:t>
      </w:r>
      <w:r w:rsidR="00C16EB4" w:rsidRPr="00317682">
        <w:rPr>
          <w:color w:val="000000"/>
        </w:rPr>
        <w:t xml:space="preserve"> </w:t>
      </w:r>
      <w:r w:rsidRPr="00317682">
        <w:rPr>
          <w:color w:val="000000"/>
        </w:rPr>
        <w:t>it thrives in environments where bureaucratic processes are opaque, oversight of executive and administrative action is limited, and the rule of law is weakly embedded. Corruption has a substantial negative impact on economic growth and development and is a major constraint to the achievement of the Millennium Development Goals. It also jeopardises the achievement of the conditions necessary to give effect to commitments under the Paris Declaration</w:t>
      </w:r>
      <w:r w:rsidR="00CB25F9" w:rsidRPr="00317682">
        <w:rPr>
          <w:color w:val="000000"/>
        </w:rPr>
        <w:t xml:space="preserve"> on Aid Effectiveness</w:t>
      </w:r>
      <w:r w:rsidRPr="00317682">
        <w:rPr>
          <w:color w:val="000000"/>
        </w:rPr>
        <w:t>, most notably to increase the use of partner country systems.</w:t>
      </w:r>
    </w:p>
    <w:p w:rsidR="00DB2E78" w:rsidRPr="00317682" w:rsidRDefault="00CB25F9" w:rsidP="00441FC6">
      <w:pPr>
        <w:pStyle w:val="BodyText"/>
        <w:rPr>
          <w:color w:val="000000"/>
        </w:rPr>
      </w:pPr>
      <w:r w:rsidRPr="00317682">
        <w:rPr>
          <w:color w:val="000000"/>
        </w:rPr>
        <w:t>C</w:t>
      </w:r>
      <w:r w:rsidR="00DB2E78" w:rsidRPr="00317682">
        <w:rPr>
          <w:color w:val="000000"/>
        </w:rPr>
        <w:t xml:space="preserve">orruption has been elevated </w:t>
      </w:r>
      <w:r w:rsidRPr="00317682">
        <w:rPr>
          <w:color w:val="000000"/>
        </w:rPr>
        <w:t xml:space="preserve">to </w:t>
      </w:r>
      <w:r w:rsidR="00DB2E78" w:rsidRPr="00317682">
        <w:rPr>
          <w:color w:val="000000"/>
        </w:rPr>
        <w:t xml:space="preserve">a crosscutting issue and, as a result, </w:t>
      </w:r>
      <w:r w:rsidRPr="00317682">
        <w:rPr>
          <w:color w:val="000000"/>
        </w:rPr>
        <w:t>measure</w:t>
      </w:r>
      <w:r w:rsidR="00071974" w:rsidRPr="00317682">
        <w:rPr>
          <w:color w:val="000000"/>
        </w:rPr>
        <w:t>s</w:t>
      </w:r>
      <w:r w:rsidRPr="00317682">
        <w:rPr>
          <w:color w:val="000000"/>
        </w:rPr>
        <w:t xml:space="preserve"> to deal with it </w:t>
      </w:r>
      <w:r w:rsidR="00DB2E78" w:rsidRPr="00317682">
        <w:rPr>
          <w:color w:val="000000"/>
        </w:rPr>
        <w:t>ha</w:t>
      </w:r>
      <w:r w:rsidR="00071974" w:rsidRPr="00317682">
        <w:rPr>
          <w:color w:val="000000"/>
        </w:rPr>
        <w:t>ve</w:t>
      </w:r>
      <w:r w:rsidR="00DB2E78" w:rsidRPr="00317682">
        <w:rPr>
          <w:color w:val="000000"/>
        </w:rPr>
        <w:t xml:space="preserve"> gained greater weight and momentum in the Australian aid program and across the Australian Government </w:t>
      </w:r>
      <w:r w:rsidRPr="00317682">
        <w:rPr>
          <w:color w:val="000000"/>
        </w:rPr>
        <w:t xml:space="preserve">in </w:t>
      </w:r>
      <w:r w:rsidR="00DB2E78" w:rsidRPr="00317682">
        <w:rPr>
          <w:color w:val="000000"/>
        </w:rPr>
        <w:t>recent years.</w:t>
      </w:r>
      <w:r w:rsidR="00C16EB4" w:rsidRPr="00317682">
        <w:rPr>
          <w:color w:val="000000"/>
        </w:rPr>
        <w:t xml:space="preserve"> </w:t>
      </w:r>
      <w:r w:rsidR="00DB2E78" w:rsidRPr="00317682">
        <w:rPr>
          <w:color w:val="000000"/>
        </w:rPr>
        <w:t>The focus on anticorruption</w:t>
      </w:r>
      <w:r w:rsidRPr="00317682">
        <w:rPr>
          <w:color w:val="000000"/>
        </w:rPr>
        <w:t xml:space="preserve"> measures</w:t>
      </w:r>
      <w:r w:rsidR="00DB2E78" w:rsidRPr="00317682">
        <w:rPr>
          <w:color w:val="000000"/>
        </w:rPr>
        <w:t xml:space="preserve"> is supportive of whole-of-government efforts to help partner countries address corruption in </w:t>
      </w:r>
      <w:r w:rsidRPr="00317682">
        <w:rPr>
          <w:color w:val="000000"/>
        </w:rPr>
        <w:t xml:space="preserve">the Asia-Pacific </w:t>
      </w:r>
      <w:r w:rsidR="00DB2E78" w:rsidRPr="00317682">
        <w:rPr>
          <w:color w:val="000000"/>
        </w:rPr>
        <w:t xml:space="preserve">region and globally. This focus is also consistent with the efforts of other donors and international organisations to increase awareness about anticorruption and its link to improved governance and increased aid effectiveness. </w:t>
      </w:r>
    </w:p>
    <w:p w:rsidR="00DB2E78" w:rsidRPr="00317682" w:rsidRDefault="00DB2E78" w:rsidP="00441FC6">
      <w:pPr>
        <w:pStyle w:val="BodyText"/>
        <w:rPr>
          <w:color w:val="000000"/>
        </w:rPr>
      </w:pPr>
      <w:r w:rsidRPr="00317682">
        <w:rPr>
          <w:color w:val="000000"/>
        </w:rPr>
        <w:t xml:space="preserve">The </w:t>
      </w:r>
      <w:r w:rsidR="004B2FB5" w:rsidRPr="00317682">
        <w:rPr>
          <w:color w:val="000000"/>
        </w:rPr>
        <w:t xml:space="preserve">policy for Australian development assistance on anticorruption </w:t>
      </w:r>
      <w:r w:rsidRPr="00317682">
        <w:rPr>
          <w:color w:val="000000"/>
        </w:rPr>
        <w:t>released in March 2007</w:t>
      </w:r>
      <w:r w:rsidR="00D0102F" w:rsidRPr="00317682">
        <w:rPr>
          <w:rStyle w:val="FootnoteReference"/>
          <w:color w:val="000000"/>
          <w:sz w:val="12"/>
        </w:rPr>
        <w:footnoteReference w:id="17"/>
      </w:r>
      <w:r w:rsidRPr="00317682">
        <w:rPr>
          <w:color w:val="000000"/>
        </w:rPr>
        <w:t xml:space="preserve"> was developed </w:t>
      </w:r>
      <w:proofErr w:type="spellStart"/>
      <w:r w:rsidRPr="00317682">
        <w:rPr>
          <w:color w:val="000000"/>
        </w:rPr>
        <w:t>though</w:t>
      </w:r>
      <w:proofErr w:type="spellEnd"/>
      <w:r w:rsidRPr="00317682">
        <w:rPr>
          <w:color w:val="000000"/>
        </w:rPr>
        <w:t xml:space="preserve"> extensive whole-of-government collaboration with key Australian government departments and agencies, including the Attorney-General’s Department</w:t>
      </w:r>
      <w:r w:rsidR="00D0102F" w:rsidRPr="00317682">
        <w:rPr>
          <w:color w:val="000000"/>
        </w:rPr>
        <w:t>,</w:t>
      </w:r>
      <w:r w:rsidRPr="00317682">
        <w:rPr>
          <w:color w:val="000000"/>
        </w:rPr>
        <w:t xml:space="preserve"> which has domestic responsibility for anticorruption</w:t>
      </w:r>
      <w:r w:rsidR="00D0102F" w:rsidRPr="00317682">
        <w:rPr>
          <w:color w:val="000000"/>
        </w:rPr>
        <w:t xml:space="preserve"> measures</w:t>
      </w:r>
      <w:r w:rsidRPr="00317682">
        <w:rPr>
          <w:color w:val="000000"/>
        </w:rPr>
        <w:t xml:space="preserve">. The policy provides a framework for </w:t>
      </w:r>
      <w:r w:rsidRPr="00317682">
        <w:rPr>
          <w:color w:val="000000"/>
        </w:rPr>
        <w:lastRenderedPageBreak/>
        <w:t>planning, resourcing and reviewing anticorruption activities on a country and regional basis. An additional $16</w:t>
      </w:r>
      <w:r w:rsidR="003F20A5" w:rsidRPr="00317682">
        <w:rPr>
          <w:color w:val="000000"/>
        </w:rPr>
        <w:t>.7 million was provided in 2007–</w:t>
      </w:r>
      <w:r w:rsidRPr="00317682">
        <w:rPr>
          <w:color w:val="000000"/>
        </w:rPr>
        <w:t>08 to support the implementation of high</w:t>
      </w:r>
      <w:r w:rsidR="00071974" w:rsidRPr="00317682">
        <w:rPr>
          <w:color w:val="000000"/>
        </w:rPr>
        <w:noBreakHyphen/>
      </w:r>
      <w:r w:rsidRPr="00317682">
        <w:rPr>
          <w:color w:val="000000"/>
        </w:rPr>
        <w:t>priority anticorruption planning and targeted activities in the Asia-Pacific region. This included support for work in the six focus countries</w:t>
      </w:r>
      <w:r w:rsidR="00D0102F" w:rsidRPr="00317682">
        <w:rPr>
          <w:color w:val="000000"/>
        </w:rPr>
        <w:t>—</w:t>
      </w:r>
      <w:r w:rsidRPr="00317682">
        <w:rPr>
          <w:color w:val="000000"/>
        </w:rPr>
        <w:t xml:space="preserve">Indonesia, the Philippines, East Timor, </w:t>
      </w:r>
      <w:r w:rsidR="00D0102F" w:rsidRPr="00317682">
        <w:rPr>
          <w:color w:val="000000"/>
        </w:rPr>
        <w:t>Papua New Guinea</w:t>
      </w:r>
      <w:r w:rsidRPr="00317682">
        <w:rPr>
          <w:color w:val="000000"/>
        </w:rPr>
        <w:t>, Solomon Islands</w:t>
      </w:r>
      <w:r w:rsidR="00D0102F" w:rsidRPr="00317682">
        <w:rPr>
          <w:color w:val="000000"/>
        </w:rPr>
        <w:t xml:space="preserve"> and</w:t>
      </w:r>
      <w:r w:rsidRPr="00317682">
        <w:rPr>
          <w:color w:val="000000"/>
        </w:rPr>
        <w:t xml:space="preserve"> Vanuatu</w:t>
      </w:r>
      <w:r w:rsidR="00D0102F" w:rsidRPr="00317682">
        <w:rPr>
          <w:color w:val="000000"/>
        </w:rPr>
        <w:t>—</w:t>
      </w:r>
      <w:r w:rsidRPr="00317682">
        <w:rPr>
          <w:color w:val="000000"/>
        </w:rPr>
        <w:t xml:space="preserve">and contributions to key regional and global anticorruption initiatives and partnerships. This support was in addition to, and built </w:t>
      </w:r>
      <w:r w:rsidR="007A3835" w:rsidRPr="00317682">
        <w:rPr>
          <w:color w:val="000000"/>
        </w:rPr>
        <w:t>on</w:t>
      </w:r>
      <w:r w:rsidRPr="00317682">
        <w:rPr>
          <w:color w:val="000000"/>
        </w:rPr>
        <w:t>, existing governance assistance through the Australian aid program that is focused on improving transparency and</w:t>
      </w:r>
      <w:r w:rsidR="00D0102F" w:rsidRPr="00317682">
        <w:rPr>
          <w:color w:val="000000"/>
        </w:rPr>
        <w:t> </w:t>
      </w:r>
      <w:r w:rsidRPr="00317682">
        <w:rPr>
          <w:color w:val="000000"/>
        </w:rPr>
        <w:t>accountability.</w:t>
      </w:r>
    </w:p>
    <w:p w:rsidR="00DB2E78" w:rsidRPr="00317682" w:rsidRDefault="00DB2E78" w:rsidP="00441FC6">
      <w:pPr>
        <w:pStyle w:val="BodyText"/>
        <w:rPr>
          <w:color w:val="000000"/>
        </w:rPr>
      </w:pPr>
      <w:r w:rsidRPr="00317682">
        <w:rPr>
          <w:color w:val="000000"/>
        </w:rPr>
        <w:t xml:space="preserve">The </w:t>
      </w:r>
      <w:r w:rsidR="004B2FB5" w:rsidRPr="00317682">
        <w:rPr>
          <w:color w:val="000000"/>
        </w:rPr>
        <w:t xml:space="preserve">policy on anticorruption </w:t>
      </w:r>
      <w:r w:rsidRPr="00317682">
        <w:rPr>
          <w:color w:val="000000"/>
        </w:rPr>
        <w:t xml:space="preserve">requires that </w:t>
      </w:r>
      <w:proofErr w:type="spellStart"/>
      <w:r w:rsidRPr="00317682">
        <w:rPr>
          <w:color w:val="000000"/>
        </w:rPr>
        <w:t>AusAID</w:t>
      </w:r>
      <w:proofErr w:type="spellEnd"/>
      <w:r w:rsidRPr="00317682">
        <w:rPr>
          <w:color w:val="000000"/>
        </w:rPr>
        <w:t xml:space="preserve"> update all </w:t>
      </w:r>
      <w:r w:rsidR="00D0102F" w:rsidRPr="00317682">
        <w:rPr>
          <w:color w:val="000000"/>
        </w:rPr>
        <w:t xml:space="preserve">country strategies </w:t>
      </w:r>
      <w:r w:rsidRPr="00317682">
        <w:rPr>
          <w:color w:val="000000"/>
        </w:rPr>
        <w:t>to include an Anti-Corruption Action Plan where required. This plan is based as much as possible on partner governments</w:t>
      </w:r>
      <w:r w:rsidR="00071974" w:rsidRPr="00317682">
        <w:rPr>
          <w:color w:val="000000"/>
        </w:rPr>
        <w:t>’</w:t>
      </w:r>
      <w:r w:rsidRPr="00317682">
        <w:rPr>
          <w:color w:val="000000"/>
        </w:rPr>
        <w:t xml:space="preserve"> own plans and priorities, and </w:t>
      </w:r>
      <w:r w:rsidR="00D0102F" w:rsidRPr="00317682">
        <w:rPr>
          <w:color w:val="000000"/>
        </w:rPr>
        <w:t xml:space="preserve">is </w:t>
      </w:r>
      <w:r w:rsidRPr="00317682">
        <w:rPr>
          <w:color w:val="000000"/>
        </w:rPr>
        <w:t xml:space="preserve">strongly coordinated with other donors and other stakeholders. Where partner governments do not have plans of their own in place, </w:t>
      </w:r>
      <w:proofErr w:type="spellStart"/>
      <w:r w:rsidRPr="00317682">
        <w:rPr>
          <w:color w:val="000000"/>
        </w:rPr>
        <w:t>AusAID</w:t>
      </w:r>
      <w:proofErr w:type="spellEnd"/>
      <w:r w:rsidRPr="00317682">
        <w:rPr>
          <w:color w:val="000000"/>
        </w:rPr>
        <w:t xml:space="preserve"> will support efforts towards their development. The six focus country programs are undertaking analysis of the key drivers and costs of corruption and the political, economic and social dynamics affecting corruption in their specific countries. This analysis is contributing to the development of </w:t>
      </w:r>
      <w:r w:rsidR="00D0102F" w:rsidRPr="00317682">
        <w:rPr>
          <w:color w:val="000000"/>
        </w:rPr>
        <w:t>action plans</w:t>
      </w:r>
      <w:r w:rsidRPr="00317682">
        <w:rPr>
          <w:color w:val="000000"/>
        </w:rPr>
        <w:t xml:space="preserve">, which will guide </w:t>
      </w:r>
      <w:r w:rsidR="00D0102F" w:rsidRPr="00317682">
        <w:rPr>
          <w:color w:val="000000"/>
        </w:rPr>
        <w:t xml:space="preserve">the </w:t>
      </w:r>
      <w:r w:rsidRPr="00317682">
        <w:rPr>
          <w:color w:val="000000"/>
        </w:rPr>
        <w:t>Australian aid program</w:t>
      </w:r>
      <w:r w:rsidR="00D0102F" w:rsidRPr="00317682">
        <w:rPr>
          <w:color w:val="000000"/>
        </w:rPr>
        <w:t>’s</w:t>
      </w:r>
      <w:r w:rsidRPr="00317682">
        <w:rPr>
          <w:color w:val="000000"/>
        </w:rPr>
        <w:t xml:space="preserve"> priorities and embed anticorruption </w:t>
      </w:r>
      <w:r w:rsidR="00D0102F" w:rsidRPr="00317682">
        <w:rPr>
          <w:color w:val="000000"/>
        </w:rPr>
        <w:t xml:space="preserve">measures </w:t>
      </w:r>
      <w:r w:rsidRPr="00317682">
        <w:rPr>
          <w:color w:val="000000"/>
        </w:rPr>
        <w:t xml:space="preserve">in the program. </w:t>
      </w:r>
    </w:p>
    <w:p w:rsidR="00DB2E78" w:rsidRPr="00317682" w:rsidRDefault="00DB2E78" w:rsidP="00441FC6">
      <w:pPr>
        <w:pStyle w:val="BodyText"/>
        <w:rPr>
          <w:color w:val="000000"/>
        </w:rPr>
      </w:pPr>
      <w:r w:rsidRPr="00317682">
        <w:rPr>
          <w:color w:val="000000"/>
        </w:rPr>
        <w:t xml:space="preserve">The first round of </w:t>
      </w:r>
      <w:r w:rsidR="00D0102F" w:rsidRPr="00317682">
        <w:rPr>
          <w:color w:val="000000"/>
        </w:rPr>
        <w:t xml:space="preserve">action plans </w:t>
      </w:r>
      <w:r w:rsidRPr="00317682">
        <w:rPr>
          <w:color w:val="000000"/>
        </w:rPr>
        <w:t xml:space="preserve">has been informed by </w:t>
      </w:r>
      <w:proofErr w:type="spellStart"/>
      <w:r w:rsidR="004B2FB5" w:rsidRPr="00317682">
        <w:rPr>
          <w:color w:val="000000"/>
        </w:rPr>
        <w:t>AusAID’s</w:t>
      </w:r>
      <w:proofErr w:type="spellEnd"/>
      <w:r w:rsidR="004B2FB5" w:rsidRPr="00317682">
        <w:rPr>
          <w:color w:val="000000"/>
        </w:rPr>
        <w:t xml:space="preserve"> </w:t>
      </w:r>
      <w:r w:rsidRPr="00317682">
        <w:rPr>
          <w:color w:val="000000"/>
        </w:rPr>
        <w:t>Office of Development Effectiveness</w:t>
      </w:r>
      <w:r w:rsidR="00D0102F" w:rsidRPr="00317682">
        <w:rPr>
          <w:color w:val="000000"/>
        </w:rPr>
        <w:t>,</w:t>
      </w:r>
      <w:r w:rsidRPr="00317682">
        <w:rPr>
          <w:color w:val="000000"/>
        </w:rPr>
        <w:t xml:space="preserve"> </w:t>
      </w:r>
      <w:r w:rsidRPr="00317682">
        <w:rPr>
          <w:i/>
          <w:color w:val="000000"/>
        </w:rPr>
        <w:t xml:space="preserve">Assessment on </w:t>
      </w:r>
      <w:r w:rsidR="00D0102F" w:rsidRPr="00317682">
        <w:rPr>
          <w:i/>
          <w:color w:val="000000"/>
        </w:rPr>
        <w:t xml:space="preserve">anti-corruption approaches </w:t>
      </w:r>
      <w:r w:rsidRPr="00317682">
        <w:rPr>
          <w:i/>
          <w:color w:val="000000"/>
        </w:rPr>
        <w:t xml:space="preserve">in </w:t>
      </w:r>
      <w:smartTag w:uri="urn:schemas-microsoft-com:office:smarttags" w:element="country-region">
        <w:r w:rsidRPr="00317682">
          <w:rPr>
            <w:i/>
            <w:color w:val="000000"/>
          </w:rPr>
          <w:t>Australia</w:t>
        </w:r>
      </w:smartTag>
      <w:r w:rsidRPr="00317682">
        <w:rPr>
          <w:i/>
          <w:color w:val="000000"/>
        </w:rPr>
        <w:t xml:space="preserve">’s </w:t>
      </w:r>
      <w:r w:rsidR="00D0102F" w:rsidRPr="00317682">
        <w:rPr>
          <w:i/>
          <w:color w:val="000000"/>
        </w:rPr>
        <w:t>aid program</w:t>
      </w:r>
      <w:r w:rsidRPr="00317682">
        <w:rPr>
          <w:color w:val="000000"/>
        </w:rPr>
        <w:t xml:space="preserve">, drawing on lessons from </w:t>
      </w:r>
      <w:smartTag w:uri="urn:schemas-microsoft-com:office:smarttags" w:element="country-region">
        <w:r w:rsidR="00D0102F" w:rsidRPr="00317682">
          <w:rPr>
            <w:color w:val="000000"/>
          </w:rPr>
          <w:t>Papua New Guinea</w:t>
        </w:r>
      </w:smartTag>
      <w:r w:rsidRPr="00317682">
        <w:rPr>
          <w:color w:val="000000"/>
        </w:rPr>
        <w:t xml:space="preserve">, </w:t>
      </w:r>
      <w:smartTag w:uri="urn:schemas-microsoft-com:office:smarttags" w:element="country-region">
        <w:r w:rsidRPr="00317682">
          <w:rPr>
            <w:color w:val="000000"/>
          </w:rPr>
          <w:t>Indonesia</w:t>
        </w:r>
      </w:smartTag>
      <w:r w:rsidRPr="00317682">
        <w:rPr>
          <w:color w:val="000000"/>
        </w:rPr>
        <w:t xml:space="preserve"> and </w:t>
      </w:r>
      <w:smartTag w:uri="urn:schemas-microsoft-com:office:smarttags" w:element="place">
        <w:smartTag w:uri="urn:schemas-microsoft-com:office:smarttags" w:element="country-region">
          <w:r w:rsidRPr="00317682">
            <w:rPr>
              <w:color w:val="000000"/>
            </w:rPr>
            <w:t>Solomon Islands</w:t>
          </w:r>
        </w:smartTag>
      </w:smartTag>
      <w:r w:rsidRPr="00317682">
        <w:rPr>
          <w:color w:val="000000"/>
        </w:rPr>
        <w:t>.</w:t>
      </w:r>
      <w:r w:rsidR="00C16EB4" w:rsidRPr="00317682">
        <w:rPr>
          <w:color w:val="000000"/>
        </w:rPr>
        <w:t xml:space="preserve"> </w:t>
      </w:r>
      <w:r w:rsidRPr="00317682">
        <w:rPr>
          <w:color w:val="000000"/>
        </w:rPr>
        <w:t>Key lessons and recommendations include the positioning of anticorruption objectives within broader aims of improving government service delivery and achieving the Millennium Development Goals.</w:t>
      </w:r>
    </w:p>
    <w:p w:rsidR="00DB2E78" w:rsidRPr="00317682" w:rsidRDefault="00DB2E78" w:rsidP="00441FC6">
      <w:pPr>
        <w:pStyle w:val="BodyText"/>
        <w:rPr>
          <w:color w:val="000000"/>
        </w:rPr>
      </w:pPr>
      <w:proofErr w:type="spellStart"/>
      <w:r w:rsidRPr="00317682">
        <w:rPr>
          <w:color w:val="000000"/>
        </w:rPr>
        <w:t>AusAID’s</w:t>
      </w:r>
      <w:proofErr w:type="spellEnd"/>
      <w:r w:rsidRPr="00317682">
        <w:rPr>
          <w:color w:val="000000"/>
        </w:rPr>
        <w:t xml:space="preserve"> approach to working with partner government</w:t>
      </w:r>
      <w:r w:rsidR="00D0102F" w:rsidRPr="00317682">
        <w:rPr>
          <w:color w:val="000000"/>
        </w:rPr>
        <w:t>’s</w:t>
      </w:r>
      <w:r w:rsidRPr="00317682">
        <w:rPr>
          <w:color w:val="000000"/>
        </w:rPr>
        <w:t xml:space="preserve"> systems needs to consider fiduciary risks that can arise </w:t>
      </w:r>
      <w:r w:rsidR="00D0102F" w:rsidRPr="00317682">
        <w:rPr>
          <w:color w:val="000000"/>
        </w:rPr>
        <w:t xml:space="preserve">from </w:t>
      </w:r>
      <w:r w:rsidRPr="00317682">
        <w:rPr>
          <w:color w:val="000000"/>
        </w:rPr>
        <w:t xml:space="preserve">using </w:t>
      </w:r>
      <w:r w:rsidR="00D0102F" w:rsidRPr="00317682">
        <w:rPr>
          <w:color w:val="000000"/>
        </w:rPr>
        <w:t>these</w:t>
      </w:r>
      <w:r w:rsidRPr="00317682">
        <w:rPr>
          <w:color w:val="000000"/>
        </w:rPr>
        <w:t xml:space="preserve"> systems. Robust internal measures should be in place to </w:t>
      </w:r>
      <w:r w:rsidRPr="00317682">
        <w:rPr>
          <w:color w:val="000000"/>
          <w:spacing w:val="-2"/>
        </w:rPr>
        <w:t>ensure the protection of Australian aid funds while promoting stronger development outcomes.</w:t>
      </w:r>
      <w:r w:rsidR="00C16EB4" w:rsidRPr="00317682">
        <w:rPr>
          <w:color w:val="000000"/>
        </w:rPr>
        <w:t xml:space="preserve"> </w:t>
      </w:r>
      <w:r w:rsidRPr="00317682">
        <w:rPr>
          <w:color w:val="000000"/>
        </w:rPr>
        <w:t xml:space="preserve">These outcomes can include increased national ownership, improved accountability and transparency to protect all expenditure, improved public financial management at </w:t>
      </w:r>
      <w:r w:rsidR="00071974" w:rsidRPr="00317682">
        <w:rPr>
          <w:color w:val="000000"/>
        </w:rPr>
        <w:t xml:space="preserve">the </w:t>
      </w:r>
      <w:r w:rsidRPr="00317682">
        <w:rPr>
          <w:color w:val="000000"/>
        </w:rPr>
        <w:t>national and/or sector level and improved capacity of the sector agencies.</w:t>
      </w:r>
    </w:p>
    <w:p w:rsidR="00DB2E78" w:rsidRPr="00317682" w:rsidRDefault="00DB2E78" w:rsidP="004B2FB5">
      <w:pPr>
        <w:pStyle w:val="Heading3"/>
        <w:numPr>
          <w:ilvl w:val="0"/>
          <w:numId w:val="0"/>
        </w:numPr>
        <w:spacing w:before="320"/>
        <w:rPr>
          <w:color w:val="000000"/>
        </w:rPr>
      </w:pPr>
      <w:bookmarkStart w:id="69" w:name="_Toc207514558"/>
      <w:r w:rsidRPr="00317682">
        <w:rPr>
          <w:color w:val="000000"/>
        </w:rPr>
        <w:t>Performance and results</w:t>
      </w:r>
      <w:bookmarkEnd w:id="69"/>
    </w:p>
    <w:p w:rsidR="004B2FB5" w:rsidRPr="00317682" w:rsidRDefault="00DB2E78" w:rsidP="00441FC6">
      <w:pPr>
        <w:pStyle w:val="BodyText"/>
        <w:rPr>
          <w:color w:val="000000"/>
        </w:rPr>
      </w:pPr>
      <w:r w:rsidRPr="00317682">
        <w:rPr>
          <w:color w:val="000000"/>
        </w:rPr>
        <w:t xml:space="preserve">The overall performance and results of the agency’s increased focus on </w:t>
      </w:r>
      <w:r w:rsidR="004B2FB5" w:rsidRPr="00317682">
        <w:rPr>
          <w:color w:val="000000"/>
        </w:rPr>
        <w:t xml:space="preserve">dealing with </w:t>
      </w:r>
      <w:r w:rsidRPr="00317682">
        <w:rPr>
          <w:color w:val="000000"/>
        </w:rPr>
        <w:t xml:space="preserve">corruption is still too early to measure. Initial results include: </w:t>
      </w:r>
    </w:p>
    <w:p w:rsidR="004B2FB5" w:rsidRPr="00317682" w:rsidRDefault="004B2FB5" w:rsidP="004B2FB5">
      <w:pPr>
        <w:pStyle w:val="ListBullet"/>
        <w:rPr>
          <w:color w:val="000000"/>
        </w:rPr>
      </w:pPr>
      <w:r w:rsidRPr="00317682">
        <w:rPr>
          <w:color w:val="000000"/>
        </w:rPr>
        <w:t>greater</w:t>
      </w:r>
      <w:r w:rsidR="00DB2E78" w:rsidRPr="00317682">
        <w:rPr>
          <w:color w:val="000000"/>
        </w:rPr>
        <w:t xml:space="preserve"> importance placed on anticorruption analysis and planning by program areas</w:t>
      </w:r>
    </w:p>
    <w:p w:rsidR="004B2FB5" w:rsidRPr="00317682" w:rsidRDefault="00DB2E78" w:rsidP="004B2FB5">
      <w:pPr>
        <w:pStyle w:val="ListBullet"/>
        <w:rPr>
          <w:color w:val="000000"/>
        </w:rPr>
      </w:pPr>
      <w:r w:rsidRPr="00317682">
        <w:rPr>
          <w:color w:val="000000"/>
        </w:rPr>
        <w:t>ongoing dialogue with some partner countries around issues of transparency and</w:t>
      </w:r>
      <w:r w:rsidR="004B2FB5" w:rsidRPr="00317682">
        <w:rPr>
          <w:color w:val="000000"/>
        </w:rPr>
        <w:t> </w:t>
      </w:r>
      <w:r w:rsidRPr="00317682">
        <w:rPr>
          <w:color w:val="000000"/>
        </w:rPr>
        <w:t>accountability</w:t>
      </w:r>
    </w:p>
    <w:p w:rsidR="004B2FB5" w:rsidRPr="00317682" w:rsidRDefault="004B2FB5" w:rsidP="004B2FB5">
      <w:pPr>
        <w:pStyle w:val="ListBullet"/>
        <w:rPr>
          <w:color w:val="000000"/>
        </w:rPr>
      </w:pPr>
      <w:r w:rsidRPr="00317682">
        <w:rPr>
          <w:color w:val="000000"/>
        </w:rPr>
        <w:t>greater</w:t>
      </w:r>
      <w:r w:rsidR="00DB2E78" w:rsidRPr="00317682">
        <w:rPr>
          <w:color w:val="000000"/>
        </w:rPr>
        <w:t xml:space="preserve"> integration of anticorruption approaches into broader sectoral programming</w:t>
      </w:r>
      <w:r w:rsidRPr="00317682">
        <w:rPr>
          <w:color w:val="000000"/>
        </w:rPr>
        <w:t>,</w:t>
      </w:r>
      <w:r w:rsidR="00DB2E78" w:rsidRPr="00317682">
        <w:rPr>
          <w:color w:val="000000"/>
        </w:rPr>
        <w:t xml:space="preserve"> particularly in the infrastructure sector</w:t>
      </w:r>
    </w:p>
    <w:p w:rsidR="004B2FB5" w:rsidRPr="00317682" w:rsidRDefault="00DB2E78" w:rsidP="004B2FB5">
      <w:pPr>
        <w:pStyle w:val="ListBullet"/>
        <w:rPr>
          <w:color w:val="000000"/>
        </w:rPr>
      </w:pPr>
      <w:r w:rsidRPr="00317682">
        <w:rPr>
          <w:color w:val="000000"/>
        </w:rPr>
        <w:t xml:space="preserve">the placement of a number of dedicated </w:t>
      </w:r>
      <w:proofErr w:type="spellStart"/>
      <w:r w:rsidRPr="00317682">
        <w:rPr>
          <w:color w:val="000000"/>
        </w:rPr>
        <w:t>AusAID</w:t>
      </w:r>
      <w:proofErr w:type="spellEnd"/>
      <w:r w:rsidRPr="00317682">
        <w:rPr>
          <w:color w:val="000000"/>
        </w:rPr>
        <w:t xml:space="preserve"> staff in</w:t>
      </w:r>
      <w:r w:rsidR="004B2FB5" w:rsidRPr="00317682">
        <w:rPr>
          <w:color w:val="000000"/>
        </w:rPr>
        <w:t xml:space="preserve"> </w:t>
      </w:r>
      <w:r w:rsidRPr="00317682">
        <w:rPr>
          <w:color w:val="000000"/>
        </w:rPr>
        <w:t>country to focus on anticorruption</w:t>
      </w:r>
      <w:r w:rsidR="004B2FB5" w:rsidRPr="00317682">
        <w:rPr>
          <w:color w:val="000000"/>
        </w:rPr>
        <w:t> </w:t>
      </w:r>
      <w:r w:rsidRPr="00317682">
        <w:rPr>
          <w:color w:val="000000"/>
        </w:rPr>
        <w:t>issues</w:t>
      </w:r>
    </w:p>
    <w:p w:rsidR="00DB2E78" w:rsidRPr="00317682" w:rsidRDefault="00DB2E78" w:rsidP="004B2FB5">
      <w:pPr>
        <w:pStyle w:val="ListBullet"/>
        <w:rPr>
          <w:color w:val="000000"/>
        </w:rPr>
      </w:pPr>
      <w:proofErr w:type="gramStart"/>
      <w:r w:rsidRPr="00317682">
        <w:rPr>
          <w:color w:val="000000"/>
        </w:rPr>
        <w:t>increased</w:t>
      </w:r>
      <w:proofErr w:type="gramEnd"/>
      <w:r w:rsidRPr="00317682">
        <w:rPr>
          <w:color w:val="000000"/>
        </w:rPr>
        <w:t xml:space="preserve"> efforts to foster key global and regional anticorruption partnerships. </w:t>
      </w:r>
    </w:p>
    <w:p w:rsidR="00DB2E78" w:rsidRPr="00317682" w:rsidRDefault="00DB2E78" w:rsidP="00B35E8F">
      <w:pPr>
        <w:pStyle w:val="BodyText"/>
        <w:spacing w:after="360"/>
        <w:rPr>
          <w:color w:val="000000"/>
          <w:spacing w:val="-2"/>
        </w:rPr>
      </w:pPr>
      <w:r w:rsidRPr="00317682">
        <w:rPr>
          <w:color w:val="000000"/>
          <w:spacing w:val="-2"/>
        </w:rPr>
        <w:t xml:space="preserve">While these initial developments are promising it is recognised internationally that anticorruption efforts need to use long-term and multifaceted approaches, because anticorruption work is fundamentally about changing the underlying causes of corruption. </w:t>
      </w:r>
      <w:r w:rsidR="004B2FB5" w:rsidRPr="00317682">
        <w:rPr>
          <w:color w:val="000000"/>
          <w:spacing w:val="-2"/>
        </w:rPr>
        <w:t>C</w:t>
      </w:r>
      <w:r w:rsidRPr="00317682">
        <w:rPr>
          <w:color w:val="000000"/>
          <w:spacing w:val="-2"/>
        </w:rPr>
        <w:t xml:space="preserve">orruption is </w:t>
      </w:r>
      <w:r w:rsidR="004B2FB5" w:rsidRPr="00317682">
        <w:rPr>
          <w:color w:val="000000"/>
          <w:spacing w:val="-2"/>
        </w:rPr>
        <w:t xml:space="preserve">also </w:t>
      </w:r>
      <w:r w:rsidRPr="00317682">
        <w:rPr>
          <w:color w:val="000000"/>
          <w:spacing w:val="-2"/>
        </w:rPr>
        <w:t xml:space="preserve">difficult to measure. </w:t>
      </w:r>
      <w:proofErr w:type="spellStart"/>
      <w:r w:rsidRPr="00317682">
        <w:rPr>
          <w:color w:val="000000"/>
          <w:spacing w:val="-2"/>
        </w:rPr>
        <w:t>AusAID</w:t>
      </w:r>
      <w:proofErr w:type="spellEnd"/>
      <w:r w:rsidRPr="00317682">
        <w:rPr>
          <w:color w:val="000000"/>
          <w:spacing w:val="-2"/>
        </w:rPr>
        <w:t xml:space="preserve"> will need to continue to work with international partners to develop better measures of corruption and </w:t>
      </w:r>
      <w:r w:rsidR="002B2114" w:rsidRPr="00317682">
        <w:rPr>
          <w:color w:val="000000"/>
          <w:spacing w:val="-2"/>
        </w:rPr>
        <w:t>its</w:t>
      </w:r>
      <w:r w:rsidR="004B2FB5" w:rsidRPr="00317682">
        <w:rPr>
          <w:color w:val="000000"/>
          <w:spacing w:val="-2"/>
        </w:rPr>
        <w:t xml:space="preserve"> </w:t>
      </w:r>
      <w:r w:rsidRPr="00317682">
        <w:rPr>
          <w:color w:val="000000"/>
          <w:spacing w:val="-2"/>
        </w:rPr>
        <w:t>impact</w:t>
      </w:r>
      <w:r w:rsidR="004B2FB5" w:rsidRPr="00317682">
        <w:rPr>
          <w:color w:val="000000"/>
          <w:spacing w:val="-2"/>
        </w:rPr>
        <w:t xml:space="preserve"> o</w:t>
      </w:r>
      <w:r w:rsidR="00DE51B5" w:rsidRPr="00317682">
        <w:rPr>
          <w:color w:val="000000"/>
          <w:spacing w:val="-2"/>
        </w:rPr>
        <w:t>n</w:t>
      </w:r>
      <w:r w:rsidR="004B2FB5" w:rsidRPr="00317682">
        <w:rPr>
          <w:color w:val="000000"/>
          <w:spacing w:val="-2"/>
        </w:rPr>
        <w:t xml:space="preserve"> development</w:t>
      </w:r>
      <w:r w:rsidRPr="00317682">
        <w:rPr>
          <w:color w:val="000000"/>
          <w:spacing w:val="-2"/>
        </w:rPr>
        <w:t xml:space="preserve">. </w:t>
      </w: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441FC6" w:rsidRPr="00317682" w:rsidTr="00317682">
        <w:tblPrEx>
          <w:tblCellMar>
            <w:top w:w="0" w:type="dxa"/>
            <w:bottom w:w="0" w:type="dxa"/>
          </w:tblCellMar>
        </w:tblPrEx>
        <w:trPr>
          <w:cantSplit/>
          <w:trHeight w:val="340"/>
        </w:trPr>
        <w:tc>
          <w:tcPr>
            <w:tcW w:w="7938" w:type="dxa"/>
            <w:tcMar>
              <w:top w:w="57" w:type="dxa"/>
            </w:tcMar>
          </w:tcPr>
          <w:p w:rsidR="00441FC6" w:rsidRPr="00317682" w:rsidRDefault="00441FC6" w:rsidP="00C16EB4">
            <w:pPr>
              <w:pStyle w:val="Caption"/>
              <w:spacing w:before="80"/>
              <w:rPr>
                <w:color w:val="000000"/>
              </w:rPr>
            </w:pPr>
            <w:r w:rsidRPr="00317682">
              <w:rPr>
                <w:color w:val="000000"/>
              </w:rPr>
              <w:lastRenderedPageBreak/>
              <w:t>Good practice examples of anticorruption activities</w:t>
            </w:r>
          </w:p>
        </w:tc>
      </w:tr>
      <w:tr w:rsidR="00441FC6" w:rsidRPr="00317682" w:rsidTr="00317682">
        <w:tblPrEx>
          <w:tblCellMar>
            <w:top w:w="0" w:type="dxa"/>
            <w:bottom w:w="0" w:type="dxa"/>
          </w:tblCellMar>
        </w:tblPrEx>
        <w:trPr>
          <w:cantSplit/>
        </w:trPr>
        <w:tc>
          <w:tcPr>
            <w:tcW w:w="7938" w:type="dxa"/>
          </w:tcPr>
          <w:p w:rsidR="00441FC6" w:rsidRPr="00317682" w:rsidRDefault="00441FC6" w:rsidP="00441FC6">
            <w:pPr>
              <w:pStyle w:val="BoxHeading1"/>
              <w:spacing w:before="120"/>
            </w:pPr>
            <w:smartTag w:uri="urn:schemas-microsoft-com:office:smarttags" w:element="place">
              <w:smartTag w:uri="urn:schemas-microsoft-com:office:smarttags" w:element="country-region">
                <w:r w:rsidRPr="00317682">
                  <w:t>Indonesia</w:t>
                </w:r>
              </w:smartTag>
            </w:smartTag>
            <w:r w:rsidRPr="00317682">
              <w:t xml:space="preserve">: </w:t>
            </w:r>
            <w:r w:rsidR="004B2FB5" w:rsidRPr="00317682">
              <w:t xml:space="preserve">working </w:t>
            </w:r>
            <w:r w:rsidRPr="00317682">
              <w:t>to address corruption at the local level</w:t>
            </w:r>
          </w:p>
          <w:p w:rsidR="00441FC6" w:rsidRPr="00317682" w:rsidRDefault="00441FC6" w:rsidP="00441FC6">
            <w:pPr>
              <w:pStyle w:val="BoxText"/>
              <w:rPr>
                <w:color w:val="000000"/>
              </w:rPr>
            </w:pPr>
            <w:r w:rsidRPr="00317682">
              <w:rPr>
                <w:color w:val="000000"/>
              </w:rPr>
              <w:t xml:space="preserve">The Australian program </w:t>
            </w:r>
            <w:r w:rsidR="004B2FB5" w:rsidRPr="00317682">
              <w:rPr>
                <w:color w:val="000000"/>
              </w:rPr>
              <w:t xml:space="preserve">Local Governance and Infrastructure for Communities in Aceh </w:t>
            </w:r>
            <w:r w:rsidRPr="00317682">
              <w:rPr>
                <w:color w:val="000000"/>
              </w:rPr>
              <w:t xml:space="preserve">was initiated as a post-tsunami governance rehabilitation program focused </w:t>
            </w:r>
            <w:r w:rsidR="004B2FB5" w:rsidRPr="00317682">
              <w:rPr>
                <w:color w:val="000000"/>
              </w:rPr>
              <w:t xml:space="preserve">on </w:t>
            </w:r>
            <w:r w:rsidRPr="00317682">
              <w:rPr>
                <w:color w:val="000000"/>
              </w:rPr>
              <w:t xml:space="preserve">the </w:t>
            </w:r>
            <w:r w:rsidR="00530428" w:rsidRPr="00317682">
              <w:rPr>
                <w:color w:val="000000"/>
              </w:rPr>
              <w:t>sub</w:t>
            </w:r>
            <w:r w:rsidRPr="00317682">
              <w:rPr>
                <w:color w:val="000000"/>
              </w:rPr>
              <w:t>district and village level in Aceh. The program has strengthened service delivery and governance through activities that place an emphasis on building ‘</w:t>
            </w:r>
            <w:r w:rsidR="004B2FB5" w:rsidRPr="00317682">
              <w:rPr>
                <w:color w:val="000000"/>
              </w:rPr>
              <w:t>active communities and responsive government’</w:t>
            </w:r>
            <w:r w:rsidRPr="00317682">
              <w:rPr>
                <w:color w:val="000000"/>
              </w:rPr>
              <w:t xml:space="preserve">. </w:t>
            </w:r>
            <w:smartTag w:uri="urn:schemas-microsoft-com:office:smarttags" w:element="place">
              <w:smartTag w:uri="urn:schemas-microsoft-com:office:smarttags" w:element="country-region">
                <w:r w:rsidRPr="00317682">
                  <w:rPr>
                    <w:color w:val="000000"/>
                  </w:rPr>
                  <w:t>Australia</w:t>
                </w:r>
              </w:smartTag>
            </w:smartTag>
            <w:r w:rsidRPr="00317682">
              <w:rPr>
                <w:color w:val="000000"/>
              </w:rPr>
              <w:t xml:space="preserve"> supports committed officials to establish ‘one-stop shops’ to deliver government services at the </w:t>
            </w:r>
            <w:r w:rsidR="00530428" w:rsidRPr="00317682">
              <w:rPr>
                <w:color w:val="000000"/>
              </w:rPr>
              <w:t>sub</w:t>
            </w:r>
            <w:r w:rsidRPr="00317682">
              <w:rPr>
                <w:color w:val="000000"/>
              </w:rPr>
              <w:t>district level.</w:t>
            </w:r>
            <w:r w:rsidR="00C16EB4" w:rsidRPr="00317682">
              <w:rPr>
                <w:color w:val="000000"/>
              </w:rPr>
              <w:t xml:space="preserve"> </w:t>
            </w:r>
            <w:r w:rsidRPr="00317682">
              <w:rPr>
                <w:color w:val="000000"/>
              </w:rPr>
              <w:t>Through this initiative, communities affected by the tsunami are now able to obtain information and services related to housing allocations, approval for welfare assistance, and registration of births, deaths and marriages more cheaply, quickly and more transparently than ever before.</w:t>
            </w:r>
            <w:r w:rsidR="00C16EB4" w:rsidRPr="00317682">
              <w:rPr>
                <w:color w:val="000000"/>
              </w:rPr>
              <w:t xml:space="preserve"> </w:t>
            </w:r>
            <w:r w:rsidRPr="00317682">
              <w:rPr>
                <w:color w:val="000000"/>
              </w:rPr>
              <w:t xml:space="preserve">The system is so successful that </w:t>
            </w:r>
            <w:r w:rsidR="00530428" w:rsidRPr="00317682">
              <w:rPr>
                <w:color w:val="000000"/>
              </w:rPr>
              <w:t>sub</w:t>
            </w:r>
            <w:r w:rsidRPr="00317682">
              <w:rPr>
                <w:color w:val="000000"/>
              </w:rPr>
              <w:t>district governments throughout Aceh are using their own funds to replicate these reforms.</w:t>
            </w:r>
          </w:p>
          <w:p w:rsidR="00441FC6" w:rsidRPr="00317682" w:rsidRDefault="00441FC6" w:rsidP="002B2114">
            <w:pPr>
              <w:pStyle w:val="BoxHeading1"/>
            </w:pPr>
            <w:r w:rsidRPr="00317682">
              <w:t xml:space="preserve">The </w:t>
            </w:r>
            <w:smartTag w:uri="urn:schemas-microsoft-com:office:smarttags" w:element="place">
              <w:smartTag w:uri="urn:schemas-microsoft-com:office:smarttags" w:element="country-region">
                <w:r w:rsidRPr="00317682">
                  <w:t>Philippines</w:t>
                </w:r>
              </w:smartTag>
            </w:smartTag>
            <w:r w:rsidRPr="00317682">
              <w:t xml:space="preserve">: </w:t>
            </w:r>
            <w:r w:rsidR="004B2FB5" w:rsidRPr="00317682">
              <w:t xml:space="preserve">working </w:t>
            </w:r>
            <w:r w:rsidRPr="00317682">
              <w:t>with partners to improve transparency in the road sector</w:t>
            </w:r>
          </w:p>
          <w:p w:rsidR="00441FC6" w:rsidRPr="00317682" w:rsidRDefault="00441FC6" w:rsidP="00441FC6">
            <w:pPr>
              <w:pStyle w:val="BoxText"/>
              <w:rPr>
                <w:color w:val="000000"/>
              </w:rPr>
            </w:pPr>
            <w:r w:rsidRPr="00317682">
              <w:rPr>
                <w:color w:val="000000"/>
              </w:rPr>
              <w:t xml:space="preserve">Procurement in the road sector remains one of the biggest corruption challenges in the </w:t>
            </w:r>
            <w:smartTag w:uri="urn:schemas-microsoft-com:office:smarttags" w:element="place">
              <w:smartTag w:uri="urn:schemas-microsoft-com:office:smarttags" w:element="country-region">
                <w:r w:rsidRPr="00317682">
                  <w:rPr>
                    <w:color w:val="000000"/>
                  </w:rPr>
                  <w:t>Philippines</w:t>
                </w:r>
              </w:smartTag>
            </w:smartTag>
            <w:r w:rsidRPr="00317682">
              <w:rPr>
                <w:color w:val="000000"/>
              </w:rPr>
              <w:t>.</w:t>
            </w:r>
            <w:r w:rsidR="00C16EB4" w:rsidRPr="00317682">
              <w:rPr>
                <w:color w:val="000000"/>
              </w:rPr>
              <w:t xml:space="preserve"> </w:t>
            </w:r>
            <w:r w:rsidRPr="00317682">
              <w:rPr>
                <w:color w:val="000000"/>
              </w:rPr>
              <w:t xml:space="preserve">In partnership with the World Bank, the Australian Government is supporting the implementation of the </w:t>
            </w:r>
            <w:r w:rsidR="002B2114" w:rsidRPr="00317682">
              <w:rPr>
                <w:color w:val="000000"/>
              </w:rPr>
              <w:t xml:space="preserve">second phase of the </w:t>
            </w:r>
            <w:r w:rsidRPr="00317682">
              <w:rPr>
                <w:color w:val="000000"/>
              </w:rPr>
              <w:t>National Roads Improvement and Management Program.</w:t>
            </w:r>
            <w:r w:rsidR="00C16EB4" w:rsidRPr="00317682">
              <w:rPr>
                <w:color w:val="000000"/>
              </w:rPr>
              <w:t xml:space="preserve"> </w:t>
            </w:r>
            <w:r w:rsidRPr="00317682">
              <w:rPr>
                <w:color w:val="000000"/>
              </w:rPr>
              <w:t>Australian technical assistance is strengthening corporate business processes, service delivery mechanisms and financial management systems in the Department of Public Works and Highways.</w:t>
            </w:r>
            <w:r w:rsidR="00C16EB4" w:rsidRPr="00317682">
              <w:rPr>
                <w:color w:val="000000"/>
              </w:rPr>
              <w:t xml:space="preserve"> </w:t>
            </w:r>
            <w:r w:rsidRPr="00317682">
              <w:rPr>
                <w:color w:val="000000"/>
              </w:rPr>
              <w:t xml:space="preserve">Australia is also supporting Road Watch, an independent group composed of government, development partners and civil society organisations, to ensure transparency in </w:t>
            </w:r>
            <w:r w:rsidR="003C2A5F" w:rsidRPr="00317682">
              <w:rPr>
                <w:color w:val="000000"/>
              </w:rPr>
              <w:t>the procurement systems of the department</w:t>
            </w:r>
            <w:r w:rsidRPr="00317682">
              <w:rPr>
                <w:color w:val="000000"/>
              </w:rPr>
              <w:t>, thus minimi</w:t>
            </w:r>
            <w:r w:rsidR="003C2A5F" w:rsidRPr="00317682">
              <w:rPr>
                <w:color w:val="000000"/>
              </w:rPr>
              <w:t>s</w:t>
            </w:r>
            <w:r w:rsidRPr="00317682">
              <w:rPr>
                <w:color w:val="000000"/>
              </w:rPr>
              <w:t>ing collusion and bid-rigging.</w:t>
            </w:r>
            <w:r w:rsidR="00C16EB4" w:rsidRPr="00317682">
              <w:rPr>
                <w:color w:val="000000"/>
              </w:rPr>
              <w:t xml:space="preserve"> </w:t>
            </w:r>
            <w:r w:rsidRPr="00317682">
              <w:rPr>
                <w:color w:val="000000"/>
              </w:rPr>
              <w:t xml:space="preserve">The World Bank partnership allows </w:t>
            </w:r>
            <w:proofErr w:type="spellStart"/>
            <w:r w:rsidRPr="00317682">
              <w:rPr>
                <w:color w:val="000000"/>
              </w:rPr>
              <w:t>AusAID</w:t>
            </w:r>
            <w:proofErr w:type="spellEnd"/>
            <w:r w:rsidRPr="00317682">
              <w:rPr>
                <w:color w:val="000000"/>
              </w:rPr>
              <w:t xml:space="preserve"> to advance its anticorruption agenda with the Government of the </w:t>
            </w:r>
            <w:smartTag w:uri="urn:schemas-microsoft-com:office:smarttags" w:element="place">
              <w:smartTag w:uri="urn:schemas-microsoft-com:office:smarttags" w:element="country-region">
                <w:r w:rsidRPr="00317682">
                  <w:rPr>
                    <w:color w:val="000000"/>
                  </w:rPr>
                  <w:t>Philippines</w:t>
                </w:r>
              </w:smartTag>
            </w:smartTag>
            <w:r w:rsidRPr="00317682">
              <w:rPr>
                <w:color w:val="000000"/>
              </w:rPr>
              <w:t xml:space="preserve"> through the </w:t>
            </w:r>
            <w:r w:rsidR="003C2A5F" w:rsidRPr="00317682">
              <w:rPr>
                <w:color w:val="000000"/>
              </w:rPr>
              <w:t xml:space="preserve">bank’s </w:t>
            </w:r>
            <w:r w:rsidRPr="00317682">
              <w:rPr>
                <w:color w:val="000000"/>
              </w:rPr>
              <w:t>loan assistance conditionality.</w:t>
            </w:r>
            <w:r w:rsidR="00C16EB4" w:rsidRPr="00317682">
              <w:rPr>
                <w:color w:val="000000"/>
              </w:rPr>
              <w:t xml:space="preserve"> </w:t>
            </w:r>
            <w:r w:rsidRPr="00317682">
              <w:rPr>
                <w:color w:val="000000"/>
              </w:rPr>
              <w:t xml:space="preserve">The road partnership provides a context for joint anticorruption efforts </w:t>
            </w:r>
            <w:r w:rsidR="003C2A5F" w:rsidRPr="00317682">
              <w:rPr>
                <w:color w:val="000000"/>
              </w:rPr>
              <w:t xml:space="preserve">that </w:t>
            </w:r>
            <w:r w:rsidRPr="00317682">
              <w:rPr>
                <w:color w:val="000000"/>
              </w:rPr>
              <w:t>can serve as a model for ensuring good governance in the road sector.</w:t>
            </w:r>
          </w:p>
        </w:tc>
      </w:tr>
    </w:tbl>
    <w:p w:rsidR="00441FC6" w:rsidRPr="00317682" w:rsidRDefault="00441FC6" w:rsidP="00C16EB4">
      <w:pPr>
        <w:spacing w:after="120" w:line="14" w:lineRule="exact"/>
        <w:rPr>
          <w:color w:val="000000"/>
        </w:rPr>
      </w:pPr>
    </w:p>
    <w:p w:rsidR="00DB2E78" w:rsidRPr="00317682" w:rsidRDefault="00DB2E78" w:rsidP="00DB2E78">
      <w:pPr>
        <w:pStyle w:val="Heading3"/>
        <w:rPr>
          <w:color w:val="000000"/>
        </w:rPr>
      </w:pPr>
      <w:bookmarkStart w:id="70" w:name="_Toc207514559"/>
      <w:r w:rsidRPr="00317682">
        <w:rPr>
          <w:color w:val="000000"/>
        </w:rPr>
        <w:t>Rating and explanation</w:t>
      </w:r>
      <w:bookmarkEnd w:id="70"/>
    </w:p>
    <w:p w:rsidR="00DB2E78" w:rsidRPr="00317682" w:rsidRDefault="00DB2E78" w:rsidP="00441FC6">
      <w:pPr>
        <w:pStyle w:val="BodyText"/>
        <w:rPr>
          <w:color w:val="000000"/>
        </w:rPr>
      </w:pPr>
      <w:r w:rsidRPr="00317682">
        <w:rPr>
          <w:color w:val="000000"/>
        </w:rPr>
        <w:t xml:space="preserve">Given that the </w:t>
      </w:r>
      <w:r w:rsidR="002B2114" w:rsidRPr="00317682">
        <w:rPr>
          <w:color w:val="000000"/>
        </w:rPr>
        <w:t>anticorruption p</w:t>
      </w:r>
      <w:r w:rsidRPr="00317682">
        <w:rPr>
          <w:color w:val="000000"/>
        </w:rPr>
        <w:t xml:space="preserve">olicy and </w:t>
      </w:r>
      <w:r w:rsidR="002B2114" w:rsidRPr="00317682">
        <w:rPr>
          <w:color w:val="000000"/>
        </w:rPr>
        <w:t xml:space="preserve">initiatives </w:t>
      </w:r>
      <w:r w:rsidRPr="00317682">
        <w:rPr>
          <w:color w:val="000000"/>
        </w:rPr>
        <w:t>have been in existence for a little over a year it is difficult to assign an overall rating at this stage. Anti</w:t>
      </w:r>
      <w:r w:rsidR="00441FC6" w:rsidRPr="00317682">
        <w:rPr>
          <w:color w:val="000000"/>
        </w:rPr>
        <w:t>corruption-</w:t>
      </w:r>
      <w:r w:rsidRPr="00317682">
        <w:rPr>
          <w:color w:val="000000"/>
        </w:rPr>
        <w:t xml:space="preserve">related activities that fall within the existing governance program have been rated elsewhere in this </w:t>
      </w:r>
      <w:r w:rsidR="002B2114" w:rsidRPr="00317682">
        <w:rPr>
          <w:color w:val="000000"/>
        </w:rPr>
        <w:t>chapter</w:t>
      </w:r>
      <w:r w:rsidRPr="00317682">
        <w:rPr>
          <w:color w:val="000000"/>
        </w:rPr>
        <w:t>.</w:t>
      </w:r>
      <w:r w:rsidR="00C16EB4" w:rsidRPr="00317682">
        <w:rPr>
          <w:color w:val="000000"/>
        </w:rPr>
        <w:t xml:space="preserve"> </w:t>
      </w:r>
    </w:p>
    <w:p w:rsidR="00441FC6" w:rsidRPr="00317682" w:rsidRDefault="002A01F8" w:rsidP="00B35E8F">
      <w:pPr>
        <w:pStyle w:val="Heading1unnumbered"/>
        <w:spacing w:after="1800"/>
        <w:rPr>
          <w:noProof/>
          <w:color w:val="000000"/>
        </w:rPr>
      </w:pPr>
      <w:bookmarkStart w:id="71" w:name="_Toc222041489"/>
      <w:r w:rsidRPr="00317682">
        <w:rPr>
          <w:color w:val="000000"/>
        </w:rPr>
        <w:lastRenderedPageBreak/>
        <w:t>Q</w:t>
      </w:r>
      <w:r w:rsidR="00441FC6" w:rsidRPr="00317682">
        <w:rPr>
          <w:color w:val="000000"/>
        </w:rPr>
        <w:t>uality of governance activities</w:t>
      </w:r>
      <w:bookmarkEnd w:id="71"/>
    </w:p>
    <w:p w:rsidR="00441FC6" w:rsidRPr="00317682" w:rsidRDefault="00441FC6" w:rsidP="00441FC6">
      <w:pPr>
        <w:pStyle w:val="Heading2unnumbered"/>
        <w:spacing w:before="120"/>
        <w:rPr>
          <w:color w:val="000000"/>
        </w:rPr>
      </w:pPr>
      <w:bookmarkStart w:id="72" w:name="_Toc202340897"/>
      <w:bookmarkStart w:id="73" w:name="_Toc207514561"/>
      <w:bookmarkStart w:id="74" w:name="_Toc222041490"/>
      <w:r w:rsidRPr="00317682">
        <w:rPr>
          <w:color w:val="000000"/>
        </w:rPr>
        <w:t>Overall assessment of the governance portfolio</w:t>
      </w:r>
      <w:bookmarkEnd w:id="72"/>
      <w:bookmarkEnd w:id="73"/>
      <w:bookmarkEnd w:id="74"/>
    </w:p>
    <w:p w:rsidR="0031565D" w:rsidRPr="00317682" w:rsidRDefault="00441FC6" w:rsidP="00441FC6">
      <w:pPr>
        <w:pStyle w:val="BodyText"/>
        <w:rPr>
          <w:color w:val="000000"/>
        </w:rPr>
      </w:pPr>
      <w:r w:rsidRPr="00317682">
        <w:rPr>
          <w:color w:val="000000"/>
        </w:rPr>
        <w:t>Clearly there are some major success stories within the governance portfolio</w:t>
      </w:r>
      <w:r w:rsidR="002B2114" w:rsidRPr="00317682">
        <w:rPr>
          <w:color w:val="000000"/>
        </w:rPr>
        <w:t xml:space="preserve"> of activities</w:t>
      </w:r>
      <w:r w:rsidRPr="00317682">
        <w:rPr>
          <w:color w:val="000000"/>
        </w:rPr>
        <w:t>.</w:t>
      </w:r>
      <w:r w:rsidR="00C16EB4" w:rsidRPr="00317682">
        <w:rPr>
          <w:color w:val="000000"/>
        </w:rPr>
        <w:t xml:space="preserve"> </w:t>
      </w:r>
      <w:r w:rsidRPr="00317682">
        <w:rPr>
          <w:color w:val="000000"/>
        </w:rPr>
        <w:t xml:space="preserve">In many ways </w:t>
      </w:r>
      <w:proofErr w:type="spellStart"/>
      <w:r w:rsidRPr="00317682">
        <w:rPr>
          <w:color w:val="000000"/>
        </w:rPr>
        <w:t>AusAID</w:t>
      </w:r>
      <w:proofErr w:type="spellEnd"/>
      <w:r w:rsidRPr="00317682">
        <w:rPr>
          <w:color w:val="000000"/>
        </w:rPr>
        <w:t xml:space="preserve"> has demonstrated an innovative approach to governance programming</w:t>
      </w:r>
      <w:r w:rsidR="0031565D" w:rsidRPr="00317682">
        <w:rPr>
          <w:color w:val="000000"/>
        </w:rPr>
        <w:t>,</w:t>
      </w:r>
      <w:r w:rsidRPr="00317682">
        <w:rPr>
          <w:color w:val="000000"/>
        </w:rPr>
        <w:t xml:space="preserve"> as exemplified by the LOGICA program, </w:t>
      </w:r>
      <w:r w:rsidR="0031565D" w:rsidRPr="00317682">
        <w:rPr>
          <w:color w:val="000000"/>
        </w:rPr>
        <w:t xml:space="preserve">the </w:t>
      </w:r>
      <w:r w:rsidRPr="00317682">
        <w:rPr>
          <w:color w:val="000000"/>
        </w:rPr>
        <w:t xml:space="preserve">Vanuatu Governance for Growth </w:t>
      </w:r>
      <w:r w:rsidR="0031565D" w:rsidRPr="00317682">
        <w:rPr>
          <w:color w:val="000000"/>
        </w:rPr>
        <w:t xml:space="preserve">Initiative </w:t>
      </w:r>
      <w:r w:rsidRPr="00317682">
        <w:rPr>
          <w:color w:val="000000"/>
        </w:rPr>
        <w:t xml:space="preserve">and </w:t>
      </w:r>
      <w:r w:rsidR="0031565D" w:rsidRPr="00317682">
        <w:rPr>
          <w:color w:val="000000"/>
        </w:rPr>
        <w:t xml:space="preserve">the </w:t>
      </w:r>
      <w:r w:rsidRPr="00317682">
        <w:rPr>
          <w:color w:val="000000"/>
        </w:rPr>
        <w:t xml:space="preserve">Solomon Islands Parliamentary Strengthening </w:t>
      </w:r>
      <w:r w:rsidR="0031565D" w:rsidRPr="00317682">
        <w:rPr>
          <w:color w:val="000000"/>
        </w:rPr>
        <w:t>Program</w:t>
      </w:r>
      <w:r w:rsidRPr="00317682">
        <w:rPr>
          <w:color w:val="000000"/>
        </w:rPr>
        <w:t>.</w:t>
      </w:r>
      <w:r w:rsidR="00C16EB4" w:rsidRPr="00317682">
        <w:rPr>
          <w:color w:val="000000"/>
        </w:rPr>
        <w:t xml:space="preserve"> </w:t>
      </w:r>
      <w:r w:rsidRPr="00317682">
        <w:rPr>
          <w:color w:val="000000"/>
        </w:rPr>
        <w:t>Results for other activities are, however, more mixed.</w:t>
      </w:r>
      <w:r w:rsidR="00C16EB4" w:rsidRPr="00317682">
        <w:rPr>
          <w:color w:val="000000"/>
        </w:rPr>
        <w:t xml:space="preserve"> </w:t>
      </w:r>
    </w:p>
    <w:p w:rsidR="00441FC6" w:rsidRPr="00317682" w:rsidRDefault="0031565D" w:rsidP="00441FC6">
      <w:pPr>
        <w:pStyle w:val="BodyText"/>
        <w:rPr>
          <w:color w:val="000000"/>
        </w:rPr>
      </w:pPr>
      <w:r w:rsidRPr="00317682">
        <w:rPr>
          <w:color w:val="000000"/>
        </w:rPr>
        <w:t>P</w:t>
      </w:r>
      <w:r w:rsidR="00441FC6" w:rsidRPr="00317682">
        <w:rPr>
          <w:color w:val="000000"/>
        </w:rPr>
        <w:t xml:space="preserve">erformance overall may be </w:t>
      </w:r>
      <w:r w:rsidRPr="00317682">
        <w:rPr>
          <w:color w:val="000000"/>
        </w:rPr>
        <w:t xml:space="preserve">improved </w:t>
      </w:r>
      <w:r w:rsidR="00441FC6" w:rsidRPr="00317682">
        <w:rPr>
          <w:color w:val="000000"/>
        </w:rPr>
        <w:t>by clear strategic guidance that ties the diverse but interconnected governance portfolio together and supports governance work within other sectors.</w:t>
      </w:r>
      <w:r w:rsidR="00C16EB4" w:rsidRPr="00317682">
        <w:rPr>
          <w:color w:val="000000"/>
        </w:rPr>
        <w:t xml:space="preserve"> </w:t>
      </w:r>
      <w:r w:rsidR="00441FC6" w:rsidRPr="00317682">
        <w:rPr>
          <w:color w:val="000000"/>
        </w:rPr>
        <w:t>Governance will have an important role to play across the aid program’s sectors and in scaling up ODA.</w:t>
      </w:r>
      <w:r w:rsidR="00C16EB4" w:rsidRPr="00317682">
        <w:rPr>
          <w:color w:val="000000"/>
        </w:rPr>
        <w:t xml:space="preserve"> </w:t>
      </w:r>
      <w:r w:rsidR="00441FC6" w:rsidRPr="00317682">
        <w:rPr>
          <w:color w:val="000000"/>
        </w:rPr>
        <w:t>Further improvements in performance can be expected as the aid program gives increasing attention to analysis of local context, such as governance assessments, and clarifies its approach to technical assistance.</w:t>
      </w:r>
    </w:p>
    <w:p w:rsidR="00441FC6" w:rsidRPr="00317682" w:rsidRDefault="00441FC6" w:rsidP="00441FC6">
      <w:pPr>
        <w:pStyle w:val="BodyText"/>
        <w:rPr>
          <w:color w:val="000000"/>
        </w:rPr>
      </w:pPr>
      <w:r w:rsidRPr="00317682">
        <w:rPr>
          <w:color w:val="000000"/>
        </w:rPr>
        <w:t xml:space="preserve">The assessment of governance initiatives, based on QAI ratings, is broadly consistent with the assessment of overall results against the notional objectives for the governance sector. For each of the five objectives discussed in </w:t>
      </w:r>
      <w:r w:rsidR="00D6513B" w:rsidRPr="00317682">
        <w:rPr>
          <w:color w:val="000000"/>
        </w:rPr>
        <w:t>‘Performance of governance activities’</w:t>
      </w:r>
      <w:r w:rsidRPr="00317682">
        <w:rPr>
          <w:color w:val="000000"/>
        </w:rPr>
        <w:t>, the assessment</w:t>
      </w:r>
      <w:r w:rsidR="00D6513B" w:rsidRPr="00317682">
        <w:rPr>
          <w:color w:val="000000"/>
        </w:rPr>
        <w:t>s</w:t>
      </w:r>
      <w:r w:rsidRPr="00317682">
        <w:rPr>
          <w:color w:val="000000"/>
        </w:rPr>
        <w:t xml:space="preserve"> </w:t>
      </w:r>
      <w:r w:rsidR="00D6513B" w:rsidRPr="00317682">
        <w:rPr>
          <w:color w:val="000000"/>
        </w:rPr>
        <w:t xml:space="preserve">were </w:t>
      </w:r>
      <w:r w:rsidRPr="00317682">
        <w:rPr>
          <w:color w:val="000000"/>
        </w:rPr>
        <w:t xml:space="preserve">that strong </w:t>
      </w:r>
      <w:proofErr w:type="spellStart"/>
      <w:r w:rsidRPr="00317682">
        <w:rPr>
          <w:color w:val="000000"/>
        </w:rPr>
        <w:t>wins</w:t>
      </w:r>
      <w:proofErr w:type="spellEnd"/>
      <w:r w:rsidRPr="00317682">
        <w:rPr>
          <w:color w:val="000000"/>
        </w:rPr>
        <w:t xml:space="preserve"> were often balanced out by varied performance. Progress </w:t>
      </w:r>
      <w:r w:rsidR="00D6513B" w:rsidRPr="00317682">
        <w:rPr>
          <w:color w:val="000000"/>
        </w:rPr>
        <w:t>i</w:t>
      </w:r>
      <w:r w:rsidRPr="00317682">
        <w:rPr>
          <w:color w:val="000000"/>
        </w:rPr>
        <w:t xml:space="preserve">n </w:t>
      </w:r>
      <w:r w:rsidR="00D6513B" w:rsidRPr="00317682">
        <w:rPr>
          <w:color w:val="000000"/>
        </w:rPr>
        <w:t xml:space="preserve">terms of </w:t>
      </w:r>
      <w:r w:rsidRPr="00317682">
        <w:rPr>
          <w:color w:val="000000"/>
        </w:rPr>
        <w:t xml:space="preserve">implementation and meeting objectives </w:t>
      </w:r>
      <w:r w:rsidR="00D6513B" w:rsidRPr="00317682">
        <w:rPr>
          <w:color w:val="000000"/>
        </w:rPr>
        <w:t xml:space="preserve">was </w:t>
      </w:r>
      <w:r w:rsidRPr="00317682">
        <w:rPr>
          <w:color w:val="000000"/>
        </w:rPr>
        <w:t>generally good</w:t>
      </w:r>
      <w:r w:rsidR="00D6513B" w:rsidRPr="00317682">
        <w:rPr>
          <w:color w:val="000000"/>
        </w:rPr>
        <w:t>,</w:t>
      </w:r>
      <w:r w:rsidRPr="00317682">
        <w:rPr>
          <w:color w:val="000000"/>
        </w:rPr>
        <w:t xml:space="preserve"> while activities tended to fall short on monitoring and evaluation and sustainability.</w:t>
      </w:r>
      <w:r w:rsidR="00C16EB4" w:rsidRPr="00317682">
        <w:rPr>
          <w:color w:val="000000"/>
        </w:rPr>
        <w:t xml:space="preserve"> </w:t>
      </w:r>
      <w:r w:rsidRPr="00317682">
        <w:rPr>
          <w:color w:val="000000"/>
        </w:rPr>
        <w:t xml:space="preserve">Half of all initiatives were assessed as requiring improvement </w:t>
      </w:r>
      <w:r w:rsidR="00D6513B" w:rsidRPr="00317682">
        <w:rPr>
          <w:color w:val="000000"/>
        </w:rPr>
        <w:t xml:space="preserve">in </w:t>
      </w:r>
      <w:r w:rsidRPr="00317682">
        <w:rPr>
          <w:color w:val="000000"/>
        </w:rPr>
        <w:t xml:space="preserve">implementation and </w:t>
      </w:r>
      <w:r w:rsidR="002B2114" w:rsidRPr="00317682">
        <w:rPr>
          <w:color w:val="000000"/>
        </w:rPr>
        <w:t xml:space="preserve">in </w:t>
      </w:r>
      <w:r w:rsidRPr="00317682">
        <w:rPr>
          <w:color w:val="000000"/>
        </w:rPr>
        <w:t>achieving objectives</w:t>
      </w:r>
      <w:r w:rsidR="00D6513B" w:rsidRPr="00317682">
        <w:rPr>
          <w:color w:val="000000"/>
        </w:rPr>
        <w:t>,</w:t>
      </w:r>
      <w:r w:rsidRPr="00317682">
        <w:rPr>
          <w:color w:val="000000"/>
        </w:rPr>
        <w:t xml:space="preserve"> and around three-quarters of all initiatives were assessed as requiring improvement </w:t>
      </w:r>
      <w:r w:rsidR="00D6513B" w:rsidRPr="00317682">
        <w:rPr>
          <w:color w:val="000000"/>
        </w:rPr>
        <w:t xml:space="preserve">in </w:t>
      </w:r>
      <w:r w:rsidRPr="00317682">
        <w:rPr>
          <w:color w:val="000000"/>
        </w:rPr>
        <w:t xml:space="preserve">monitoring and evaluation and </w:t>
      </w:r>
      <w:r w:rsidR="00D6513B" w:rsidRPr="00317682">
        <w:rPr>
          <w:color w:val="000000"/>
        </w:rPr>
        <w:t xml:space="preserve">in </w:t>
      </w:r>
      <w:r w:rsidRPr="00317682">
        <w:rPr>
          <w:color w:val="000000"/>
        </w:rPr>
        <w:t>sustainability</w:t>
      </w:r>
      <w:r w:rsidR="00D6513B" w:rsidRPr="00317682">
        <w:rPr>
          <w:color w:val="000000"/>
        </w:rPr>
        <w:t xml:space="preserve"> of outcomes</w:t>
      </w:r>
      <w:r w:rsidRPr="00317682">
        <w:rPr>
          <w:color w:val="000000"/>
        </w:rPr>
        <w:t>.</w:t>
      </w:r>
      <w:r w:rsidR="00C16EB4" w:rsidRPr="00317682">
        <w:rPr>
          <w:color w:val="000000"/>
        </w:rPr>
        <w:t xml:space="preserve"> </w:t>
      </w:r>
      <w:r w:rsidRPr="00317682">
        <w:rPr>
          <w:color w:val="000000"/>
        </w:rPr>
        <w:t xml:space="preserve">This performance is not inconsistent with international experience over the </w:t>
      </w:r>
      <w:r w:rsidR="00D6513B" w:rsidRPr="00317682">
        <w:rPr>
          <w:color w:val="000000"/>
        </w:rPr>
        <w:t>p</w:t>
      </w:r>
      <w:r w:rsidRPr="00317682">
        <w:rPr>
          <w:color w:val="000000"/>
        </w:rPr>
        <w:t>ast decade and reflects the difficulties in attributing outcomes to inputs involved with governance.</w:t>
      </w:r>
    </w:p>
    <w:p w:rsidR="00441FC6" w:rsidRPr="00317682" w:rsidRDefault="00441FC6" w:rsidP="008E0587">
      <w:pPr>
        <w:pStyle w:val="Heading2unnumbered"/>
        <w:spacing w:before="400"/>
        <w:rPr>
          <w:color w:val="000000"/>
        </w:rPr>
      </w:pPr>
      <w:bookmarkStart w:id="75" w:name="_Toc202340898"/>
      <w:bookmarkStart w:id="76" w:name="_Toc207514562"/>
      <w:bookmarkStart w:id="77" w:name="_Toc222041491"/>
      <w:r w:rsidRPr="00317682">
        <w:rPr>
          <w:color w:val="000000"/>
        </w:rPr>
        <w:t>Relative performance of economic governance and public</w:t>
      </w:r>
      <w:r w:rsidR="003812D3" w:rsidRPr="00317682">
        <w:rPr>
          <w:color w:val="000000"/>
        </w:rPr>
        <w:t> </w:t>
      </w:r>
      <w:r w:rsidRPr="00317682">
        <w:rPr>
          <w:color w:val="000000"/>
        </w:rPr>
        <w:t>sector</w:t>
      </w:r>
      <w:r w:rsidR="003812D3" w:rsidRPr="00317682">
        <w:rPr>
          <w:color w:val="000000"/>
        </w:rPr>
        <w:t> </w:t>
      </w:r>
      <w:r w:rsidR="004F5C3B" w:rsidRPr="00317682">
        <w:rPr>
          <w:color w:val="000000"/>
        </w:rPr>
        <w:t>management </w:t>
      </w:r>
      <w:r w:rsidRPr="00317682">
        <w:rPr>
          <w:color w:val="000000"/>
        </w:rPr>
        <w:t>categories</w:t>
      </w:r>
      <w:bookmarkEnd w:id="75"/>
      <w:bookmarkEnd w:id="76"/>
      <w:bookmarkEnd w:id="77"/>
    </w:p>
    <w:p w:rsidR="00441FC6" w:rsidRPr="00317682" w:rsidRDefault="00441FC6" w:rsidP="0031565D">
      <w:pPr>
        <w:pStyle w:val="BodyText"/>
        <w:rPr>
          <w:color w:val="000000"/>
        </w:rPr>
      </w:pPr>
      <w:r w:rsidRPr="00317682">
        <w:rPr>
          <w:color w:val="000000"/>
        </w:rPr>
        <w:t xml:space="preserve">Economic governance initiatives, on average, perform slightly better than public sector management initiatives. This pattern only weakly </w:t>
      </w:r>
      <w:r w:rsidRPr="00317682">
        <w:rPr>
          <w:rStyle w:val="BodyTextChar"/>
          <w:color w:val="000000"/>
        </w:rPr>
        <w:t xml:space="preserve">mirrors the trend reported by the World Bank and others of public financial management activity significantly outperforming civil service and administrative reform. A recent World Bank </w:t>
      </w:r>
      <w:r w:rsidR="003812D3" w:rsidRPr="00317682">
        <w:rPr>
          <w:rStyle w:val="BodyTextChar"/>
          <w:color w:val="000000"/>
        </w:rPr>
        <w:t>evaluation</w:t>
      </w:r>
      <w:r w:rsidR="003812D3" w:rsidRPr="00317682">
        <w:rPr>
          <w:color w:val="000000"/>
        </w:rPr>
        <w:t xml:space="preserve"> of public sector reform</w:t>
      </w:r>
      <w:r w:rsidRPr="00317682">
        <w:rPr>
          <w:rStyle w:val="FootnoteReference"/>
          <w:color w:val="000000"/>
          <w:sz w:val="12"/>
        </w:rPr>
        <w:footnoteReference w:id="18"/>
      </w:r>
      <w:r w:rsidRPr="00317682">
        <w:rPr>
          <w:color w:val="000000"/>
        </w:rPr>
        <w:t xml:space="preserve"> found that about two-thirds of all countries that borrowed for financial management showed improvement, whereas civil service and administrative reform had improved in fewer than half </w:t>
      </w:r>
      <w:r w:rsidR="00C11D79" w:rsidRPr="00317682">
        <w:rPr>
          <w:color w:val="000000"/>
        </w:rPr>
        <w:t xml:space="preserve">of </w:t>
      </w:r>
      <w:r w:rsidRPr="00317682">
        <w:rPr>
          <w:color w:val="000000"/>
        </w:rPr>
        <w:t xml:space="preserve">the borrowing countries. </w:t>
      </w:r>
    </w:p>
    <w:p w:rsidR="00441FC6" w:rsidRPr="00317682" w:rsidRDefault="00441FC6" w:rsidP="00441FC6">
      <w:pPr>
        <w:pStyle w:val="BodyText"/>
        <w:rPr>
          <w:color w:val="000000"/>
        </w:rPr>
      </w:pPr>
      <w:r w:rsidRPr="00317682">
        <w:rPr>
          <w:color w:val="000000"/>
        </w:rPr>
        <w:lastRenderedPageBreak/>
        <w:t>Importantly, the evaluation observed that government ownership for public financial management projects was usually good because the main counterparts</w:t>
      </w:r>
      <w:r w:rsidR="00C11D79" w:rsidRPr="00317682">
        <w:rPr>
          <w:color w:val="000000"/>
        </w:rPr>
        <w:t>—</w:t>
      </w:r>
      <w:r w:rsidRPr="00317682">
        <w:rPr>
          <w:color w:val="000000"/>
        </w:rPr>
        <w:t>the ministries of finance</w:t>
      </w:r>
      <w:r w:rsidR="00C11D79" w:rsidRPr="00317682">
        <w:rPr>
          <w:color w:val="000000"/>
        </w:rPr>
        <w:t>—</w:t>
      </w:r>
      <w:r w:rsidRPr="00317682">
        <w:rPr>
          <w:color w:val="000000"/>
        </w:rPr>
        <w:t>had a clear interest in them.</w:t>
      </w:r>
      <w:r w:rsidRPr="00317682">
        <w:rPr>
          <w:rStyle w:val="FootnoteReference"/>
          <w:color w:val="000000"/>
          <w:sz w:val="12"/>
        </w:rPr>
        <w:footnoteReference w:id="19"/>
      </w:r>
      <w:r w:rsidRPr="00317682">
        <w:rPr>
          <w:color w:val="000000"/>
        </w:rPr>
        <w:t xml:space="preserve"> In contrast, the most common reason for failure of civil service and administrative reforms was </w:t>
      </w:r>
      <w:r w:rsidR="00C11D79" w:rsidRPr="00317682">
        <w:rPr>
          <w:color w:val="000000"/>
        </w:rPr>
        <w:t xml:space="preserve">the </w:t>
      </w:r>
      <w:r w:rsidRPr="00317682">
        <w:rPr>
          <w:color w:val="000000"/>
        </w:rPr>
        <w:t>lack of political commitment.</w:t>
      </w:r>
      <w:r w:rsidRPr="00317682">
        <w:rPr>
          <w:rStyle w:val="FootnoteReference"/>
          <w:color w:val="000000"/>
          <w:sz w:val="12"/>
        </w:rPr>
        <w:footnoteReference w:id="20"/>
      </w:r>
      <w:r w:rsidRPr="00317682">
        <w:rPr>
          <w:color w:val="000000"/>
        </w:rPr>
        <w:t xml:space="preserve"> Arguably, many public management reform programs are </w:t>
      </w:r>
      <w:r w:rsidR="00C11D79" w:rsidRPr="00317682">
        <w:rPr>
          <w:color w:val="000000"/>
        </w:rPr>
        <w:t xml:space="preserve">driven </w:t>
      </w:r>
      <w:r w:rsidRPr="00317682">
        <w:rPr>
          <w:color w:val="000000"/>
        </w:rPr>
        <w:t xml:space="preserve">largely </w:t>
      </w:r>
      <w:r w:rsidR="00C11D79" w:rsidRPr="00317682">
        <w:rPr>
          <w:color w:val="000000"/>
        </w:rPr>
        <w:t xml:space="preserve">by </w:t>
      </w:r>
      <w:r w:rsidRPr="00317682">
        <w:rPr>
          <w:color w:val="000000"/>
        </w:rPr>
        <w:t>donor</w:t>
      </w:r>
      <w:r w:rsidR="00C11D79" w:rsidRPr="00317682">
        <w:rPr>
          <w:color w:val="000000"/>
        </w:rPr>
        <w:t>s</w:t>
      </w:r>
      <w:r w:rsidRPr="00317682">
        <w:rPr>
          <w:color w:val="000000"/>
        </w:rPr>
        <w:t xml:space="preserve">. Other studies have highlighted the inefficacy of transplanting alien models of civil service reform designed for implementation in highly developed countries </w:t>
      </w:r>
      <w:r w:rsidR="002B2114" w:rsidRPr="00317682">
        <w:rPr>
          <w:color w:val="000000"/>
        </w:rPr>
        <w:t xml:space="preserve">if </w:t>
      </w:r>
      <w:r w:rsidRPr="00317682">
        <w:rPr>
          <w:color w:val="000000"/>
        </w:rPr>
        <w:t>there is little understanding of or fit with the political and cultural context of the recipient country.</w:t>
      </w:r>
      <w:r w:rsidRPr="00317682">
        <w:rPr>
          <w:rStyle w:val="FootnoteReference"/>
          <w:color w:val="000000"/>
          <w:sz w:val="12"/>
        </w:rPr>
        <w:footnoteReference w:id="21"/>
      </w:r>
    </w:p>
    <w:p w:rsidR="00441FC6" w:rsidRPr="00317682" w:rsidRDefault="00441FC6" w:rsidP="00441FC6">
      <w:pPr>
        <w:pStyle w:val="Heading2unnumbered"/>
        <w:rPr>
          <w:color w:val="000000"/>
        </w:rPr>
      </w:pPr>
      <w:bookmarkStart w:id="78" w:name="_Toc202340899"/>
      <w:bookmarkStart w:id="79" w:name="_Toc207514563"/>
      <w:bookmarkStart w:id="80" w:name="_Toc222041492"/>
      <w:r w:rsidRPr="00317682">
        <w:rPr>
          <w:color w:val="000000"/>
        </w:rPr>
        <w:t>Relative performance of civil society and political</w:t>
      </w:r>
      <w:r w:rsidR="008E0587" w:rsidRPr="00317682">
        <w:rPr>
          <w:color w:val="000000"/>
        </w:rPr>
        <w:t> </w:t>
      </w:r>
      <w:r w:rsidRPr="00317682">
        <w:rPr>
          <w:color w:val="000000"/>
        </w:rPr>
        <w:t>governance</w:t>
      </w:r>
      <w:r w:rsidR="008E0587" w:rsidRPr="00317682">
        <w:rPr>
          <w:color w:val="000000"/>
        </w:rPr>
        <w:t> </w:t>
      </w:r>
      <w:r w:rsidRPr="00317682">
        <w:rPr>
          <w:color w:val="000000"/>
        </w:rPr>
        <w:t>categories</w:t>
      </w:r>
      <w:bookmarkEnd w:id="78"/>
      <w:bookmarkEnd w:id="79"/>
      <w:bookmarkEnd w:id="80"/>
    </w:p>
    <w:p w:rsidR="00441FC6" w:rsidRPr="00317682" w:rsidRDefault="00441FC6" w:rsidP="00441FC6">
      <w:pPr>
        <w:pStyle w:val="BodyText"/>
        <w:rPr>
          <w:color w:val="000000"/>
        </w:rPr>
      </w:pPr>
      <w:r w:rsidRPr="00317682">
        <w:rPr>
          <w:color w:val="000000"/>
        </w:rPr>
        <w:t>On average, initiatives classified as civil society tracked worst and initiatives classified as political governance tracked best in QAI ratings. This would seem to reflect the relative complexity of the initiatives themselves and the contexts in which they are being implemented. Many of the poorly performing civil society initiatives are in post-conflict or other fragile settings</w:t>
      </w:r>
      <w:r w:rsidR="008E0587" w:rsidRPr="00317682">
        <w:rPr>
          <w:color w:val="000000"/>
        </w:rPr>
        <w:t>,</w:t>
      </w:r>
      <w:r w:rsidRPr="00317682">
        <w:rPr>
          <w:color w:val="000000"/>
        </w:rPr>
        <w:t xml:space="preserve"> and much of the work with civil society involves slow, incremental change </w:t>
      </w:r>
      <w:r w:rsidR="008E0587" w:rsidRPr="00317682">
        <w:rPr>
          <w:color w:val="000000"/>
        </w:rPr>
        <w:t xml:space="preserve">that </w:t>
      </w:r>
      <w:r w:rsidRPr="00317682">
        <w:rPr>
          <w:color w:val="000000"/>
        </w:rPr>
        <w:t>is difficult to measure and to embed. The best rated political governance initiatives, on the other hand, generally involve more tangible outcomes. Most are focused on strengthening</w:t>
      </w:r>
      <w:r w:rsidR="007C4A8F" w:rsidRPr="00317682">
        <w:rPr>
          <w:color w:val="000000"/>
        </w:rPr>
        <w:t xml:space="preserve"> electoral processes</w:t>
      </w:r>
      <w:r w:rsidRPr="00317682">
        <w:rPr>
          <w:color w:val="000000"/>
        </w:rPr>
        <w:t>, with the measure of success being a smooth and untroubled electoral event.</w:t>
      </w:r>
    </w:p>
    <w:p w:rsidR="00441FC6" w:rsidRPr="00317682" w:rsidRDefault="00441FC6" w:rsidP="00441FC6">
      <w:pPr>
        <w:pStyle w:val="Heading2unnumbered"/>
        <w:rPr>
          <w:color w:val="000000"/>
        </w:rPr>
      </w:pPr>
      <w:bookmarkStart w:id="81" w:name="_Toc207514564"/>
      <w:bookmarkStart w:id="82" w:name="_Toc222041493"/>
      <w:r w:rsidRPr="00317682">
        <w:rPr>
          <w:color w:val="000000"/>
        </w:rPr>
        <w:t>Relative performance of law and justice category</w:t>
      </w:r>
      <w:bookmarkEnd w:id="81"/>
      <w:bookmarkEnd w:id="82"/>
    </w:p>
    <w:p w:rsidR="00441FC6" w:rsidRPr="00317682" w:rsidRDefault="00441FC6" w:rsidP="00441FC6">
      <w:pPr>
        <w:pStyle w:val="BodyText"/>
        <w:rPr>
          <w:color w:val="000000"/>
        </w:rPr>
      </w:pPr>
      <w:r w:rsidRPr="00317682">
        <w:rPr>
          <w:color w:val="000000"/>
        </w:rPr>
        <w:t>Overall, law and justice work track</w:t>
      </w:r>
      <w:r w:rsidR="007C4A8F" w:rsidRPr="00317682">
        <w:rPr>
          <w:color w:val="000000"/>
        </w:rPr>
        <w:t>ed</w:t>
      </w:r>
      <w:r w:rsidRPr="00317682">
        <w:rPr>
          <w:color w:val="000000"/>
        </w:rPr>
        <w:t xml:space="preserve"> well against the other categories</w:t>
      </w:r>
      <w:r w:rsidR="002B2114" w:rsidRPr="00317682">
        <w:rPr>
          <w:color w:val="000000"/>
        </w:rPr>
        <w:t xml:space="preserve"> of governance assistance</w:t>
      </w:r>
      <w:r w:rsidRPr="00317682">
        <w:rPr>
          <w:color w:val="000000"/>
        </w:rPr>
        <w:t>.</w:t>
      </w:r>
      <w:r w:rsidR="00C16EB4" w:rsidRPr="00317682">
        <w:rPr>
          <w:color w:val="000000"/>
        </w:rPr>
        <w:t xml:space="preserve"> </w:t>
      </w:r>
      <w:r w:rsidRPr="00317682">
        <w:rPr>
          <w:color w:val="000000"/>
        </w:rPr>
        <w:t>It is also an area with large and increasing whole</w:t>
      </w:r>
      <w:r w:rsidR="007C4A8F" w:rsidRPr="00317682">
        <w:rPr>
          <w:color w:val="000000"/>
        </w:rPr>
        <w:t>-</w:t>
      </w:r>
      <w:r w:rsidRPr="00317682">
        <w:rPr>
          <w:color w:val="000000"/>
        </w:rPr>
        <w:t>of</w:t>
      </w:r>
      <w:r w:rsidR="007C4A8F" w:rsidRPr="00317682">
        <w:rPr>
          <w:color w:val="000000"/>
        </w:rPr>
        <w:t>-</w:t>
      </w:r>
      <w:r w:rsidRPr="00317682">
        <w:rPr>
          <w:color w:val="000000"/>
        </w:rPr>
        <w:t>government input</w:t>
      </w:r>
      <w:r w:rsidR="007C4A8F" w:rsidRPr="00317682">
        <w:rPr>
          <w:color w:val="000000"/>
        </w:rPr>
        <w:t>,</w:t>
      </w:r>
      <w:r w:rsidRPr="00317682">
        <w:rPr>
          <w:color w:val="000000"/>
        </w:rPr>
        <w:t xml:space="preserve"> which has necessitated close coordination and will continue to influence performance.</w:t>
      </w:r>
      <w:r w:rsidR="00C16EB4" w:rsidRPr="00317682">
        <w:rPr>
          <w:color w:val="000000"/>
        </w:rPr>
        <w:t xml:space="preserve"> </w:t>
      </w:r>
      <w:r w:rsidRPr="00317682">
        <w:rPr>
          <w:color w:val="000000"/>
        </w:rPr>
        <w:t>An integrated approach to law and justice activities is generally producing better results among larger programs</w:t>
      </w:r>
      <w:r w:rsidR="002B2114" w:rsidRPr="00317682">
        <w:rPr>
          <w:color w:val="000000"/>
        </w:rPr>
        <w:t>,</w:t>
      </w:r>
      <w:r w:rsidRPr="00317682">
        <w:rPr>
          <w:color w:val="000000"/>
        </w:rPr>
        <w:t xml:space="preserve"> while the choice of modality continues to influence the effectiveness of outcomes</w:t>
      </w:r>
      <w:r w:rsidR="007C4A8F" w:rsidRPr="00317682">
        <w:rPr>
          <w:color w:val="000000"/>
        </w:rPr>
        <w:t>,</w:t>
      </w:r>
      <w:r w:rsidRPr="00317682">
        <w:rPr>
          <w:color w:val="000000"/>
        </w:rPr>
        <w:t xml:space="preserve"> including sustainability.</w:t>
      </w:r>
    </w:p>
    <w:sectPr w:rsidR="00441FC6" w:rsidRPr="00317682" w:rsidSect="001C557B">
      <w:headerReference w:type="even" r:id="rId12"/>
      <w:footerReference w:type="even" r:id="rId13"/>
      <w:footerReference w:type="default" r:id="rId14"/>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04" w:rsidRDefault="000F1104">
      <w:r>
        <w:separator/>
      </w:r>
    </w:p>
  </w:endnote>
  <w:endnote w:type="continuationSeparator" w:id="0">
    <w:p w:rsidR="000F1104" w:rsidRDefault="000F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Malgun Gothic"/>
    <w:panose1 w:val="00000000000000000000"/>
    <w:charset w:val="00"/>
    <w:family w:val="swiss"/>
    <w:notTrueType/>
    <w:pitch w:val="variable"/>
    <w:sig w:usb0="00000003" w:usb1="00000000" w:usb2="00000000" w:usb3="00000000" w:csb0="00000001" w:csb1="00000000"/>
  </w:font>
  <w:font w:name="Franklin Gothic Demi">
    <w:altName w:val="Franklin Gothic Medium"/>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45" w:rsidRPr="00AD612A" w:rsidRDefault="000E5C45">
    <w:pPr>
      <w:pStyle w:val="Footer"/>
    </w:pPr>
    <w:r>
      <w:rPr>
        <w:rStyle w:val="PageNumber"/>
      </w:rPr>
      <w:fldChar w:fldCharType="begin"/>
    </w:r>
    <w:r>
      <w:rPr>
        <w:rStyle w:val="PageNumber"/>
      </w:rPr>
      <w:instrText xml:space="preserve"> PAGE </w:instrText>
    </w:r>
    <w:r>
      <w:rPr>
        <w:rStyle w:val="PageNumber"/>
      </w:rPr>
      <w:fldChar w:fldCharType="separate"/>
    </w:r>
    <w:r w:rsidR="00574CA7">
      <w:rPr>
        <w:rStyle w:val="PageNumber"/>
        <w:noProof/>
      </w:rPr>
      <w:t>16</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574CA7">
      <w:rPr>
        <w:rFonts w:cs="Arial"/>
        <w:noProof/>
      </w:rPr>
      <w:t>Governance annual thematic performance report 2007–08</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45" w:rsidRPr="001260C2" w:rsidRDefault="000E5C45"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574CA7">
      <w:rPr>
        <w:rFonts w:cs="Arial"/>
        <w:noProof/>
      </w:rPr>
      <w:t>Governance annual thematic performance report 2007–08</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574CA7">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04" w:rsidRDefault="000F1104" w:rsidP="00BA1CA0">
      <w:pPr>
        <w:spacing w:line="180" w:lineRule="exact"/>
      </w:pPr>
      <w:r>
        <w:continuationSeparator/>
      </w:r>
    </w:p>
  </w:footnote>
  <w:footnote w:type="continuationSeparator" w:id="0">
    <w:p w:rsidR="000F1104" w:rsidRDefault="000F1104">
      <w:r>
        <w:continuationSeparator/>
      </w:r>
    </w:p>
  </w:footnote>
  <w:footnote w:type="continuationNotice" w:id="1">
    <w:p w:rsidR="000F1104" w:rsidRDefault="000F1104"/>
  </w:footnote>
  <w:footnote w:id="2">
    <w:p w:rsidR="00000000" w:rsidRDefault="000E5C45" w:rsidP="009B68F2">
      <w:pPr>
        <w:pStyle w:val="FootnoteText"/>
      </w:pPr>
      <w:r>
        <w:rPr>
          <w:rStyle w:val="FootnoteReference"/>
          <w:sz w:val="12"/>
        </w:rPr>
        <w:footnoteRef/>
      </w:r>
      <w:r>
        <w:t xml:space="preserve"> </w:t>
      </w:r>
      <w:r>
        <w:tab/>
        <w:t xml:space="preserve">OECD Development Advisory Committee Network on Governance, </w:t>
      </w:r>
      <w:r>
        <w:rPr>
          <w:i/>
        </w:rPr>
        <w:t xml:space="preserve">Policy paper on anti-corruption: setting an agenda for collective action, </w:t>
      </w:r>
      <w:r>
        <w:t>September 2006.</w:t>
      </w:r>
    </w:p>
  </w:footnote>
  <w:footnote w:id="3">
    <w:p w:rsidR="00000000" w:rsidRDefault="000E5C45" w:rsidP="00CC2117">
      <w:pPr>
        <w:pStyle w:val="FootnoteText"/>
      </w:pPr>
      <w:r>
        <w:rPr>
          <w:rStyle w:val="FootnoteReference"/>
          <w:sz w:val="12"/>
        </w:rPr>
        <w:footnoteRef/>
      </w:r>
      <w:r>
        <w:tab/>
        <w:t>In 2007 the World Bank released a set of guiding principles for strengthening its engagement on governance and anticorruption &lt;</w:t>
      </w:r>
      <w:r w:rsidRPr="00A70DA9">
        <w:t>www.worldbank.org/html/extdr/comments/governancefeedback/emergingplan-apr07.pdf</w:t>
      </w:r>
      <w:r>
        <w:rPr>
          <w:rStyle w:val="HTMLCite"/>
          <w:rFonts w:ascii="Arial" w:hAnsi="Arial" w:cs="Arial"/>
          <w:color w:val="000000"/>
        </w:rPr>
        <w:t>&gt;</w:t>
      </w:r>
      <w:r>
        <w:t xml:space="preserve">. The first principle states that </w:t>
      </w:r>
      <w:r w:rsidRPr="002A352A">
        <w:t>‘The World Bank Group (WBG’s) focus on governance and anti-corruption (GAC) follows from its mandate to reduce poverty – a capable and accountable state creates opportunities for poor people, provides better services, and improves development outcomes’</w:t>
      </w:r>
      <w:r w:rsidRPr="00B36A64">
        <w:t>.</w:t>
      </w:r>
    </w:p>
  </w:footnote>
  <w:footnote w:id="4">
    <w:p w:rsidR="00000000" w:rsidRDefault="000E5C45" w:rsidP="00CC2117">
      <w:pPr>
        <w:pStyle w:val="FootnoteText"/>
      </w:pPr>
      <w:r>
        <w:rPr>
          <w:rStyle w:val="FootnoteReference"/>
          <w:sz w:val="12"/>
        </w:rPr>
        <w:footnoteRef/>
      </w:r>
      <w:r>
        <w:t xml:space="preserve"> </w:t>
      </w:r>
      <w:r>
        <w:tab/>
        <w:t xml:space="preserve">As </w:t>
      </w:r>
      <w:r w:rsidRPr="00CC2117">
        <w:t>world governance indicators</w:t>
      </w:r>
      <w:r>
        <w:t xml:space="preserve"> are drawn from a wide variety of sources the margins for error can be significant and there may be fewer sources for data for smaller countries. These indicators must be used with caution and in conjunction with other indicators or assessments; however, as </w:t>
      </w:r>
      <w:r w:rsidRPr="00CC2117">
        <w:t>world governance indicators</w:t>
      </w:r>
      <w:r>
        <w:t xml:space="preserve"> have broad country coverage and have been compiled since 1996 they provide a useful comparative tool.</w:t>
      </w:r>
    </w:p>
  </w:footnote>
  <w:footnote w:id="5">
    <w:p w:rsidR="00000000" w:rsidRDefault="000E5C45" w:rsidP="00CC2117">
      <w:pPr>
        <w:pStyle w:val="FootnoteText"/>
      </w:pPr>
      <w:r>
        <w:rPr>
          <w:rStyle w:val="FootnoteReference"/>
          <w:sz w:val="12"/>
        </w:rPr>
        <w:footnoteRef/>
      </w:r>
      <w:r>
        <w:t xml:space="preserve"> </w:t>
      </w:r>
      <w:r>
        <w:tab/>
        <w:t xml:space="preserve">Developing countries generally perform relatively poorly in governance assessments such as the </w:t>
      </w:r>
      <w:r w:rsidRPr="00CC2117">
        <w:t>world governance indicators</w:t>
      </w:r>
      <w:r>
        <w:t xml:space="preserve"> that rank performance against developed countries</w:t>
      </w:r>
      <w:proofErr w:type="gramStart"/>
      <w:r>
        <w:t>..</w:t>
      </w:r>
      <w:proofErr w:type="gramEnd"/>
    </w:p>
  </w:footnote>
  <w:footnote w:id="6">
    <w:p w:rsidR="00000000" w:rsidRDefault="000E5C45" w:rsidP="009B68F2">
      <w:pPr>
        <w:pStyle w:val="FootnoteText"/>
      </w:pPr>
      <w:r>
        <w:rPr>
          <w:rStyle w:val="FootnoteReference"/>
          <w:sz w:val="12"/>
        </w:rPr>
        <w:footnoteRef/>
      </w:r>
      <w:r>
        <w:tab/>
      </w:r>
      <w:r w:rsidRPr="000859C5">
        <w:rPr>
          <w:lang w:val="en-US"/>
        </w:rPr>
        <w:t>The Bertelsmann Transformation Index is an international ranking of 125 developing and transition countries. It examines the political and economic status of each country as well as its political management performance.</w:t>
      </w:r>
    </w:p>
  </w:footnote>
  <w:footnote w:id="7">
    <w:p w:rsidR="00000000" w:rsidRDefault="000E5C45" w:rsidP="00606966">
      <w:pPr>
        <w:pStyle w:val="FootnoteText"/>
      </w:pPr>
      <w:r>
        <w:rPr>
          <w:rStyle w:val="FootnoteReference"/>
          <w:sz w:val="12"/>
        </w:rPr>
        <w:footnoteRef/>
      </w:r>
      <w:r>
        <w:t xml:space="preserve"> </w:t>
      </w:r>
      <w:r>
        <w:tab/>
      </w:r>
      <w:r w:rsidRPr="000834AF">
        <w:rPr>
          <w:spacing w:val="-2"/>
        </w:rPr>
        <w:t xml:space="preserve">Transparency International, </w:t>
      </w:r>
      <w:r w:rsidRPr="000834AF">
        <w:rPr>
          <w:i/>
          <w:spacing w:val="-2"/>
        </w:rPr>
        <w:t xml:space="preserve">Corruption Perceptions Index regional highlights: </w:t>
      </w:r>
      <w:smartTag w:uri="urn:schemas-microsoft-com:office:smarttags" w:element="place">
        <w:r w:rsidRPr="000834AF">
          <w:rPr>
            <w:i/>
            <w:spacing w:val="-2"/>
          </w:rPr>
          <w:t>Asia</w:t>
        </w:r>
      </w:smartTag>
      <w:r w:rsidRPr="000834AF">
        <w:rPr>
          <w:i/>
          <w:spacing w:val="-2"/>
        </w:rPr>
        <w:t xml:space="preserve"> Pacific Region</w:t>
      </w:r>
      <w:r w:rsidRPr="000834AF">
        <w:rPr>
          <w:spacing w:val="-2"/>
        </w:rPr>
        <w:t>, 2007, &lt;www.transparency.org&gt;.</w:t>
      </w:r>
    </w:p>
  </w:footnote>
  <w:footnote w:id="8">
    <w:p w:rsidR="00000000" w:rsidRDefault="000E5C45" w:rsidP="00530428">
      <w:pPr>
        <w:pStyle w:val="FootnoteText"/>
      </w:pPr>
      <w:r>
        <w:rPr>
          <w:rStyle w:val="FootnoteReference"/>
          <w:sz w:val="12"/>
        </w:rPr>
        <w:footnoteRef/>
      </w:r>
      <w:r>
        <w:t xml:space="preserve"> </w:t>
      </w:r>
      <w:r>
        <w:tab/>
      </w:r>
      <w:proofErr w:type="spellStart"/>
      <w:r>
        <w:t>AusAID</w:t>
      </w:r>
      <w:proofErr w:type="spellEnd"/>
      <w:r>
        <w:t xml:space="preserve">, </w:t>
      </w:r>
      <w:r w:rsidRPr="00C41CF5">
        <w:rPr>
          <w:i/>
        </w:rPr>
        <w:t>Annual report 2006–07</w:t>
      </w:r>
      <w:r>
        <w:t>, Figure 4, puts the governance component of total ODA at 33 per cent.</w:t>
      </w:r>
    </w:p>
  </w:footnote>
  <w:footnote w:id="9">
    <w:p w:rsidR="00000000" w:rsidRDefault="000E5C45" w:rsidP="00606966">
      <w:pPr>
        <w:pStyle w:val="FootnoteText"/>
      </w:pPr>
      <w:r>
        <w:rPr>
          <w:rStyle w:val="FootnoteReference"/>
          <w:sz w:val="12"/>
        </w:rPr>
        <w:footnoteRef/>
      </w:r>
      <w:r>
        <w:t xml:space="preserve"> </w:t>
      </w:r>
      <w:r>
        <w:tab/>
        <w:t>Ministerial Budget Statement 2007–08, Australia’s International Development Assistance Program, 2008–09, Diagram 6, &lt;</w:t>
      </w:r>
      <w:r w:rsidRPr="005D1C22">
        <w:t>http://ato.gov.au/budget/2008-09/content/ministerial_statements/html/ausaid-04.htm</w:t>
      </w:r>
      <w:r>
        <w:t>&gt;.</w:t>
      </w:r>
    </w:p>
  </w:footnote>
  <w:footnote w:id="10">
    <w:p w:rsidR="00000000" w:rsidRDefault="000E5C45" w:rsidP="00606966">
      <w:pPr>
        <w:pStyle w:val="FootnoteText"/>
      </w:pPr>
      <w:r>
        <w:rPr>
          <w:rStyle w:val="FootnoteReference"/>
          <w:sz w:val="12"/>
        </w:rPr>
        <w:footnoteRef/>
      </w:r>
      <w:r>
        <w:t xml:space="preserve"> </w:t>
      </w:r>
      <w:r>
        <w:tab/>
        <w:t>Other government agencies expended an estimated $232 million on all governance activity—not only activities with a value of at least $3 million.</w:t>
      </w:r>
    </w:p>
  </w:footnote>
  <w:footnote w:id="11">
    <w:p w:rsidR="00000000" w:rsidRDefault="000E5C45">
      <w:pPr>
        <w:pStyle w:val="FootnoteText"/>
      </w:pPr>
      <w:r>
        <w:rPr>
          <w:rStyle w:val="FootnoteReference"/>
          <w:sz w:val="12"/>
        </w:rPr>
        <w:footnoteRef/>
      </w:r>
      <w:r>
        <w:t xml:space="preserve"> </w:t>
      </w:r>
      <w:r>
        <w:tab/>
      </w:r>
      <w:proofErr w:type="spellStart"/>
      <w:r>
        <w:t>AusAID</w:t>
      </w:r>
      <w:proofErr w:type="spellEnd"/>
      <w:r>
        <w:t xml:space="preserve">, </w:t>
      </w:r>
      <w:r>
        <w:rPr>
          <w:i/>
        </w:rPr>
        <w:t>Good governance: guiding principles for implementation</w:t>
      </w:r>
      <w:r>
        <w:t xml:space="preserve">, Australian Agency for International Development, </w:t>
      </w:r>
      <w:smartTag w:uri="urn:schemas-microsoft-com:office:smarttags" w:element="City">
        <w:smartTag w:uri="urn:schemas-microsoft-com:office:smarttags" w:element="place">
          <w:r>
            <w:t>Canberra</w:t>
          </w:r>
        </w:smartTag>
      </w:smartTag>
      <w:r>
        <w:t xml:space="preserve">, </w:t>
      </w:r>
      <w:proofErr w:type="gramStart"/>
      <w:r>
        <w:t>August</w:t>
      </w:r>
      <w:proofErr w:type="gramEnd"/>
      <w:r>
        <w:t xml:space="preserve"> 2000.</w:t>
      </w:r>
    </w:p>
  </w:footnote>
  <w:footnote w:id="12">
    <w:p w:rsidR="00000000" w:rsidRDefault="000E5C45">
      <w:pPr>
        <w:pStyle w:val="FootnoteText"/>
      </w:pPr>
      <w:r>
        <w:rPr>
          <w:rStyle w:val="FootnoteReference"/>
          <w:sz w:val="12"/>
        </w:rPr>
        <w:footnoteRef/>
      </w:r>
      <w:r>
        <w:t xml:space="preserve"> </w:t>
      </w:r>
      <w:r>
        <w:tab/>
        <w:t xml:space="preserve">Australian Government, </w:t>
      </w:r>
      <w:r w:rsidRPr="00B25E1C">
        <w:rPr>
          <w:i/>
        </w:rPr>
        <w:t>Australian aid: promoting growth and stability</w:t>
      </w:r>
      <w:r>
        <w:t xml:space="preserve">, a white paper on the Australian Government’s overseas aid program, Australian Agency for International Development, </w:t>
      </w:r>
      <w:smartTag w:uri="urn:schemas-microsoft-com:office:smarttags" w:element="place">
        <w:smartTag w:uri="urn:schemas-microsoft-com:office:smarttags" w:element="City">
          <w:r>
            <w:t>Canberra</w:t>
          </w:r>
        </w:smartTag>
      </w:smartTag>
      <w:r>
        <w:t>, 2006.</w:t>
      </w:r>
    </w:p>
  </w:footnote>
  <w:footnote w:id="13">
    <w:p w:rsidR="00000000" w:rsidRDefault="000E5C45" w:rsidP="00DB2E78">
      <w:pPr>
        <w:pStyle w:val="FootnoteText"/>
      </w:pPr>
      <w:r>
        <w:rPr>
          <w:rStyle w:val="FootnoteReference"/>
          <w:sz w:val="12"/>
        </w:rPr>
        <w:footnoteRef/>
      </w:r>
      <w:r>
        <w:t xml:space="preserve"> </w:t>
      </w:r>
      <w:r>
        <w:tab/>
      </w:r>
      <w:proofErr w:type="spellStart"/>
      <w:proofErr w:type="gramStart"/>
      <w:r>
        <w:t>AusAID</w:t>
      </w:r>
      <w:proofErr w:type="spellEnd"/>
      <w:r>
        <w:t xml:space="preserve">, </w:t>
      </w:r>
      <w:r>
        <w:rPr>
          <w:i/>
        </w:rPr>
        <w:t>Good governance</w:t>
      </w:r>
      <w:r>
        <w:t>, p. 3.</w:t>
      </w:r>
      <w:proofErr w:type="gramEnd"/>
    </w:p>
  </w:footnote>
  <w:footnote w:id="14">
    <w:p w:rsidR="00000000" w:rsidRDefault="000E5C45" w:rsidP="00DB2E78">
      <w:pPr>
        <w:pStyle w:val="FootnoteText"/>
      </w:pPr>
      <w:r>
        <w:rPr>
          <w:rStyle w:val="FootnoteReference"/>
          <w:sz w:val="12"/>
        </w:rPr>
        <w:footnoteRef/>
      </w:r>
      <w:r>
        <w:t xml:space="preserve"> </w:t>
      </w:r>
      <w:r>
        <w:tab/>
        <w:t>The</w:t>
      </w:r>
      <w:r w:rsidRPr="00E43078">
        <w:t xml:space="preserve"> core </w:t>
      </w:r>
      <w:r>
        <w:t xml:space="preserve">OECD </w:t>
      </w:r>
      <w:r w:rsidRPr="00E43078">
        <w:t xml:space="preserve">DAC codes of relevance to </w:t>
      </w:r>
      <w:proofErr w:type="spellStart"/>
      <w:r w:rsidRPr="00E43078">
        <w:t>AusAID’s</w:t>
      </w:r>
      <w:proofErr w:type="spellEnd"/>
      <w:r w:rsidRPr="00E43078">
        <w:t xml:space="preserve"> </w:t>
      </w:r>
      <w:r>
        <w:t xml:space="preserve">current </w:t>
      </w:r>
      <w:r w:rsidRPr="00E43078">
        <w:t xml:space="preserve">law and justice </w:t>
      </w:r>
      <w:r>
        <w:t>portfolio</w:t>
      </w:r>
      <w:r w:rsidRPr="00E43078">
        <w:t xml:space="preserve"> include: legal a</w:t>
      </w:r>
      <w:r>
        <w:t>nd judicial development (15130),</w:t>
      </w:r>
      <w:r w:rsidRPr="00E43078">
        <w:t xml:space="preserve"> government administration (15140</w:t>
      </w:r>
      <w:r>
        <w:t>),</w:t>
      </w:r>
      <w:r w:rsidRPr="00E43078">
        <w:t xml:space="preserve"> human rights (15162</w:t>
      </w:r>
      <w:r>
        <w:t>) and</w:t>
      </w:r>
      <w:r w:rsidRPr="00E43078">
        <w:t xml:space="preserve"> post confl</w:t>
      </w:r>
      <w:r>
        <w:t>ict peace-building (UN) (15230)</w:t>
      </w:r>
      <w:r w:rsidRPr="00E43078">
        <w:t>.</w:t>
      </w:r>
    </w:p>
  </w:footnote>
  <w:footnote w:id="15">
    <w:p w:rsidR="00000000" w:rsidRDefault="000E5C45" w:rsidP="00A96222">
      <w:pPr>
        <w:pStyle w:val="FootnoteText"/>
      </w:pPr>
      <w:r>
        <w:rPr>
          <w:rStyle w:val="FootnoteReference"/>
          <w:sz w:val="12"/>
        </w:rPr>
        <w:footnoteRef/>
      </w:r>
      <w:r>
        <w:t xml:space="preserve"> </w:t>
      </w:r>
      <w:r>
        <w:tab/>
      </w:r>
      <w:proofErr w:type="gramStart"/>
      <w:r>
        <w:t xml:space="preserve">Mid Term Review Report of the </w:t>
      </w:r>
      <w:proofErr w:type="spellStart"/>
      <w:r>
        <w:t>AusAID</w:t>
      </w:r>
      <w:proofErr w:type="spellEnd"/>
      <w:r>
        <w:t xml:space="preserve"> African Governance Facility, May 2007, pp. 20, 28, 36.</w:t>
      </w:r>
      <w:proofErr w:type="gramEnd"/>
    </w:p>
  </w:footnote>
  <w:footnote w:id="16">
    <w:p w:rsidR="00000000" w:rsidRDefault="000E5C45" w:rsidP="00DB2E78">
      <w:pPr>
        <w:pStyle w:val="FootnoteText"/>
      </w:pPr>
      <w:r>
        <w:rPr>
          <w:rStyle w:val="FootnoteReference"/>
          <w:sz w:val="12"/>
        </w:rPr>
        <w:footnoteRef/>
      </w:r>
      <w:r>
        <w:t xml:space="preserve"> </w:t>
      </w:r>
      <w:r>
        <w:tab/>
      </w:r>
      <w:proofErr w:type="spellStart"/>
      <w:r>
        <w:t>Lise</w:t>
      </w:r>
      <w:proofErr w:type="spellEnd"/>
      <w:r>
        <w:t xml:space="preserve"> </w:t>
      </w:r>
      <w:proofErr w:type="spellStart"/>
      <w:r>
        <w:t>Rakner</w:t>
      </w:r>
      <w:proofErr w:type="spellEnd"/>
      <w:r>
        <w:t xml:space="preserve">, </w:t>
      </w:r>
      <w:proofErr w:type="spellStart"/>
      <w:r>
        <w:t>Alina</w:t>
      </w:r>
      <w:proofErr w:type="spellEnd"/>
      <w:r>
        <w:t xml:space="preserve"> Rocha </w:t>
      </w:r>
      <w:proofErr w:type="spellStart"/>
      <w:r>
        <w:t>Menocal</w:t>
      </w:r>
      <w:proofErr w:type="spellEnd"/>
      <w:r>
        <w:t xml:space="preserve"> &amp; </w:t>
      </w:r>
      <w:proofErr w:type="spellStart"/>
      <w:r>
        <w:t>Verena</w:t>
      </w:r>
      <w:proofErr w:type="spellEnd"/>
      <w:r>
        <w:t xml:space="preserve"> Fritz, </w:t>
      </w:r>
      <w:r>
        <w:rPr>
          <w:i/>
        </w:rPr>
        <w:t>Democratisation’s third wave and the challenges of democratic deepening: assessing international democracy assistance and lessons learned</w:t>
      </w:r>
      <w:r>
        <w:t>,</w:t>
      </w:r>
      <w:r>
        <w:rPr>
          <w:i/>
        </w:rPr>
        <w:t xml:space="preserve"> </w:t>
      </w:r>
      <w:r>
        <w:t>Working Paper, Overseas Development Institute, August 2007, p. v.</w:t>
      </w:r>
    </w:p>
  </w:footnote>
  <w:footnote w:id="17">
    <w:p w:rsidR="00000000" w:rsidRDefault="000E5C45">
      <w:pPr>
        <w:pStyle w:val="FootnoteText"/>
      </w:pPr>
      <w:r>
        <w:rPr>
          <w:rStyle w:val="FootnoteReference"/>
          <w:sz w:val="12"/>
        </w:rPr>
        <w:footnoteRef/>
      </w:r>
      <w:r>
        <w:t xml:space="preserve"> </w:t>
      </w:r>
      <w:r>
        <w:tab/>
      </w:r>
      <w:proofErr w:type="spellStart"/>
      <w:r>
        <w:t>AusAID</w:t>
      </w:r>
      <w:proofErr w:type="spellEnd"/>
      <w:r>
        <w:t xml:space="preserve">, </w:t>
      </w:r>
      <w:proofErr w:type="gramStart"/>
      <w:r w:rsidRPr="001C54A2">
        <w:rPr>
          <w:i/>
        </w:rPr>
        <w:t>Tackling</w:t>
      </w:r>
      <w:proofErr w:type="gramEnd"/>
      <w:r w:rsidRPr="001C54A2">
        <w:rPr>
          <w:i/>
        </w:rPr>
        <w:t xml:space="preserve"> corruption for growth and development</w:t>
      </w:r>
      <w:r>
        <w:rPr>
          <w:i/>
        </w:rPr>
        <w:t xml:space="preserve">: </w:t>
      </w:r>
      <w:r w:rsidRPr="004B2FB5">
        <w:rPr>
          <w:i/>
        </w:rPr>
        <w:t>a policy for Australian development assistance on anti-corruption</w:t>
      </w:r>
      <w:r>
        <w:t xml:space="preserve">, Australian Agency for International Development, </w:t>
      </w:r>
      <w:smartTag w:uri="urn:schemas-microsoft-com:office:smarttags" w:element="City">
        <w:smartTag w:uri="urn:schemas-microsoft-com:office:smarttags" w:element="place">
          <w:r>
            <w:t>Canberra</w:t>
          </w:r>
        </w:smartTag>
      </w:smartTag>
      <w:r>
        <w:t>, March 2007.</w:t>
      </w:r>
    </w:p>
  </w:footnote>
  <w:footnote w:id="18">
    <w:p w:rsidR="00000000" w:rsidRDefault="000E5C45" w:rsidP="00441FC6">
      <w:pPr>
        <w:pStyle w:val="FootnoteText"/>
      </w:pPr>
      <w:r>
        <w:rPr>
          <w:rStyle w:val="FootnoteReference"/>
          <w:sz w:val="12"/>
        </w:rPr>
        <w:footnoteRef/>
      </w:r>
      <w:r>
        <w:t xml:space="preserve"> </w:t>
      </w:r>
      <w:r>
        <w:tab/>
        <w:t xml:space="preserve">World Bank, Independent Evaluation Group, </w:t>
      </w:r>
      <w:r>
        <w:rPr>
          <w:i/>
        </w:rPr>
        <w:t xml:space="preserve">Public sector reform: what works and why,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2008.</w:t>
      </w:r>
    </w:p>
  </w:footnote>
  <w:footnote w:id="19">
    <w:p w:rsidR="00000000" w:rsidRDefault="000E5C45" w:rsidP="00441FC6">
      <w:pPr>
        <w:pStyle w:val="FootnoteText"/>
      </w:pPr>
      <w:r>
        <w:rPr>
          <w:rStyle w:val="FootnoteReference"/>
          <w:sz w:val="12"/>
        </w:rPr>
        <w:footnoteRef/>
      </w:r>
      <w:r>
        <w:tab/>
        <w:t>World Bank, p. 73.</w:t>
      </w:r>
    </w:p>
  </w:footnote>
  <w:footnote w:id="20">
    <w:p w:rsidR="00000000" w:rsidRDefault="000E5C45" w:rsidP="00441FC6">
      <w:pPr>
        <w:pStyle w:val="FootnoteText"/>
      </w:pPr>
      <w:r>
        <w:rPr>
          <w:rStyle w:val="FootnoteReference"/>
          <w:sz w:val="12"/>
        </w:rPr>
        <w:footnoteRef/>
      </w:r>
      <w:r>
        <w:tab/>
        <w:t xml:space="preserve"> World Bank, p. 54.</w:t>
      </w:r>
    </w:p>
  </w:footnote>
  <w:footnote w:id="21">
    <w:p w:rsidR="00000000" w:rsidRDefault="000E5C45" w:rsidP="00441FC6">
      <w:pPr>
        <w:pStyle w:val="FootnoteText"/>
      </w:pPr>
      <w:r>
        <w:rPr>
          <w:rStyle w:val="FootnoteReference"/>
          <w:sz w:val="12"/>
        </w:rPr>
        <w:footnoteRef/>
      </w:r>
      <w:r>
        <w:t xml:space="preserve"> </w:t>
      </w:r>
      <w:r>
        <w:tab/>
      </w:r>
      <w:proofErr w:type="spellStart"/>
      <w:r>
        <w:t>Verena</w:t>
      </w:r>
      <w:proofErr w:type="spellEnd"/>
      <w:r>
        <w:t xml:space="preserve"> Fritz &amp; </w:t>
      </w:r>
      <w:proofErr w:type="spellStart"/>
      <w:r>
        <w:t>Alina</w:t>
      </w:r>
      <w:proofErr w:type="spellEnd"/>
      <w:r>
        <w:t xml:space="preserve"> Rocha </w:t>
      </w:r>
      <w:proofErr w:type="spellStart"/>
      <w:r>
        <w:t>Menocal</w:t>
      </w:r>
      <w:proofErr w:type="spellEnd"/>
      <w:r>
        <w:t xml:space="preserve">, ‘Developmental states in the new millennium: concepts and challenges for a new aid agenda’, </w:t>
      </w:r>
      <w:r>
        <w:rPr>
          <w:i/>
        </w:rPr>
        <w:t>Development Policy Review</w:t>
      </w:r>
      <w:r>
        <w:t xml:space="preserve">, vol. 25, no. 5, pp. 454–5, 2007, states: </w:t>
      </w:r>
      <w:r w:rsidRPr="00707152">
        <w:t xml:space="preserve">‘More than $4 billion of aid was spent on </w:t>
      </w:r>
      <w:r>
        <w:t>“</w:t>
      </w:r>
      <w:r w:rsidRPr="00707152">
        <w:t>improving government administration</w:t>
      </w:r>
      <w:r>
        <w:t>”</w:t>
      </w:r>
      <w:r w:rsidRPr="00707152">
        <w:t xml:space="preserve"> in 2005, according to the OECD’s aid database. However, a general perception is that such </w:t>
      </w:r>
      <w:r>
        <w:t>“</w:t>
      </w:r>
      <w:r w:rsidRPr="00707152">
        <w:t>public sector reforms</w:t>
      </w:r>
      <w:r>
        <w:t>”</w:t>
      </w:r>
      <w:r w:rsidRPr="00707152">
        <w:t>, as well as capacity-building efforts more generally, have fallen short of expectations</w:t>
      </w:r>
      <w:r>
        <w:t xml:space="preserve"> … </w:t>
      </w:r>
      <w:r w:rsidRPr="00707152">
        <w:t>At least in part, this seems to be due to excessively standardised and insufficiently innovative and tailored approaches. For example, while some innovative thinking has gone into the reform of public financial management and into decentralisation, fresh perspectives on civil-service and core public-administration reform have been particularly scarce in recent years</w:t>
      </w:r>
      <w:r>
        <w:t>—</w:t>
      </w:r>
      <w:r w:rsidRPr="00707152">
        <w:t xml:space="preserve">especially in terms of thinking beyond the fashions of the </w:t>
      </w:r>
      <w:r>
        <w:t>“</w:t>
      </w:r>
      <w:r w:rsidRPr="00707152">
        <w:t>New Public Management</w:t>
      </w:r>
      <w:r>
        <w:t>”</w:t>
      </w:r>
      <w:r w:rsidRPr="00707152">
        <w:t>, which originated in and was primarily designed to meet the reform needs of highly developed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45" w:rsidRDefault="000E5C45"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96660F8"/>
    <w:lvl w:ilvl="0">
      <w:start w:val="1"/>
      <w:numFmt w:val="decimal"/>
      <w:pStyle w:val="ListNumber2"/>
      <w:lvlText w:val="%1."/>
      <w:lvlJc w:val="left"/>
      <w:pPr>
        <w:tabs>
          <w:tab w:val="num" w:pos="643"/>
        </w:tabs>
        <w:ind w:left="643" w:hanging="360"/>
      </w:pPr>
    </w:lvl>
  </w:abstractNum>
  <w:abstractNum w:abstractNumId="1">
    <w:nsid w:val="FFFFFF83"/>
    <w:multiLevelType w:val="singleLevel"/>
    <w:tmpl w:val="FF2ABD5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0053B2"/>
    <w:lvl w:ilvl="0">
      <w:start w:val="1"/>
      <w:numFmt w:val="decimal"/>
      <w:pStyle w:val="ListNumber"/>
      <w:lvlText w:val="%1."/>
      <w:lvlJc w:val="left"/>
      <w:pPr>
        <w:tabs>
          <w:tab w:val="num" w:pos="360"/>
        </w:tabs>
        <w:ind w:left="360" w:hanging="360"/>
      </w:pPr>
    </w:lvl>
  </w:abstractNum>
  <w:abstractNum w:abstractNumId="3">
    <w:nsid w:val="FFFFFF89"/>
    <w:multiLevelType w:val="singleLevel"/>
    <w:tmpl w:val="5EEE291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7F75263"/>
    <w:multiLevelType w:val="hybridMultilevel"/>
    <w:tmpl w:val="183033F4"/>
    <w:lvl w:ilvl="0" w:tplc="FAF88740">
      <w:start w:val="1"/>
      <w:numFmt w:val="bullet"/>
      <w:pStyle w:val="ListBullet"/>
      <w:lvlText w:val="&gt;"/>
      <w:lvlJc w:val="left"/>
      <w:pPr>
        <w:tabs>
          <w:tab w:val="num" w:pos="284"/>
        </w:tabs>
        <w:ind w:left="284" w:hanging="284"/>
      </w:pPr>
      <w:rPr>
        <w:rFonts w:hint="default"/>
        <w:b w:val="0"/>
        <w:i w:val="0"/>
        <w:color w:val="auto"/>
        <w:position w:val="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621CE7"/>
    <w:multiLevelType w:val="hybridMultilevel"/>
    <w:tmpl w:val="C548E4FA"/>
    <w:lvl w:ilvl="0" w:tplc="ACFA6F56">
      <w:start w:val="1"/>
      <w:numFmt w:val="bullet"/>
      <w:pStyle w:val="TableListBullet2"/>
      <w:lvlText w:val="–"/>
      <w:lvlJc w:val="left"/>
      <w:pPr>
        <w:tabs>
          <w:tab w:val="num" w:pos="454"/>
        </w:tabs>
        <w:ind w:left="454" w:hanging="227"/>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80665BC"/>
    <w:multiLevelType w:val="hybridMultilevel"/>
    <w:tmpl w:val="4DC601BA"/>
    <w:lvl w:ilvl="0" w:tplc="5D98112C">
      <w:start w:val="1"/>
      <w:numFmt w:val="decimal"/>
      <w:pStyle w:val="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FF96287"/>
    <w:multiLevelType w:val="hybridMultilevel"/>
    <w:tmpl w:val="833277C2"/>
    <w:lvl w:ilvl="0" w:tplc="53F0B8B8">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4F264CF"/>
    <w:multiLevelType w:val="multilevel"/>
    <w:tmpl w:val="8DF2FEE8"/>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16">
    <w:nsid w:val="66C55035"/>
    <w:multiLevelType w:val="hybridMultilevel"/>
    <w:tmpl w:val="0B46E7C6"/>
    <w:lvl w:ilvl="0" w:tplc="D3782208">
      <w:start w:val="1"/>
      <w:numFmt w:val="bullet"/>
      <w:pStyle w:val="TableListBullet"/>
      <w:lvlText w:val="&gt;"/>
      <w:lvlJc w:val="left"/>
      <w:pPr>
        <w:tabs>
          <w:tab w:val="num" w:pos="227"/>
        </w:tabs>
        <w:ind w:left="227" w:hanging="227"/>
      </w:pPr>
      <w:rPr>
        <w:rFonts w:ascii="Franklin Gothic Medium" w:hAnsi="Franklin Gothic Medium"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2BB502B"/>
    <w:multiLevelType w:val="multilevel"/>
    <w:tmpl w:val="75803198"/>
    <w:lvl w:ilvl="0">
      <w:start w:val="1"/>
      <w:numFmt w:val="lowerLetter"/>
      <w:lvlRestart w:val="0"/>
      <w:lvlText w:val="%1"/>
      <w:lvlJc w:val="left"/>
      <w:pPr>
        <w:tabs>
          <w:tab w:val="num" w:pos="170"/>
        </w:tabs>
      </w:pPr>
      <w:rPr>
        <w:rFonts w:cs="Times New Roman" w:hint="default"/>
        <w:b/>
        <w:i w:val="0"/>
        <w:color w:val="00497E"/>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8">
    <w:nsid w:val="74437058"/>
    <w:multiLevelType w:val="multilevel"/>
    <w:tmpl w:val="7A92930E"/>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9">
    <w:nsid w:val="79E1124E"/>
    <w:multiLevelType w:val="hybridMultilevel"/>
    <w:tmpl w:val="6D42E656"/>
    <w:lvl w:ilvl="0" w:tplc="6E58C8B0">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18"/>
  </w:num>
  <w:num w:numId="6">
    <w:abstractNumId w:val="14"/>
  </w:num>
  <w:num w:numId="7">
    <w:abstractNumId w:val="16"/>
  </w:num>
  <w:num w:numId="8">
    <w:abstractNumId w:val="15"/>
  </w:num>
  <w:num w:numId="9">
    <w:abstractNumId w:val="19"/>
  </w:num>
  <w:num w:numId="10">
    <w:abstractNumId w:val="6"/>
  </w:num>
  <w:num w:numId="11">
    <w:abstractNumId w:val="8"/>
  </w:num>
  <w:num w:numId="12">
    <w:abstractNumId w:val="10"/>
  </w:num>
  <w:num w:numId="13">
    <w:abstractNumId w:val="13"/>
  </w:num>
  <w:num w:numId="14">
    <w:abstractNumId w:val="12"/>
  </w:num>
  <w:num w:numId="15">
    <w:abstractNumId w:val="4"/>
  </w:num>
  <w:num w:numId="16">
    <w:abstractNumId w:val="18"/>
    <w:lvlOverride w:ilvl="0">
      <w:startOverride w:val="1"/>
    </w:lvlOverride>
  </w:num>
  <w:num w:numId="17">
    <w:abstractNumId w:val="5"/>
  </w:num>
  <w:num w:numId="18">
    <w:abstractNumId w:val="9"/>
  </w:num>
  <w:num w:numId="19">
    <w:abstractNumId w:val="7"/>
  </w:num>
  <w:num w:numId="20">
    <w:abstractNumId w:val="18"/>
    <w:lvlOverride w:ilvl="0">
      <w:startOverride w:val="1"/>
    </w:lvlOverride>
  </w:num>
  <w:num w:numId="21">
    <w:abstractNumId w:val="11"/>
  </w:num>
  <w:num w:numId="22">
    <w:abstractNumId w:val="18"/>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BE"/>
    <w:rsid w:val="00002939"/>
    <w:rsid w:val="00003931"/>
    <w:rsid w:val="00004368"/>
    <w:rsid w:val="00011550"/>
    <w:rsid w:val="0001170C"/>
    <w:rsid w:val="0001356A"/>
    <w:rsid w:val="00015DBC"/>
    <w:rsid w:val="00016771"/>
    <w:rsid w:val="0001688F"/>
    <w:rsid w:val="00017D33"/>
    <w:rsid w:val="0002235F"/>
    <w:rsid w:val="00022D41"/>
    <w:rsid w:val="00030588"/>
    <w:rsid w:val="00034B41"/>
    <w:rsid w:val="00034E45"/>
    <w:rsid w:val="00035E2A"/>
    <w:rsid w:val="00037673"/>
    <w:rsid w:val="000433AB"/>
    <w:rsid w:val="00044EDD"/>
    <w:rsid w:val="000452A6"/>
    <w:rsid w:val="0004636D"/>
    <w:rsid w:val="00046974"/>
    <w:rsid w:val="000513B2"/>
    <w:rsid w:val="00053D8A"/>
    <w:rsid w:val="00055BF5"/>
    <w:rsid w:val="00060A32"/>
    <w:rsid w:val="00061389"/>
    <w:rsid w:val="00062ADC"/>
    <w:rsid w:val="00063C3C"/>
    <w:rsid w:val="00063C90"/>
    <w:rsid w:val="000655EB"/>
    <w:rsid w:val="00065C12"/>
    <w:rsid w:val="00067F6E"/>
    <w:rsid w:val="00070BAE"/>
    <w:rsid w:val="00070F05"/>
    <w:rsid w:val="00071974"/>
    <w:rsid w:val="000722A1"/>
    <w:rsid w:val="00074C9B"/>
    <w:rsid w:val="00075C1B"/>
    <w:rsid w:val="00075E37"/>
    <w:rsid w:val="000766F0"/>
    <w:rsid w:val="00082E97"/>
    <w:rsid w:val="000834AF"/>
    <w:rsid w:val="00085585"/>
    <w:rsid w:val="000859C5"/>
    <w:rsid w:val="00085E50"/>
    <w:rsid w:val="00086164"/>
    <w:rsid w:val="000863C3"/>
    <w:rsid w:val="00090C8C"/>
    <w:rsid w:val="00095BE1"/>
    <w:rsid w:val="00097A76"/>
    <w:rsid w:val="000A0794"/>
    <w:rsid w:val="000A3437"/>
    <w:rsid w:val="000A4433"/>
    <w:rsid w:val="000A5BCC"/>
    <w:rsid w:val="000A6FAF"/>
    <w:rsid w:val="000A7400"/>
    <w:rsid w:val="000A7708"/>
    <w:rsid w:val="000A770F"/>
    <w:rsid w:val="000B0232"/>
    <w:rsid w:val="000B13AB"/>
    <w:rsid w:val="000B146D"/>
    <w:rsid w:val="000B2461"/>
    <w:rsid w:val="000B4054"/>
    <w:rsid w:val="000B56CF"/>
    <w:rsid w:val="000B5B55"/>
    <w:rsid w:val="000B6330"/>
    <w:rsid w:val="000B7FF7"/>
    <w:rsid w:val="000C0125"/>
    <w:rsid w:val="000C0807"/>
    <w:rsid w:val="000C0D83"/>
    <w:rsid w:val="000C6326"/>
    <w:rsid w:val="000D074E"/>
    <w:rsid w:val="000D32D5"/>
    <w:rsid w:val="000E0333"/>
    <w:rsid w:val="000E2E8A"/>
    <w:rsid w:val="000E595E"/>
    <w:rsid w:val="000E5C21"/>
    <w:rsid w:val="000E5C45"/>
    <w:rsid w:val="000F1104"/>
    <w:rsid w:val="000F7DB9"/>
    <w:rsid w:val="000F7EBB"/>
    <w:rsid w:val="001020A5"/>
    <w:rsid w:val="00104CCC"/>
    <w:rsid w:val="001057B3"/>
    <w:rsid w:val="0011233F"/>
    <w:rsid w:val="00115A8C"/>
    <w:rsid w:val="00115D91"/>
    <w:rsid w:val="001204E2"/>
    <w:rsid w:val="001250BF"/>
    <w:rsid w:val="001260C2"/>
    <w:rsid w:val="00127B7F"/>
    <w:rsid w:val="00132E41"/>
    <w:rsid w:val="001360A4"/>
    <w:rsid w:val="00136E47"/>
    <w:rsid w:val="00136FF9"/>
    <w:rsid w:val="00137BA1"/>
    <w:rsid w:val="0014049B"/>
    <w:rsid w:val="00143525"/>
    <w:rsid w:val="001436A7"/>
    <w:rsid w:val="00144611"/>
    <w:rsid w:val="0014787F"/>
    <w:rsid w:val="00152D98"/>
    <w:rsid w:val="001536B0"/>
    <w:rsid w:val="001564B4"/>
    <w:rsid w:val="001644AA"/>
    <w:rsid w:val="00165C4D"/>
    <w:rsid w:val="00166BE1"/>
    <w:rsid w:val="001702D7"/>
    <w:rsid w:val="00170336"/>
    <w:rsid w:val="001707ED"/>
    <w:rsid w:val="00170B04"/>
    <w:rsid w:val="00171681"/>
    <w:rsid w:val="00172093"/>
    <w:rsid w:val="001756DD"/>
    <w:rsid w:val="00175CFE"/>
    <w:rsid w:val="00176846"/>
    <w:rsid w:val="001772C7"/>
    <w:rsid w:val="00177AE1"/>
    <w:rsid w:val="00177B5D"/>
    <w:rsid w:val="00180E63"/>
    <w:rsid w:val="00180EC6"/>
    <w:rsid w:val="00182E7D"/>
    <w:rsid w:val="001840DC"/>
    <w:rsid w:val="00184C6E"/>
    <w:rsid w:val="00187D56"/>
    <w:rsid w:val="00192028"/>
    <w:rsid w:val="00193384"/>
    <w:rsid w:val="001957F2"/>
    <w:rsid w:val="0019627A"/>
    <w:rsid w:val="001A157D"/>
    <w:rsid w:val="001A4A2B"/>
    <w:rsid w:val="001A4CB0"/>
    <w:rsid w:val="001A4F3D"/>
    <w:rsid w:val="001A64D6"/>
    <w:rsid w:val="001A676A"/>
    <w:rsid w:val="001A76CD"/>
    <w:rsid w:val="001A7A00"/>
    <w:rsid w:val="001B0BC3"/>
    <w:rsid w:val="001B1559"/>
    <w:rsid w:val="001B265B"/>
    <w:rsid w:val="001B3A25"/>
    <w:rsid w:val="001B40B6"/>
    <w:rsid w:val="001B653E"/>
    <w:rsid w:val="001B7441"/>
    <w:rsid w:val="001B7D36"/>
    <w:rsid w:val="001C1650"/>
    <w:rsid w:val="001C18A5"/>
    <w:rsid w:val="001C54A2"/>
    <w:rsid w:val="001C54D5"/>
    <w:rsid w:val="001C557B"/>
    <w:rsid w:val="001C68A6"/>
    <w:rsid w:val="001C6E25"/>
    <w:rsid w:val="001D0D54"/>
    <w:rsid w:val="001D0D75"/>
    <w:rsid w:val="001D1FF1"/>
    <w:rsid w:val="001D22C0"/>
    <w:rsid w:val="001D24B1"/>
    <w:rsid w:val="001D2D04"/>
    <w:rsid w:val="001D65A4"/>
    <w:rsid w:val="001E2CC6"/>
    <w:rsid w:val="001E3D82"/>
    <w:rsid w:val="001E521E"/>
    <w:rsid w:val="001E5458"/>
    <w:rsid w:val="001E61C0"/>
    <w:rsid w:val="001E77A7"/>
    <w:rsid w:val="001F0E53"/>
    <w:rsid w:val="001F0E62"/>
    <w:rsid w:val="001F1365"/>
    <w:rsid w:val="001F353B"/>
    <w:rsid w:val="001F39C9"/>
    <w:rsid w:val="001F4CD3"/>
    <w:rsid w:val="001F4E51"/>
    <w:rsid w:val="001F5AA9"/>
    <w:rsid w:val="001F6EE7"/>
    <w:rsid w:val="00203160"/>
    <w:rsid w:val="0021017E"/>
    <w:rsid w:val="00213176"/>
    <w:rsid w:val="002175A4"/>
    <w:rsid w:val="002178C9"/>
    <w:rsid w:val="00226029"/>
    <w:rsid w:val="0022688E"/>
    <w:rsid w:val="002274D0"/>
    <w:rsid w:val="00227D6B"/>
    <w:rsid w:val="00230432"/>
    <w:rsid w:val="00230F10"/>
    <w:rsid w:val="00231CB6"/>
    <w:rsid w:val="00232097"/>
    <w:rsid w:val="00233570"/>
    <w:rsid w:val="00233D7A"/>
    <w:rsid w:val="00234583"/>
    <w:rsid w:val="00234D37"/>
    <w:rsid w:val="00237451"/>
    <w:rsid w:val="00243468"/>
    <w:rsid w:val="0024348E"/>
    <w:rsid w:val="00244F96"/>
    <w:rsid w:val="0024542D"/>
    <w:rsid w:val="0024630C"/>
    <w:rsid w:val="002505BE"/>
    <w:rsid w:val="00250D70"/>
    <w:rsid w:val="002515F6"/>
    <w:rsid w:val="00254E51"/>
    <w:rsid w:val="00257199"/>
    <w:rsid w:val="00257D53"/>
    <w:rsid w:val="002600C7"/>
    <w:rsid w:val="00260CE2"/>
    <w:rsid w:val="0026347A"/>
    <w:rsid w:val="00263B78"/>
    <w:rsid w:val="00266A89"/>
    <w:rsid w:val="00266B56"/>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01F8"/>
    <w:rsid w:val="002A1D2F"/>
    <w:rsid w:val="002A2305"/>
    <w:rsid w:val="002A352A"/>
    <w:rsid w:val="002A4BB1"/>
    <w:rsid w:val="002A561C"/>
    <w:rsid w:val="002A6CE4"/>
    <w:rsid w:val="002B02EA"/>
    <w:rsid w:val="002B0B26"/>
    <w:rsid w:val="002B2114"/>
    <w:rsid w:val="002B3053"/>
    <w:rsid w:val="002B33AD"/>
    <w:rsid w:val="002B3E15"/>
    <w:rsid w:val="002B5B10"/>
    <w:rsid w:val="002C018F"/>
    <w:rsid w:val="002C0F44"/>
    <w:rsid w:val="002C159E"/>
    <w:rsid w:val="002C1746"/>
    <w:rsid w:val="002C257C"/>
    <w:rsid w:val="002D468F"/>
    <w:rsid w:val="002D5DED"/>
    <w:rsid w:val="002D657C"/>
    <w:rsid w:val="002D6E19"/>
    <w:rsid w:val="002D7A0A"/>
    <w:rsid w:val="002E000E"/>
    <w:rsid w:val="002E1AC2"/>
    <w:rsid w:val="002E2CDD"/>
    <w:rsid w:val="002E7862"/>
    <w:rsid w:val="002E7F6A"/>
    <w:rsid w:val="002F056E"/>
    <w:rsid w:val="002F36D2"/>
    <w:rsid w:val="002F3C1A"/>
    <w:rsid w:val="002F3E97"/>
    <w:rsid w:val="002F489A"/>
    <w:rsid w:val="003023FD"/>
    <w:rsid w:val="0030414F"/>
    <w:rsid w:val="00305213"/>
    <w:rsid w:val="0031131B"/>
    <w:rsid w:val="00312E50"/>
    <w:rsid w:val="003147DD"/>
    <w:rsid w:val="0031565D"/>
    <w:rsid w:val="00315D84"/>
    <w:rsid w:val="00317682"/>
    <w:rsid w:val="00321C81"/>
    <w:rsid w:val="003225AB"/>
    <w:rsid w:val="00330A76"/>
    <w:rsid w:val="00330D74"/>
    <w:rsid w:val="00332945"/>
    <w:rsid w:val="00333127"/>
    <w:rsid w:val="003360B5"/>
    <w:rsid w:val="003368B5"/>
    <w:rsid w:val="003369D5"/>
    <w:rsid w:val="00336FAC"/>
    <w:rsid w:val="00337AAE"/>
    <w:rsid w:val="00345C2F"/>
    <w:rsid w:val="00347E04"/>
    <w:rsid w:val="003522B0"/>
    <w:rsid w:val="00352A66"/>
    <w:rsid w:val="003557A9"/>
    <w:rsid w:val="0035655A"/>
    <w:rsid w:val="00357879"/>
    <w:rsid w:val="0036152B"/>
    <w:rsid w:val="00362945"/>
    <w:rsid w:val="0036315C"/>
    <w:rsid w:val="00363DA6"/>
    <w:rsid w:val="00364555"/>
    <w:rsid w:val="0036493C"/>
    <w:rsid w:val="00365BED"/>
    <w:rsid w:val="00365ECE"/>
    <w:rsid w:val="00366135"/>
    <w:rsid w:val="00366B87"/>
    <w:rsid w:val="0037000D"/>
    <w:rsid w:val="00373509"/>
    <w:rsid w:val="00373673"/>
    <w:rsid w:val="003812D3"/>
    <w:rsid w:val="003813B0"/>
    <w:rsid w:val="00381894"/>
    <w:rsid w:val="00382299"/>
    <w:rsid w:val="003837D8"/>
    <w:rsid w:val="003852FD"/>
    <w:rsid w:val="003864C0"/>
    <w:rsid w:val="00386714"/>
    <w:rsid w:val="00386D59"/>
    <w:rsid w:val="003908F2"/>
    <w:rsid w:val="00395037"/>
    <w:rsid w:val="003950F3"/>
    <w:rsid w:val="003957A4"/>
    <w:rsid w:val="00396AAB"/>
    <w:rsid w:val="00396E51"/>
    <w:rsid w:val="00396FEE"/>
    <w:rsid w:val="00397842"/>
    <w:rsid w:val="003A12E4"/>
    <w:rsid w:val="003A1A4E"/>
    <w:rsid w:val="003A2AFB"/>
    <w:rsid w:val="003A3E3B"/>
    <w:rsid w:val="003A437D"/>
    <w:rsid w:val="003A5F6E"/>
    <w:rsid w:val="003A7A7B"/>
    <w:rsid w:val="003B0602"/>
    <w:rsid w:val="003B3833"/>
    <w:rsid w:val="003B5B3A"/>
    <w:rsid w:val="003B669E"/>
    <w:rsid w:val="003C2A5F"/>
    <w:rsid w:val="003C46DD"/>
    <w:rsid w:val="003D277A"/>
    <w:rsid w:val="003D3401"/>
    <w:rsid w:val="003D7C66"/>
    <w:rsid w:val="003E15BE"/>
    <w:rsid w:val="003E4703"/>
    <w:rsid w:val="003E4E42"/>
    <w:rsid w:val="003E74A4"/>
    <w:rsid w:val="003F0648"/>
    <w:rsid w:val="003F159A"/>
    <w:rsid w:val="003F20A5"/>
    <w:rsid w:val="003F23B0"/>
    <w:rsid w:val="003F291D"/>
    <w:rsid w:val="003F4406"/>
    <w:rsid w:val="003F7DFD"/>
    <w:rsid w:val="00402D03"/>
    <w:rsid w:val="00403EC1"/>
    <w:rsid w:val="00404981"/>
    <w:rsid w:val="00404EA8"/>
    <w:rsid w:val="004069E3"/>
    <w:rsid w:val="00407CFC"/>
    <w:rsid w:val="00410D4E"/>
    <w:rsid w:val="00411191"/>
    <w:rsid w:val="00412989"/>
    <w:rsid w:val="004131F2"/>
    <w:rsid w:val="00414418"/>
    <w:rsid w:val="004146C9"/>
    <w:rsid w:val="00416765"/>
    <w:rsid w:val="00420072"/>
    <w:rsid w:val="0042203A"/>
    <w:rsid w:val="004229B0"/>
    <w:rsid w:val="00427DB3"/>
    <w:rsid w:val="0043018B"/>
    <w:rsid w:val="00431FAC"/>
    <w:rsid w:val="00433FEB"/>
    <w:rsid w:val="0043622D"/>
    <w:rsid w:val="00441FC6"/>
    <w:rsid w:val="0044452B"/>
    <w:rsid w:val="00445908"/>
    <w:rsid w:val="00446BFE"/>
    <w:rsid w:val="00447F42"/>
    <w:rsid w:val="0045116A"/>
    <w:rsid w:val="00452E9D"/>
    <w:rsid w:val="004530AC"/>
    <w:rsid w:val="00453C1E"/>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4D3"/>
    <w:rsid w:val="00475EFF"/>
    <w:rsid w:val="00476E82"/>
    <w:rsid w:val="0047786B"/>
    <w:rsid w:val="004822A1"/>
    <w:rsid w:val="00483DD5"/>
    <w:rsid w:val="004845F1"/>
    <w:rsid w:val="00484BC2"/>
    <w:rsid w:val="00486E8C"/>
    <w:rsid w:val="004872E3"/>
    <w:rsid w:val="00487630"/>
    <w:rsid w:val="004900C1"/>
    <w:rsid w:val="00490743"/>
    <w:rsid w:val="00491178"/>
    <w:rsid w:val="00492FC4"/>
    <w:rsid w:val="00494CD3"/>
    <w:rsid w:val="00494FB3"/>
    <w:rsid w:val="004964C3"/>
    <w:rsid w:val="00496DF9"/>
    <w:rsid w:val="00497240"/>
    <w:rsid w:val="004A154E"/>
    <w:rsid w:val="004A2EFC"/>
    <w:rsid w:val="004A472E"/>
    <w:rsid w:val="004B0361"/>
    <w:rsid w:val="004B2FB5"/>
    <w:rsid w:val="004B3904"/>
    <w:rsid w:val="004B7492"/>
    <w:rsid w:val="004B7C61"/>
    <w:rsid w:val="004C0E63"/>
    <w:rsid w:val="004C1BA2"/>
    <w:rsid w:val="004C3546"/>
    <w:rsid w:val="004C3568"/>
    <w:rsid w:val="004C4638"/>
    <w:rsid w:val="004D18D0"/>
    <w:rsid w:val="004D5771"/>
    <w:rsid w:val="004D79AD"/>
    <w:rsid w:val="004E493E"/>
    <w:rsid w:val="004E63CC"/>
    <w:rsid w:val="004F096E"/>
    <w:rsid w:val="004F0BE2"/>
    <w:rsid w:val="004F256B"/>
    <w:rsid w:val="004F2B2E"/>
    <w:rsid w:val="004F5C3B"/>
    <w:rsid w:val="004F75A1"/>
    <w:rsid w:val="004F79BD"/>
    <w:rsid w:val="00502E98"/>
    <w:rsid w:val="005031B6"/>
    <w:rsid w:val="005032F0"/>
    <w:rsid w:val="0050667A"/>
    <w:rsid w:val="00506BC4"/>
    <w:rsid w:val="00507A63"/>
    <w:rsid w:val="00507D05"/>
    <w:rsid w:val="00513602"/>
    <w:rsid w:val="005157A6"/>
    <w:rsid w:val="005243B2"/>
    <w:rsid w:val="00530428"/>
    <w:rsid w:val="00531479"/>
    <w:rsid w:val="005343DE"/>
    <w:rsid w:val="005348EF"/>
    <w:rsid w:val="005351E9"/>
    <w:rsid w:val="005353FE"/>
    <w:rsid w:val="005363D4"/>
    <w:rsid w:val="005374AC"/>
    <w:rsid w:val="00545090"/>
    <w:rsid w:val="005510FE"/>
    <w:rsid w:val="00556B35"/>
    <w:rsid w:val="00561EE2"/>
    <w:rsid w:val="005631AD"/>
    <w:rsid w:val="005639EA"/>
    <w:rsid w:val="005667D5"/>
    <w:rsid w:val="005722A1"/>
    <w:rsid w:val="00572319"/>
    <w:rsid w:val="00572841"/>
    <w:rsid w:val="00574CA7"/>
    <w:rsid w:val="00575350"/>
    <w:rsid w:val="00580DC4"/>
    <w:rsid w:val="00581EC1"/>
    <w:rsid w:val="00585433"/>
    <w:rsid w:val="005879C7"/>
    <w:rsid w:val="005910A3"/>
    <w:rsid w:val="00591DD6"/>
    <w:rsid w:val="005925E4"/>
    <w:rsid w:val="00592A83"/>
    <w:rsid w:val="00593B07"/>
    <w:rsid w:val="00593E3E"/>
    <w:rsid w:val="005942EA"/>
    <w:rsid w:val="005943A7"/>
    <w:rsid w:val="00596832"/>
    <w:rsid w:val="005A1052"/>
    <w:rsid w:val="005A341D"/>
    <w:rsid w:val="005B2981"/>
    <w:rsid w:val="005B7710"/>
    <w:rsid w:val="005C206D"/>
    <w:rsid w:val="005C2C17"/>
    <w:rsid w:val="005C349D"/>
    <w:rsid w:val="005C4005"/>
    <w:rsid w:val="005C4BD3"/>
    <w:rsid w:val="005C6FD6"/>
    <w:rsid w:val="005D0AF9"/>
    <w:rsid w:val="005D1C22"/>
    <w:rsid w:val="005D1E18"/>
    <w:rsid w:val="005D244B"/>
    <w:rsid w:val="005D2B37"/>
    <w:rsid w:val="005D4715"/>
    <w:rsid w:val="005D51AC"/>
    <w:rsid w:val="005E0A0B"/>
    <w:rsid w:val="005E1812"/>
    <w:rsid w:val="005E1AF2"/>
    <w:rsid w:val="005E1D7A"/>
    <w:rsid w:val="005E2411"/>
    <w:rsid w:val="005E3012"/>
    <w:rsid w:val="005E344F"/>
    <w:rsid w:val="005E3960"/>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617B"/>
    <w:rsid w:val="00606966"/>
    <w:rsid w:val="00614179"/>
    <w:rsid w:val="00614A27"/>
    <w:rsid w:val="006155FC"/>
    <w:rsid w:val="00615695"/>
    <w:rsid w:val="006203BD"/>
    <w:rsid w:val="0062059B"/>
    <w:rsid w:val="00624C5C"/>
    <w:rsid w:val="00627E76"/>
    <w:rsid w:val="00627FEB"/>
    <w:rsid w:val="006323A6"/>
    <w:rsid w:val="0063448F"/>
    <w:rsid w:val="00635A99"/>
    <w:rsid w:val="00636A86"/>
    <w:rsid w:val="0064333E"/>
    <w:rsid w:val="0064574A"/>
    <w:rsid w:val="00645987"/>
    <w:rsid w:val="0065046E"/>
    <w:rsid w:val="006504EE"/>
    <w:rsid w:val="00650B00"/>
    <w:rsid w:val="0065259E"/>
    <w:rsid w:val="0065282A"/>
    <w:rsid w:val="006536A9"/>
    <w:rsid w:val="00657C61"/>
    <w:rsid w:val="00657CB6"/>
    <w:rsid w:val="00657E00"/>
    <w:rsid w:val="006625B4"/>
    <w:rsid w:val="006640FE"/>
    <w:rsid w:val="00666EED"/>
    <w:rsid w:val="00671255"/>
    <w:rsid w:val="00672BEE"/>
    <w:rsid w:val="0067448D"/>
    <w:rsid w:val="006747F8"/>
    <w:rsid w:val="00676F19"/>
    <w:rsid w:val="00680BCD"/>
    <w:rsid w:val="006813C8"/>
    <w:rsid w:val="00681A3E"/>
    <w:rsid w:val="00682A07"/>
    <w:rsid w:val="00683B97"/>
    <w:rsid w:val="00683CCF"/>
    <w:rsid w:val="00683DC7"/>
    <w:rsid w:val="00683E06"/>
    <w:rsid w:val="0068568E"/>
    <w:rsid w:val="00685B51"/>
    <w:rsid w:val="0069068B"/>
    <w:rsid w:val="006931D5"/>
    <w:rsid w:val="00694103"/>
    <w:rsid w:val="006969AB"/>
    <w:rsid w:val="006974FC"/>
    <w:rsid w:val="006A0482"/>
    <w:rsid w:val="006A13BF"/>
    <w:rsid w:val="006A53F6"/>
    <w:rsid w:val="006B15A0"/>
    <w:rsid w:val="006B35DF"/>
    <w:rsid w:val="006B7C24"/>
    <w:rsid w:val="006B7CF9"/>
    <w:rsid w:val="006C0139"/>
    <w:rsid w:val="006C111C"/>
    <w:rsid w:val="006C1AEE"/>
    <w:rsid w:val="006C27E2"/>
    <w:rsid w:val="006C3927"/>
    <w:rsid w:val="006C51F7"/>
    <w:rsid w:val="006C6761"/>
    <w:rsid w:val="006D0368"/>
    <w:rsid w:val="006D106B"/>
    <w:rsid w:val="006D2333"/>
    <w:rsid w:val="006D48EC"/>
    <w:rsid w:val="006D6CC7"/>
    <w:rsid w:val="006D7C85"/>
    <w:rsid w:val="006E2C81"/>
    <w:rsid w:val="006E343F"/>
    <w:rsid w:val="006E42F5"/>
    <w:rsid w:val="006E4AA9"/>
    <w:rsid w:val="006E4BE1"/>
    <w:rsid w:val="006E6B0D"/>
    <w:rsid w:val="006E6DB3"/>
    <w:rsid w:val="006E7CC1"/>
    <w:rsid w:val="006F0B6B"/>
    <w:rsid w:val="006F47C8"/>
    <w:rsid w:val="006F51E8"/>
    <w:rsid w:val="006F51F9"/>
    <w:rsid w:val="006F715C"/>
    <w:rsid w:val="006F7A23"/>
    <w:rsid w:val="0070010D"/>
    <w:rsid w:val="007004DA"/>
    <w:rsid w:val="00701726"/>
    <w:rsid w:val="007031E2"/>
    <w:rsid w:val="00706E06"/>
    <w:rsid w:val="00707152"/>
    <w:rsid w:val="00711B43"/>
    <w:rsid w:val="007122CC"/>
    <w:rsid w:val="00713147"/>
    <w:rsid w:val="00716799"/>
    <w:rsid w:val="00725C2E"/>
    <w:rsid w:val="00733CA2"/>
    <w:rsid w:val="0073548A"/>
    <w:rsid w:val="007375CF"/>
    <w:rsid w:val="00737F14"/>
    <w:rsid w:val="00740781"/>
    <w:rsid w:val="00740BD4"/>
    <w:rsid w:val="00742F5B"/>
    <w:rsid w:val="0074328B"/>
    <w:rsid w:val="0074370F"/>
    <w:rsid w:val="00744A18"/>
    <w:rsid w:val="00751A18"/>
    <w:rsid w:val="00752FF7"/>
    <w:rsid w:val="0075426C"/>
    <w:rsid w:val="00754B6C"/>
    <w:rsid w:val="00756CB1"/>
    <w:rsid w:val="007609DE"/>
    <w:rsid w:val="00760D7B"/>
    <w:rsid w:val="00762176"/>
    <w:rsid w:val="00773ADD"/>
    <w:rsid w:val="00774FA0"/>
    <w:rsid w:val="007768F0"/>
    <w:rsid w:val="00777A11"/>
    <w:rsid w:val="0078013B"/>
    <w:rsid w:val="00780E9B"/>
    <w:rsid w:val="00781B64"/>
    <w:rsid w:val="007848F3"/>
    <w:rsid w:val="00784C7B"/>
    <w:rsid w:val="007864C1"/>
    <w:rsid w:val="00786718"/>
    <w:rsid w:val="0079518B"/>
    <w:rsid w:val="00797D46"/>
    <w:rsid w:val="007A01CC"/>
    <w:rsid w:val="007A0524"/>
    <w:rsid w:val="007A2597"/>
    <w:rsid w:val="007A2D4A"/>
    <w:rsid w:val="007A3835"/>
    <w:rsid w:val="007A4C9D"/>
    <w:rsid w:val="007A5DFF"/>
    <w:rsid w:val="007B149E"/>
    <w:rsid w:val="007B1D16"/>
    <w:rsid w:val="007B2DB4"/>
    <w:rsid w:val="007B4677"/>
    <w:rsid w:val="007B497F"/>
    <w:rsid w:val="007B4ED1"/>
    <w:rsid w:val="007B794B"/>
    <w:rsid w:val="007C0DEC"/>
    <w:rsid w:val="007C1ECE"/>
    <w:rsid w:val="007C3820"/>
    <w:rsid w:val="007C41C6"/>
    <w:rsid w:val="007C42B2"/>
    <w:rsid w:val="007C4A8F"/>
    <w:rsid w:val="007D1A32"/>
    <w:rsid w:val="007D3FA4"/>
    <w:rsid w:val="007D620F"/>
    <w:rsid w:val="007D6267"/>
    <w:rsid w:val="007D7EAE"/>
    <w:rsid w:val="007E14BD"/>
    <w:rsid w:val="007E31EA"/>
    <w:rsid w:val="007E3B25"/>
    <w:rsid w:val="007E3B7D"/>
    <w:rsid w:val="007E5A22"/>
    <w:rsid w:val="007E7710"/>
    <w:rsid w:val="007F2008"/>
    <w:rsid w:val="007F22AC"/>
    <w:rsid w:val="007F4388"/>
    <w:rsid w:val="007F4788"/>
    <w:rsid w:val="007F618A"/>
    <w:rsid w:val="00801432"/>
    <w:rsid w:val="00802290"/>
    <w:rsid w:val="00803305"/>
    <w:rsid w:val="0080375B"/>
    <w:rsid w:val="00804F53"/>
    <w:rsid w:val="0081042F"/>
    <w:rsid w:val="00811A8D"/>
    <w:rsid w:val="008120AF"/>
    <w:rsid w:val="008125B6"/>
    <w:rsid w:val="00812625"/>
    <w:rsid w:val="00817C8F"/>
    <w:rsid w:val="00820982"/>
    <w:rsid w:val="0082170D"/>
    <w:rsid w:val="0082187A"/>
    <w:rsid w:val="00822223"/>
    <w:rsid w:val="00822802"/>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32C9"/>
    <w:rsid w:val="008642DF"/>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4AF"/>
    <w:rsid w:val="008A063A"/>
    <w:rsid w:val="008A146D"/>
    <w:rsid w:val="008A37E3"/>
    <w:rsid w:val="008A6398"/>
    <w:rsid w:val="008A73CB"/>
    <w:rsid w:val="008A7FE6"/>
    <w:rsid w:val="008B02D1"/>
    <w:rsid w:val="008B1A8D"/>
    <w:rsid w:val="008B31F8"/>
    <w:rsid w:val="008B40B3"/>
    <w:rsid w:val="008B7A52"/>
    <w:rsid w:val="008B7F12"/>
    <w:rsid w:val="008C00EC"/>
    <w:rsid w:val="008C0773"/>
    <w:rsid w:val="008C0CE5"/>
    <w:rsid w:val="008C123A"/>
    <w:rsid w:val="008C1F78"/>
    <w:rsid w:val="008C5A2F"/>
    <w:rsid w:val="008C5ABC"/>
    <w:rsid w:val="008C5C88"/>
    <w:rsid w:val="008C674F"/>
    <w:rsid w:val="008D095A"/>
    <w:rsid w:val="008D0C0F"/>
    <w:rsid w:val="008E0587"/>
    <w:rsid w:val="008E0A75"/>
    <w:rsid w:val="008E0EAF"/>
    <w:rsid w:val="008E1805"/>
    <w:rsid w:val="008E2348"/>
    <w:rsid w:val="008E6453"/>
    <w:rsid w:val="009027ED"/>
    <w:rsid w:val="0090525F"/>
    <w:rsid w:val="00905D21"/>
    <w:rsid w:val="00906E3A"/>
    <w:rsid w:val="00917927"/>
    <w:rsid w:val="009207C9"/>
    <w:rsid w:val="00920B05"/>
    <w:rsid w:val="00924453"/>
    <w:rsid w:val="009254FA"/>
    <w:rsid w:val="00925817"/>
    <w:rsid w:val="00930FC4"/>
    <w:rsid w:val="00932EB4"/>
    <w:rsid w:val="009340B2"/>
    <w:rsid w:val="00935AE8"/>
    <w:rsid w:val="00936BC3"/>
    <w:rsid w:val="009374CE"/>
    <w:rsid w:val="00940671"/>
    <w:rsid w:val="009407ED"/>
    <w:rsid w:val="00941A6A"/>
    <w:rsid w:val="00941C25"/>
    <w:rsid w:val="0094415E"/>
    <w:rsid w:val="00951733"/>
    <w:rsid w:val="009519FC"/>
    <w:rsid w:val="00952317"/>
    <w:rsid w:val="00953A8D"/>
    <w:rsid w:val="0095692A"/>
    <w:rsid w:val="00957D8E"/>
    <w:rsid w:val="0096040D"/>
    <w:rsid w:val="009606C6"/>
    <w:rsid w:val="00960D9D"/>
    <w:rsid w:val="00962618"/>
    <w:rsid w:val="009663D4"/>
    <w:rsid w:val="0097190C"/>
    <w:rsid w:val="00975CE2"/>
    <w:rsid w:val="009765DD"/>
    <w:rsid w:val="009775E7"/>
    <w:rsid w:val="0098097B"/>
    <w:rsid w:val="00981906"/>
    <w:rsid w:val="00982E10"/>
    <w:rsid w:val="00985129"/>
    <w:rsid w:val="009853C6"/>
    <w:rsid w:val="00985BC6"/>
    <w:rsid w:val="009869AA"/>
    <w:rsid w:val="00990BBE"/>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B0215"/>
    <w:rsid w:val="009B0288"/>
    <w:rsid w:val="009B077D"/>
    <w:rsid w:val="009B5599"/>
    <w:rsid w:val="009B68F2"/>
    <w:rsid w:val="009C0FD7"/>
    <w:rsid w:val="009C3C8C"/>
    <w:rsid w:val="009C4C54"/>
    <w:rsid w:val="009C4FD2"/>
    <w:rsid w:val="009C7161"/>
    <w:rsid w:val="009C76C1"/>
    <w:rsid w:val="009C7B01"/>
    <w:rsid w:val="009D05EC"/>
    <w:rsid w:val="009D3AF6"/>
    <w:rsid w:val="009D4019"/>
    <w:rsid w:val="009D4770"/>
    <w:rsid w:val="009E11BA"/>
    <w:rsid w:val="009E1388"/>
    <w:rsid w:val="009E141B"/>
    <w:rsid w:val="009E2D6C"/>
    <w:rsid w:val="009E660D"/>
    <w:rsid w:val="009F1775"/>
    <w:rsid w:val="009F50D8"/>
    <w:rsid w:val="00A03535"/>
    <w:rsid w:val="00A045A2"/>
    <w:rsid w:val="00A047F9"/>
    <w:rsid w:val="00A04B6D"/>
    <w:rsid w:val="00A06DD7"/>
    <w:rsid w:val="00A12BCC"/>
    <w:rsid w:val="00A14318"/>
    <w:rsid w:val="00A14F4E"/>
    <w:rsid w:val="00A167FB"/>
    <w:rsid w:val="00A17C81"/>
    <w:rsid w:val="00A20E1D"/>
    <w:rsid w:val="00A241E3"/>
    <w:rsid w:val="00A32095"/>
    <w:rsid w:val="00A33E33"/>
    <w:rsid w:val="00A34D08"/>
    <w:rsid w:val="00A37842"/>
    <w:rsid w:val="00A428E8"/>
    <w:rsid w:val="00A44D85"/>
    <w:rsid w:val="00A45025"/>
    <w:rsid w:val="00A45844"/>
    <w:rsid w:val="00A51077"/>
    <w:rsid w:val="00A5433B"/>
    <w:rsid w:val="00A54C60"/>
    <w:rsid w:val="00A54E1A"/>
    <w:rsid w:val="00A57BAE"/>
    <w:rsid w:val="00A60B48"/>
    <w:rsid w:val="00A614D0"/>
    <w:rsid w:val="00A62BFB"/>
    <w:rsid w:val="00A65FDE"/>
    <w:rsid w:val="00A6602B"/>
    <w:rsid w:val="00A70DA9"/>
    <w:rsid w:val="00A71943"/>
    <w:rsid w:val="00A730EF"/>
    <w:rsid w:val="00A7361D"/>
    <w:rsid w:val="00A7456C"/>
    <w:rsid w:val="00A74933"/>
    <w:rsid w:val="00A75588"/>
    <w:rsid w:val="00A772B5"/>
    <w:rsid w:val="00A77D5D"/>
    <w:rsid w:val="00A80183"/>
    <w:rsid w:val="00A82118"/>
    <w:rsid w:val="00A82EA9"/>
    <w:rsid w:val="00A87BD4"/>
    <w:rsid w:val="00A95C14"/>
    <w:rsid w:val="00A95FAA"/>
    <w:rsid w:val="00A96222"/>
    <w:rsid w:val="00A97BA6"/>
    <w:rsid w:val="00AA0797"/>
    <w:rsid w:val="00AA38BA"/>
    <w:rsid w:val="00AA4BFF"/>
    <w:rsid w:val="00AB0069"/>
    <w:rsid w:val="00AB18A3"/>
    <w:rsid w:val="00AB24E1"/>
    <w:rsid w:val="00AB2AB3"/>
    <w:rsid w:val="00AB3D71"/>
    <w:rsid w:val="00AB6EAC"/>
    <w:rsid w:val="00AC0A40"/>
    <w:rsid w:val="00AC67A5"/>
    <w:rsid w:val="00AD1F3F"/>
    <w:rsid w:val="00AD2944"/>
    <w:rsid w:val="00AD35EF"/>
    <w:rsid w:val="00AD4A4D"/>
    <w:rsid w:val="00AD57B1"/>
    <w:rsid w:val="00AD612A"/>
    <w:rsid w:val="00AD7A2D"/>
    <w:rsid w:val="00AE2F42"/>
    <w:rsid w:val="00AE33A9"/>
    <w:rsid w:val="00AE4666"/>
    <w:rsid w:val="00AE5255"/>
    <w:rsid w:val="00AF1F7E"/>
    <w:rsid w:val="00AF2CDB"/>
    <w:rsid w:val="00AF4251"/>
    <w:rsid w:val="00AF4AEB"/>
    <w:rsid w:val="00AF5A5E"/>
    <w:rsid w:val="00AF7241"/>
    <w:rsid w:val="00AF7A4F"/>
    <w:rsid w:val="00B03CE1"/>
    <w:rsid w:val="00B045F0"/>
    <w:rsid w:val="00B04889"/>
    <w:rsid w:val="00B04DC4"/>
    <w:rsid w:val="00B06013"/>
    <w:rsid w:val="00B06CAC"/>
    <w:rsid w:val="00B07049"/>
    <w:rsid w:val="00B1380A"/>
    <w:rsid w:val="00B13FA7"/>
    <w:rsid w:val="00B14244"/>
    <w:rsid w:val="00B1506B"/>
    <w:rsid w:val="00B238AA"/>
    <w:rsid w:val="00B24B2E"/>
    <w:rsid w:val="00B24DB2"/>
    <w:rsid w:val="00B251E2"/>
    <w:rsid w:val="00B25340"/>
    <w:rsid w:val="00B25570"/>
    <w:rsid w:val="00B2579E"/>
    <w:rsid w:val="00B25DA5"/>
    <w:rsid w:val="00B25E1C"/>
    <w:rsid w:val="00B260DF"/>
    <w:rsid w:val="00B31660"/>
    <w:rsid w:val="00B3394C"/>
    <w:rsid w:val="00B33AC0"/>
    <w:rsid w:val="00B34081"/>
    <w:rsid w:val="00B35386"/>
    <w:rsid w:val="00B356C3"/>
    <w:rsid w:val="00B35BF4"/>
    <w:rsid w:val="00B35E8F"/>
    <w:rsid w:val="00B362C6"/>
    <w:rsid w:val="00B36A64"/>
    <w:rsid w:val="00B37E3B"/>
    <w:rsid w:val="00B40A17"/>
    <w:rsid w:val="00B41994"/>
    <w:rsid w:val="00B42655"/>
    <w:rsid w:val="00B44BDA"/>
    <w:rsid w:val="00B453F2"/>
    <w:rsid w:val="00B462E6"/>
    <w:rsid w:val="00B46EBD"/>
    <w:rsid w:val="00B51489"/>
    <w:rsid w:val="00B5163B"/>
    <w:rsid w:val="00B51651"/>
    <w:rsid w:val="00B55907"/>
    <w:rsid w:val="00B562C4"/>
    <w:rsid w:val="00B571D5"/>
    <w:rsid w:val="00B57273"/>
    <w:rsid w:val="00B5756F"/>
    <w:rsid w:val="00B6012E"/>
    <w:rsid w:val="00B61C6C"/>
    <w:rsid w:val="00B622E7"/>
    <w:rsid w:val="00B62C96"/>
    <w:rsid w:val="00B6380C"/>
    <w:rsid w:val="00B641A3"/>
    <w:rsid w:val="00B6545B"/>
    <w:rsid w:val="00B6734D"/>
    <w:rsid w:val="00B72B76"/>
    <w:rsid w:val="00B72F4B"/>
    <w:rsid w:val="00B73DAC"/>
    <w:rsid w:val="00B75E8C"/>
    <w:rsid w:val="00B7603F"/>
    <w:rsid w:val="00B77EF4"/>
    <w:rsid w:val="00B815E2"/>
    <w:rsid w:val="00B81BB7"/>
    <w:rsid w:val="00B84A71"/>
    <w:rsid w:val="00B906FF"/>
    <w:rsid w:val="00B9211C"/>
    <w:rsid w:val="00B92571"/>
    <w:rsid w:val="00B92EEC"/>
    <w:rsid w:val="00B950A5"/>
    <w:rsid w:val="00B97541"/>
    <w:rsid w:val="00BA1CA0"/>
    <w:rsid w:val="00BA2076"/>
    <w:rsid w:val="00BA455A"/>
    <w:rsid w:val="00BA5528"/>
    <w:rsid w:val="00BA688E"/>
    <w:rsid w:val="00BB0742"/>
    <w:rsid w:val="00BB3F3C"/>
    <w:rsid w:val="00BB6818"/>
    <w:rsid w:val="00BC013C"/>
    <w:rsid w:val="00BC0541"/>
    <w:rsid w:val="00BC0C96"/>
    <w:rsid w:val="00BC328D"/>
    <w:rsid w:val="00BC45BA"/>
    <w:rsid w:val="00BC5F4E"/>
    <w:rsid w:val="00BC5FDE"/>
    <w:rsid w:val="00BC7297"/>
    <w:rsid w:val="00BD0240"/>
    <w:rsid w:val="00BD0822"/>
    <w:rsid w:val="00BD26EA"/>
    <w:rsid w:val="00BD2C19"/>
    <w:rsid w:val="00BD6A33"/>
    <w:rsid w:val="00BD799F"/>
    <w:rsid w:val="00BE0125"/>
    <w:rsid w:val="00BE5FB6"/>
    <w:rsid w:val="00BF11D7"/>
    <w:rsid w:val="00BF1FB4"/>
    <w:rsid w:val="00BF467C"/>
    <w:rsid w:val="00BF7D62"/>
    <w:rsid w:val="00C0130E"/>
    <w:rsid w:val="00C04D36"/>
    <w:rsid w:val="00C05864"/>
    <w:rsid w:val="00C05EB3"/>
    <w:rsid w:val="00C06C79"/>
    <w:rsid w:val="00C06FCE"/>
    <w:rsid w:val="00C07C03"/>
    <w:rsid w:val="00C10747"/>
    <w:rsid w:val="00C10EB5"/>
    <w:rsid w:val="00C11D79"/>
    <w:rsid w:val="00C12025"/>
    <w:rsid w:val="00C133C8"/>
    <w:rsid w:val="00C1447E"/>
    <w:rsid w:val="00C15F7E"/>
    <w:rsid w:val="00C16683"/>
    <w:rsid w:val="00C16EB4"/>
    <w:rsid w:val="00C21159"/>
    <w:rsid w:val="00C21650"/>
    <w:rsid w:val="00C21962"/>
    <w:rsid w:val="00C21F83"/>
    <w:rsid w:val="00C25838"/>
    <w:rsid w:val="00C25E65"/>
    <w:rsid w:val="00C265C0"/>
    <w:rsid w:val="00C27482"/>
    <w:rsid w:val="00C30595"/>
    <w:rsid w:val="00C30AAD"/>
    <w:rsid w:val="00C311B3"/>
    <w:rsid w:val="00C33D9D"/>
    <w:rsid w:val="00C36AC4"/>
    <w:rsid w:val="00C418FA"/>
    <w:rsid w:val="00C41CF5"/>
    <w:rsid w:val="00C472A4"/>
    <w:rsid w:val="00C62EDF"/>
    <w:rsid w:val="00C654F4"/>
    <w:rsid w:val="00C66654"/>
    <w:rsid w:val="00C71F95"/>
    <w:rsid w:val="00C72C64"/>
    <w:rsid w:val="00C73585"/>
    <w:rsid w:val="00C73C0D"/>
    <w:rsid w:val="00C7586A"/>
    <w:rsid w:val="00C76480"/>
    <w:rsid w:val="00C77547"/>
    <w:rsid w:val="00C778E6"/>
    <w:rsid w:val="00C81E07"/>
    <w:rsid w:val="00C8388D"/>
    <w:rsid w:val="00C85D6A"/>
    <w:rsid w:val="00C874E9"/>
    <w:rsid w:val="00C9040A"/>
    <w:rsid w:val="00C90AFC"/>
    <w:rsid w:val="00C94693"/>
    <w:rsid w:val="00C94898"/>
    <w:rsid w:val="00CA2D32"/>
    <w:rsid w:val="00CA3FE6"/>
    <w:rsid w:val="00CA62C7"/>
    <w:rsid w:val="00CB25F9"/>
    <w:rsid w:val="00CC0083"/>
    <w:rsid w:val="00CC20AC"/>
    <w:rsid w:val="00CC2117"/>
    <w:rsid w:val="00CC3562"/>
    <w:rsid w:val="00CC5E5B"/>
    <w:rsid w:val="00CC70FD"/>
    <w:rsid w:val="00CC772A"/>
    <w:rsid w:val="00CD14DB"/>
    <w:rsid w:val="00CD7966"/>
    <w:rsid w:val="00CE2E0F"/>
    <w:rsid w:val="00CE6283"/>
    <w:rsid w:val="00CE67AA"/>
    <w:rsid w:val="00CE6F33"/>
    <w:rsid w:val="00CE73B5"/>
    <w:rsid w:val="00CE791D"/>
    <w:rsid w:val="00CE79D7"/>
    <w:rsid w:val="00CE7CE3"/>
    <w:rsid w:val="00CF2071"/>
    <w:rsid w:val="00CF244E"/>
    <w:rsid w:val="00CF278D"/>
    <w:rsid w:val="00CF3136"/>
    <w:rsid w:val="00CF37C7"/>
    <w:rsid w:val="00CF3CF8"/>
    <w:rsid w:val="00CF474D"/>
    <w:rsid w:val="00CF749A"/>
    <w:rsid w:val="00D0089A"/>
    <w:rsid w:val="00D0102F"/>
    <w:rsid w:val="00D014C7"/>
    <w:rsid w:val="00D01548"/>
    <w:rsid w:val="00D04D5F"/>
    <w:rsid w:val="00D04DFA"/>
    <w:rsid w:val="00D05F35"/>
    <w:rsid w:val="00D06393"/>
    <w:rsid w:val="00D06E5E"/>
    <w:rsid w:val="00D06F79"/>
    <w:rsid w:val="00D10597"/>
    <w:rsid w:val="00D120A3"/>
    <w:rsid w:val="00D1584B"/>
    <w:rsid w:val="00D162E2"/>
    <w:rsid w:val="00D219E9"/>
    <w:rsid w:val="00D2205B"/>
    <w:rsid w:val="00D23418"/>
    <w:rsid w:val="00D24606"/>
    <w:rsid w:val="00D2620A"/>
    <w:rsid w:val="00D3056A"/>
    <w:rsid w:val="00D30A32"/>
    <w:rsid w:val="00D31091"/>
    <w:rsid w:val="00D33CFE"/>
    <w:rsid w:val="00D33DDE"/>
    <w:rsid w:val="00D34DA4"/>
    <w:rsid w:val="00D40DDE"/>
    <w:rsid w:val="00D43CA5"/>
    <w:rsid w:val="00D44CA5"/>
    <w:rsid w:val="00D45417"/>
    <w:rsid w:val="00D46E12"/>
    <w:rsid w:val="00D50734"/>
    <w:rsid w:val="00D507C0"/>
    <w:rsid w:val="00D513CC"/>
    <w:rsid w:val="00D6318F"/>
    <w:rsid w:val="00D650BB"/>
    <w:rsid w:val="00D6513B"/>
    <w:rsid w:val="00D6540A"/>
    <w:rsid w:val="00D6570C"/>
    <w:rsid w:val="00D70438"/>
    <w:rsid w:val="00D717AD"/>
    <w:rsid w:val="00D720AD"/>
    <w:rsid w:val="00D7306D"/>
    <w:rsid w:val="00D74A18"/>
    <w:rsid w:val="00D74D3E"/>
    <w:rsid w:val="00D757C6"/>
    <w:rsid w:val="00D75C41"/>
    <w:rsid w:val="00D80529"/>
    <w:rsid w:val="00D80F78"/>
    <w:rsid w:val="00D81AC3"/>
    <w:rsid w:val="00D81C59"/>
    <w:rsid w:val="00D81CBD"/>
    <w:rsid w:val="00D82A5B"/>
    <w:rsid w:val="00D82E54"/>
    <w:rsid w:val="00D84637"/>
    <w:rsid w:val="00D8473B"/>
    <w:rsid w:val="00D85780"/>
    <w:rsid w:val="00D925AA"/>
    <w:rsid w:val="00D9283D"/>
    <w:rsid w:val="00D930DD"/>
    <w:rsid w:val="00D9341C"/>
    <w:rsid w:val="00D94B7D"/>
    <w:rsid w:val="00DA4C44"/>
    <w:rsid w:val="00DA4C48"/>
    <w:rsid w:val="00DA4E21"/>
    <w:rsid w:val="00DA71EF"/>
    <w:rsid w:val="00DA7A18"/>
    <w:rsid w:val="00DB1347"/>
    <w:rsid w:val="00DB28CE"/>
    <w:rsid w:val="00DB29BC"/>
    <w:rsid w:val="00DB2A2A"/>
    <w:rsid w:val="00DB2E78"/>
    <w:rsid w:val="00DB479F"/>
    <w:rsid w:val="00DB55B6"/>
    <w:rsid w:val="00DB56CC"/>
    <w:rsid w:val="00DB5F21"/>
    <w:rsid w:val="00DB6D7C"/>
    <w:rsid w:val="00DC058B"/>
    <w:rsid w:val="00DC090A"/>
    <w:rsid w:val="00DC0E7E"/>
    <w:rsid w:val="00DC30EA"/>
    <w:rsid w:val="00DC4FE9"/>
    <w:rsid w:val="00DC5918"/>
    <w:rsid w:val="00DC6C8D"/>
    <w:rsid w:val="00DC73A5"/>
    <w:rsid w:val="00DD0236"/>
    <w:rsid w:val="00DD76A4"/>
    <w:rsid w:val="00DD7C65"/>
    <w:rsid w:val="00DE03E4"/>
    <w:rsid w:val="00DE1134"/>
    <w:rsid w:val="00DE1AEB"/>
    <w:rsid w:val="00DE438C"/>
    <w:rsid w:val="00DE51B5"/>
    <w:rsid w:val="00DE6668"/>
    <w:rsid w:val="00DF4F88"/>
    <w:rsid w:val="00E00596"/>
    <w:rsid w:val="00E0080A"/>
    <w:rsid w:val="00E00F31"/>
    <w:rsid w:val="00E02242"/>
    <w:rsid w:val="00E0300E"/>
    <w:rsid w:val="00E04AE0"/>
    <w:rsid w:val="00E070D0"/>
    <w:rsid w:val="00E13727"/>
    <w:rsid w:val="00E17C70"/>
    <w:rsid w:val="00E20254"/>
    <w:rsid w:val="00E219EB"/>
    <w:rsid w:val="00E22C13"/>
    <w:rsid w:val="00E25045"/>
    <w:rsid w:val="00E2677C"/>
    <w:rsid w:val="00E26D83"/>
    <w:rsid w:val="00E27A1E"/>
    <w:rsid w:val="00E306E9"/>
    <w:rsid w:val="00E307DC"/>
    <w:rsid w:val="00E334B9"/>
    <w:rsid w:val="00E33905"/>
    <w:rsid w:val="00E3394C"/>
    <w:rsid w:val="00E342D1"/>
    <w:rsid w:val="00E34B96"/>
    <w:rsid w:val="00E37502"/>
    <w:rsid w:val="00E378B7"/>
    <w:rsid w:val="00E43074"/>
    <w:rsid w:val="00E43078"/>
    <w:rsid w:val="00E431C8"/>
    <w:rsid w:val="00E44926"/>
    <w:rsid w:val="00E44E09"/>
    <w:rsid w:val="00E45D53"/>
    <w:rsid w:val="00E46DBD"/>
    <w:rsid w:val="00E50C7D"/>
    <w:rsid w:val="00E51708"/>
    <w:rsid w:val="00E53139"/>
    <w:rsid w:val="00E53A8F"/>
    <w:rsid w:val="00E5435E"/>
    <w:rsid w:val="00E5438F"/>
    <w:rsid w:val="00E55A81"/>
    <w:rsid w:val="00E55CFC"/>
    <w:rsid w:val="00E56DA8"/>
    <w:rsid w:val="00E60ACC"/>
    <w:rsid w:val="00E60C4B"/>
    <w:rsid w:val="00E60E21"/>
    <w:rsid w:val="00E66638"/>
    <w:rsid w:val="00E6706E"/>
    <w:rsid w:val="00E703D2"/>
    <w:rsid w:val="00E7211D"/>
    <w:rsid w:val="00E73F27"/>
    <w:rsid w:val="00E757CA"/>
    <w:rsid w:val="00E75D48"/>
    <w:rsid w:val="00E773CD"/>
    <w:rsid w:val="00E774C9"/>
    <w:rsid w:val="00E80964"/>
    <w:rsid w:val="00E841A6"/>
    <w:rsid w:val="00E84BCB"/>
    <w:rsid w:val="00E85905"/>
    <w:rsid w:val="00E90DC4"/>
    <w:rsid w:val="00E9163F"/>
    <w:rsid w:val="00E91CB7"/>
    <w:rsid w:val="00E956E8"/>
    <w:rsid w:val="00EA022D"/>
    <w:rsid w:val="00EA0F2C"/>
    <w:rsid w:val="00EA19CB"/>
    <w:rsid w:val="00EA2C8F"/>
    <w:rsid w:val="00EA3814"/>
    <w:rsid w:val="00EA5D64"/>
    <w:rsid w:val="00EA613A"/>
    <w:rsid w:val="00EA6A8C"/>
    <w:rsid w:val="00EB3067"/>
    <w:rsid w:val="00EB353E"/>
    <w:rsid w:val="00EB56E0"/>
    <w:rsid w:val="00EB5DDF"/>
    <w:rsid w:val="00EB6E66"/>
    <w:rsid w:val="00EB7749"/>
    <w:rsid w:val="00EC3CEC"/>
    <w:rsid w:val="00EC4625"/>
    <w:rsid w:val="00ED139E"/>
    <w:rsid w:val="00ED1759"/>
    <w:rsid w:val="00ED27A5"/>
    <w:rsid w:val="00ED2B17"/>
    <w:rsid w:val="00ED3514"/>
    <w:rsid w:val="00ED445D"/>
    <w:rsid w:val="00ED461C"/>
    <w:rsid w:val="00ED4FCA"/>
    <w:rsid w:val="00ED5FFF"/>
    <w:rsid w:val="00EE37A2"/>
    <w:rsid w:val="00EE3B12"/>
    <w:rsid w:val="00EE5E91"/>
    <w:rsid w:val="00EE5F8C"/>
    <w:rsid w:val="00EE73BC"/>
    <w:rsid w:val="00EF00AA"/>
    <w:rsid w:val="00F0026A"/>
    <w:rsid w:val="00F021E7"/>
    <w:rsid w:val="00F026C1"/>
    <w:rsid w:val="00F039D1"/>
    <w:rsid w:val="00F05BEC"/>
    <w:rsid w:val="00F05D0F"/>
    <w:rsid w:val="00F05DB4"/>
    <w:rsid w:val="00F13358"/>
    <w:rsid w:val="00F1456D"/>
    <w:rsid w:val="00F15387"/>
    <w:rsid w:val="00F15D8B"/>
    <w:rsid w:val="00F17D58"/>
    <w:rsid w:val="00F20375"/>
    <w:rsid w:val="00F228F5"/>
    <w:rsid w:val="00F24143"/>
    <w:rsid w:val="00F241BE"/>
    <w:rsid w:val="00F24251"/>
    <w:rsid w:val="00F24962"/>
    <w:rsid w:val="00F25038"/>
    <w:rsid w:val="00F3124A"/>
    <w:rsid w:val="00F31D41"/>
    <w:rsid w:val="00F34539"/>
    <w:rsid w:val="00F35005"/>
    <w:rsid w:val="00F364CB"/>
    <w:rsid w:val="00F37601"/>
    <w:rsid w:val="00F4220F"/>
    <w:rsid w:val="00F43F58"/>
    <w:rsid w:val="00F45507"/>
    <w:rsid w:val="00F455E9"/>
    <w:rsid w:val="00F46014"/>
    <w:rsid w:val="00F46102"/>
    <w:rsid w:val="00F4764A"/>
    <w:rsid w:val="00F47670"/>
    <w:rsid w:val="00F501E5"/>
    <w:rsid w:val="00F51371"/>
    <w:rsid w:val="00F51AF6"/>
    <w:rsid w:val="00F54D98"/>
    <w:rsid w:val="00F56113"/>
    <w:rsid w:val="00F5640F"/>
    <w:rsid w:val="00F56735"/>
    <w:rsid w:val="00F615F9"/>
    <w:rsid w:val="00F620BE"/>
    <w:rsid w:val="00F64B15"/>
    <w:rsid w:val="00F64DC5"/>
    <w:rsid w:val="00F676C9"/>
    <w:rsid w:val="00F70701"/>
    <w:rsid w:val="00F7141D"/>
    <w:rsid w:val="00F73938"/>
    <w:rsid w:val="00F73E87"/>
    <w:rsid w:val="00F74224"/>
    <w:rsid w:val="00F747A9"/>
    <w:rsid w:val="00F752F0"/>
    <w:rsid w:val="00F76696"/>
    <w:rsid w:val="00F77A84"/>
    <w:rsid w:val="00F81527"/>
    <w:rsid w:val="00F87905"/>
    <w:rsid w:val="00F9229E"/>
    <w:rsid w:val="00F92724"/>
    <w:rsid w:val="00F92A12"/>
    <w:rsid w:val="00F9523B"/>
    <w:rsid w:val="00F9560B"/>
    <w:rsid w:val="00F95755"/>
    <w:rsid w:val="00F96E67"/>
    <w:rsid w:val="00F96E92"/>
    <w:rsid w:val="00FA13CB"/>
    <w:rsid w:val="00FA2BE9"/>
    <w:rsid w:val="00FA31AE"/>
    <w:rsid w:val="00FA4FCD"/>
    <w:rsid w:val="00FB2973"/>
    <w:rsid w:val="00FB42CF"/>
    <w:rsid w:val="00FB7788"/>
    <w:rsid w:val="00FB7B5E"/>
    <w:rsid w:val="00FC07DD"/>
    <w:rsid w:val="00FC2B86"/>
    <w:rsid w:val="00FC48B5"/>
    <w:rsid w:val="00FC4CA2"/>
    <w:rsid w:val="00FC4DEF"/>
    <w:rsid w:val="00FC7B2A"/>
    <w:rsid w:val="00FD2F29"/>
    <w:rsid w:val="00FD3D67"/>
    <w:rsid w:val="00FD536A"/>
    <w:rsid w:val="00FE316A"/>
    <w:rsid w:val="00FE4145"/>
    <w:rsid w:val="00FE4ECC"/>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7F22AC"/>
    <w:pPr>
      <w:keepNext/>
      <w:pageBreakBefore/>
      <w:numPr>
        <w:numId w:val="8"/>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7F22AC"/>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7F22AC"/>
    <w:pPr>
      <w:numPr>
        <w:ilvl w:val="2"/>
      </w:numPr>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7F22AC"/>
    <w:pPr>
      <w:numPr>
        <w:ilvl w:val="3"/>
      </w:numPr>
      <w:spacing w:before="360" w:line="260" w:lineRule="atLeast"/>
      <w:outlineLvl w:val="3"/>
    </w:pPr>
    <w:rPr>
      <w:color w:val="5A9A98"/>
      <w:sz w:val="22"/>
      <w:szCs w:val="22"/>
    </w:rPr>
  </w:style>
  <w:style w:type="paragraph" w:styleId="Heading5">
    <w:name w:val="heading 5"/>
    <w:basedOn w:val="BodyText"/>
    <w:next w:val="BodyText"/>
    <w:link w:val="Heading5Char"/>
    <w:uiPriority w:val="99"/>
    <w:qFormat/>
    <w:rsid w:val="007F22AC"/>
    <w:pPr>
      <w:keepNext/>
      <w:numPr>
        <w:ilvl w:val="4"/>
        <w:numId w:val="8"/>
      </w:numPr>
      <w:spacing w:before="320" w:after="0"/>
      <w:outlineLvl w:val="4"/>
    </w:pPr>
    <w:rPr>
      <w:b/>
      <w:color w:val="4D4D4D"/>
    </w:rPr>
  </w:style>
  <w:style w:type="paragraph" w:styleId="Heading6">
    <w:name w:val="heading 6"/>
    <w:basedOn w:val="Heading1"/>
    <w:next w:val="BodyText"/>
    <w:link w:val="Heading6Char"/>
    <w:uiPriority w:val="99"/>
    <w:qFormat/>
    <w:rsid w:val="007F22AC"/>
    <w:pPr>
      <w:numPr>
        <w:ilvl w:val="5"/>
      </w:numPr>
      <w:ind w:firstLine="0"/>
      <w:outlineLvl w:val="5"/>
    </w:pPr>
    <w:rPr>
      <w:bCs/>
    </w:rPr>
  </w:style>
  <w:style w:type="paragraph" w:styleId="Heading7">
    <w:name w:val="heading 7"/>
    <w:basedOn w:val="Heading2"/>
    <w:next w:val="BodyText"/>
    <w:link w:val="Heading7Char"/>
    <w:uiPriority w:val="99"/>
    <w:qFormat/>
    <w:rsid w:val="007F22AC"/>
    <w:pPr>
      <w:numPr>
        <w:ilvl w:val="6"/>
      </w:numPr>
      <w:ind w:left="0" w:firstLine="0"/>
      <w:outlineLvl w:val="6"/>
    </w:pPr>
  </w:style>
  <w:style w:type="paragraph" w:styleId="Heading8">
    <w:name w:val="heading 8"/>
    <w:basedOn w:val="Heading3"/>
    <w:next w:val="BodyText"/>
    <w:link w:val="Heading8Char"/>
    <w:uiPriority w:val="99"/>
    <w:qFormat/>
    <w:rsid w:val="007F22AC"/>
    <w:pPr>
      <w:numPr>
        <w:ilvl w:val="7"/>
      </w:numPr>
      <w:outlineLvl w:val="7"/>
    </w:pPr>
  </w:style>
  <w:style w:type="paragraph" w:styleId="Heading9">
    <w:name w:val="heading 9"/>
    <w:basedOn w:val="Heading4"/>
    <w:next w:val="BodyText"/>
    <w:link w:val="Heading9Char"/>
    <w:uiPriority w:val="99"/>
    <w:qFormat/>
    <w:rsid w:val="007F22AC"/>
    <w:pPr>
      <w:numPr>
        <w:ilvl w:val="8"/>
      </w:numPr>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rPr>
      <w:rFonts w:ascii="Franklin Gothic Medium" w:hAnsi="Franklin Gothic Medium"/>
      <w:color w:val="AD495D"/>
      <w:kern w:val="28"/>
      <w:sz w:val="24"/>
      <w:szCs w:val="24"/>
      <w:lang w:val="en-AU" w:eastAsia="en-AU"/>
    </w:rPr>
  </w:style>
  <w:style w:type="character" w:customStyle="1" w:styleId="Heading4Char">
    <w:name w:val="Heading 4 Char"/>
    <w:basedOn w:val="DefaultParagraphFont"/>
    <w:link w:val="Heading4"/>
    <w:uiPriority w:val="99"/>
    <w:rPr>
      <w:rFonts w:ascii="Franklin Gothic Medium" w:hAnsi="Franklin Gothic Medium"/>
      <w:color w:val="5A9A98"/>
      <w:kern w:val="28"/>
      <w:lang w:val="en-AU" w:eastAsia="en-AU"/>
    </w:rPr>
  </w:style>
  <w:style w:type="character" w:customStyle="1" w:styleId="Heading5Char">
    <w:name w:val="Heading 5 Char"/>
    <w:basedOn w:val="BodyTextChar"/>
    <w:link w:val="Heading5"/>
    <w:uiPriority w:val="99"/>
    <w:locked/>
    <w:rsid w:val="000C6326"/>
    <w:rPr>
      <w:rFonts w:ascii="Georgia" w:hAnsi="Georgia" w:cs="Times New Roman"/>
      <w:b/>
      <w:color w:val="4D4D4D"/>
      <w:sz w:val="19"/>
      <w:szCs w:val="19"/>
      <w:lang w:val="en-AU" w:eastAsia="en-AU" w:bidi="ar-SA"/>
    </w:rPr>
  </w:style>
  <w:style w:type="character" w:customStyle="1" w:styleId="Heading6Char">
    <w:name w:val="Heading 6 Char"/>
    <w:basedOn w:val="DefaultParagraphFont"/>
    <w:link w:val="Heading6"/>
    <w:uiPriority w:val="99"/>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rPr>
      <w:rFonts w:ascii="Franklin Gothic Medium" w:hAnsi="Franklin Gothic Medium"/>
      <w:color w:val="AD495D"/>
      <w:kern w:val="28"/>
      <w:sz w:val="24"/>
      <w:szCs w:val="24"/>
      <w:lang w:val="en-AU" w:eastAsia="en-AU"/>
    </w:rPr>
  </w:style>
  <w:style w:type="character" w:customStyle="1" w:styleId="Heading9Char">
    <w:name w:val="Heading 9 Char"/>
    <w:basedOn w:val="DefaultParagraphFont"/>
    <w:link w:val="Heading9"/>
    <w:uiPriority w:val="99"/>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paragraph" w:customStyle="1" w:styleId="Heading1unnumbered">
    <w:name w:val="Heading 1 unnumbered"/>
    <w:basedOn w:val="Heading1"/>
    <w:next w:val="BodyText"/>
    <w:uiPriority w:val="99"/>
    <w:rsid w:val="00917927"/>
    <w:pPr>
      <w:numPr>
        <w:numId w:val="0"/>
      </w:numPr>
    </w:pPr>
  </w:style>
  <w:style w:type="paragraph" w:customStyle="1" w:styleId="Heading2unnumbered">
    <w:name w:val="Heading 2 unnumbered"/>
    <w:basedOn w:val="Heading2"/>
    <w:next w:val="BodyText"/>
    <w:uiPriority w:val="99"/>
    <w:rsid w:val="001C557B"/>
    <w:pPr>
      <w:numPr>
        <w:ilvl w:val="0"/>
        <w:numId w:val="0"/>
      </w:numPr>
    </w:pPr>
  </w:style>
  <w:style w:type="paragraph" w:customStyle="1" w:styleId="Heading3nonumber">
    <w:name w:val="Heading 3 (no number)"/>
    <w:basedOn w:val="Heading3"/>
    <w:next w:val="BodyText"/>
    <w:uiPriority w:val="99"/>
    <w:semiHidden/>
    <w:rsid w:val="00502E98"/>
    <w:pPr>
      <w:numPr>
        <w:ilvl w:val="0"/>
        <w:numId w:val="0"/>
      </w:numPr>
    </w:pPr>
    <w:rPr>
      <w:rFonts w:ascii="Franklin Gothic Demi" w:hAnsi="Franklin Gothic Demi"/>
      <w:b/>
    </w:rPr>
  </w:style>
  <w:style w:type="paragraph" w:styleId="ListBullet">
    <w:name w:val="List Bullet"/>
    <w:basedOn w:val="BodyText"/>
    <w:uiPriority w:val="99"/>
    <w:rsid w:val="00C10747"/>
    <w:pPr>
      <w:numPr>
        <w:numId w:val="15"/>
      </w:numPr>
      <w:spacing w:before="0"/>
    </w:pPr>
  </w:style>
  <w:style w:type="paragraph" w:styleId="ListBullet2">
    <w:name w:val="List Bullet 2"/>
    <w:basedOn w:val="ListBullet"/>
    <w:uiPriority w:val="99"/>
    <w:rsid w:val="002E7F6A"/>
    <w:pPr>
      <w:tabs>
        <w:tab w:val="clear" w:pos="284"/>
        <w:tab w:val="num" w:pos="567"/>
      </w:tabs>
      <w:ind w:left="567" w:hanging="283"/>
    </w:pPr>
  </w:style>
  <w:style w:type="paragraph" w:styleId="ListNumber">
    <w:name w:val="List Number"/>
    <w:basedOn w:val="ListBullet"/>
    <w:uiPriority w:val="99"/>
    <w:rsid w:val="000B146D"/>
    <w:pPr>
      <w:numPr>
        <w:numId w:val="19"/>
      </w:numPr>
    </w:pPr>
  </w:style>
  <w:style w:type="paragraph" w:styleId="ListNumber2">
    <w:name w:val="List Number 2"/>
    <w:basedOn w:val="ListNumber"/>
    <w:uiPriority w:val="99"/>
    <w:rsid w:val="00B84A71"/>
    <w:pPr>
      <w:numPr>
        <w:numId w:val="9"/>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rPr>
      <w:i/>
      <w:iCs/>
      <w:color w:val="000000" w:themeColor="text1"/>
      <w:sz w:val="20"/>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rPr>
      <w:sz w:val="20"/>
      <w:szCs w:val="24"/>
      <w:lang w:val="en-AU" w:eastAsia="en-AU"/>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rPr>
      <w:sz w:val="20"/>
      <w:szCs w:val="24"/>
      <w:lang w:val="en-AU" w:eastAsia="en-AU"/>
    </w:rPr>
  </w:style>
  <w:style w:type="character" w:styleId="PageNumber">
    <w:name w:val="page number"/>
    <w:basedOn w:val="DefaultParagraphFont"/>
    <w:uiPriority w:val="99"/>
    <w:rsid w:val="007A2D4A"/>
    <w:rPr>
      <w:rFonts w:ascii="Franklin Gothic Medium" w:hAnsi="Franklin Gothic Medium" w:cs="Times New Roman"/>
      <w:color w:val="54534A"/>
      <w:sz w:val="14"/>
      <w:szCs w:val="14"/>
    </w:rPr>
  </w:style>
  <w:style w:type="paragraph" w:styleId="TOC1">
    <w:name w:val="toc 1"/>
    <w:basedOn w:val="BodyText"/>
    <w:next w:val="BodyText"/>
    <w:uiPriority w:val="99"/>
    <w:rsid w:val="00F676C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99"/>
    <w:rsid w:val="00F676C9"/>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02E98"/>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14"/>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04147"/>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33905"/>
    <w:pPr>
      <w:spacing w:after="60"/>
    </w:pPr>
  </w:style>
  <w:style w:type="paragraph" w:customStyle="1" w:styleId="BoxHeading1">
    <w:name w:val="Box Heading 1"/>
    <w:basedOn w:val="BoxText"/>
    <w:next w:val="BoxText"/>
    <w:uiPriority w:val="99"/>
    <w:rsid w:val="00BA2076"/>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811A8D"/>
    <w:pPr>
      <w:spacing w:before="14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7"/>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rsid w:val="00671255"/>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rPr>
      <w:sz w:val="20"/>
      <w:szCs w:val="20"/>
      <w:lang w:val="en-AU" w:eastAsia="en-AU"/>
    </w:rPr>
  </w:style>
  <w:style w:type="character" w:styleId="FootnoteReference">
    <w:name w:val="footnote reference"/>
    <w:basedOn w:val="DefaultParagraphFont"/>
    <w:uiPriority w:val="99"/>
    <w:rsid w:val="00E50C7D"/>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rPr>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7"/>
      </w:numPr>
      <w:tabs>
        <w:tab w:val="num" w:pos="567"/>
      </w:tabs>
    </w:pPr>
  </w:style>
  <w:style w:type="paragraph" w:customStyle="1" w:styleId="TableListNumber">
    <w:name w:val="Table List Number"/>
    <w:basedOn w:val="TableTextEntries"/>
    <w:uiPriority w:val="99"/>
    <w:rsid w:val="008C0773"/>
    <w:pPr>
      <w:numPr>
        <w:numId w:val="6"/>
      </w:numPr>
    </w:pPr>
  </w:style>
  <w:style w:type="paragraph" w:customStyle="1" w:styleId="TableListNumber2">
    <w:name w:val="Table List Number 2"/>
    <w:basedOn w:val="TableListNumber"/>
    <w:uiPriority w:val="99"/>
    <w:rsid w:val="00396E51"/>
    <w:pPr>
      <w:numPr>
        <w:numId w:val="10"/>
      </w:numPr>
      <w:tabs>
        <w:tab w:val="num" w:pos="227"/>
      </w:tabs>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DB56CC"/>
    <w:pPr>
      <w:numPr>
        <w:numId w:val="20"/>
      </w:numPr>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13"/>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8"/>
      </w:numPr>
      <w:spacing w:before="0"/>
    </w:pPr>
  </w:style>
  <w:style w:type="paragraph" w:customStyle="1" w:styleId="BoxListNumber2">
    <w:name w:val="Box List Number 2"/>
    <w:basedOn w:val="BoxListNumber"/>
    <w:uiPriority w:val="99"/>
    <w:rsid w:val="006C6761"/>
    <w:pPr>
      <w:numPr>
        <w:numId w:val="12"/>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604147"/>
    <w:rPr>
      <w:rFonts w:ascii="Arial" w:hAnsi="Arial"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DB56CC"/>
    <w:rPr>
      <w:rFonts w:ascii="Franklin Gothic Book" w:hAnsi="Franklin Gothic Book" w:cs="Times New Roman"/>
      <w:sz w:val="14"/>
      <w:szCs w:val="14"/>
      <w:lang w:val="en-AU" w:eastAsia="en-US" w:bidi="ar-SA"/>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725C2E"/>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725C2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styleId="Emphasis">
    <w:name w:val="Emphasis"/>
    <w:basedOn w:val="DefaultParagraphFont"/>
    <w:uiPriority w:val="99"/>
    <w:qFormat/>
    <w:rsid w:val="00BD26EA"/>
    <w:rPr>
      <w:rFonts w:cs="Times New Roman"/>
      <w:b/>
      <w:bCs/>
    </w:rPr>
  </w:style>
  <w:style w:type="character" w:styleId="HTMLCite">
    <w:name w:val="HTML Cite"/>
    <w:basedOn w:val="DefaultParagraphFont"/>
    <w:uiPriority w:val="99"/>
    <w:rsid w:val="00A70DA9"/>
    <w:rPr>
      <w:rFonts w:cs="Times New Roman"/>
      <w:i/>
      <w:iCs/>
    </w:rPr>
  </w:style>
  <w:style w:type="paragraph" w:styleId="DocumentMap">
    <w:name w:val="Document Map"/>
    <w:basedOn w:val="Normal"/>
    <w:link w:val="DocumentMapChar"/>
    <w:uiPriority w:val="99"/>
    <w:semiHidden/>
    <w:rsid w:val="00C41CF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lang w:val="en-AU" w:eastAsia="en-AU"/>
    </w:rPr>
  </w:style>
  <w:style w:type="paragraph" w:customStyle="1" w:styleId="H1">
    <w:name w:val="H1"/>
    <w:basedOn w:val="Contents"/>
    <w:qFormat/>
    <w:rsid w:val="00B35E8F"/>
    <w:rP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7F22AC"/>
    <w:pPr>
      <w:keepNext/>
      <w:pageBreakBefore/>
      <w:numPr>
        <w:numId w:val="8"/>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7F22AC"/>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7F22AC"/>
    <w:pPr>
      <w:numPr>
        <w:ilvl w:val="2"/>
      </w:numPr>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7F22AC"/>
    <w:pPr>
      <w:numPr>
        <w:ilvl w:val="3"/>
      </w:numPr>
      <w:spacing w:before="360" w:line="260" w:lineRule="atLeast"/>
      <w:outlineLvl w:val="3"/>
    </w:pPr>
    <w:rPr>
      <w:color w:val="5A9A98"/>
      <w:sz w:val="22"/>
      <w:szCs w:val="22"/>
    </w:rPr>
  </w:style>
  <w:style w:type="paragraph" w:styleId="Heading5">
    <w:name w:val="heading 5"/>
    <w:basedOn w:val="BodyText"/>
    <w:next w:val="BodyText"/>
    <w:link w:val="Heading5Char"/>
    <w:uiPriority w:val="99"/>
    <w:qFormat/>
    <w:rsid w:val="007F22AC"/>
    <w:pPr>
      <w:keepNext/>
      <w:numPr>
        <w:ilvl w:val="4"/>
        <w:numId w:val="8"/>
      </w:numPr>
      <w:spacing w:before="320" w:after="0"/>
      <w:outlineLvl w:val="4"/>
    </w:pPr>
    <w:rPr>
      <w:b/>
      <w:color w:val="4D4D4D"/>
    </w:rPr>
  </w:style>
  <w:style w:type="paragraph" w:styleId="Heading6">
    <w:name w:val="heading 6"/>
    <w:basedOn w:val="Heading1"/>
    <w:next w:val="BodyText"/>
    <w:link w:val="Heading6Char"/>
    <w:uiPriority w:val="99"/>
    <w:qFormat/>
    <w:rsid w:val="007F22AC"/>
    <w:pPr>
      <w:numPr>
        <w:ilvl w:val="5"/>
      </w:numPr>
      <w:ind w:firstLine="0"/>
      <w:outlineLvl w:val="5"/>
    </w:pPr>
    <w:rPr>
      <w:bCs/>
    </w:rPr>
  </w:style>
  <w:style w:type="paragraph" w:styleId="Heading7">
    <w:name w:val="heading 7"/>
    <w:basedOn w:val="Heading2"/>
    <w:next w:val="BodyText"/>
    <w:link w:val="Heading7Char"/>
    <w:uiPriority w:val="99"/>
    <w:qFormat/>
    <w:rsid w:val="007F22AC"/>
    <w:pPr>
      <w:numPr>
        <w:ilvl w:val="6"/>
      </w:numPr>
      <w:ind w:left="0" w:firstLine="0"/>
      <w:outlineLvl w:val="6"/>
    </w:pPr>
  </w:style>
  <w:style w:type="paragraph" w:styleId="Heading8">
    <w:name w:val="heading 8"/>
    <w:basedOn w:val="Heading3"/>
    <w:next w:val="BodyText"/>
    <w:link w:val="Heading8Char"/>
    <w:uiPriority w:val="99"/>
    <w:qFormat/>
    <w:rsid w:val="007F22AC"/>
    <w:pPr>
      <w:numPr>
        <w:ilvl w:val="7"/>
      </w:numPr>
      <w:outlineLvl w:val="7"/>
    </w:pPr>
  </w:style>
  <w:style w:type="paragraph" w:styleId="Heading9">
    <w:name w:val="heading 9"/>
    <w:basedOn w:val="Heading4"/>
    <w:next w:val="BodyText"/>
    <w:link w:val="Heading9Char"/>
    <w:uiPriority w:val="99"/>
    <w:qFormat/>
    <w:rsid w:val="007F22AC"/>
    <w:pPr>
      <w:numPr>
        <w:ilvl w:val="8"/>
      </w:numPr>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rPr>
      <w:rFonts w:ascii="Franklin Gothic Medium" w:hAnsi="Franklin Gothic Medium"/>
      <w:color w:val="AD495D"/>
      <w:kern w:val="28"/>
      <w:sz w:val="24"/>
      <w:szCs w:val="24"/>
      <w:lang w:val="en-AU" w:eastAsia="en-AU"/>
    </w:rPr>
  </w:style>
  <w:style w:type="character" w:customStyle="1" w:styleId="Heading4Char">
    <w:name w:val="Heading 4 Char"/>
    <w:basedOn w:val="DefaultParagraphFont"/>
    <w:link w:val="Heading4"/>
    <w:uiPriority w:val="99"/>
    <w:rPr>
      <w:rFonts w:ascii="Franklin Gothic Medium" w:hAnsi="Franklin Gothic Medium"/>
      <w:color w:val="5A9A98"/>
      <w:kern w:val="28"/>
      <w:lang w:val="en-AU" w:eastAsia="en-AU"/>
    </w:rPr>
  </w:style>
  <w:style w:type="character" w:customStyle="1" w:styleId="Heading5Char">
    <w:name w:val="Heading 5 Char"/>
    <w:basedOn w:val="BodyTextChar"/>
    <w:link w:val="Heading5"/>
    <w:uiPriority w:val="99"/>
    <w:locked/>
    <w:rsid w:val="000C6326"/>
    <w:rPr>
      <w:rFonts w:ascii="Georgia" w:hAnsi="Georgia" w:cs="Times New Roman"/>
      <w:b/>
      <w:color w:val="4D4D4D"/>
      <w:sz w:val="19"/>
      <w:szCs w:val="19"/>
      <w:lang w:val="en-AU" w:eastAsia="en-AU" w:bidi="ar-SA"/>
    </w:rPr>
  </w:style>
  <w:style w:type="character" w:customStyle="1" w:styleId="Heading6Char">
    <w:name w:val="Heading 6 Char"/>
    <w:basedOn w:val="DefaultParagraphFont"/>
    <w:link w:val="Heading6"/>
    <w:uiPriority w:val="99"/>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rPr>
      <w:rFonts w:ascii="Franklin Gothic Medium" w:hAnsi="Franklin Gothic Medium"/>
      <w:color w:val="AD495D"/>
      <w:kern w:val="28"/>
      <w:sz w:val="24"/>
      <w:szCs w:val="24"/>
      <w:lang w:val="en-AU" w:eastAsia="en-AU"/>
    </w:rPr>
  </w:style>
  <w:style w:type="character" w:customStyle="1" w:styleId="Heading9Char">
    <w:name w:val="Heading 9 Char"/>
    <w:basedOn w:val="DefaultParagraphFont"/>
    <w:link w:val="Heading9"/>
    <w:uiPriority w:val="99"/>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paragraph" w:customStyle="1" w:styleId="Heading1unnumbered">
    <w:name w:val="Heading 1 unnumbered"/>
    <w:basedOn w:val="Heading1"/>
    <w:next w:val="BodyText"/>
    <w:uiPriority w:val="99"/>
    <w:rsid w:val="00917927"/>
    <w:pPr>
      <w:numPr>
        <w:numId w:val="0"/>
      </w:numPr>
    </w:pPr>
  </w:style>
  <w:style w:type="paragraph" w:customStyle="1" w:styleId="Heading2unnumbered">
    <w:name w:val="Heading 2 unnumbered"/>
    <w:basedOn w:val="Heading2"/>
    <w:next w:val="BodyText"/>
    <w:uiPriority w:val="99"/>
    <w:rsid w:val="001C557B"/>
    <w:pPr>
      <w:numPr>
        <w:ilvl w:val="0"/>
        <w:numId w:val="0"/>
      </w:numPr>
    </w:pPr>
  </w:style>
  <w:style w:type="paragraph" w:customStyle="1" w:styleId="Heading3nonumber">
    <w:name w:val="Heading 3 (no number)"/>
    <w:basedOn w:val="Heading3"/>
    <w:next w:val="BodyText"/>
    <w:uiPriority w:val="99"/>
    <w:semiHidden/>
    <w:rsid w:val="00502E98"/>
    <w:pPr>
      <w:numPr>
        <w:ilvl w:val="0"/>
        <w:numId w:val="0"/>
      </w:numPr>
    </w:pPr>
    <w:rPr>
      <w:rFonts w:ascii="Franklin Gothic Demi" w:hAnsi="Franklin Gothic Demi"/>
      <w:b/>
    </w:rPr>
  </w:style>
  <w:style w:type="paragraph" w:styleId="ListBullet">
    <w:name w:val="List Bullet"/>
    <w:basedOn w:val="BodyText"/>
    <w:uiPriority w:val="99"/>
    <w:rsid w:val="00C10747"/>
    <w:pPr>
      <w:numPr>
        <w:numId w:val="15"/>
      </w:numPr>
      <w:spacing w:before="0"/>
    </w:pPr>
  </w:style>
  <w:style w:type="paragraph" w:styleId="ListBullet2">
    <w:name w:val="List Bullet 2"/>
    <w:basedOn w:val="ListBullet"/>
    <w:uiPriority w:val="99"/>
    <w:rsid w:val="002E7F6A"/>
    <w:pPr>
      <w:tabs>
        <w:tab w:val="clear" w:pos="284"/>
        <w:tab w:val="num" w:pos="567"/>
      </w:tabs>
      <w:ind w:left="567" w:hanging="283"/>
    </w:pPr>
  </w:style>
  <w:style w:type="paragraph" w:styleId="ListNumber">
    <w:name w:val="List Number"/>
    <w:basedOn w:val="ListBullet"/>
    <w:uiPriority w:val="99"/>
    <w:rsid w:val="000B146D"/>
    <w:pPr>
      <w:numPr>
        <w:numId w:val="19"/>
      </w:numPr>
    </w:pPr>
  </w:style>
  <w:style w:type="paragraph" w:styleId="ListNumber2">
    <w:name w:val="List Number 2"/>
    <w:basedOn w:val="ListNumber"/>
    <w:uiPriority w:val="99"/>
    <w:rsid w:val="00B84A71"/>
    <w:pPr>
      <w:numPr>
        <w:numId w:val="9"/>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rPr>
      <w:i/>
      <w:iCs/>
      <w:color w:val="000000" w:themeColor="text1"/>
      <w:sz w:val="20"/>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rPr>
      <w:sz w:val="20"/>
      <w:szCs w:val="24"/>
      <w:lang w:val="en-AU" w:eastAsia="en-AU"/>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rPr>
      <w:sz w:val="20"/>
      <w:szCs w:val="24"/>
      <w:lang w:val="en-AU" w:eastAsia="en-AU"/>
    </w:rPr>
  </w:style>
  <w:style w:type="character" w:styleId="PageNumber">
    <w:name w:val="page number"/>
    <w:basedOn w:val="DefaultParagraphFont"/>
    <w:uiPriority w:val="99"/>
    <w:rsid w:val="007A2D4A"/>
    <w:rPr>
      <w:rFonts w:ascii="Franklin Gothic Medium" w:hAnsi="Franklin Gothic Medium" w:cs="Times New Roman"/>
      <w:color w:val="54534A"/>
      <w:sz w:val="14"/>
      <w:szCs w:val="14"/>
    </w:rPr>
  </w:style>
  <w:style w:type="paragraph" w:styleId="TOC1">
    <w:name w:val="toc 1"/>
    <w:basedOn w:val="BodyText"/>
    <w:next w:val="BodyText"/>
    <w:uiPriority w:val="99"/>
    <w:rsid w:val="00F676C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99"/>
    <w:rsid w:val="00F676C9"/>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02E98"/>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14"/>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04147"/>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33905"/>
    <w:pPr>
      <w:spacing w:after="60"/>
    </w:pPr>
  </w:style>
  <w:style w:type="paragraph" w:customStyle="1" w:styleId="BoxHeading1">
    <w:name w:val="Box Heading 1"/>
    <w:basedOn w:val="BoxText"/>
    <w:next w:val="BoxText"/>
    <w:uiPriority w:val="99"/>
    <w:rsid w:val="00BA2076"/>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811A8D"/>
    <w:pPr>
      <w:spacing w:before="14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7"/>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rsid w:val="00671255"/>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rPr>
      <w:sz w:val="20"/>
      <w:szCs w:val="20"/>
      <w:lang w:val="en-AU" w:eastAsia="en-AU"/>
    </w:rPr>
  </w:style>
  <w:style w:type="character" w:styleId="FootnoteReference">
    <w:name w:val="footnote reference"/>
    <w:basedOn w:val="DefaultParagraphFont"/>
    <w:uiPriority w:val="99"/>
    <w:rsid w:val="00E50C7D"/>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rPr>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7"/>
      </w:numPr>
      <w:tabs>
        <w:tab w:val="num" w:pos="567"/>
      </w:tabs>
    </w:pPr>
  </w:style>
  <w:style w:type="paragraph" w:customStyle="1" w:styleId="TableListNumber">
    <w:name w:val="Table List Number"/>
    <w:basedOn w:val="TableTextEntries"/>
    <w:uiPriority w:val="99"/>
    <w:rsid w:val="008C0773"/>
    <w:pPr>
      <w:numPr>
        <w:numId w:val="6"/>
      </w:numPr>
    </w:pPr>
  </w:style>
  <w:style w:type="paragraph" w:customStyle="1" w:styleId="TableListNumber2">
    <w:name w:val="Table List Number 2"/>
    <w:basedOn w:val="TableListNumber"/>
    <w:uiPriority w:val="99"/>
    <w:rsid w:val="00396E51"/>
    <w:pPr>
      <w:numPr>
        <w:numId w:val="10"/>
      </w:numPr>
      <w:tabs>
        <w:tab w:val="num" w:pos="227"/>
      </w:tabs>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DB56CC"/>
    <w:pPr>
      <w:numPr>
        <w:numId w:val="20"/>
      </w:numPr>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13"/>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8"/>
      </w:numPr>
      <w:spacing w:before="0"/>
    </w:pPr>
  </w:style>
  <w:style w:type="paragraph" w:customStyle="1" w:styleId="BoxListNumber2">
    <w:name w:val="Box List Number 2"/>
    <w:basedOn w:val="BoxListNumber"/>
    <w:uiPriority w:val="99"/>
    <w:rsid w:val="006C6761"/>
    <w:pPr>
      <w:numPr>
        <w:numId w:val="12"/>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604147"/>
    <w:rPr>
      <w:rFonts w:ascii="Arial" w:hAnsi="Arial"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DB56CC"/>
    <w:rPr>
      <w:rFonts w:ascii="Franklin Gothic Book" w:hAnsi="Franklin Gothic Book" w:cs="Times New Roman"/>
      <w:sz w:val="14"/>
      <w:szCs w:val="14"/>
      <w:lang w:val="en-AU" w:eastAsia="en-US" w:bidi="ar-SA"/>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725C2E"/>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725C2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styleId="Emphasis">
    <w:name w:val="Emphasis"/>
    <w:basedOn w:val="DefaultParagraphFont"/>
    <w:uiPriority w:val="99"/>
    <w:qFormat/>
    <w:rsid w:val="00BD26EA"/>
    <w:rPr>
      <w:rFonts w:cs="Times New Roman"/>
      <w:b/>
      <w:bCs/>
    </w:rPr>
  </w:style>
  <w:style w:type="character" w:styleId="HTMLCite">
    <w:name w:val="HTML Cite"/>
    <w:basedOn w:val="DefaultParagraphFont"/>
    <w:uiPriority w:val="99"/>
    <w:rsid w:val="00A70DA9"/>
    <w:rPr>
      <w:rFonts w:cs="Times New Roman"/>
      <w:i/>
      <w:iCs/>
    </w:rPr>
  </w:style>
  <w:style w:type="paragraph" w:styleId="DocumentMap">
    <w:name w:val="Document Map"/>
    <w:basedOn w:val="Normal"/>
    <w:link w:val="DocumentMapChar"/>
    <w:uiPriority w:val="99"/>
    <w:semiHidden/>
    <w:rsid w:val="00C41CF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lang w:val="en-AU" w:eastAsia="en-AU"/>
    </w:rPr>
  </w:style>
  <w:style w:type="paragraph" w:customStyle="1" w:styleId="H1">
    <w:name w:val="H1"/>
    <w:basedOn w:val="Contents"/>
    <w:qFormat/>
    <w:rsid w:val="00B35E8F"/>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51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cca"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said.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usaid.gov.au/publication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1%20Report%20(by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7A604-923C-4D3E-AC44-9BE5680C526E}"/>
</file>

<file path=customXml/itemProps2.xml><?xml version="1.0" encoding="utf-8"?>
<ds:datastoreItem xmlns:ds="http://schemas.openxmlformats.org/officeDocument/2006/customXml" ds:itemID="{4B231A56-3365-4307-BC8C-2D0C63A456E9}"/>
</file>

<file path=customXml/itemProps3.xml><?xml version="1.0" encoding="utf-8"?>
<ds:datastoreItem xmlns:ds="http://schemas.openxmlformats.org/officeDocument/2006/customXml" ds:itemID="{581CFE01-148B-41FC-8097-AEAF33CF8808}"/>
</file>

<file path=docProps/app.xml><?xml version="1.0" encoding="utf-8"?>
<Properties xmlns="http://schemas.openxmlformats.org/officeDocument/2006/extended-properties" xmlns:vt="http://schemas.openxmlformats.org/officeDocument/2006/docPropsVTypes">
  <Template>1 Report (byWord)</Template>
  <TotalTime>1</TotalTime>
  <Pages>33</Pages>
  <Words>13720</Words>
  <Characters>78210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91747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MKhattab</cp:lastModifiedBy>
  <cp:revision>3</cp:revision>
  <cp:lastPrinted>2008-11-20T08:56:00Z</cp:lastPrinted>
  <dcterms:created xsi:type="dcterms:W3CDTF">2013-07-09T11:05:00Z</dcterms:created>
  <dcterms:modified xsi:type="dcterms:W3CDTF">2013-07-09T11:06:00Z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304200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