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57" w:rsidRPr="00E77D0C" w:rsidRDefault="006911B5">
      <w:pPr>
        <w:pStyle w:val="Title"/>
        <w:tabs>
          <w:tab w:val="right" w:pos="7938"/>
        </w:tabs>
      </w:pPr>
      <w:r>
        <w:rPr>
          <w:noProof/>
          <w:spacing w:val="-200"/>
          <w:sz w:val="2"/>
          <w:szCs w:val="2"/>
          <w:lang w:val="en-US" w:eastAsia="en-US"/>
        </w:rPr>
        <w:drawing>
          <wp:anchor distT="0" distB="0" distL="114300" distR="114300" simplePos="0" relativeHeight="251657728" behindDoc="1" locked="0" layoutInCell="1" allowOverlap="1">
            <wp:simplePos x="0" y="0"/>
            <wp:positionH relativeFrom="page">
              <wp:posOffset>8890</wp:posOffset>
            </wp:positionH>
            <wp:positionV relativeFrom="page">
              <wp:posOffset>26035</wp:posOffset>
            </wp:positionV>
            <wp:extent cx="7560310" cy="3024505"/>
            <wp:effectExtent l="19050" t="0" r="2540" b="0"/>
            <wp:wrapNone/>
            <wp:docPr id="5" name="Picture 2" descr="Logo of Australian Government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A1"/>
                    <pic:cNvPicPr>
                      <a:picLocks noChangeAspect="1" noChangeArrowheads="1"/>
                    </pic:cNvPicPr>
                  </pic:nvPicPr>
                  <pic:blipFill>
                    <a:blip r:embed="rId12"/>
                    <a:srcRect/>
                    <a:stretch>
                      <a:fillRect/>
                    </a:stretch>
                  </pic:blipFill>
                  <pic:spPr bwMode="auto">
                    <a:xfrm>
                      <a:off x="0" y="0"/>
                      <a:ext cx="7560310" cy="3024505"/>
                    </a:xfrm>
                    <a:prstGeom prst="rect">
                      <a:avLst/>
                    </a:prstGeom>
                    <a:noFill/>
                    <a:ln w="9525">
                      <a:noFill/>
                      <a:miter lim="800000"/>
                      <a:headEnd/>
                      <a:tailEnd/>
                    </a:ln>
                  </pic:spPr>
                </pic:pic>
              </a:graphicData>
            </a:graphic>
          </wp:anchor>
        </w:drawing>
      </w:r>
      <w:r w:rsidR="004B6157" w:rsidRPr="00E77D0C">
        <w:t xml:space="preserve">Annual </w:t>
      </w:r>
      <w:r w:rsidR="004A686A">
        <w:t xml:space="preserve">thematic performance report </w:t>
      </w:r>
      <w:r w:rsidR="004B6157" w:rsidRPr="00E77D0C">
        <w:t>2009:</w:t>
      </w:r>
      <w:r w:rsidR="004B6157">
        <w:t xml:space="preserve"> </w:t>
      </w:r>
      <w:r w:rsidR="005F42C4">
        <w:t>Health</w:t>
      </w:r>
    </w:p>
    <w:p w:rsidR="004B6157" w:rsidRPr="00BD1E79" w:rsidRDefault="00420FDD">
      <w:pPr>
        <w:pStyle w:val="Date"/>
      </w:pPr>
      <w:r>
        <w:t>January 2011</w:t>
      </w:r>
    </w:p>
    <w:p w:rsidR="00F02C25" w:rsidRDefault="00F02C25" w:rsidP="00F02C25">
      <w:pPr>
        <w:pStyle w:val="Heading1"/>
      </w:pPr>
      <w:bookmarkStart w:id="0" w:name="_Toc360998868"/>
      <w:r>
        <w:t>Content</w:t>
      </w:r>
    </w:p>
    <w:p w:rsidR="00F02C25" w:rsidRDefault="00F02C25">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\t "H3A,3" </w:instrText>
      </w:r>
      <w:r>
        <w:fldChar w:fldCharType="separate"/>
      </w:r>
      <w:hyperlink w:anchor="_Toc361000210" w:history="1">
        <w:r w:rsidRPr="00C16A78">
          <w:rPr>
            <w:rStyle w:val="Hyperlink"/>
            <w:noProof/>
          </w:rPr>
          <w:t>Summary</w:t>
        </w:r>
        <w:r>
          <w:rPr>
            <w:noProof/>
            <w:webHidden/>
          </w:rPr>
          <w:tab/>
        </w:r>
        <w:r>
          <w:rPr>
            <w:rStyle w:val="Hyperlink"/>
            <w:noProof/>
            <w:rtl/>
          </w:rPr>
          <w:fldChar w:fldCharType="begin"/>
        </w:r>
        <w:r>
          <w:rPr>
            <w:noProof/>
            <w:webHidden/>
          </w:rPr>
          <w:instrText xml:space="preserve"> PAGEREF _Toc361000210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F02C25" w:rsidRDefault="00AC4F8E">
      <w:pPr>
        <w:pStyle w:val="TOC2"/>
        <w:rPr>
          <w:rFonts w:asciiTheme="minorHAnsi" w:eastAsiaTheme="minorEastAsia" w:hAnsiTheme="minorHAnsi" w:cstheme="minorBidi"/>
          <w:noProof/>
          <w:color w:val="auto"/>
          <w:sz w:val="22"/>
          <w:szCs w:val="22"/>
          <w:lang w:val="en-US" w:eastAsia="en-US"/>
        </w:rPr>
      </w:pPr>
      <w:hyperlink w:anchor="_Toc361000211" w:history="1">
        <w:r w:rsidR="00F02C25" w:rsidRPr="00C16A78">
          <w:rPr>
            <w:rStyle w:val="Hyperlink"/>
            <w:noProof/>
          </w:rPr>
          <w:t>Overview of Australia’s health development assistance in 2009-10</w:t>
        </w:r>
        <w:r w:rsidR="00F02C25">
          <w:rPr>
            <w:noProof/>
            <w:webHidden/>
          </w:rPr>
          <w:tab/>
        </w:r>
        <w:r w:rsidR="00F02C25">
          <w:rPr>
            <w:rStyle w:val="Hyperlink"/>
            <w:noProof/>
            <w:rtl/>
          </w:rPr>
          <w:fldChar w:fldCharType="begin"/>
        </w:r>
        <w:r w:rsidR="00F02C25">
          <w:rPr>
            <w:noProof/>
            <w:webHidden/>
          </w:rPr>
          <w:instrText xml:space="preserve"> PAGEREF _Toc361000211 \h </w:instrText>
        </w:r>
        <w:r w:rsidR="00F02C25">
          <w:rPr>
            <w:rStyle w:val="Hyperlink"/>
            <w:noProof/>
            <w:rtl/>
          </w:rPr>
        </w:r>
        <w:r w:rsidR="00F02C25">
          <w:rPr>
            <w:rStyle w:val="Hyperlink"/>
            <w:noProof/>
            <w:rtl/>
          </w:rPr>
          <w:fldChar w:fldCharType="separate"/>
        </w:r>
        <w:r w:rsidR="00F02C25">
          <w:rPr>
            <w:noProof/>
            <w:webHidden/>
          </w:rPr>
          <w:t>2</w:t>
        </w:r>
        <w:r w:rsidR="00F02C25">
          <w:rPr>
            <w:rStyle w:val="Hyperlink"/>
            <w:noProof/>
            <w:rtl/>
          </w:rPr>
          <w:fldChar w:fldCharType="end"/>
        </w:r>
      </w:hyperlink>
    </w:p>
    <w:p w:rsidR="00F02C25" w:rsidRDefault="00AC4F8E">
      <w:pPr>
        <w:pStyle w:val="TOC3"/>
        <w:rPr>
          <w:rFonts w:asciiTheme="minorHAnsi" w:eastAsiaTheme="minorEastAsia" w:hAnsiTheme="minorHAnsi" w:cstheme="minorBidi"/>
          <w:noProof/>
          <w:sz w:val="22"/>
          <w:szCs w:val="22"/>
          <w:lang w:val="en-US" w:eastAsia="en-US"/>
        </w:rPr>
      </w:pPr>
      <w:hyperlink w:anchor="_Toc361000212" w:history="1">
        <w:r w:rsidR="00F02C25" w:rsidRPr="00C16A78">
          <w:rPr>
            <w:rStyle w:val="Hyperlink"/>
            <w:noProof/>
          </w:rPr>
          <w:t>AusAID’s Approach</w:t>
        </w:r>
        <w:r w:rsidR="00F02C25">
          <w:rPr>
            <w:noProof/>
            <w:webHidden/>
          </w:rPr>
          <w:tab/>
        </w:r>
        <w:r w:rsidR="00F02C25">
          <w:rPr>
            <w:rStyle w:val="Hyperlink"/>
            <w:noProof/>
            <w:rtl/>
          </w:rPr>
          <w:fldChar w:fldCharType="begin"/>
        </w:r>
        <w:r w:rsidR="00F02C25">
          <w:rPr>
            <w:noProof/>
            <w:webHidden/>
          </w:rPr>
          <w:instrText xml:space="preserve"> PAGEREF _Toc361000212 \h </w:instrText>
        </w:r>
        <w:r w:rsidR="00F02C25">
          <w:rPr>
            <w:rStyle w:val="Hyperlink"/>
            <w:noProof/>
            <w:rtl/>
          </w:rPr>
        </w:r>
        <w:r w:rsidR="00F02C25">
          <w:rPr>
            <w:rStyle w:val="Hyperlink"/>
            <w:noProof/>
            <w:rtl/>
          </w:rPr>
          <w:fldChar w:fldCharType="separate"/>
        </w:r>
        <w:r w:rsidR="00F02C25">
          <w:rPr>
            <w:noProof/>
            <w:webHidden/>
          </w:rPr>
          <w:t>2</w:t>
        </w:r>
        <w:r w:rsidR="00F02C25">
          <w:rPr>
            <w:rStyle w:val="Hyperlink"/>
            <w:noProof/>
            <w:rtl/>
          </w:rPr>
          <w:fldChar w:fldCharType="end"/>
        </w:r>
      </w:hyperlink>
    </w:p>
    <w:p w:rsidR="00F02C25" w:rsidRDefault="00AC4F8E">
      <w:pPr>
        <w:pStyle w:val="TOC2"/>
        <w:rPr>
          <w:rFonts w:asciiTheme="minorHAnsi" w:eastAsiaTheme="minorEastAsia" w:hAnsiTheme="minorHAnsi" w:cstheme="minorBidi"/>
          <w:noProof/>
          <w:color w:val="auto"/>
          <w:sz w:val="22"/>
          <w:szCs w:val="22"/>
          <w:lang w:val="en-US" w:eastAsia="en-US"/>
        </w:rPr>
      </w:pPr>
      <w:hyperlink w:anchor="_Toc361000213" w:history="1">
        <w:r w:rsidR="00F02C25" w:rsidRPr="00C16A78">
          <w:rPr>
            <w:rStyle w:val="Hyperlink"/>
            <w:noProof/>
          </w:rPr>
          <w:t>Major Achievements</w:t>
        </w:r>
        <w:r w:rsidR="00F02C25">
          <w:rPr>
            <w:noProof/>
            <w:webHidden/>
          </w:rPr>
          <w:tab/>
        </w:r>
        <w:r w:rsidR="00F02C25">
          <w:rPr>
            <w:rStyle w:val="Hyperlink"/>
            <w:noProof/>
            <w:rtl/>
          </w:rPr>
          <w:fldChar w:fldCharType="begin"/>
        </w:r>
        <w:r w:rsidR="00F02C25">
          <w:rPr>
            <w:noProof/>
            <w:webHidden/>
          </w:rPr>
          <w:instrText xml:space="preserve"> PAGEREF _Toc361000213 \h </w:instrText>
        </w:r>
        <w:r w:rsidR="00F02C25">
          <w:rPr>
            <w:rStyle w:val="Hyperlink"/>
            <w:noProof/>
            <w:rtl/>
          </w:rPr>
        </w:r>
        <w:r w:rsidR="00F02C25">
          <w:rPr>
            <w:rStyle w:val="Hyperlink"/>
            <w:noProof/>
            <w:rtl/>
          </w:rPr>
          <w:fldChar w:fldCharType="separate"/>
        </w:r>
        <w:r w:rsidR="00F02C25">
          <w:rPr>
            <w:noProof/>
            <w:webHidden/>
          </w:rPr>
          <w:t>4</w:t>
        </w:r>
        <w:r w:rsidR="00F02C25">
          <w:rPr>
            <w:rStyle w:val="Hyperlink"/>
            <w:noProof/>
            <w:rtl/>
          </w:rPr>
          <w:fldChar w:fldCharType="end"/>
        </w:r>
      </w:hyperlink>
    </w:p>
    <w:p w:rsidR="00F02C25" w:rsidRDefault="00AC4F8E">
      <w:pPr>
        <w:pStyle w:val="TOC3"/>
        <w:rPr>
          <w:rFonts w:asciiTheme="minorHAnsi" w:eastAsiaTheme="minorEastAsia" w:hAnsiTheme="minorHAnsi" w:cstheme="minorBidi"/>
          <w:noProof/>
          <w:sz w:val="22"/>
          <w:szCs w:val="22"/>
          <w:lang w:val="en-US" w:eastAsia="en-US"/>
        </w:rPr>
      </w:pPr>
      <w:hyperlink w:anchor="_Toc361000214" w:history="1">
        <w:r w:rsidR="00F02C25" w:rsidRPr="00C16A78">
          <w:rPr>
            <w:rStyle w:val="Hyperlink"/>
            <w:noProof/>
          </w:rPr>
          <w:t>Strengthening Health Systems for the Poor</w:t>
        </w:r>
        <w:r w:rsidR="00F02C25">
          <w:rPr>
            <w:noProof/>
            <w:webHidden/>
          </w:rPr>
          <w:tab/>
        </w:r>
        <w:r w:rsidR="00F02C25">
          <w:rPr>
            <w:rStyle w:val="Hyperlink"/>
            <w:noProof/>
            <w:rtl/>
          </w:rPr>
          <w:fldChar w:fldCharType="begin"/>
        </w:r>
        <w:r w:rsidR="00F02C25">
          <w:rPr>
            <w:noProof/>
            <w:webHidden/>
          </w:rPr>
          <w:instrText xml:space="preserve"> PAGEREF _Toc361000214 \h </w:instrText>
        </w:r>
        <w:r w:rsidR="00F02C25">
          <w:rPr>
            <w:rStyle w:val="Hyperlink"/>
            <w:noProof/>
            <w:rtl/>
          </w:rPr>
        </w:r>
        <w:r w:rsidR="00F02C25">
          <w:rPr>
            <w:rStyle w:val="Hyperlink"/>
            <w:noProof/>
            <w:rtl/>
          </w:rPr>
          <w:fldChar w:fldCharType="separate"/>
        </w:r>
        <w:r w:rsidR="00F02C25">
          <w:rPr>
            <w:noProof/>
            <w:webHidden/>
          </w:rPr>
          <w:t>4</w:t>
        </w:r>
        <w:r w:rsidR="00F02C25">
          <w:rPr>
            <w:rStyle w:val="Hyperlink"/>
            <w:noProof/>
            <w:rtl/>
          </w:rPr>
          <w:fldChar w:fldCharType="end"/>
        </w:r>
      </w:hyperlink>
    </w:p>
    <w:p w:rsidR="00F02C25" w:rsidRDefault="00AC4F8E">
      <w:pPr>
        <w:pStyle w:val="TOC3"/>
        <w:rPr>
          <w:rFonts w:asciiTheme="minorHAnsi" w:eastAsiaTheme="minorEastAsia" w:hAnsiTheme="minorHAnsi" w:cstheme="minorBidi"/>
          <w:noProof/>
          <w:sz w:val="22"/>
          <w:szCs w:val="22"/>
          <w:lang w:val="en-US" w:eastAsia="en-US"/>
        </w:rPr>
      </w:pPr>
      <w:hyperlink w:anchor="_Toc361000215" w:history="1">
        <w:r w:rsidR="00F02C25" w:rsidRPr="00C16A78">
          <w:rPr>
            <w:rStyle w:val="Hyperlink"/>
            <w:noProof/>
          </w:rPr>
          <w:t>Maternal and Child Health</w:t>
        </w:r>
        <w:r w:rsidR="00F02C25">
          <w:rPr>
            <w:noProof/>
            <w:webHidden/>
          </w:rPr>
          <w:tab/>
        </w:r>
        <w:r w:rsidR="00F02C25">
          <w:rPr>
            <w:rStyle w:val="Hyperlink"/>
            <w:noProof/>
            <w:rtl/>
          </w:rPr>
          <w:fldChar w:fldCharType="begin"/>
        </w:r>
        <w:r w:rsidR="00F02C25">
          <w:rPr>
            <w:noProof/>
            <w:webHidden/>
          </w:rPr>
          <w:instrText xml:space="preserve"> PAGEREF _Toc361000215 \h </w:instrText>
        </w:r>
        <w:r w:rsidR="00F02C25">
          <w:rPr>
            <w:rStyle w:val="Hyperlink"/>
            <w:noProof/>
            <w:rtl/>
          </w:rPr>
        </w:r>
        <w:r w:rsidR="00F02C25">
          <w:rPr>
            <w:rStyle w:val="Hyperlink"/>
            <w:noProof/>
            <w:rtl/>
          </w:rPr>
          <w:fldChar w:fldCharType="separate"/>
        </w:r>
        <w:r w:rsidR="00F02C25">
          <w:rPr>
            <w:noProof/>
            <w:webHidden/>
          </w:rPr>
          <w:t>4</w:t>
        </w:r>
        <w:r w:rsidR="00F02C25">
          <w:rPr>
            <w:rStyle w:val="Hyperlink"/>
            <w:noProof/>
            <w:rtl/>
          </w:rPr>
          <w:fldChar w:fldCharType="end"/>
        </w:r>
      </w:hyperlink>
    </w:p>
    <w:p w:rsidR="00F02C25" w:rsidRDefault="00AC4F8E">
      <w:pPr>
        <w:pStyle w:val="TOC3"/>
        <w:rPr>
          <w:rFonts w:asciiTheme="minorHAnsi" w:eastAsiaTheme="minorEastAsia" w:hAnsiTheme="minorHAnsi" w:cstheme="minorBidi"/>
          <w:noProof/>
          <w:sz w:val="22"/>
          <w:szCs w:val="22"/>
          <w:lang w:val="en-US" w:eastAsia="en-US"/>
        </w:rPr>
      </w:pPr>
      <w:hyperlink w:anchor="_Toc361000216" w:history="1">
        <w:r w:rsidR="00F02C25" w:rsidRPr="00C16A78">
          <w:rPr>
            <w:rStyle w:val="Hyperlink"/>
            <w:noProof/>
          </w:rPr>
          <w:t>Communicable Diseases</w:t>
        </w:r>
        <w:r w:rsidR="00F02C25">
          <w:rPr>
            <w:noProof/>
            <w:webHidden/>
          </w:rPr>
          <w:tab/>
        </w:r>
        <w:r w:rsidR="00F02C25">
          <w:rPr>
            <w:rStyle w:val="Hyperlink"/>
            <w:noProof/>
            <w:rtl/>
          </w:rPr>
          <w:fldChar w:fldCharType="begin"/>
        </w:r>
        <w:r w:rsidR="00F02C25">
          <w:rPr>
            <w:noProof/>
            <w:webHidden/>
          </w:rPr>
          <w:instrText xml:space="preserve"> PAGEREF _Toc361000216 \h </w:instrText>
        </w:r>
        <w:r w:rsidR="00F02C25">
          <w:rPr>
            <w:rStyle w:val="Hyperlink"/>
            <w:noProof/>
            <w:rtl/>
          </w:rPr>
        </w:r>
        <w:r w:rsidR="00F02C25">
          <w:rPr>
            <w:rStyle w:val="Hyperlink"/>
            <w:noProof/>
            <w:rtl/>
          </w:rPr>
          <w:fldChar w:fldCharType="separate"/>
        </w:r>
        <w:r w:rsidR="00F02C25">
          <w:rPr>
            <w:noProof/>
            <w:webHidden/>
          </w:rPr>
          <w:t>5</w:t>
        </w:r>
        <w:r w:rsidR="00F02C25">
          <w:rPr>
            <w:rStyle w:val="Hyperlink"/>
            <w:noProof/>
            <w:rtl/>
          </w:rPr>
          <w:fldChar w:fldCharType="end"/>
        </w:r>
      </w:hyperlink>
    </w:p>
    <w:p w:rsidR="00F02C25" w:rsidRDefault="00AC4F8E">
      <w:pPr>
        <w:pStyle w:val="TOC3"/>
        <w:rPr>
          <w:rFonts w:asciiTheme="minorHAnsi" w:eastAsiaTheme="minorEastAsia" w:hAnsiTheme="minorHAnsi" w:cstheme="minorBidi"/>
          <w:noProof/>
          <w:sz w:val="22"/>
          <w:szCs w:val="22"/>
          <w:lang w:val="en-US" w:eastAsia="en-US"/>
        </w:rPr>
      </w:pPr>
      <w:hyperlink w:anchor="_Toc361000217" w:history="1">
        <w:r w:rsidR="00F02C25" w:rsidRPr="00C16A78">
          <w:rPr>
            <w:rStyle w:val="Hyperlink"/>
            <w:noProof/>
          </w:rPr>
          <w:t>Emerging Infectious Diseases (EID) and Non-Communicable Diseases (NCD)</w:t>
        </w:r>
        <w:r w:rsidR="00F02C25">
          <w:rPr>
            <w:noProof/>
            <w:webHidden/>
          </w:rPr>
          <w:tab/>
        </w:r>
        <w:r w:rsidR="00F02C25">
          <w:rPr>
            <w:rStyle w:val="Hyperlink"/>
            <w:noProof/>
            <w:rtl/>
          </w:rPr>
          <w:fldChar w:fldCharType="begin"/>
        </w:r>
        <w:r w:rsidR="00F02C25">
          <w:rPr>
            <w:noProof/>
            <w:webHidden/>
          </w:rPr>
          <w:instrText xml:space="preserve"> PAGEREF _Toc361000217 \h </w:instrText>
        </w:r>
        <w:r w:rsidR="00F02C25">
          <w:rPr>
            <w:rStyle w:val="Hyperlink"/>
            <w:noProof/>
            <w:rtl/>
          </w:rPr>
        </w:r>
        <w:r w:rsidR="00F02C25">
          <w:rPr>
            <w:rStyle w:val="Hyperlink"/>
            <w:noProof/>
            <w:rtl/>
          </w:rPr>
          <w:fldChar w:fldCharType="separate"/>
        </w:r>
        <w:r w:rsidR="00F02C25">
          <w:rPr>
            <w:noProof/>
            <w:webHidden/>
          </w:rPr>
          <w:t>5</w:t>
        </w:r>
        <w:r w:rsidR="00F02C25">
          <w:rPr>
            <w:rStyle w:val="Hyperlink"/>
            <w:noProof/>
            <w:rtl/>
          </w:rPr>
          <w:fldChar w:fldCharType="end"/>
        </w:r>
      </w:hyperlink>
    </w:p>
    <w:p w:rsidR="00F02C25" w:rsidRDefault="00AC4F8E">
      <w:pPr>
        <w:pStyle w:val="TOC2"/>
        <w:rPr>
          <w:rFonts w:asciiTheme="minorHAnsi" w:eastAsiaTheme="minorEastAsia" w:hAnsiTheme="minorHAnsi" w:cstheme="minorBidi"/>
          <w:noProof/>
          <w:color w:val="auto"/>
          <w:sz w:val="22"/>
          <w:szCs w:val="22"/>
          <w:lang w:val="en-US" w:eastAsia="en-US"/>
        </w:rPr>
      </w:pPr>
      <w:hyperlink w:anchor="_Toc361000218" w:history="1">
        <w:r w:rsidR="00F02C25" w:rsidRPr="00C16A78">
          <w:rPr>
            <w:rStyle w:val="Hyperlink"/>
            <w:noProof/>
          </w:rPr>
          <w:t>Portfolio Review: Lessons and Challenges</w:t>
        </w:r>
        <w:r w:rsidR="00F02C25">
          <w:rPr>
            <w:noProof/>
            <w:webHidden/>
          </w:rPr>
          <w:tab/>
        </w:r>
        <w:r w:rsidR="00F02C25">
          <w:rPr>
            <w:rStyle w:val="Hyperlink"/>
            <w:noProof/>
            <w:rtl/>
          </w:rPr>
          <w:fldChar w:fldCharType="begin"/>
        </w:r>
        <w:r w:rsidR="00F02C25">
          <w:rPr>
            <w:noProof/>
            <w:webHidden/>
          </w:rPr>
          <w:instrText xml:space="preserve"> PAGEREF _Toc361000218 \h </w:instrText>
        </w:r>
        <w:r w:rsidR="00F02C25">
          <w:rPr>
            <w:rStyle w:val="Hyperlink"/>
            <w:noProof/>
            <w:rtl/>
          </w:rPr>
        </w:r>
        <w:r w:rsidR="00F02C25">
          <w:rPr>
            <w:rStyle w:val="Hyperlink"/>
            <w:noProof/>
            <w:rtl/>
          </w:rPr>
          <w:fldChar w:fldCharType="separate"/>
        </w:r>
        <w:r w:rsidR="00F02C25">
          <w:rPr>
            <w:noProof/>
            <w:webHidden/>
          </w:rPr>
          <w:t>5</w:t>
        </w:r>
        <w:r w:rsidR="00F02C25">
          <w:rPr>
            <w:rStyle w:val="Hyperlink"/>
            <w:noProof/>
            <w:rtl/>
          </w:rPr>
          <w:fldChar w:fldCharType="end"/>
        </w:r>
      </w:hyperlink>
    </w:p>
    <w:p w:rsidR="00F02C25" w:rsidRDefault="00AC4F8E">
      <w:pPr>
        <w:pStyle w:val="TOC2"/>
        <w:rPr>
          <w:rFonts w:asciiTheme="minorHAnsi" w:eastAsiaTheme="minorEastAsia" w:hAnsiTheme="minorHAnsi" w:cstheme="minorBidi"/>
          <w:noProof/>
          <w:color w:val="auto"/>
          <w:sz w:val="22"/>
          <w:szCs w:val="22"/>
          <w:lang w:val="en-US" w:eastAsia="en-US"/>
        </w:rPr>
      </w:pPr>
      <w:hyperlink w:anchor="_Toc361000219" w:history="1">
        <w:r w:rsidR="00F02C25" w:rsidRPr="00C16A78">
          <w:rPr>
            <w:rStyle w:val="Hyperlink"/>
            <w:noProof/>
          </w:rPr>
          <w:t>Conclusions and recommended actions</w:t>
        </w:r>
        <w:r w:rsidR="00F02C25">
          <w:rPr>
            <w:noProof/>
            <w:webHidden/>
          </w:rPr>
          <w:tab/>
        </w:r>
        <w:r w:rsidR="00F02C25">
          <w:rPr>
            <w:rStyle w:val="Hyperlink"/>
            <w:noProof/>
            <w:rtl/>
          </w:rPr>
          <w:fldChar w:fldCharType="begin"/>
        </w:r>
        <w:r w:rsidR="00F02C25">
          <w:rPr>
            <w:noProof/>
            <w:webHidden/>
          </w:rPr>
          <w:instrText xml:space="preserve"> PAGEREF _Toc361000219 \h </w:instrText>
        </w:r>
        <w:r w:rsidR="00F02C25">
          <w:rPr>
            <w:rStyle w:val="Hyperlink"/>
            <w:noProof/>
            <w:rtl/>
          </w:rPr>
        </w:r>
        <w:r w:rsidR="00F02C25">
          <w:rPr>
            <w:rStyle w:val="Hyperlink"/>
            <w:noProof/>
            <w:rtl/>
          </w:rPr>
          <w:fldChar w:fldCharType="separate"/>
        </w:r>
        <w:r w:rsidR="00F02C25">
          <w:rPr>
            <w:noProof/>
            <w:webHidden/>
          </w:rPr>
          <w:t>8</w:t>
        </w:r>
        <w:r w:rsidR="00F02C25">
          <w:rPr>
            <w:rStyle w:val="Hyperlink"/>
            <w:noProof/>
            <w:rtl/>
          </w:rPr>
          <w:fldChar w:fldCharType="end"/>
        </w:r>
      </w:hyperlink>
    </w:p>
    <w:p w:rsidR="00F02C25" w:rsidRDefault="00F02C25">
      <w:pPr>
        <w:rPr>
          <w:rFonts w:ascii="Franklin Gothic Demi" w:hAnsi="Franklin Gothic Demi"/>
          <w:color w:val="AD495D"/>
          <w:kern w:val="28"/>
          <w:sz w:val="28"/>
          <w:szCs w:val="28"/>
        </w:rPr>
      </w:pPr>
      <w:r>
        <w:fldChar w:fldCharType="end"/>
      </w:r>
      <w:r>
        <w:br w:type="page"/>
      </w:r>
    </w:p>
    <w:p w:rsidR="00F02C25" w:rsidRDefault="00F02C25" w:rsidP="00D818A0">
      <w:pPr>
        <w:pStyle w:val="Heading1"/>
        <w:keepLines/>
        <w:numPr>
          <w:ilvl w:val="0"/>
          <w:numId w:val="0"/>
        </w:numPr>
        <w:spacing w:before="0"/>
      </w:pPr>
      <w:bookmarkStart w:id="1" w:name="_Toc361000210"/>
    </w:p>
    <w:p w:rsidR="00D04DD6" w:rsidRDefault="00D04DD6" w:rsidP="00FB3534">
      <w:pPr>
        <w:pStyle w:val="Heading1"/>
        <w:keepLines/>
        <w:numPr>
          <w:ilvl w:val="0"/>
          <w:numId w:val="0"/>
        </w:numPr>
        <w:spacing w:before="2600" w:after="200"/>
      </w:pPr>
      <w:r>
        <w:t>Summary</w:t>
      </w:r>
      <w:bookmarkEnd w:id="0"/>
      <w:bookmarkEnd w:id="1"/>
    </w:p>
    <w:p w:rsidR="008A51E0" w:rsidRDefault="008A51E0" w:rsidP="00E449A6">
      <w:pPr>
        <w:spacing w:before="80" w:after="80" w:line="280" w:lineRule="atLeast"/>
        <w:jc w:val="both"/>
        <w:rPr>
          <w:rFonts w:ascii="Georgia" w:hAnsi="Georgia"/>
          <w:sz w:val="18"/>
          <w:szCs w:val="18"/>
        </w:rPr>
      </w:pPr>
      <w:r>
        <w:rPr>
          <w:rFonts w:ascii="Georgia" w:hAnsi="Georgia"/>
          <w:sz w:val="18"/>
          <w:szCs w:val="18"/>
        </w:rPr>
        <w:t xml:space="preserve">The purpose of this paper is to provide an annual “health check” of the activities and performance of the aid </w:t>
      </w:r>
      <w:r w:rsidR="0021259A">
        <w:rPr>
          <w:rFonts w:ascii="Georgia" w:hAnsi="Georgia"/>
          <w:sz w:val="18"/>
          <w:szCs w:val="18"/>
        </w:rPr>
        <w:t xml:space="preserve">program </w:t>
      </w:r>
      <w:r>
        <w:rPr>
          <w:rFonts w:ascii="Georgia" w:hAnsi="Georgia"/>
          <w:sz w:val="18"/>
          <w:szCs w:val="18"/>
        </w:rPr>
        <w:t>investments in health.</w:t>
      </w:r>
    </w:p>
    <w:p w:rsidR="00475915" w:rsidRPr="00703296" w:rsidRDefault="00232ABE" w:rsidP="008237E2">
      <w:pPr>
        <w:spacing w:before="240" w:after="80" w:line="280" w:lineRule="atLeast"/>
        <w:jc w:val="both"/>
        <w:rPr>
          <w:rFonts w:ascii="Georgia" w:hAnsi="Georgia"/>
          <w:sz w:val="18"/>
          <w:szCs w:val="18"/>
        </w:rPr>
      </w:pPr>
      <w:r>
        <w:rPr>
          <w:rFonts w:ascii="Georgia" w:hAnsi="Georgia"/>
          <w:sz w:val="18"/>
          <w:szCs w:val="18"/>
        </w:rPr>
        <w:t>The Australian government is committed to addressing the health needs of the worlds poorest in line with the Millennium Development Goals.</w:t>
      </w:r>
      <w:r w:rsidR="005E4D73">
        <w:rPr>
          <w:rStyle w:val="FootnoteReference"/>
        </w:rPr>
        <w:footnoteReference w:id="2"/>
      </w:r>
      <w:r w:rsidR="009E26E1">
        <w:rPr>
          <w:rFonts w:ascii="Georgia" w:hAnsi="Georgia"/>
          <w:sz w:val="18"/>
          <w:szCs w:val="18"/>
        </w:rPr>
        <w:t xml:space="preserve">  </w:t>
      </w:r>
      <w:r w:rsidR="00475915" w:rsidRPr="00703296">
        <w:rPr>
          <w:rFonts w:ascii="Georgia" w:hAnsi="Georgia"/>
          <w:sz w:val="18"/>
          <w:szCs w:val="18"/>
        </w:rPr>
        <w:t>AusAID’s health sector programs are highly relevant to partner country development needs and are delivering on Australian Government commitments to strengthen basic health care and improve results in maternal and child health, and in the prevention and treatment of diseases such as HIV, malaria</w:t>
      </w:r>
      <w:r w:rsidR="005A5B40">
        <w:rPr>
          <w:rFonts w:ascii="Georgia" w:hAnsi="Georgia"/>
          <w:sz w:val="18"/>
          <w:szCs w:val="18"/>
        </w:rPr>
        <w:t xml:space="preserve">, tuberculosis, and pandemics. </w:t>
      </w:r>
      <w:r w:rsidR="00475915" w:rsidRPr="00703296">
        <w:rPr>
          <w:rFonts w:ascii="Georgia" w:hAnsi="Georgia"/>
          <w:sz w:val="18"/>
          <w:szCs w:val="18"/>
        </w:rPr>
        <w:t xml:space="preserve"> Individual results point to numerous examples of progress in improving health outcomes but stronger </w:t>
      </w:r>
      <w:r w:rsidR="007443DC">
        <w:rPr>
          <w:rFonts w:ascii="Georgia" w:hAnsi="Georgia"/>
          <w:sz w:val="18"/>
          <w:szCs w:val="18"/>
        </w:rPr>
        <w:t xml:space="preserve">quantitative and qualitative </w:t>
      </w:r>
      <w:r w:rsidR="00475915" w:rsidRPr="00703296">
        <w:rPr>
          <w:rFonts w:ascii="Georgia" w:hAnsi="Georgia"/>
          <w:sz w:val="18"/>
          <w:szCs w:val="18"/>
        </w:rPr>
        <w:t xml:space="preserve">monitoring and evaluation approaches are needed to describe overall progress in the sector and provide a more comprehensive picture of </w:t>
      </w:r>
      <w:smartTag w:uri="urn:schemas-microsoft-com:office:smarttags" w:element="country-region">
        <w:smartTag w:uri="urn:schemas-microsoft-com:office:smarttags" w:element="place">
          <w:r w:rsidR="00475915" w:rsidRPr="00703296">
            <w:rPr>
              <w:rFonts w:ascii="Georgia" w:hAnsi="Georgia"/>
              <w:sz w:val="18"/>
              <w:szCs w:val="18"/>
            </w:rPr>
            <w:t>Australia</w:t>
          </w:r>
        </w:smartTag>
      </w:smartTag>
      <w:r w:rsidR="00475915" w:rsidRPr="00703296">
        <w:rPr>
          <w:rFonts w:ascii="Georgia" w:hAnsi="Georgia"/>
          <w:sz w:val="18"/>
          <w:szCs w:val="18"/>
        </w:rPr>
        <w:t>’s contribution.</w:t>
      </w:r>
    </w:p>
    <w:p w:rsidR="00475915" w:rsidRPr="00703296" w:rsidRDefault="00475915" w:rsidP="008237E2">
      <w:pPr>
        <w:spacing w:before="240" w:after="80" w:line="280" w:lineRule="atLeast"/>
        <w:jc w:val="both"/>
        <w:rPr>
          <w:rFonts w:ascii="Georgia" w:hAnsi="Georgia"/>
          <w:sz w:val="18"/>
          <w:szCs w:val="18"/>
        </w:rPr>
      </w:pPr>
      <w:r w:rsidRPr="00703296">
        <w:rPr>
          <w:rFonts w:ascii="Georgia" w:hAnsi="Georgia"/>
          <w:sz w:val="18"/>
          <w:szCs w:val="18"/>
        </w:rPr>
        <w:t>AusAID country programs are working in more effective ways with partners.  Co-ordination and alignment with national health plans is improving</w:t>
      </w:r>
      <w:r w:rsidR="005E4D73">
        <w:rPr>
          <w:rFonts w:ascii="Georgia" w:hAnsi="Georgia"/>
          <w:sz w:val="18"/>
          <w:szCs w:val="18"/>
        </w:rPr>
        <w:t>,</w:t>
      </w:r>
      <w:r w:rsidRPr="00703296">
        <w:rPr>
          <w:rFonts w:ascii="Georgia" w:hAnsi="Georgia"/>
          <w:sz w:val="18"/>
          <w:szCs w:val="18"/>
        </w:rPr>
        <w:t xml:space="preserve"> but new sector programs require </w:t>
      </w:r>
      <w:r w:rsidR="000076C0">
        <w:rPr>
          <w:rFonts w:ascii="Georgia" w:hAnsi="Georgia"/>
          <w:sz w:val="18"/>
          <w:szCs w:val="18"/>
        </w:rPr>
        <w:t>new ways of working for AusAID including stronger</w:t>
      </w:r>
      <w:r w:rsidRPr="00703296">
        <w:rPr>
          <w:rFonts w:ascii="Georgia" w:hAnsi="Georgia"/>
          <w:sz w:val="18"/>
          <w:szCs w:val="18"/>
        </w:rPr>
        <w:t xml:space="preserve"> policy engagement. </w:t>
      </w:r>
      <w:r>
        <w:rPr>
          <w:rFonts w:ascii="Georgia" w:hAnsi="Georgia"/>
          <w:sz w:val="18"/>
          <w:szCs w:val="18"/>
        </w:rPr>
        <w:t xml:space="preserve"> </w:t>
      </w:r>
      <w:r w:rsidRPr="00703296">
        <w:rPr>
          <w:rFonts w:ascii="Georgia" w:hAnsi="Georgia"/>
          <w:sz w:val="18"/>
          <w:szCs w:val="18"/>
        </w:rPr>
        <w:t>AusAID will need to support staff to develop</w:t>
      </w:r>
      <w:r w:rsidR="005E4D73">
        <w:rPr>
          <w:rFonts w:ascii="Georgia" w:hAnsi="Georgia"/>
          <w:sz w:val="18"/>
          <w:szCs w:val="18"/>
        </w:rPr>
        <w:t>,</w:t>
      </w:r>
      <w:r w:rsidRPr="00703296">
        <w:rPr>
          <w:rFonts w:ascii="Georgia" w:hAnsi="Georgia"/>
          <w:sz w:val="18"/>
          <w:szCs w:val="18"/>
        </w:rPr>
        <w:t xml:space="preserve"> or strengthen</w:t>
      </w:r>
      <w:r w:rsidR="005E4D73">
        <w:rPr>
          <w:rFonts w:ascii="Georgia" w:hAnsi="Georgia"/>
          <w:sz w:val="18"/>
          <w:szCs w:val="18"/>
        </w:rPr>
        <w:t>,</w:t>
      </w:r>
      <w:r w:rsidRPr="00703296">
        <w:rPr>
          <w:rFonts w:ascii="Georgia" w:hAnsi="Georgia"/>
          <w:sz w:val="18"/>
          <w:szCs w:val="18"/>
        </w:rPr>
        <w:t xml:space="preserve"> skills and employ additional </w:t>
      </w:r>
      <w:r w:rsidR="000076C0">
        <w:rPr>
          <w:rFonts w:ascii="Georgia" w:hAnsi="Georgia"/>
          <w:sz w:val="18"/>
          <w:szCs w:val="18"/>
        </w:rPr>
        <w:t xml:space="preserve">human and financial </w:t>
      </w:r>
      <w:r w:rsidRPr="00703296">
        <w:rPr>
          <w:rFonts w:ascii="Georgia" w:hAnsi="Georgia"/>
          <w:sz w:val="18"/>
          <w:szCs w:val="18"/>
        </w:rPr>
        <w:t>resources to meet future demands</w:t>
      </w:r>
      <w:r>
        <w:rPr>
          <w:rFonts w:ascii="Georgia" w:hAnsi="Georgia"/>
          <w:sz w:val="18"/>
          <w:szCs w:val="18"/>
        </w:rPr>
        <w:t xml:space="preserve"> for stronger in-country engagement with partner governments, joint donors and multilateral delivery agents</w:t>
      </w:r>
      <w:r w:rsidRPr="00703296">
        <w:rPr>
          <w:rFonts w:ascii="Georgia" w:hAnsi="Georgia"/>
          <w:sz w:val="18"/>
          <w:szCs w:val="18"/>
        </w:rPr>
        <w:t xml:space="preserve">.  </w:t>
      </w:r>
    </w:p>
    <w:p w:rsidR="00D04DD6" w:rsidRDefault="00D04DD6" w:rsidP="00DB555D">
      <w:pPr>
        <w:pStyle w:val="Heading2"/>
        <w:keepLines/>
        <w:numPr>
          <w:ilvl w:val="0"/>
          <w:numId w:val="0"/>
        </w:numPr>
        <w:spacing w:before="240"/>
      </w:pPr>
      <w:bookmarkStart w:id="2" w:name="_Toc360998869"/>
      <w:bookmarkStart w:id="3" w:name="_Toc361000211"/>
      <w:r>
        <w:t>Overview of</w:t>
      </w:r>
      <w:r w:rsidR="00141482">
        <w:t xml:space="preserve"> Australia’s</w:t>
      </w:r>
      <w:r>
        <w:t xml:space="preserve"> </w:t>
      </w:r>
      <w:r w:rsidR="00E64416">
        <w:t xml:space="preserve">health </w:t>
      </w:r>
      <w:r w:rsidR="00141482">
        <w:t>development assistance in 2009</w:t>
      </w:r>
      <w:r w:rsidR="007D4D1B">
        <w:t>-10</w:t>
      </w:r>
      <w:bookmarkEnd w:id="2"/>
      <w:bookmarkEnd w:id="3"/>
    </w:p>
    <w:p w:rsidR="00595A57" w:rsidRPr="007A70B9" w:rsidRDefault="00595A57" w:rsidP="00FB3534">
      <w:pPr>
        <w:pStyle w:val="H3A"/>
        <w:spacing w:before="100" w:after="100"/>
        <w:rPr>
          <w:i/>
          <w:iCs/>
        </w:rPr>
      </w:pPr>
      <w:bookmarkStart w:id="4" w:name="_Toc361000212"/>
      <w:r w:rsidRPr="007A70B9">
        <w:rPr>
          <w:i/>
          <w:iCs/>
        </w:rPr>
        <w:t>AusAID’s Approach</w:t>
      </w:r>
      <w:bookmarkEnd w:id="4"/>
    </w:p>
    <w:p w:rsidR="00595A57" w:rsidRPr="007A70B9" w:rsidRDefault="00595A57" w:rsidP="00595A57">
      <w:pPr>
        <w:spacing w:before="80" w:after="80" w:line="280" w:lineRule="atLeast"/>
        <w:rPr>
          <w:rFonts w:ascii="Georgia" w:hAnsi="Georgia"/>
          <w:i/>
          <w:iCs/>
          <w:sz w:val="16"/>
          <w:szCs w:val="16"/>
        </w:rPr>
      </w:pPr>
      <w:r w:rsidRPr="007A70B9">
        <w:rPr>
          <w:rFonts w:ascii="Georgia" w:hAnsi="Georgia"/>
          <w:i/>
          <w:iCs/>
          <w:sz w:val="16"/>
          <w:szCs w:val="16"/>
        </w:rPr>
        <w:t xml:space="preserve">Our goal is to improve the health of the poorest and most vulnerable people in the developing world with a major focus on the Asia Pacific Region and the health MDGs.  </w:t>
      </w:r>
    </w:p>
    <w:p w:rsidR="00595A57" w:rsidRPr="007A70B9" w:rsidRDefault="00595A57" w:rsidP="008237E2">
      <w:pPr>
        <w:spacing w:before="200" w:after="80" w:line="280" w:lineRule="atLeast"/>
        <w:rPr>
          <w:rFonts w:ascii="Georgia" w:hAnsi="Georgia"/>
          <w:i/>
          <w:iCs/>
          <w:sz w:val="16"/>
          <w:szCs w:val="16"/>
        </w:rPr>
      </w:pPr>
      <w:r w:rsidRPr="007A70B9">
        <w:rPr>
          <w:rFonts w:ascii="Georgia" w:hAnsi="Georgia"/>
          <w:i/>
          <w:iCs/>
          <w:sz w:val="16"/>
          <w:szCs w:val="16"/>
        </w:rPr>
        <w:t xml:space="preserve">Strengthening country’s health systems (i.e. improving service coverage, access, quality and efficiency) to deliver sustainable services to the poor is central to our approach.  This includes addressing the social and economic barriers that prevent the poor from accessing health services. </w:t>
      </w:r>
    </w:p>
    <w:p w:rsidR="009E26E1" w:rsidRPr="007A70B9" w:rsidRDefault="00595A57" w:rsidP="008237E2">
      <w:pPr>
        <w:spacing w:before="200" w:after="80" w:line="280" w:lineRule="atLeast"/>
        <w:jc w:val="both"/>
        <w:rPr>
          <w:rFonts w:ascii="Georgia" w:hAnsi="Georgia"/>
          <w:i/>
          <w:iCs/>
          <w:sz w:val="16"/>
          <w:szCs w:val="16"/>
        </w:rPr>
      </w:pPr>
      <w:r w:rsidRPr="007A70B9">
        <w:rPr>
          <w:rFonts w:ascii="Georgia" w:hAnsi="Georgia"/>
          <w:i/>
          <w:iCs/>
          <w:sz w:val="16"/>
          <w:szCs w:val="16"/>
        </w:rPr>
        <w:t xml:space="preserve">Where appropriate, this means coordinating with partner governments and other international agencies and NGOs to develop and implement country-led health plans and programs.  In fragile, conflict and humanitarian settings, where government leadership is weaker, AusAID tends to support direct delivery of health services through agencies such as the United Nations (UN) or international NGOs. AusAID provides support through a </w:t>
      </w:r>
      <w:r w:rsidRPr="007A70B9">
        <w:rPr>
          <w:rFonts w:ascii="Georgia" w:hAnsi="Georgia"/>
          <w:i/>
          <w:iCs/>
          <w:sz w:val="16"/>
          <w:szCs w:val="16"/>
        </w:rPr>
        <w:lastRenderedPageBreak/>
        <w:t>range of complementary aid mechanisms: sector budget support; pooled funding; core and earmarked support for international health funds and UN agencies; NGO grants; contractor-managed technical assistance; and direct government to government policy dialogue.</w:t>
      </w:r>
    </w:p>
    <w:p w:rsidR="008237E2" w:rsidRDefault="008237E2" w:rsidP="004D0D5A">
      <w:pPr>
        <w:spacing w:before="80" w:after="80" w:line="280" w:lineRule="atLeast"/>
        <w:jc w:val="both"/>
        <w:rPr>
          <w:rFonts w:ascii="Georgia" w:hAnsi="Georgia"/>
          <w:sz w:val="18"/>
          <w:szCs w:val="18"/>
        </w:rPr>
      </w:pPr>
    </w:p>
    <w:p w:rsidR="004D0D5A" w:rsidRDefault="004D0D5A" w:rsidP="004D0D5A">
      <w:pPr>
        <w:spacing w:before="80" w:after="80" w:line="280" w:lineRule="atLeast"/>
        <w:jc w:val="both"/>
        <w:rPr>
          <w:rFonts w:ascii="Georgia" w:hAnsi="Georgia"/>
          <w:sz w:val="18"/>
          <w:szCs w:val="18"/>
        </w:rPr>
      </w:pPr>
      <w:r w:rsidRPr="00703296">
        <w:rPr>
          <w:rFonts w:ascii="Georgia" w:hAnsi="Georgia"/>
          <w:sz w:val="18"/>
          <w:szCs w:val="18"/>
        </w:rPr>
        <w:t>In 2009-10, AusAID invested over $</w:t>
      </w:r>
      <w:r>
        <w:rPr>
          <w:rFonts w:ascii="Georgia" w:hAnsi="Georgia"/>
          <w:sz w:val="18"/>
          <w:szCs w:val="18"/>
        </w:rPr>
        <w:t>490</w:t>
      </w:r>
      <w:r w:rsidRPr="00703296">
        <w:rPr>
          <w:rFonts w:ascii="Georgia" w:hAnsi="Georgia"/>
          <w:sz w:val="18"/>
          <w:szCs w:val="18"/>
        </w:rPr>
        <w:t xml:space="preserve"> million in development assistance for health, an increase of approximately </w:t>
      </w:r>
      <w:r>
        <w:rPr>
          <w:rFonts w:ascii="Georgia" w:hAnsi="Georgia"/>
          <w:sz w:val="18"/>
          <w:szCs w:val="18"/>
        </w:rPr>
        <w:t>15</w:t>
      </w:r>
      <w:r w:rsidRPr="00703296">
        <w:rPr>
          <w:rFonts w:ascii="Georgia" w:hAnsi="Georgia"/>
          <w:sz w:val="18"/>
          <w:szCs w:val="18"/>
        </w:rPr>
        <w:t xml:space="preserve">% from 2008-09. </w:t>
      </w:r>
      <w:r w:rsidR="005A5B40">
        <w:rPr>
          <w:rFonts w:ascii="Georgia" w:hAnsi="Georgia"/>
          <w:sz w:val="18"/>
          <w:szCs w:val="18"/>
        </w:rPr>
        <w:t xml:space="preserve"> </w:t>
      </w:r>
      <w:r w:rsidRPr="00703296">
        <w:rPr>
          <w:rFonts w:ascii="Georgia" w:hAnsi="Georgia"/>
          <w:sz w:val="18"/>
          <w:szCs w:val="18"/>
        </w:rPr>
        <w:t>This represents</w:t>
      </w:r>
      <w:r>
        <w:rPr>
          <w:rFonts w:ascii="Georgia" w:hAnsi="Georgia"/>
          <w:sz w:val="18"/>
          <w:szCs w:val="18"/>
        </w:rPr>
        <w:t xml:space="preserve"> approximately</w:t>
      </w:r>
      <w:r w:rsidRPr="00703296">
        <w:rPr>
          <w:rFonts w:ascii="Georgia" w:hAnsi="Georgia"/>
          <w:sz w:val="18"/>
          <w:szCs w:val="18"/>
        </w:rPr>
        <w:t xml:space="preserve"> </w:t>
      </w:r>
      <w:r>
        <w:rPr>
          <w:rFonts w:ascii="Georgia" w:hAnsi="Georgia"/>
          <w:sz w:val="18"/>
          <w:szCs w:val="18"/>
        </w:rPr>
        <w:t>13</w:t>
      </w:r>
      <w:r w:rsidRPr="00703296">
        <w:rPr>
          <w:rFonts w:ascii="Georgia" w:hAnsi="Georgia"/>
          <w:sz w:val="18"/>
          <w:szCs w:val="18"/>
        </w:rPr>
        <w:t xml:space="preserve">% of total Australian ODA. </w:t>
      </w:r>
      <w:r w:rsidR="005A5B40">
        <w:rPr>
          <w:rFonts w:ascii="Georgia" w:hAnsi="Georgia"/>
          <w:sz w:val="18"/>
          <w:szCs w:val="18"/>
        </w:rPr>
        <w:t xml:space="preserve"> </w:t>
      </w:r>
      <w:r>
        <w:rPr>
          <w:rFonts w:ascii="Georgia" w:hAnsi="Georgia"/>
          <w:sz w:val="18"/>
          <w:szCs w:val="18"/>
        </w:rPr>
        <w:t>$192 million (or 39%) was spent on health governance and sector-wide activities</w:t>
      </w:r>
      <w:r w:rsidR="00E772AC">
        <w:rPr>
          <w:rStyle w:val="FootnoteReference"/>
        </w:rPr>
        <w:footnoteReference w:id="3"/>
      </w:r>
      <w:r>
        <w:rPr>
          <w:rFonts w:ascii="Georgia" w:hAnsi="Georgia"/>
          <w:sz w:val="18"/>
          <w:szCs w:val="18"/>
        </w:rPr>
        <w:t xml:space="preserve">, </w:t>
      </w:r>
      <w:r w:rsidRPr="00703296">
        <w:rPr>
          <w:rFonts w:ascii="Georgia" w:hAnsi="Georgia"/>
          <w:sz w:val="18"/>
          <w:szCs w:val="18"/>
        </w:rPr>
        <w:t xml:space="preserve">which largely relates to </w:t>
      </w:r>
      <w:r>
        <w:rPr>
          <w:rFonts w:ascii="Georgia" w:hAnsi="Georgia"/>
          <w:sz w:val="18"/>
          <w:szCs w:val="18"/>
        </w:rPr>
        <w:t xml:space="preserve">supporting </w:t>
      </w:r>
      <w:r w:rsidRPr="00703296">
        <w:rPr>
          <w:rFonts w:ascii="Georgia" w:hAnsi="Georgia"/>
          <w:sz w:val="18"/>
          <w:szCs w:val="18"/>
        </w:rPr>
        <w:t>a country’s health service delivery system</w:t>
      </w:r>
      <w:r>
        <w:rPr>
          <w:rFonts w:ascii="Georgia" w:hAnsi="Georgia"/>
          <w:sz w:val="18"/>
          <w:szCs w:val="18"/>
        </w:rPr>
        <w:t xml:space="preserve"> by improving policy development and administrative management capacities. </w:t>
      </w:r>
      <w:r w:rsidR="005A5B40">
        <w:rPr>
          <w:rFonts w:ascii="Georgia" w:hAnsi="Georgia"/>
          <w:sz w:val="18"/>
          <w:szCs w:val="18"/>
        </w:rPr>
        <w:t xml:space="preserve"> </w:t>
      </w:r>
      <w:r w:rsidRPr="00703296">
        <w:rPr>
          <w:rFonts w:ascii="Georgia" w:hAnsi="Georgia"/>
          <w:sz w:val="18"/>
          <w:szCs w:val="18"/>
        </w:rPr>
        <w:t>Another $12</w:t>
      </w:r>
      <w:r>
        <w:rPr>
          <w:rFonts w:ascii="Georgia" w:hAnsi="Georgia"/>
          <w:sz w:val="18"/>
          <w:szCs w:val="18"/>
        </w:rPr>
        <w:t>0</w:t>
      </w:r>
      <w:r w:rsidRPr="00703296">
        <w:rPr>
          <w:rFonts w:ascii="Georgia" w:hAnsi="Georgia"/>
          <w:sz w:val="18"/>
          <w:szCs w:val="18"/>
        </w:rPr>
        <w:t xml:space="preserve"> million (2</w:t>
      </w:r>
      <w:r>
        <w:rPr>
          <w:rFonts w:ascii="Georgia" w:hAnsi="Georgia"/>
          <w:sz w:val="18"/>
          <w:szCs w:val="18"/>
        </w:rPr>
        <w:t>4.5</w:t>
      </w:r>
      <w:r w:rsidRPr="00703296">
        <w:rPr>
          <w:rFonts w:ascii="Georgia" w:hAnsi="Georgia"/>
          <w:sz w:val="18"/>
          <w:szCs w:val="18"/>
        </w:rPr>
        <w:t xml:space="preserve">%) supported prevention and treatment of sexually transmitted diseases, including HIV/AIDS. </w:t>
      </w:r>
      <w:r w:rsidR="005A5B40">
        <w:rPr>
          <w:rFonts w:ascii="Georgia" w:hAnsi="Georgia"/>
          <w:sz w:val="18"/>
          <w:szCs w:val="18"/>
        </w:rPr>
        <w:t xml:space="preserve"> </w:t>
      </w:r>
      <w:r>
        <w:rPr>
          <w:rFonts w:ascii="Georgia" w:hAnsi="Georgia"/>
          <w:sz w:val="18"/>
          <w:szCs w:val="18"/>
        </w:rPr>
        <w:t>$59 million (12%)</w:t>
      </w:r>
      <w:r w:rsidRPr="00703296">
        <w:rPr>
          <w:rFonts w:ascii="Georgia" w:hAnsi="Georgia"/>
          <w:sz w:val="18"/>
          <w:szCs w:val="18"/>
        </w:rPr>
        <w:t xml:space="preserve"> went to basic health</w:t>
      </w:r>
      <w:r>
        <w:rPr>
          <w:rFonts w:ascii="Georgia" w:hAnsi="Georgia"/>
          <w:sz w:val="18"/>
          <w:szCs w:val="18"/>
        </w:rPr>
        <w:t xml:space="preserve"> care, including infrastructure and </w:t>
      </w:r>
      <w:r w:rsidRPr="00703296">
        <w:rPr>
          <w:rFonts w:ascii="Georgia" w:hAnsi="Georgia"/>
          <w:sz w:val="18"/>
          <w:szCs w:val="18"/>
        </w:rPr>
        <w:t>nutrition.</w:t>
      </w:r>
      <w:r>
        <w:rPr>
          <w:rFonts w:ascii="Georgia" w:hAnsi="Georgia"/>
          <w:sz w:val="18"/>
          <w:szCs w:val="18"/>
        </w:rPr>
        <w:t xml:space="preserve"> </w:t>
      </w:r>
      <w:r w:rsidR="005A5B40">
        <w:rPr>
          <w:rFonts w:ascii="Georgia" w:hAnsi="Georgia"/>
          <w:sz w:val="18"/>
          <w:szCs w:val="18"/>
        </w:rPr>
        <w:t xml:space="preserve"> </w:t>
      </w:r>
      <w:r>
        <w:rPr>
          <w:rFonts w:ascii="Georgia" w:hAnsi="Georgia"/>
          <w:sz w:val="18"/>
          <w:szCs w:val="18"/>
        </w:rPr>
        <w:t xml:space="preserve">Tackling infectious diseases such as malaria and influenza accounted for $53 million (11%). </w:t>
      </w:r>
      <w:r w:rsidRPr="00703296">
        <w:rPr>
          <w:rFonts w:ascii="Georgia" w:hAnsi="Georgia"/>
          <w:sz w:val="18"/>
          <w:szCs w:val="18"/>
        </w:rPr>
        <w:t xml:space="preserve"> Finally</w:t>
      </w:r>
      <w:r>
        <w:rPr>
          <w:rFonts w:ascii="Georgia" w:hAnsi="Georgia"/>
          <w:sz w:val="18"/>
          <w:szCs w:val="18"/>
        </w:rPr>
        <w:t>,</w:t>
      </w:r>
      <w:r w:rsidRPr="00703296">
        <w:rPr>
          <w:rFonts w:ascii="Georgia" w:hAnsi="Georgia"/>
          <w:sz w:val="18"/>
          <w:szCs w:val="18"/>
        </w:rPr>
        <w:t xml:space="preserve"> $</w:t>
      </w:r>
      <w:r>
        <w:rPr>
          <w:rFonts w:ascii="Georgia" w:hAnsi="Georgia"/>
          <w:sz w:val="18"/>
          <w:szCs w:val="18"/>
        </w:rPr>
        <w:t>34</w:t>
      </w:r>
      <w:r w:rsidRPr="00703296">
        <w:rPr>
          <w:rFonts w:ascii="Georgia" w:hAnsi="Georgia"/>
          <w:sz w:val="18"/>
          <w:szCs w:val="18"/>
        </w:rPr>
        <w:t xml:space="preserve"> million (</w:t>
      </w:r>
      <w:r>
        <w:rPr>
          <w:rFonts w:ascii="Georgia" w:hAnsi="Georgia"/>
          <w:sz w:val="18"/>
          <w:szCs w:val="18"/>
        </w:rPr>
        <w:t>7</w:t>
      </w:r>
      <w:r w:rsidRPr="00703296">
        <w:rPr>
          <w:rFonts w:ascii="Georgia" w:hAnsi="Georgia"/>
          <w:sz w:val="18"/>
          <w:szCs w:val="18"/>
        </w:rPr>
        <w:t xml:space="preserve">%) </w:t>
      </w:r>
      <w:r>
        <w:rPr>
          <w:rFonts w:ascii="Georgia" w:hAnsi="Georgia"/>
          <w:sz w:val="18"/>
          <w:szCs w:val="18"/>
        </w:rPr>
        <w:t xml:space="preserve">was spent </w:t>
      </w:r>
      <w:r w:rsidRPr="00703296">
        <w:rPr>
          <w:rFonts w:ascii="Georgia" w:hAnsi="Georgia"/>
          <w:sz w:val="18"/>
          <w:szCs w:val="18"/>
        </w:rPr>
        <w:t>on population policies and reproductive health</w:t>
      </w:r>
      <w:r>
        <w:rPr>
          <w:rFonts w:ascii="Georgia" w:hAnsi="Georgia"/>
          <w:sz w:val="18"/>
          <w:szCs w:val="18"/>
        </w:rPr>
        <w:t xml:space="preserve"> and another </w:t>
      </w:r>
      <w:r w:rsidRPr="00703296">
        <w:rPr>
          <w:rFonts w:ascii="Georgia" w:hAnsi="Georgia"/>
          <w:sz w:val="18"/>
          <w:szCs w:val="18"/>
        </w:rPr>
        <w:t>$3</w:t>
      </w:r>
      <w:r>
        <w:rPr>
          <w:rFonts w:ascii="Georgia" w:hAnsi="Georgia"/>
          <w:sz w:val="18"/>
          <w:szCs w:val="18"/>
        </w:rPr>
        <w:t>2</w:t>
      </w:r>
      <w:r w:rsidRPr="00703296">
        <w:rPr>
          <w:rFonts w:ascii="Georgia" w:hAnsi="Georgia"/>
          <w:sz w:val="18"/>
          <w:szCs w:val="18"/>
        </w:rPr>
        <w:t xml:space="preserve"> million (</w:t>
      </w:r>
      <w:r>
        <w:rPr>
          <w:rFonts w:ascii="Georgia" w:hAnsi="Georgia"/>
          <w:sz w:val="18"/>
          <w:szCs w:val="18"/>
        </w:rPr>
        <w:t>6.5</w:t>
      </w:r>
      <w:r w:rsidRPr="00703296">
        <w:rPr>
          <w:rFonts w:ascii="Georgia" w:hAnsi="Georgia"/>
          <w:sz w:val="18"/>
          <w:szCs w:val="18"/>
        </w:rPr>
        <w:t>%) was invested in medical education, research and services</w:t>
      </w:r>
      <w:r>
        <w:rPr>
          <w:rFonts w:ascii="Georgia" w:hAnsi="Georgia"/>
          <w:sz w:val="18"/>
          <w:szCs w:val="18"/>
        </w:rPr>
        <w:t>.</w:t>
      </w:r>
      <w:r w:rsidRPr="00703296">
        <w:rPr>
          <w:rFonts w:ascii="Georgia" w:hAnsi="Georgia"/>
          <w:sz w:val="18"/>
          <w:szCs w:val="18"/>
        </w:rPr>
        <w:t xml:space="preserve"> </w:t>
      </w:r>
    </w:p>
    <w:p w:rsidR="00595A57" w:rsidRPr="00703296" w:rsidRDefault="00595A57" w:rsidP="004D0D5A">
      <w:pPr>
        <w:spacing w:before="80" w:after="80" w:line="280" w:lineRule="atLeast"/>
        <w:jc w:val="both"/>
        <w:rPr>
          <w:rFonts w:ascii="Georgia" w:hAnsi="Georgia"/>
          <w:sz w:val="18"/>
          <w:szCs w:val="18"/>
        </w:rPr>
      </w:pPr>
    </w:p>
    <w:p w:rsidR="0015411C" w:rsidRDefault="004D0D5A" w:rsidP="00475915">
      <w:pPr>
        <w:spacing w:before="80" w:after="80" w:line="280" w:lineRule="atLeast"/>
        <w:jc w:val="both"/>
        <w:rPr>
          <w:rFonts w:ascii="Georgia" w:hAnsi="Georgia"/>
          <w:sz w:val="18"/>
          <w:szCs w:val="18"/>
        </w:rPr>
      </w:pPr>
      <w:r w:rsidRPr="00703296">
        <w:rPr>
          <w:rFonts w:ascii="Georgia" w:hAnsi="Georgia"/>
          <w:sz w:val="18"/>
          <w:szCs w:val="18"/>
        </w:rPr>
        <w:t xml:space="preserve">AusAID </w:t>
      </w:r>
      <w:r>
        <w:rPr>
          <w:rFonts w:ascii="Georgia" w:hAnsi="Georgia"/>
          <w:sz w:val="18"/>
          <w:szCs w:val="18"/>
        </w:rPr>
        <w:t xml:space="preserve">provided support to </w:t>
      </w:r>
      <w:r w:rsidRPr="00703296">
        <w:rPr>
          <w:rFonts w:ascii="Georgia" w:hAnsi="Georgia"/>
          <w:sz w:val="18"/>
          <w:szCs w:val="18"/>
        </w:rPr>
        <w:t>health</w:t>
      </w:r>
      <w:r>
        <w:rPr>
          <w:rFonts w:ascii="Georgia" w:hAnsi="Georgia"/>
          <w:sz w:val="18"/>
          <w:szCs w:val="18"/>
        </w:rPr>
        <w:t xml:space="preserve"> programs and activities in 52 countries as well as funding for</w:t>
      </w:r>
      <w:r w:rsidRPr="00703296">
        <w:rPr>
          <w:rFonts w:ascii="Georgia" w:hAnsi="Georgia"/>
          <w:sz w:val="18"/>
          <w:szCs w:val="18"/>
        </w:rPr>
        <w:t xml:space="preserve"> </w:t>
      </w:r>
      <w:r>
        <w:rPr>
          <w:rFonts w:ascii="Georgia" w:hAnsi="Georgia"/>
          <w:sz w:val="18"/>
          <w:szCs w:val="18"/>
        </w:rPr>
        <w:t>several</w:t>
      </w:r>
      <w:r w:rsidRPr="00703296">
        <w:rPr>
          <w:rFonts w:ascii="Georgia" w:hAnsi="Georgia"/>
          <w:sz w:val="18"/>
          <w:szCs w:val="18"/>
        </w:rPr>
        <w:t xml:space="preserve"> regional/global programs</w:t>
      </w:r>
      <w:r>
        <w:rPr>
          <w:rFonts w:ascii="Georgia" w:hAnsi="Georgia"/>
          <w:sz w:val="18"/>
          <w:szCs w:val="18"/>
        </w:rPr>
        <w:t xml:space="preserve">. </w:t>
      </w:r>
      <w:r w:rsidR="005A5B40">
        <w:rPr>
          <w:rFonts w:ascii="Georgia" w:hAnsi="Georgia"/>
          <w:sz w:val="18"/>
          <w:szCs w:val="18"/>
        </w:rPr>
        <w:t xml:space="preserve"> </w:t>
      </w:r>
      <w:r w:rsidRPr="00703296">
        <w:rPr>
          <w:rFonts w:ascii="Georgia" w:hAnsi="Georgia"/>
          <w:sz w:val="18"/>
          <w:szCs w:val="18"/>
        </w:rPr>
        <w:t xml:space="preserve">Papua New </w:t>
      </w:r>
      <w:smartTag w:uri="urn:schemas-microsoft-com:office:smarttags" w:element="place">
        <w:smartTag w:uri="urn:schemas-microsoft-com:office:smarttags" w:element="country-region">
          <w:r w:rsidRPr="00703296">
            <w:rPr>
              <w:rFonts w:ascii="Georgia" w:hAnsi="Georgia"/>
              <w:sz w:val="18"/>
              <w:szCs w:val="18"/>
            </w:rPr>
            <w:t>Guinea</w:t>
          </w:r>
        </w:smartTag>
      </w:smartTag>
      <w:r w:rsidRPr="00703296">
        <w:rPr>
          <w:rFonts w:ascii="Georgia" w:hAnsi="Georgia"/>
          <w:sz w:val="18"/>
          <w:szCs w:val="18"/>
        </w:rPr>
        <w:t xml:space="preserve"> was the largest recipient of health related ODA through AusAID’s bilateral programs, receiving</w:t>
      </w:r>
      <w:r>
        <w:rPr>
          <w:rFonts w:ascii="Georgia" w:hAnsi="Georgia"/>
          <w:sz w:val="18"/>
          <w:szCs w:val="18"/>
        </w:rPr>
        <w:t xml:space="preserve"> </w:t>
      </w:r>
      <w:r w:rsidRPr="00703296">
        <w:rPr>
          <w:rFonts w:ascii="Georgia" w:hAnsi="Georgia"/>
          <w:sz w:val="18"/>
          <w:szCs w:val="18"/>
        </w:rPr>
        <w:t>$</w:t>
      </w:r>
      <w:r>
        <w:rPr>
          <w:rFonts w:ascii="Georgia" w:hAnsi="Georgia"/>
          <w:sz w:val="18"/>
          <w:szCs w:val="18"/>
        </w:rPr>
        <w:t xml:space="preserve">83.9 </w:t>
      </w:r>
      <w:r w:rsidRPr="00703296">
        <w:rPr>
          <w:rFonts w:ascii="Georgia" w:hAnsi="Georgia"/>
          <w:sz w:val="18"/>
          <w:szCs w:val="18"/>
        </w:rPr>
        <w:t xml:space="preserve">million in 2009-10. </w:t>
      </w:r>
      <w:r w:rsidR="005A5B40">
        <w:rPr>
          <w:rFonts w:ascii="Georgia" w:hAnsi="Georgia"/>
          <w:sz w:val="18"/>
          <w:szCs w:val="18"/>
        </w:rPr>
        <w:t xml:space="preserve"> </w:t>
      </w:r>
      <w:r w:rsidRPr="00703296">
        <w:rPr>
          <w:rFonts w:ascii="Georgia" w:hAnsi="Georgia"/>
          <w:sz w:val="18"/>
          <w:szCs w:val="18"/>
        </w:rPr>
        <w:t xml:space="preserve">This is followed by </w:t>
      </w:r>
      <w:smartTag w:uri="urn:schemas-microsoft-com:office:smarttags" w:element="country-region">
        <w:r w:rsidRPr="00703296">
          <w:rPr>
            <w:rFonts w:ascii="Georgia" w:hAnsi="Georgia"/>
            <w:sz w:val="18"/>
            <w:szCs w:val="18"/>
          </w:rPr>
          <w:t>Indonesia</w:t>
        </w:r>
      </w:smartTag>
      <w:r w:rsidRPr="00703296">
        <w:rPr>
          <w:rFonts w:ascii="Georgia" w:hAnsi="Georgia"/>
          <w:sz w:val="18"/>
          <w:szCs w:val="18"/>
        </w:rPr>
        <w:t xml:space="preserve"> ($</w:t>
      </w:r>
      <w:r>
        <w:rPr>
          <w:rFonts w:ascii="Georgia" w:hAnsi="Georgia"/>
          <w:sz w:val="18"/>
          <w:szCs w:val="18"/>
        </w:rPr>
        <w:t>26.9</w:t>
      </w:r>
      <w:r w:rsidRPr="00703296">
        <w:rPr>
          <w:rFonts w:ascii="Georgia" w:hAnsi="Georgia"/>
          <w:sz w:val="18"/>
          <w:szCs w:val="18"/>
        </w:rPr>
        <w:t xml:space="preserve"> million), </w:t>
      </w:r>
      <w:smartTag w:uri="urn:schemas-microsoft-com:office:smarttags" w:element="country-region">
        <w:r w:rsidRPr="00703296">
          <w:rPr>
            <w:rFonts w:ascii="Georgia" w:hAnsi="Georgia"/>
            <w:sz w:val="18"/>
            <w:szCs w:val="18"/>
          </w:rPr>
          <w:t>Pakistan</w:t>
        </w:r>
      </w:smartTag>
      <w:r w:rsidRPr="00703296">
        <w:rPr>
          <w:rFonts w:ascii="Georgia" w:hAnsi="Georgia"/>
          <w:sz w:val="18"/>
          <w:szCs w:val="18"/>
        </w:rPr>
        <w:t xml:space="preserve"> ($22.</w:t>
      </w:r>
      <w:r>
        <w:rPr>
          <w:rFonts w:ascii="Georgia" w:hAnsi="Georgia"/>
          <w:sz w:val="18"/>
          <w:szCs w:val="18"/>
        </w:rPr>
        <w:t>4</w:t>
      </w:r>
      <w:r w:rsidRPr="00703296">
        <w:rPr>
          <w:rFonts w:ascii="Georgia" w:hAnsi="Georgia"/>
          <w:sz w:val="18"/>
          <w:szCs w:val="18"/>
        </w:rPr>
        <w:t xml:space="preserve"> million), </w:t>
      </w:r>
      <w:smartTag w:uri="urn:schemas-microsoft-com:office:smarttags" w:element="country-region">
        <w:r>
          <w:rPr>
            <w:rFonts w:ascii="Georgia" w:hAnsi="Georgia"/>
            <w:sz w:val="18"/>
            <w:szCs w:val="18"/>
          </w:rPr>
          <w:t>Cambodia</w:t>
        </w:r>
      </w:smartTag>
      <w:r>
        <w:rPr>
          <w:rFonts w:ascii="Georgia" w:hAnsi="Georgia"/>
          <w:sz w:val="18"/>
          <w:szCs w:val="18"/>
        </w:rPr>
        <w:t xml:space="preserve"> ($21 million), </w:t>
      </w:r>
      <w:smartTag w:uri="urn:schemas-microsoft-com:office:smarttags" w:element="country-region">
        <w:r w:rsidRPr="00703296">
          <w:rPr>
            <w:rFonts w:ascii="Georgia" w:hAnsi="Georgia"/>
            <w:sz w:val="18"/>
            <w:szCs w:val="18"/>
          </w:rPr>
          <w:t>Solomon Islands</w:t>
        </w:r>
      </w:smartTag>
      <w:r w:rsidRPr="00703296">
        <w:rPr>
          <w:rFonts w:ascii="Georgia" w:hAnsi="Georgia"/>
          <w:sz w:val="18"/>
          <w:szCs w:val="18"/>
        </w:rPr>
        <w:t xml:space="preserve"> ($</w:t>
      </w:r>
      <w:r>
        <w:rPr>
          <w:rFonts w:ascii="Georgia" w:hAnsi="Georgia"/>
          <w:sz w:val="18"/>
          <w:szCs w:val="18"/>
        </w:rPr>
        <w:t>20.3</w:t>
      </w:r>
      <w:r w:rsidRPr="00703296">
        <w:rPr>
          <w:rFonts w:ascii="Georgia" w:hAnsi="Georgia"/>
          <w:sz w:val="18"/>
          <w:szCs w:val="18"/>
        </w:rPr>
        <w:t xml:space="preserve"> million), </w:t>
      </w:r>
      <w:smartTag w:uri="urn:schemas-microsoft-com:office:smarttags" w:element="country-region">
        <w:r>
          <w:rPr>
            <w:rFonts w:ascii="Georgia" w:hAnsi="Georgia"/>
            <w:sz w:val="18"/>
            <w:szCs w:val="18"/>
          </w:rPr>
          <w:t>Vietnam</w:t>
        </w:r>
      </w:smartTag>
      <w:r>
        <w:rPr>
          <w:rFonts w:ascii="Georgia" w:hAnsi="Georgia"/>
          <w:sz w:val="18"/>
          <w:szCs w:val="18"/>
        </w:rPr>
        <w:t xml:space="preserve"> (19 million), </w:t>
      </w:r>
      <w:smartTag w:uri="urn:schemas-microsoft-com:office:smarttags" w:element="country-region">
        <w:r w:rsidRPr="00703296">
          <w:rPr>
            <w:rFonts w:ascii="Georgia" w:hAnsi="Georgia"/>
            <w:sz w:val="18"/>
            <w:szCs w:val="18"/>
          </w:rPr>
          <w:t>Bangladesh</w:t>
        </w:r>
      </w:smartTag>
      <w:r w:rsidRPr="00703296">
        <w:rPr>
          <w:rFonts w:ascii="Georgia" w:hAnsi="Georgia"/>
          <w:sz w:val="18"/>
          <w:szCs w:val="18"/>
        </w:rPr>
        <w:t xml:space="preserve"> ($</w:t>
      </w:r>
      <w:r>
        <w:rPr>
          <w:rFonts w:ascii="Georgia" w:hAnsi="Georgia"/>
          <w:sz w:val="18"/>
          <w:szCs w:val="18"/>
        </w:rPr>
        <w:t>18</w:t>
      </w:r>
      <w:r w:rsidRPr="00703296">
        <w:rPr>
          <w:rFonts w:ascii="Georgia" w:hAnsi="Georgia"/>
          <w:sz w:val="18"/>
          <w:szCs w:val="18"/>
        </w:rPr>
        <w:t xml:space="preserve"> million), and </w:t>
      </w:r>
      <w:smartTag w:uri="urn:schemas-microsoft-com:office:smarttags" w:element="place">
        <w:r w:rsidRPr="00703296">
          <w:rPr>
            <w:rFonts w:ascii="Georgia" w:hAnsi="Georgia"/>
            <w:sz w:val="18"/>
            <w:szCs w:val="18"/>
          </w:rPr>
          <w:t>East Timor</w:t>
        </w:r>
      </w:smartTag>
      <w:r w:rsidRPr="00703296">
        <w:rPr>
          <w:rFonts w:ascii="Georgia" w:hAnsi="Georgia"/>
          <w:sz w:val="18"/>
          <w:szCs w:val="18"/>
        </w:rPr>
        <w:t xml:space="preserve"> ($</w:t>
      </w:r>
      <w:r>
        <w:rPr>
          <w:rFonts w:ascii="Georgia" w:hAnsi="Georgia"/>
          <w:sz w:val="18"/>
          <w:szCs w:val="18"/>
        </w:rPr>
        <w:t>16.9</w:t>
      </w:r>
      <w:r w:rsidRPr="00703296">
        <w:rPr>
          <w:rFonts w:ascii="Georgia" w:hAnsi="Georgia"/>
          <w:sz w:val="18"/>
          <w:szCs w:val="18"/>
        </w:rPr>
        <w:t xml:space="preserve"> million). </w:t>
      </w:r>
      <w:r w:rsidR="005A5B40">
        <w:rPr>
          <w:rFonts w:ascii="Georgia" w:hAnsi="Georgia"/>
          <w:sz w:val="18"/>
          <w:szCs w:val="18"/>
        </w:rPr>
        <w:t xml:space="preserve"> </w:t>
      </w:r>
      <w:r>
        <w:rPr>
          <w:rFonts w:ascii="Georgia" w:hAnsi="Georgia"/>
          <w:sz w:val="18"/>
          <w:szCs w:val="18"/>
        </w:rPr>
        <w:t>Chart 1 provides a breakdown of AusAID health spending by region</w:t>
      </w:r>
      <w:r w:rsidR="00FE0170">
        <w:rPr>
          <w:rFonts w:ascii="Georgia" w:hAnsi="Georgia"/>
          <w:sz w:val="18"/>
          <w:szCs w:val="18"/>
        </w:rPr>
        <w:t xml:space="preserve"> in 2009-10</w:t>
      </w:r>
      <w:r>
        <w:rPr>
          <w:rFonts w:ascii="Georgia" w:hAnsi="Georgia"/>
          <w:sz w:val="18"/>
          <w:szCs w:val="18"/>
        </w:rPr>
        <w:t xml:space="preserve">. </w:t>
      </w:r>
    </w:p>
    <w:p w:rsidR="0015411C" w:rsidRPr="00FE0170" w:rsidRDefault="006911B5" w:rsidP="00CD1B73">
      <w:pPr>
        <w:spacing w:before="80" w:after="80" w:line="280" w:lineRule="atLeast"/>
        <w:jc w:val="center"/>
        <w:rPr>
          <w:szCs w:val="18"/>
        </w:rPr>
      </w:pPr>
      <w:r>
        <w:rPr>
          <w:noProof/>
          <w:lang w:val="en-US" w:eastAsia="en-US"/>
        </w:rPr>
        <w:drawing>
          <wp:inline distT="0" distB="0" distL="0" distR="0">
            <wp:extent cx="4878705" cy="3274060"/>
            <wp:effectExtent l="0" t="0" r="0" b="0"/>
            <wp:docPr id="4" name="Picture 1" descr="35%: Asia.&#10;31%: PN G &amp; Pacific.&#10;28%: Multilateral/Global.&#10;3%: Africa.&#10;2%: Middle East.&#10;0.1%: Latin America &amp; Caribbean." title="Chart 1: AusAID Health Spending 20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78705" cy="3274060"/>
                    </a:xfrm>
                    <a:prstGeom prst="rect">
                      <a:avLst/>
                    </a:prstGeom>
                    <a:noFill/>
                    <a:ln w="9525">
                      <a:noFill/>
                      <a:miter lim="800000"/>
                      <a:headEnd/>
                      <a:tailEnd/>
                    </a:ln>
                  </pic:spPr>
                </pic:pic>
              </a:graphicData>
            </a:graphic>
          </wp:inline>
        </w:drawing>
      </w:r>
    </w:p>
    <w:p w:rsidR="00FB3534" w:rsidRDefault="00FB3534" w:rsidP="00475915">
      <w:pPr>
        <w:spacing w:before="80" w:after="80" w:line="280" w:lineRule="atLeast"/>
        <w:jc w:val="both"/>
        <w:rPr>
          <w:rFonts w:ascii="Georgia" w:hAnsi="Georgia"/>
          <w:sz w:val="18"/>
          <w:szCs w:val="18"/>
        </w:rPr>
      </w:pPr>
    </w:p>
    <w:p w:rsidR="00475915" w:rsidRPr="00703296" w:rsidRDefault="00475915" w:rsidP="00475915">
      <w:pPr>
        <w:spacing w:before="80" w:after="80" w:line="280" w:lineRule="atLeast"/>
        <w:jc w:val="both"/>
        <w:rPr>
          <w:rFonts w:ascii="Georgia" w:hAnsi="Georgia"/>
          <w:sz w:val="18"/>
          <w:szCs w:val="18"/>
        </w:rPr>
      </w:pPr>
      <w:r w:rsidRPr="00703296">
        <w:rPr>
          <w:rFonts w:ascii="Georgia" w:hAnsi="Georgia"/>
          <w:sz w:val="18"/>
          <w:szCs w:val="18"/>
        </w:rPr>
        <w:lastRenderedPageBreak/>
        <w:t>Multilateral organisations remain key partners for AusAID’s health program.</w:t>
      </w:r>
      <w:r w:rsidR="00DF3F4D">
        <w:rPr>
          <w:rFonts w:ascii="Georgia" w:hAnsi="Georgia"/>
          <w:sz w:val="18"/>
          <w:szCs w:val="18"/>
        </w:rPr>
        <w:t xml:space="preserve"> </w:t>
      </w:r>
      <w:r w:rsidR="005A5B40">
        <w:rPr>
          <w:rFonts w:ascii="Georgia" w:hAnsi="Georgia"/>
          <w:sz w:val="18"/>
          <w:szCs w:val="18"/>
        </w:rPr>
        <w:t xml:space="preserve"> </w:t>
      </w:r>
      <w:r w:rsidR="00DF3F4D">
        <w:rPr>
          <w:rFonts w:ascii="Georgia" w:hAnsi="Georgia"/>
          <w:sz w:val="18"/>
          <w:szCs w:val="18"/>
        </w:rPr>
        <w:t xml:space="preserve">Over a third of </w:t>
      </w:r>
      <w:r w:rsidRPr="00703296">
        <w:rPr>
          <w:rFonts w:ascii="Georgia" w:hAnsi="Georgia"/>
          <w:sz w:val="18"/>
          <w:szCs w:val="18"/>
        </w:rPr>
        <w:t>AusAID’s health programs were channelled via a multilateral mechanism</w:t>
      </w:r>
      <w:r w:rsidR="00CD1B73">
        <w:rPr>
          <w:rFonts w:ascii="Georgia" w:hAnsi="Georgia"/>
          <w:sz w:val="18"/>
          <w:szCs w:val="18"/>
        </w:rPr>
        <w:t>, through core as well as program specific funding</w:t>
      </w:r>
      <w:r w:rsidRPr="00703296">
        <w:rPr>
          <w:rFonts w:ascii="Georgia" w:hAnsi="Georgia"/>
          <w:sz w:val="18"/>
          <w:szCs w:val="18"/>
        </w:rPr>
        <w:t xml:space="preserve">. </w:t>
      </w:r>
      <w:r w:rsidR="005A5B40">
        <w:rPr>
          <w:rFonts w:ascii="Georgia" w:hAnsi="Georgia"/>
          <w:sz w:val="18"/>
          <w:szCs w:val="18"/>
        </w:rPr>
        <w:t xml:space="preserve"> </w:t>
      </w:r>
      <w:r w:rsidRPr="00703296">
        <w:rPr>
          <w:rFonts w:ascii="Georgia" w:hAnsi="Georgia"/>
          <w:sz w:val="18"/>
          <w:szCs w:val="18"/>
        </w:rPr>
        <w:t>In 2009-2010, AusAID provided funding to:</w:t>
      </w:r>
    </w:p>
    <w:p w:rsidR="00475915" w:rsidRPr="00475915" w:rsidRDefault="00475915" w:rsidP="008237E2">
      <w:pPr>
        <w:numPr>
          <w:ilvl w:val="0"/>
          <w:numId w:val="18"/>
        </w:numPr>
        <w:spacing w:before="180" w:after="80" w:line="280" w:lineRule="atLeast"/>
        <w:jc w:val="both"/>
        <w:rPr>
          <w:rFonts w:ascii="Georgia" w:hAnsi="Georgia"/>
          <w:sz w:val="18"/>
          <w:szCs w:val="18"/>
        </w:rPr>
      </w:pPr>
      <w:r w:rsidRPr="00475915">
        <w:rPr>
          <w:rFonts w:ascii="Georgia" w:hAnsi="Georgia"/>
          <w:sz w:val="18"/>
          <w:szCs w:val="18"/>
        </w:rPr>
        <w:t xml:space="preserve">The </w:t>
      </w:r>
      <w:r w:rsidRPr="00475915">
        <w:rPr>
          <w:rFonts w:ascii="Georgia" w:hAnsi="Georgia"/>
          <w:b/>
          <w:bCs/>
          <w:sz w:val="18"/>
          <w:szCs w:val="18"/>
        </w:rPr>
        <w:t>Global Fund to Fight AIDS, Tuberculosis and Malaria</w:t>
      </w:r>
      <w:r w:rsidRPr="00475915">
        <w:rPr>
          <w:rFonts w:ascii="Georgia" w:hAnsi="Georgia"/>
          <w:sz w:val="18"/>
          <w:szCs w:val="18"/>
        </w:rPr>
        <w:t xml:space="preserve"> ($46.5 million) for prevention and treatment of the three diseases;</w:t>
      </w:r>
    </w:p>
    <w:p w:rsidR="00475915" w:rsidRPr="00475915" w:rsidRDefault="00475915" w:rsidP="008237E2">
      <w:pPr>
        <w:numPr>
          <w:ilvl w:val="0"/>
          <w:numId w:val="18"/>
        </w:numPr>
        <w:spacing w:before="180" w:after="80" w:line="280" w:lineRule="atLeast"/>
        <w:ind w:left="357" w:hanging="357"/>
        <w:jc w:val="both"/>
        <w:rPr>
          <w:rFonts w:ascii="Georgia" w:hAnsi="Georgia"/>
          <w:sz w:val="18"/>
          <w:szCs w:val="18"/>
        </w:rPr>
      </w:pPr>
      <w:r w:rsidRPr="00475915">
        <w:rPr>
          <w:rFonts w:ascii="Georgia" w:hAnsi="Georgia"/>
          <w:b/>
          <w:bCs/>
          <w:sz w:val="18"/>
          <w:szCs w:val="18"/>
        </w:rPr>
        <w:t xml:space="preserve">GAVI </w:t>
      </w:r>
      <w:smartTag w:uri="urn:schemas-microsoft-com:office:smarttags" w:element="place">
        <w:smartTag w:uri="urn:schemas-microsoft-com:office:smarttags" w:element="City">
          <w:r w:rsidRPr="00475915">
            <w:rPr>
              <w:rFonts w:ascii="Georgia" w:hAnsi="Georgia"/>
              <w:b/>
              <w:bCs/>
              <w:sz w:val="18"/>
              <w:szCs w:val="18"/>
            </w:rPr>
            <w:t>Alliance</w:t>
          </w:r>
        </w:smartTag>
      </w:smartTag>
      <w:r w:rsidRPr="00475915">
        <w:rPr>
          <w:rFonts w:ascii="Georgia" w:hAnsi="Georgia"/>
          <w:b/>
          <w:bCs/>
          <w:sz w:val="18"/>
          <w:szCs w:val="18"/>
        </w:rPr>
        <w:t xml:space="preserve"> </w:t>
      </w:r>
      <w:r w:rsidRPr="00475915">
        <w:rPr>
          <w:rFonts w:ascii="Georgia" w:hAnsi="Georgia"/>
          <w:sz w:val="18"/>
          <w:szCs w:val="18"/>
        </w:rPr>
        <w:t>($9.8 million) for immunisation in the world’s poorest countries;</w:t>
      </w:r>
    </w:p>
    <w:p w:rsidR="00FE1CC7" w:rsidRDefault="00475915" w:rsidP="008237E2">
      <w:pPr>
        <w:numPr>
          <w:ilvl w:val="0"/>
          <w:numId w:val="18"/>
        </w:numPr>
        <w:spacing w:before="180" w:after="80" w:line="280" w:lineRule="atLeast"/>
        <w:jc w:val="both"/>
        <w:rPr>
          <w:rFonts w:ascii="Georgia" w:hAnsi="Georgia"/>
          <w:sz w:val="18"/>
          <w:szCs w:val="18"/>
        </w:rPr>
      </w:pPr>
      <w:r w:rsidRPr="00475915">
        <w:rPr>
          <w:rFonts w:ascii="Georgia" w:hAnsi="Georgia"/>
          <w:sz w:val="18"/>
          <w:szCs w:val="18"/>
        </w:rPr>
        <w:t>UN agencies including</w:t>
      </w:r>
      <w:r w:rsidR="00CD1B73">
        <w:rPr>
          <w:rFonts w:ascii="Georgia" w:hAnsi="Georgia"/>
          <w:sz w:val="18"/>
          <w:szCs w:val="18"/>
        </w:rPr>
        <w:t xml:space="preserve"> </w:t>
      </w:r>
      <w:r w:rsidR="00CD1B73" w:rsidRPr="00CD1B73">
        <w:rPr>
          <w:rFonts w:ascii="Georgia" w:hAnsi="Georgia"/>
          <w:b/>
          <w:sz w:val="18"/>
          <w:szCs w:val="18"/>
        </w:rPr>
        <w:t>UNICEF</w:t>
      </w:r>
      <w:r w:rsidR="00CD1B73">
        <w:rPr>
          <w:rFonts w:ascii="Georgia" w:hAnsi="Georgia"/>
          <w:sz w:val="18"/>
          <w:szCs w:val="18"/>
        </w:rPr>
        <w:t xml:space="preserve"> ($28.8 million),</w:t>
      </w:r>
      <w:r w:rsidRPr="00475915">
        <w:rPr>
          <w:rFonts w:ascii="Georgia" w:hAnsi="Georgia"/>
          <w:sz w:val="18"/>
          <w:szCs w:val="18"/>
        </w:rPr>
        <w:t xml:space="preserve"> </w:t>
      </w:r>
      <w:r w:rsidR="009568B8">
        <w:rPr>
          <w:rFonts w:ascii="Georgia" w:hAnsi="Georgia"/>
          <w:sz w:val="18"/>
          <w:szCs w:val="18"/>
        </w:rPr>
        <w:t>t</w:t>
      </w:r>
      <w:r w:rsidRPr="00475915">
        <w:rPr>
          <w:rFonts w:ascii="Georgia" w:hAnsi="Georgia"/>
          <w:sz w:val="18"/>
          <w:szCs w:val="18"/>
        </w:rPr>
        <w:t xml:space="preserve">he </w:t>
      </w:r>
      <w:r w:rsidRPr="00475915">
        <w:rPr>
          <w:rFonts w:ascii="Georgia" w:hAnsi="Georgia"/>
          <w:b/>
          <w:bCs/>
          <w:sz w:val="18"/>
          <w:szCs w:val="18"/>
        </w:rPr>
        <w:t>World Health Organization</w:t>
      </w:r>
      <w:r w:rsidRPr="00475915">
        <w:rPr>
          <w:rFonts w:ascii="Georgia" w:hAnsi="Georgia"/>
          <w:sz w:val="18"/>
          <w:szCs w:val="18"/>
        </w:rPr>
        <w:t xml:space="preserve"> ($2</w:t>
      </w:r>
      <w:r w:rsidR="00CD1B73">
        <w:rPr>
          <w:rFonts w:ascii="Georgia" w:hAnsi="Georgia"/>
          <w:sz w:val="18"/>
          <w:szCs w:val="18"/>
        </w:rPr>
        <w:t xml:space="preserve">6.5 </w:t>
      </w:r>
      <w:r w:rsidRPr="00475915">
        <w:rPr>
          <w:rFonts w:ascii="Georgia" w:hAnsi="Georgia"/>
          <w:sz w:val="18"/>
          <w:szCs w:val="18"/>
        </w:rPr>
        <w:t xml:space="preserve">million), the </w:t>
      </w:r>
      <w:r w:rsidRPr="00475915">
        <w:rPr>
          <w:rFonts w:ascii="Georgia" w:hAnsi="Georgia"/>
          <w:b/>
          <w:bCs/>
          <w:sz w:val="18"/>
          <w:szCs w:val="18"/>
        </w:rPr>
        <w:t xml:space="preserve">United Nations Population Fund </w:t>
      </w:r>
      <w:r w:rsidRPr="00475915">
        <w:rPr>
          <w:rFonts w:ascii="Georgia" w:hAnsi="Georgia"/>
          <w:sz w:val="18"/>
          <w:szCs w:val="18"/>
        </w:rPr>
        <w:t xml:space="preserve">($14.6 million) and the </w:t>
      </w:r>
      <w:r w:rsidRPr="00475915">
        <w:rPr>
          <w:rFonts w:ascii="Georgia" w:hAnsi="Georgia"/>
          <w:b/>
          <w:bCs/>
          <w:sz w:val="18"/>
          <w:szCs w:val="18"/>
        </w:rPr>
        <w:t xml:space="preserve">Joint United Nations Programme on HIV/AIDS </w:t>
      </w:r>
      <w:r w:rsidRPr="00475915">
        <w:rPr>
          <w:rFonts w:ascii="Georgia" w:hAnsi="Georgia"/>
          <w:sz w:val="18"/>
          <w:szCs w:val="18"/>
        </w:rPr>
        <w:t>($11.6 million) to assist countries to improve reproductive health and safe motherhood practices, combat the spread of HIV and strengthen health systems</w:t>
      </w:r>
      <w:r w:rsidR="00CD1B73">
        <w:rPr>
          <w:rFonts w:ascii="Georgia" w:hAnsi="Georgia"/>
          <w:sz w:val="18"/>
          <w:szCs w:val="18"/>
        </w:rPr>
        <w:t>; and</w:t>
      </w:r>
    </w:p>
    <w:p w:rsidR="00CD1B73" w:rsidRPr="0015411C" w:rsidRDefault="00CD1B73" w:rsidP="008237E2">
      <w:pPr>
        <w:numPr>
          <w:ilvl w:val="0"/>
          <w:numId w:val="18"/>
        </w:numPr>
        <w:spacing w:before="180" w:after="80" w:line="280" w:lineRule="atLeast"/>
        <w:jc w:val="both"/>
        <w:rPr>
          <w:rFonts w:ascii="Georgia" w:hAnsi="Georgia"/>
          <w:sz w:val="18"/>
          <w:szCs w:val="18"/>
        </w:rPr>
      </w:pPr>
      <w:r>
        <w:rPr>
          <w:rFonts w:ascii="Georgia" w:hAnsi="Georgia"/>
          <w:sz w:val="18"/>
          <w:szCs w:val="18"/>
        </w:rPr>
        <w:t xml:space="preserve">International and regional development banks including the </w:t>
      </w:r>
      <w:r w:rsidRPr="00CD1B73">
        <w:rPr>
          <w:rFonts w:ascii="Georgia" w:hAnsi="Georgia"/>
          <w:b/>
          <w:sz w:val="18"/>
          <w:szCs w:val="18"/>
        </w:rPr>
        <w:t>World Bank</w:t>
      </w:r>
      <w:r>
        <w:rPr>
          <w:rFonts w:ascii="Georgia" w:hAnsi="Georgia"/>
          <w:sz w:val="18"/>
          <w:szCs w:val="18"/>
        </w:rPr>
        <w:t xml:space="preserve"> ($26.2 million) and the </w:t>
      </w:r>
      <w:r w:rsidRPr="00CD1B73">
        <w:rPr>
          <w:rFonts w:ascii="Georgia" w:hAnsi="Georgia"/>
          <w:b/>
          <w:sz w:val="18"/>
          <w:szCs w:val="18"/>
        </w:rPr>
        <w:t>Asian Development Bank</w:t>
      </w:r>
      <w:r>
        <w:rPr>
          <w:rFonts w:ascii="Georgia" w:hAnsi="Georgia"/>
          <w:sz w:val="18"/>
          <w:szCs w:val="18"/>
        </w:rPr>
        <w:t xml:space="preserve"> ($10.5 million).</w:t>
      </w:r>
    </w:p>
    <w:p w:rsidR="00DF1246" w:rsidRDefault="00347DB7" w:rsidP="008237E2">
      <w:pPr>
        <w:pStyle w:val="Heading2"/>
        <w:keepLines/>
        <w:numPr>
          <w:ilvl w:val="0"/>
          <w:numId w:val="0"/>
        </w:numPr>
        <w:spacing w:after="120"/>
      </w:pPr>
      <w:bookmarkStart w:id="5" w:name="_Toc360998870"/>
      <w:bookmarkStart w:id="6" w:name="_Toc361000213"/>
      <w:r>
        <w:t>Major Achievements</w:t>
      </w:r>
      <w:bookmarkEnd w:id="5"/>
      <w:bookmarkEnd w:id="6"/>
    </w:p>
    <w:p w:rsidR="009568B8" w:rsidRPr="009568B8" w:rsidRDefault="009568B8" w:rsidP="009568B8">
      <w:pPr>
        <w:spacing w:before="80" w:after="80" w:line="280" w:lineRule="atLeast"/>
        <w:jc w:val="both"/>
        <w:rPr>
          <w:rFonts w:ascii="Georgia" w:hAnsi="Georgia"/>
          <w:sz w:val="18"/>
          <w:szCs w:val="18"/>
        </w:rPr>
      </w:pPr>
      <w:r w:rsidRPr="009568B8">
        <w:rPr>
          <w:rFonts w:ascii="Georgia" w:hAnsi="Georgia"/>
          <w:sz w:val="18"/>
          <w:szCs w:val="18"/>
        </w:rPr>
        <w:t xml:space="preserve">AusAID health programs are generally making progress towards stated objectives, with programs aimed at improving health governance and basic service delivery in </w:t>
      </w:r>
      <w:smartTag w:uri="urn:schemas-microsoft-com:office:smarttags" w:element="country-region">
        <w:r w:rsidRPr="009568B8">
          <w:rPr>
            <w:rFonts w:ascii="Georgia" w:hAnsi="Georgia"/>
            <w:sz w:val="18"/>
            <w:szCs w:val="18"/>
          </w:rPr>
          <w:t>China</w:t>
        </w:r>
      </w:smartTag>
      <w:r w:rsidRPr="009568B8">
        <w:rPr>
          <w:rFonts w:ascii="Georgia" w:hAnsi="Georgia"/>
          <w:sz w:val="18"/>
          <w:szCs w:val="18"/>
        </w:rPr>
        <w:t xml:space="preserve">, </w:t>
      </w:r>
      <w:smartTag w:uri="urn:schemas-microsoft-com:office:smarttags" w:element="country-region">
        <w:r w:rsidRPr="009568B8">
          <w:rPr>
            <w:rFonts w:ascii="Georgia" w:hAnsi="Georgia"/>
            <w:sz w:val="18"/>
            <w:szCs w:val="18"/>
          </w:rPr>
          <w:t>Cambodia</w:t>
        </w:r>
      </w:smartTag>
      <w:r w:rsidRPr="009568B8">
        <w:rPr>
          <w:rFonts w:ascii="Georgia" w:hAnsi="Georgia"/>
          <w:sz w:val="18"/>
          <w:szCs w:val="18"/>
        </w:rPr>
        <w:t xml:space="preserve">, </w:t>
      </w:r>
      <w:smartTag w:uri="urn:schemas-microsoft-com:office:smarttags" w:element="country-region">
        <w:r w:rsidRPr="009568B8">
          <w:rPr>
            <w:rFonts w:ascii="Georgia" w:hAnsi="Georgia"/>
            <w:sz w:val="18"/>
            <w:szCs w:val="18"/>
          </w:rPr>
          <w:t>Indonesia</w:t>
        </w:r>
      </w:smartTag>
      <w:r w:rsidRPr="009568B8">
        <w:rPr>
          <w:rFonts w:ascii="Georgia" w:hAnsi="Georgia"/>
          <w:sz w:val="18"/>
          <w:szCs w:val="18"/>
        </w:rPr>
        <w:t xml:space="preserve"> and </w:t>
      </w:r>
      <w:smartTag w:uri="urn:schemas-microsoft-com:office:smarttags" w:element="place">
        <w:r w:rsidRPr="009568B8">
          <w:rPr>
            <w:rFonts w:ascii="Georgia" w:hAnsi="Georgia"/>
            <w:sz w:val="18"/>
            <w:szCs w:val="18"/>
          </w:rPr>
          <w:t>South Asia</w:t>
        </w:r>
      </w:smartTag>
      <w:r w:rsidRPr="009568B8">
        <w:rPr>
          <w:rFonts w:ascii="Georgia" w:hAnsi="Georgia"/>
          <w:sz w:val="18"/>
          <w:szCs w:val="18"/>
        </w:rPr>
        <w:t xml:space="preserve"> performing particularly strongly (Table 1). </w:t>
      </w:r>
      <w:r w:rsidR="005A5B40">
        <w:rPr>
          <w:rFonts w:ascii="Georgia" w:hAnsi="Georgia"/>
          <w:sz w:val="18"/>
          <w:szCs w:val="18"/>
        </w:rPr>
        <w:t xml:space="preserve"> </w:t>
      </w:r>
      <w:r w:rsidRPr="009568B8">
        <w:rPr>
          <w:rFonts w:ascii="Georgia" w:hAnsi="Georgia"/>
          <w:sz w:val="18"/>
          <w:szCs w:val="18"/>
        </w:rPr>
        <w:t xml:space="preserve">Internal and external reviews rate most programs highly in terms of relevance to Australian and partner country priorities, and in their effectiveness in contributing to health outcomes (Table 2). </w:t>
      </w:r>
    </w:p>
    <w:p w:rsidR="009568B8" w:rsidRPr="009568B8" w:rsidRDefault="009568B8" w:rsidP="008237E2">
      <w:pPr>
        <w:spacing w:before="160" w:after="160" w:line="280" w:lineRule="atLeast"/>
        <w:jc w:val="both"/>
        <w:rPr>
          <w:rFonts w:ascii="Georgia" w:hAnsi="Georgia"/>
          <w:sz w:val="18"/>
          <w:szCs w:val="18"/>
        </w:rPr>
      </w:pPr>
      <w:r w:rsidRPr="009568B8">
        <w:rPr>
          <w:rFonts w:ascii="Georgia" w:hAnsi="Georgia"/>
          <w:sz w:val="18"/>
          <w:szCs w:val="18"/>
        </w:rPr>
        <w:t>Specific achievements include:</w:t>
      </w:r>
    </w:p>
    <w:p w:rsidR="00493F84" w:rsidRDefault="00493F84" w:rsidP="008237E2">
      <w:pPr>
        <w:pStyle w:val="H3"/>
        <w:spacing w:before="200" w:after="200"/>
      </w:pPr>
      <w:bookmarkStart w:id="7" w:name="_Toc360998871"/>
      <w:bookmarkStart w:id="8" w:name="_Toc361000214"/>
      <w:r>
        <w:t>Strengthening Health Systems for the Poor</w:t>
      </w:r>
      <w:bookmarkEnd w:id="7"/>
      <w:bookmarkEnd w:id="8"/>
    </w:p>
    <w:p w:rsidR="00493F84" w:rsidRPr="009568B8" w:rsidRDefault="00280B66" w:rsidP="00493F84">
      <w:pPr>
        <w:spacing w:before="80" w:after="80" w:line="280" w:lineRule="atLeast"/>
        <w:jc w:val="both"/>
        <w:rPr>
          <w:rFonts w:ascii="Georgia" w:hAnsi="Georgia"/>
          <w:sz w:val="18"/>
          <w:szCs w:val="18"/>
        </w:rPr>
      </w:pPr>
      <w:r>
        <w:rPr>
          <w:rFonts w:ascii="Georgia" w:hAnsi="Georgia"/>
          <w:sz w:val="18"/>
          <w:szCs w:val="18"/>
        </w:rPr>
        <w:t>We are seeing</w:t>
      </w:r>
      <w:r w:rsidR="00493F84">
        <w:rPr>
          <w:rFonts w:ascii="Georgia" w:hAnsi="Georgia"/>
          <w:sz w:val="18"/>
          <w:szCs w:val="18"/>
        </w:rPr>
        <w:t xml:space="preserve"> progress</w:t>
      </w:r>
      <w:r w:rsidR="00493F84" w:rsidRPr="009568B8">
        <w:rPr>
          <w:rFonts w:ascii="Georgia" w:hAnsi="Georgia"/>
          <w:sz w:val="18"/>
          <w:szCs w:val="18"/>
        </w:rPr>
        <w:t xml:space="preserve"> in</w:t>
      </w:r>
      <w:r w:rsidR="00493F84">
        <w:rPr>
          <w:rFonts w:ascii="Georgia" w:hAnsi="Georgia"/>
          <w:sz w:val="18"/>
          <w:szCs w:val="18"/>
        </w:rPr>
        <w:t xml:space="preserve"> strengthening </w:t>
      </w:r>
      <w:r>
        <w:rPr>
          <w:rFonts w:ascii="Georgia" w:hAnsi="Georgia"/>
          <w:sz w:val="18"/>
          <w:szCs w:val="18"/>
        </w:rPr>
        <w:t xml:space="preserve">countries </w:t>
      </w:r>
      <w:r w:rsidR="00493F84">
        <w:rPr>
          <w:rFonts w:ascii="Georgia" w:hAnsi="Georgia"/>
          <w:sz w:val="18"/>
          <w:szCs w:val="18"/>
        </w:rPr>
        <w:t xml:space="preserve">health systems </w:t>
      </w:r>
      <w:r>
        <w:rPr>
          <w:rFonts w:ascii="Georgia" w:hAnsi="Georgia"/>
          <w:sz w:val="18"/>
          <w:szCs w:val="18"/>
        </w:rPr>
        <w:t>to</w:t>
      </w:r>
      <w:r w:rsidR="00493F84">
        <w:rPr>
          <w:rFonts w:ascii="Georgia" w:hAnsi="Georgia"/>
          <w:sz w:val="18"/>
          <w:szCs w:val="18"/>
        </w:rPr>
        <w:t xml:space="preserve"> provide better services for the poor</w:t>
      </w:r>
      <w:r w:rsidR="005A5B40">
        <w:rPr>
          <w:rFonts w:ascii="Georgia" w:hAnsi="Georgia"/>
          <w:sz w:val="18"/>
          <w:szCs w:val="18"/>
        </w:rPr>
        <w:t xml:space="preserve">.  </w:t>
      </w:r>
      <w:r w:rsidR="00493F84" w:rsidRPr="00FE1CC7">
        <w:rPr>
          <w:rFonts w:ascii="Georgia" w:hAnsi="Georgia"/>
          <w:sz w:val="18"/>
          <w:szCs w:val="18"/>
        </w:rPr>
        <w:t xml:space="preserve">AusAID now supports national health </w:t>
      </w:r>
      <w:r w:rsidR="00493F84">
        <w:rPr>
          <w:rFonts w:ascii="Georgia" w:hAnsi="Georgia"/>
          <w:sz w:val="18"/>
          <w:szCs w:val="18"/>
        </w:rPr>
        <w:t>“</w:t>
      </w:r>
      <w:r w:rsidR="00493F84" w:rsidRPr="00FE1CC7">
        <w:rPr>
          <w:rFonts w:ascii="Georgia" w:hAnsi="Georgia"/>
          <w:sz w:val="18"/>
          <w:szCs w:val="18"/>
        </w:rPr>
        <w:t xml:space="preserve">sector </w:t>
      </w:r>
      <w:r w:rsidR="00493F84">
        <w:rPr>
          <w:rFonts w:ascii="Georgia" w:hAnsi="Georgia"/>
          <w:sz w:val="18"/>
          <w:szCs w:val="18"/>
        </w:rPr>
        <w:t xml:space="preserve">wide” </w:t>
      </w:r>
      <w:r w:rsidR="00493F84" w:rsidRPr="00FE1CC7">
        <w:rPr>
          <w:rFonts w:ascii="Georgia" w:hAnsi="Georgia"/>
          <w:sz w:val="18"/>
          <w:szCs w:val="18"/>
        </w:rPr>
        <w:t>programs or their equivalents in Cambodia, the Solomon Islands, Nepal, East Timor, Samoa and Papua New Guinea</w:t>
      </w:r>
      <w:r w:rsidR="00493F84" w:rsidRPr="00D1501D">
        <w:rPr>
          <w:rFonts w:ascii="Georgia" w:hAnsi="Georgia"/>
          <w:sz w:val="18"/>
          <w:szCs w:val="18"/>
        </w:rPr>
        <w:t xml:space="preserve"> </w:t>
      </w:r>
      <w:r w:rsidR="00493F84">
        <w:rPr>
          <w:rFonts w:ascii="Georgia" w:hAnsi="Georgia"/>
          <w:sz w:val="18"/>
          <w:szCs w:val="18"/>
        </w:rPr>
        <w:t>and is moving in that direction in Vanuatu and</w:t>
      </w:r>
      <w:r w:rsidR="00493F84" w:rsidRPr="00FE1CC7">
        <w:rPr>
          <w:rFonts w:ascii="Georgia" w:hAnsi="Georgia"/>
          <w:sz w:val="18"/>
          <w:szCs w:val="18"/>
        </w:rPr>
        <w:t xml:space="preserve"> Tonga.</w:t>
      </w:r>
      <w:r w:rsidR="00493F84">
        <w:rPr>
          <w:rFonts w:ascii="Georgia" w:hAnsi="Georgia"/>
          <w:sz w:val="18"/>
          <w:szCs w:val="18"/>
        </w:rPr>
        <w:t xml:space="preserve">  These programs focus on improving basic services by addressing fundamental health system constraints (e.g. planning, procurement, training health workforce) and increasing service funding. </w:t>
      </w:r>
      <w:r w:rsidR="005A5B40">
        <w:rPr>
          <w:rFonts w:ascii="Georgia" w:hAnsi="Georgia"/>
          <w:sz w:val="18"/>
          <w:szCs w:val="18"/>
        </w:rPr>
        <w:t xml:space="preserve"> </w:t>
      </w:r>
      <w:r w:rsidR="00493F84" w:rsidRPr="009568B8">
        <w:rPr>
          <w:rFonts w:ascii="Georgia" w:hAnsi="Georgia"/>
          <w:sz w:val="18"/>
          <w:szCs w:val="18"/>
        </w:rPr>
        <w:t xml:space="preserve">AusAID’s engagement in </w:t>
      </w:r>
      <w:smartTag w:uri="urn:schemas-microsoft-com:office:smarttags" w:element="place">
        <w:smartTag w:uri="urn:schemas-microsoft-com:office:smarttags" w:element="country-region">
          <w:r w:rsidR="00493F84" w:rsidRPr="009568B8">
            <w:rPr>
              <w:rFonts w:ascii="Georgia" w:hAnsi="Georgia"/>
              <w:sz w:val="18"/>
              <w:szCs w:val="18"/>
            </w:rPr>
            <w:t>Cambodia</w:t>
          </w:r>
        </w:smartTag>
      </w:smartTag>
      <w:r w:rsidR="00493F84" w:rsidRPr="009568B8">
        <w:rPr>
          <w:rFonts w:ascii="Georgia" w:hAnsi="Georgia"/>
          <w:sz w:val="18"/>
          <w:szCs w:val="18"/>
        </w:rPr>
        <w:t>’s health sector program has contributed to important health outcomes, including an increase the proportion of poor households covered by health and other welfare b</w:t>
      </w:r>
      <w:r w:rsidR="00FE0170">
        <w:rPr>
          <w:rFonts w:ascii="Georgia" w:hAnsi="Georgia"/>
          <w:sz w:val="18"/>
          <w:szCs w:val="18"/>
        </w:rPr>
        <w:t>enefits from 57% in 2008 to 73</w:t>
      </w:r>
      <w:r w:rsidR="00493F84" w:rsidRPr="009568B8">
        <w:rPr>
          <w:rFonts w:ascii="Georgia" w:hAnsi="Georgia"/>
          <w:sz w:val="18"/>
          <w:szCs w:val="18"/>
        </w:rPr>
        <w:t xml:space="preserve">% in 2010. </w:t>
      </w:r>
      <w:r w:rsidR="005A5B40">
        <w:rPr>
          <w:rFonts w:ascii="Georgia" w:hAnsi="Georgia"/>
          <w:sz w:val="18"/>
          <w:szCs w:val="18"/>
        </w:rPr>
        <w:t xml:space="preserve"> </w:t>
      </w:r>
      <w:r w:rsidR="00493F84">
        <w:rPr>
          <w:rFonts w:ascii="Georgia" w:hAnsi="Georgia"/>
          <w:sz w:val="18"/>
          <w:szCs w:val="18"/>
        </w:rPr>
        <w:t>Joint donor a</w:t>
      </w:r>
      <w:r w:rsidR="00493F84" w:rsidRPr="009568B8">
        <w:rPr>
          <w:rFonts w:ascii="Georgia" w:hAnsi="Georgia"/>
          <w:sz w:val="18"/>
          <w:szCs w:val="18"/>
        </w:rPr>
        <w:t>ssistance to the Government of Nepal is also yielding results, for example a reduction in the under five mortality rate from 61 deaths per 1000 live births in 2006 to 50 deaths per 1,000 live births in 2009.</w:t>
      </w:r>
    </w:p>
    <w:p w:rsidR="00493F84" w:rsidRPr="009568B8" w:rsidRDefault="00493F84" w:rsidP="008237E2">
      <w:pPr>
        <w:spacing w:before="240" w:after="80" w:line="280" w:lineRule="atLeast"/>
        <w:jc w:val="both"/>
        <w:rPr>
          <w:rFonts w:ascii="Georgia" w:hAnsi="Georgia"/>
          <w:sz w:val="18"/>
          <w:szCs w:val="18"/>
        </w:rPr>
      </w:pPr>
      <w:r w:rsidRPr="009568B8">
        <w:rPr>
          <w:rFonts w:ascii="Georgia" w:hAnsi="Georgia"/>
          <w:sz w:val="18"/>
          <w:szCs w:val="18"/>
        </w:rPr>
        <w:t xml:space="preserve">A recent evaluation of Australian aid to health service delivery in Papua New Guinea, Solomon Islands and Vanuatu illustrated that AusAID funds </w:t>
      </w:r>
      <w:r>
        <w:rPr>
          <w:rFonts w:ascii="Georgia" w:hAnsi="Georgia"/>
          <w:sz w:val="18"/>
          <w:szCs w:val="18"/>
        </w:rPr>
        <w:t xml:space="preserve">can be crucial in maintaining </w:t>
      </w:r>
      <w:r w:rsidRPr="009568B8">
        <w:rPr>
          <w:rFonts w:ascii="Georgia" w:hAnsi="Georgia"/>
          <w:sz w:val="18"/>
          <w:szCs w:val="18"/>
        </w:rPr>
        <w:t xml:space="preserve">frontline services in those countries, </w:t>
      </w:r>
      <w:r>
        <w:rPr>
          <w:rFonts w:ascii="Georgia" w:hAnsi="Georgia"/>
          <w:sz w:val="18"/>
          <w:szCs w:val="18"/>
        </w:rPr>
        <w:t xml:space="preserve">as was the case during the </w:t>
      </w:r>
      <w:r w:rsidRPr="009568B8">
        <w:rPr>
          <w:rFonts w:ascii="Georgia" w:hAnsi="Georgia"/>
          <w:sz w:val="18"/>
          <w:szCs w:val="18"/>
        </w:rPr>
        <w:t>conflict in the Solomon Islands</w:t>
      </w:r>
      <w:r>
        <w:rPr>
          <w:rFonts w:ascii="Georgia" w:hAnsi="Georgia"/>
          <w:sz w:val="18"/>
          <w:szCs w:val="18"/>
        </w:rPr>
        <w:t>.</w:t>
      </w:r>
      <w:r w:rsidR="005A5B40">
        <w:rPr>
          <w:rFonts w:ascii="Georgia" w:hAnsi="Georgia"/>
          <w:sz w:val="18"/>
          <w:szCs w:val="18"/>
        </w:rPr>
        <w:t xml:space="preserve"> </w:t>
      </w:r>
      <w:r>
        <w:rPr>
          <w:rFonts w:ascii="Georgia" w:hAnsi="Georgia"/>
          <w:sz w:val="18"/>
          <w:szCs w:val="18"/>
        </w:rPr>
        <w:t xml:space="preserve"> </w:t>
      </w:r>
      <w:r w:rsidRPr="009568B8">
        <w:rPr>
          <w:rFonts w:ascii="Georgia" w:hAnsi="Georgia"/>
          <w:sz w:val="18"/>
          <w:szCs w:val="18"/>
        </w:rPr>
        <w:t xml:space="preserve">Other contributions include ensuring adequate amounts of drugs and medical supplies reach facilities and supporting policy reform, such as the passage in </w:t>
      </w:r>
      <w:smartTag w:uri="urn:schemas-microsoft-com:office:smarttags" w:element="country-region">
        <w:smartTag w:uri="urn:schemas-microsoft-com:office:smarttags" w:element="place">
          <w:r w:rsidRPr="009568B8">
            <w:rPr>
              <w:rFonts w:ascii="Georgia" w:hAnsi="Georgia"/>
              <w:sz w:val="18"/>
              <w:szCs w:val="18"/>
            </w:rPr>
            <w:t>Papua New Guinea</w:t>
          </w:r>
        </w:smartTag>
      </w:smartTag>
      <w:r w:rsidRPr="009568B8">
        <w:rPr>
          <w:rFonts w:ascii="Georgia" w:hAnsi="Georgia"/>
          <w:sz w:val="18"/>
          <w:szCs w:val="18"/>
        </w:rPr>
        <w:t xml:space="preserve"> of legislation which will prioritise future growth in government health grants in the most disadvantaged areas. </w:t>
      </w:r>
    </w:p>
    <w:p w:rsidR="00493F84" w:rsidRPr="009568B8" w:rsidRDefault="00493F84" w:rsidP="00493F84">
      <w:pPr>
        <w:spacing w:before="80" w:after="80" w:line="280" w:lineRule="atLeast"/>
        <w:jc w:val="both"/>
        <w:rPr>
          <w:rFonts w:ascii="Georgia" w:hAnsi="Georgia"/>
          <w:sz w:val="18"/>
          <w:szCs w:val="18"/>
        </w:rPr>
      </w:pPr>
      <w:r w:rsidRPr="009568B8">
        <w:rPr>
          <w:rFonts w:ascii="Georgia" w:hAnsi="Georgia"/>
          <w:sz w:val="18"/>
          <w:szCs w:val="18"/>
        </w:rPr>
        <w:t>Other health systems strengthening achievements include:</w:t>
      </w:r>
    </w:p>
    <w:p w:rsidR="00493F84" w:rsidRPr="00581C8A" w:rsidRDefault="00493F84" w:rsidP="00581C8A">
      <w:pPr>
        <w:pStyle w:val="ListParagraph"/>
        <w:numPr>
          <w:ilvl w:val="0"/>
          <w:numId w:val="22"/>
        </w:numPr>
        <w:spacing w:before="80" w:after="80" w:line="280" w:lineRule="atLeast"/>
        <w:jc w:val="both"/>
        <w:rPr>
          <w:rFonts w:ascii="Georgia" w:hAnsi="Georgia"/>
          <w:sz w:val="18"/>
          <w:szCs w:val="18"/>
        </w:rPr>
      </w:pPr>
      <w:r w:rsidRPr="00581C8A">
        <w:rPr>
          <w:rFonts w:ascii="Georgia" w:hAnsi="Georgia"/>
          <w:sz w:val="18"/>
          <w:szCs w:val="18"/>
        </w:rPr>
        <w:lastRenderedPageBreak/>
        <w:t>Addressing health workforce shortages by doubling nursing places in Vanuatu, enrolling over 6200 midwives in training in Pakistan, and providing almost 100 scholarships in areas of need for students from East Timor;</w:t>
      </w:r>
    </w:p>
    <w:p w:rsidR="00493F84" w:rsidRPr="00581C8A" w:rsidRDefault="00493F84" w:rsidP="00581C8A">
      <w:pPr>
        <w:pStyle w:val="ListParagraph"/>
        <w:numPr>
          <w:ilvl w:val="0"/>
          <w:numId w:val="22"/>
        </w:numPr>
        <w:spacing w:before="80" w:after="80" w:line="280" w:lineRule="atLeast"/>
        <w:jc w:val="both"/>
        <w:rPr>
          <w:rFonts w:ascii="Georgia" w:hAnsi="Georgia"/>
          <w:sz w:val="18"/>
          <w:szCs w:val="18"/>
        </w:rPr>
      </w:pPr>
      <w:r w:rsidRPr="00581C8A">
        <w:rPr>
          <w:rFonts w:ascii="Georgia" w:hAnsi="Georgia"/>
          <w:sz w:val="18"/>
          <w:szCs w:val="18"/>
        </w:rPr>
        <w:t>Promoting sustainable health financing by supporting the Government of Indonesia to enshrine social health insurance in legislation; and</w:t>
      </w:r>
    </w:p>
    <w:p w:rsidR="00493F84" w:rsidRPr="00581C8A" w:rsidRDefault="00493F84" w:rsidP="00581C8A">
      <w:pPr>
        <w:pStyle w:val="ListParagraph"/>
        <w:numPr>
          <w:ilvl w:val="0"/>
          <w:numId w:val="22"/>
        </w:numPr>
        <w:spacing w:before="80" w:after="80" w:line="280" w:lineRule="atLeast"/>
        <w:jc w:val="both"/>
        <w:rPr>
          <w:rFonts w:ascii="Georgia" w:hAnsi="Georgia"/>
          <w:sz w:val="18"/>
          <w:szCs w:val="18"/>
        </w:rPr>
      </w:pPr>
      <w:r w:rsidRPr="00581C8A">
        <w:rPr>
          <w:rFonts w:ascii="Georgia" w:hAnsi="Georgia"/>
          <w:sz w:val="18"/>
          <w:szCs w:val="18"/>
        </w:rPr>
        <w:t>Improving the quality and availability of health information as a basis for decision making. Samoa for example has just completed its first Demographic Health Survey.</w:t>
      </w:r>
    </w:p>
    <w:p w:rsidR="00F5217F" w:rsidRPr="00F5217F" w:rsidRDefault="00F5217F" w:rsidP="008237E2">
      <w:pPr>
        <w:pStyle w:val="H3"/>
        <w:spacing w:before="200" w:after="180"/>
      </w:pPr>
      <w:bookmarkStart w:id="9" w:name="_Toc360998872"/>
      <w:bookmarkStart w:id="10" w:name="_Toc361000215"/>
      <w:r w:rsidRPr="00F5217F">
        <w:t>Maternal and Child Health</w:t>
      </w:r>
      <w:bookmarkEnd w:id="9"/>
      <w:bookmarkEnd w:id="10"/>
    </w:p>
    <w:p w:rsidR="009568B8" w:rsidRPr="009568B8" w:rsidRDefault="009568B8" w:rsidP="008237E2">
      <w:pPr>
        <w:spacing w:before="240" w:after="80" w:line="280" w:lineRule="atLeast"/>
        <w:jc w:val="both"/>
        <w:rPr>
          <w:rFonts w:ascii="Georgia" w:hAnsi="Georgia"/>
          <w:sz w:val="18"/>
          <w:szCs w:val="18"/>
        </w:rPr>
      </w:pPr>
      <w:r w:rsidRPr="009568B8">
        <w:rPr>
          <w:rFonts w:ascii="Georgia" w:hAnsi="Georgia"/>
          <w:sz w:val="18"/>
          <w:szCs w:val="18"/>
        </w:rPr>
        <w:t xml:space="preserve">Supporting countries to </w:t>
      </w:r>
      <w:r w:rsidRPr="009568B8">
        <w:rPr>
          <w:rFonts w:ascii="Georgia" w:hAnsi="Georgia"/>
          <w:b/>
          <w:bCs/>
          <w:sz w:val="18"/>
          <w:szCs w:val="18"/>
        </w:rPr>
        <w:t>reduce child mortality (MDG4)</w:t>
      </w:r>
      <w:r w:rsidRPr="009568B8">
        <w:rPr>
          <w:rFonts w:ascii="Georgia" w:hAnsi="Georgia"/>
          <w:sz w:val="18"/>
          <w:szCs w:val="18"/>
        </w:rPr>
        <w:t xml:space="preserve"> and </w:t>
      </w:r>
      <w:r w:rsidRPr="009568B8">
        <w:rPr>
          <w:rFonts w:ascii="Georgia" w:hAnsi="Georgia"/>
          <w:b/>
          <w:bCs/>
          <w:sz w:val="18"/>
          <w:szCs w:val="18"/>
        </w:rPr>
        <w:t>improve maternal health (MDG 5)</w:t>
      </w:r>
      <w:r w:rsidRPr="009568B8">
        <w:rPr>
          <w:rFonts w:ascii="Georgia" w:hAnsi="Georgia"/>
          <w:sz w:val="18"/>
          <w:szCs w:val="18"/>
        </w:rPr>
        <w:t xml:space="preserve"> continue to be high priorities for AusAID. </w:t>
      </w:r>
      <w:r w:rsidR="005A5B40">
        <w:rPr>
          <w:rFonts w:ascii="Georgia" w:hAnsi="Georgia"/>
          <w:sz w:val="18"/>
          <w:szCs w:val="18"/>
        </w:rPr>
        <w:t xml:space="preserve"> </w:t>
      </w:r>
      <w:r w:rsidRPr="009568B8">
        <w:rPr>
          <w:rFonts w:ascii="Georgia" w:hAnsi="Georgia"/>
          <w:sz w:val="18"/>
          <w:szCs w:val="18"/>
        </w:rPr>
        <w:t xml:space="preserve">Access to quality health services such as skilled birth attendance, emergency obstetric care and neonatal care is steadily improving in many countries, and starting to yield tangible outcomes. </w:t>
      </w:r>
      <w:r w:rsidR="005A5B40">
        <w:rPr>
          <w:rFonts w:ascii="Georgia" w:hAnsi="Georgia"/>
          <w:sz w:val="18"/>
          <w:szCs w:val="18"/>
        </w:rPr>
        <w:t xml:space="preserve"> </w:t>
      </w:r>
      <w:r w:rsidR="00AA40B0">
        <w:rPr>
          <w:rFonts w:ascii="Georgia" w:hAnsi="Georgia"/>
          <w:sz w:val="18"/>
          <w:szCs w:val="18"/>
        </w:rPr>
        <w:t>Our support</w:t>
      </w:r>
      <w:r w:rsidR="00F75D10">
        <w:rPr>
          <w:rFonts w:ascii="Georgia" w:hAnsi="Georgia"/>
          <w:sz w:val="18"/>
          <w:szCs w:val="18"/>
        </w:rPr>
        <w:t xml:space="preserve"> to sector programs supports these improvements and access to basic services. </w:t>
      </w:r>
      <w:r w:rsidR="005A5B40">
        <w:rPr>
          <w:rFonts w:ascii="Georgia" w:hAnsi="Georgia"/>
          <w:sz w:val="18"/>
          <w:szCs w:val="18"/>
        </w:rPr>
        <w:t xml:space="preserve"> </w:t>
      </w:r>
      <w:r w:rsidRPr="009568B8">
        <w:rPr>
          <w:rFonts w:ascii="Georgia" w:hAnsi="Georgia"/>
          <w:sz w:val="18"/>
          <w:szCs w:val="18"/>
        </w:rPr>
        <w:t xml:space="preserve">With AusAID support, skilled birth attendance has increased from 19% (2006) to 33% (2009) of all births in </w:t>
      </w:r>
      <w:smartTag w:uri="urn:schemas-microsoft-com:office:smarttags" w:element="country-region">
        <w:r w:rsidRPr="009568B8">
          <w:rPr>
            <w:rFonts w:ascii="Georgia" w:hAnsi="Georgia"/>
            <w:sz w:val="18"/>
            <w:szCs w:val="18"/>
          </w:rPr>
          <w:t>Nepal</w:t>
        </w:r>
      </w:smartTag>
      <w:r w:rsidRPr="009568B8">
        <w:rPr>
          <w:rFonts w:ascii="Georgia" w:hAnsi="Georgia"/>
          <w:sz w:val="18"/>
          <w:szCs w:val="18"/>
        </w:rPr>
        <w:t xml:space="preserve">, 58% (2008) to 63% (2009) in </w:t>
      </w:r>
      <w:smartTag w:uri="urn:schemas-microsoft-com:office:smarttags" w:element="country-region">
        <w:r w:rsidRPr="009568B8">
          <w:rPr>
            <w:rFonts w:ascii="Georgia" w:hAnsi="Georgia"/>
            <w:sz w:val="18"/>
            <w:szCs w:val="18"/>
          </w:rPr>
          <w:t>Cambodia</w:t>
        </w:r>
      </w:smartTag>
      <w:r w:rsidRPr="009568B8">
        <w:rPr>
          <w:rFonts w:ascii="Georgia" w:hAnsi="Georgia"/>
          <w:sz w:val="18"/>
          <w:szCs w:val="18"/>
        </w:rPr>
        <w:t xml:space="preserve">, and 35% (2008) to 46.7% (2009) in </w:t>
      </w:r>
      <w:smartTag w:uri="urn:schemas-microsoft-com:office:smarttags" w:element="place">
        <w:r w:rsidRPr="009568B8">
          <w:rPr>
            <w:rFonts w:ascii="Georgia" w:hAnsi="Georgia"/>
            <w:sz w:val="18"/>
            <w:szCs w:val="18"/>
          </w:rPr>
          <w:t>East Timor</w:t>
        </w:r>
      </w:smartTag>
      <w:r w:rsidRPr="009568B8">
        <w:rPr>
          <w:rFonts w:ascii="Georgia" w:hAnsi="Georgia"/>
          <w:sz w:val="18"/>
          <w:szCs w:val="18"/>
        </w:rPr>
        <w:t xml:space="preserve">. </w:t>
      </w:r>
      <w:r w:rsidR="005A5B40">
        <w:rPr>
          <w:rFonts w:ascii="Georgia" w:hAnsi="Georgia"/>
          <w:sz w:val="18"/>
          <w:szCs w:val="18"/>
        </w:rPr>
        <w:t xml:space="preserve"> </w:t>
      </w:r>
      <w:r w:rsidRPr="009568B8">
        <w:rPr>
          <w:rFonts w:ascii="Georgia" w:hAnsi="Georgia"/>
          <w:sz w:val="18"/>
          <w:szCs w:val="18"/>
        </w:rPr>
        <w:t xml:space="preserve">In </w:t>
      </w:r>
      <w:smartTag w:uri="urn:schemas-microsoft-com:office:smarttags" w:element="place">
        <w:r w:rsidRPr="009568B8">
          <w:rPr>
            <w:rFonts w:ascii="Georgia" w:hAnsi="Georgia"/>
            <w:sz w:val="18"/>
            <w:szCs w:val="18"/>
          </w:rPr>
          <w:t>East Timor</w:t>
        </w:r>
      </w:smartTag>
      <w:r w:rsidRPr="009568B8">
        <w:rPr>
          <w:rFonts w:ascii="Georgia" w:hAnsi="Georgia"/>
          <w:sz w:val="18"/>
          <w:szCs w:val="18"/>
        </w:rPr>
        <w:t xml:space="preserve">, infant mortality has decreased from 60 deaths per 1,000 live births (2003) to 44 deaths per 1,000 live births. </w:t>
      </w:r>
      <w:r w:rsidR="005A5B40">
        <w:rPr>
          <w:rFonts w:ascii="Georgia" w:hAnsi="Georgia"/>
          <w:sz w:val="18"/>
          <w:szCs w:val="18"/>
        </w:rPr>
        <w:t xml:space="preserve"> </w:t>
      </w:r>
      <w:r w:rsidRPr="009568B8">
        <w:rPr>
          <w:rFonts w:ascii="Georgia" w:hAnsi="Georgia"/>
          <w:sz w:val="18"/>
          <w:szCs w:val="18"/>
        </w:rPr>
        <w:t xml:space="preserve">Infant mortality also halved in </w:t>
      </w:r>
      <w:smartTag w:uri="urn:schemas-microsoft-com:office:smarttags" w:element="country-region">
        <w:smartTag w:uri="urn:schemas-microsoft-com:office:smarttags" w:element="place">
          <w:r w:rsidRPr="009568B8">
            <w:rPr>
              <w:rFonts w:ascii="Georgia" w:hAnsi="Georgia"/>
              <w:sz w:val="18"/>
              <w:szCs w:val="18"/>
            </w:rPr>
            <w:t>Nauru</w:t>
          </w:r>
        </w:smartTag>
      </w:smartTag>
      <w:r w:rsidRPr="009568B8">
        <w:rPr>
          <w:rFonts w:ascii="Georgia" w:hAnsi="Georgia"/>
          <w:sz w:val="18"/>
          <w:szCs w:val="18"/>
        </w:rPr>
        <w:t xml:space="preserve"> from 44 to 22 deaths per 1,000 live births between 2002 and 2009. </w:t>
      </w:r>
    </w:p>
    <w:p w:rsidR="009568B8" w:rsidRPr="009568B8" w:rsidRDefault="009568B8" w:rsidP="008237E2">
      <w:pPr>
        <w:spacing w:before="200" w:after="80" w:line="280" w:lineRule="atLeast"/>
        <w:jc w:val="both"/>
        <w:rPr>
          <w:rFonts w:ascii="Georgia" w:hAnsi="Georgia"/>
          <w:sz w:val="18"/>
          <w:szCs w:val="18"/>
        </w:rPr>
      </w:pPr>
      <w:r w:rsidRPr="009568B8">
        <w:rPr>
          <w:rFonts w:ascii="Georgia" w:hAnsi="Georgia"/>
          <w:sz w:val="18"/>
          <w:szCs w:val="18"/>
        </w:rPr>
        <w:t xml:space="preserve">In the </w:t>
      </w:r>
      <w:smartTag w:uri="urn:schemas-microsoft-com:office:smarttags" w:element="place">
        <w:smartTag w:uri="urn:schemas-microsoft-com:office:smarttags" w:element="country-region">
          <w:r w:rsidRPr="009568B8">
            <w:rPr>
              <w:rFonts w:ascii="Georgia" w:hAnsi="Georgia"/>
              <w:sz w:val="18"/>
              <w:szCs w:val="18"/>
            </w:rPr>
            <w:t>Philippines</w:t>
          </w:r>
        </w:smartTag>
      </w:smartTag>
      <w:r w:rsidRPr="009568B8">
        <w:rPr>
          <w:rFonts w:ascii="Georgia" w:hAnsi="Georgia"/>
          <w:sz w:val="18"/>
          <w:szCs w:val="18"/>
        </w:rPr>
        <w:t xml:space="preserve"> 48,000 pregnant women now have better access to obstetric and neonatal care, due to training of 650 rural midwives and provision of supplies to 145 health centres. </w:t>
      </w:r>
      <w:r w:rsidR="005A5B40">
        <w:rPr>
          <w:rFonts w:ascii="Georgia" w:hAnsi="Georgia"/>
          <w:sz w:val="18"/>
          <w:szCs w:val="18"/>
        </w:rPr>
        <w:t xml:space="preserve"> </w:t>
      </w:r>
      <w:r w:rsidRPr="009568B8">
        <w:rPr>
          <w:rFonts w:ascii="Georgia" w:hAnsi="Georgia"/>
          <w:sz w:val="18"/>
          <w:szCs w:val="18"/>
        </w:rPr>
        <w:t xml:space="preserve">In one pilot district of Bangladesh, increases in the number of women benefiting from antenatal visits and skilled birth attendance has resulted in the maternal mortality ratio decreasing by a third from 257 to 171 deaths per 100,000 live births between 2007 and 2009 alone. </w:t>
      </w:r>
    </w:p>
    <w:p w:rsidR="009568B8" w:rsidRDefault="009568B8" w:rsidP="008237E2">
      <w:pPr>
        <w:spacing w:before="200" w:after="80" w:line="280" w:lineRule="atLeast"/>
        <w:jc w:val="both"/>
        <w:rPr>
          <w:rFonts w:ascii="Georgia" w:hAnsi="Georgia"/>
          <w:sz w:val="18"/>
          <w:szCs w:val="18"/>
        </w:rPr>
      </w:pPr>
      <w:r w:rsidRPr="009568B8">
        <w:rPr>
          <w:rFonts w:ascii="Georgia" w:hAnsi="Georgia"/>
          <w:sz w:val="18"/>
          <w:szCs w:val="18"/>
        </w:rPr>
        <w:t>Immunisa</w:t>
      </w:r>
      <w:r w:rsidR="005A5B40">
        <w:rPr>
          <w:rFonts w:ascii="Georgia" w:hAnsi="Georgia"/>
          <w:sz w:val="18"/>
          <w:szCs w:val="18"/>
        </w:rPr>
        <w:t xml:space="preserve">tion rates are also increasing.  </w:t>
      </w:r>
      <w:r w:rsidRPr="009568B8">
        <w:rPr>
          <w:rFonts w:ascii="Georgia" w:hAnsi="Georgia"/>
          <w:sz w:val="18"/>
          <w:szCs w:val="18"/>
        </w:rPr>
        <w:t xml:space="preserve">Over 900,000 children in </w:t>
      </w:r>
      <w:smartTag w:uri="urn:schemas-microsoft-com:office:smarttags" w:element="place">
        <w:smartTag w:uri="urn:schemas-microsoft-com:office:smarttags" w:element="country-region">
          <w:r w:rsidRPr="009568B8">
            <w:rPr>
              <w:rFonts w:ascii="Georgia" w:hAnsi="Georgia"/>
              <w:sz w:val="18"/>
              <w:szCs w:val="18"/>
            </w:rPr>
            <w:t>Papua New Guinea</w:t>
          </w:r>
        </w:smartTag>
      </w:smartTag>
      <w:r w:rsidRPr="009568B8">
        <w:rPr>
          <w:rFonts w:ascii="Georgia" w:hAnsi="Georgia"/>
          <w:sz w:val="18"/>
          <w:szCs w:val="18"/>
        </w:rPr>
        <w:t xml:space="preserve"> were vaccinated against measles in 2009, with rates surpassing 95% in six provinces. </w:t>
      </w:r>
      <w:r w:rsidR="005A5B40">
        <w:rPr>
          <w:rFonts w:ascii="Georgia" w:hAnsi="Georgia"/>
          <w:sz w:val="18"/>
          <w:szCs w:val="18"/>
        </w:rPr>
        <w:t xml:space="preserve"> </w:t>
      </w:r>
      <w:r w:rsidRPr="009568B8">
        <w:rPr>
          <w:rFonts w:ascii="Georgia" w:hAnsi="Georgia"/>
          <w:sz w:val="18"/>
          <w:szCs w:val="18"/>
        </w:rPr>
        <w:t xml:space="preserve">In </w:t>
      </w:r>
      <w:smartTag w:uri="urn:schemas-microsoft-com:office:smarttags" w:element="place">
        <w:r w:rsidRPr="009568B8">
          <w:rPr>
            <w:rFonts w:ascii="Georgia" w:hAnsi="Georgia"/>
            <w:sz w:val="18"/>
            <w:szCs w:val="18"/>
          </w:rPr>
          <w:t>East Timor</w:t>
        </w:r>
      </w:smartTag>
      <w:r w:rsidRPr="009568B8">
        <w:rPr>
          <w:rFonts w:ascii="Georgia" w:hAnsi="Georgia"/>
          <w:sz w:val="18"/>
          <w:szCs w:val="18"/>
        </w:rPr>
        <w:t xml:space="preserve">, the under five immunisation rate increased between from 35% in 2003 to 53% in 2009. </w:t>
      </w:r>
      <w:r w:rsidR="005A5B40">
        <w:rPr>
          <w:rFonts w:ascii="Georgia" w:hAnsi="Georgia"/>
          <w:sz w:val="18"/>
          <w:szCs w:val="18"/>
        </w:rPr>
        <w:t xml:space="preserve"> </w:t>
      </w:r>
      <w:r w:rsidRPr="009568B8">
        <w:rPr>
          <w:rFonts w:ascii="Georgia" w:hAnsi="Georgia"/>
          <w:sz w:val="18"/>
          <w:szCs w:val="18"/>
        </w:rPr>
        <w:t xml:space="preserve">Immunisation programs are reaching 100% coverage in </w:t>
      </w:r>
      <w:smartTag w:uri="urn:schemas-microsoft-com:office:smarttags" w:element="country-region">
        <w:smartTag w:uri="urn:schemas-microsoft-com:office:smarttags" w:element="place">
          <w:r w:rsidRPr="009568B8">
            <w:rPr>
              <w:rFonts w:ascii="Georgia" w:hAnsi="Georgia"/>
              <w:sz w:val="18"/>
              <w:szCs w:val="18"/>
            </w:rPr>
            <w:t>Nauru</w:t>
          </w:r>
        </w:smartTag>
      </w:smartTag>
      <w:r w:rsidRPr="00607CB0">
        <w:rPr>
          <w:rFonts w:ascii="Georgia" w:hAnsi="Georgia"/>
          <w:sz w:val="18"/>
          <w:szCs w:val="18"/>
        </w:rPr>
        <w:t xml:space="preserve">. </w:t>
      </w:r>
      <w:r w:rsidR="005A5B40">
        <w:rPr>
          <w:rFonts w:ascii="Georgia" w:hAnsi="Georgia"/>
          <w:sz w:val="18"/>
          <w:szCs w:val="18"/>
        </w:rPr>
        <w:t xml:space="preserve"> </w:t>
      </w:r>
      <w:r w:rsidRPr="00607CB0">
        <w:rPr>
          <w:rFonts w:ascii="Georgia" w:hAnsi="Georgia"/>
          <w:sz w:val="18"/>
          <w:szCs w:val="18"/>
        </w:rPr>
        <w:t>Global</w:t>
      </w:r>
      <w:r w:rsidR="00FE0170">
        <w:rPr>
          <w:rFonts w:ascii="Georgia" w:hAnsi="Georgia"/>
          <w:sz w:val="18"/>
          <w:szCs w:val="18"/>
        </w:rPr>
        <w:t>ly, AusAID support to the GAVI A</w:t>
      </w:r>
      <w:r w:rsidRPr="00607CB0">
        <w:rPr>
          <w:rFonts w:ascii="Georgia" w:hAnsi="Georgia"/>
          <w:sz w:val="18"/>
          <w:szCs w:val="18"/>
        </w:rPr>
        <w:t>lliance has contributed to immunisation of over 257 million children and prevention of 5.4 million deaths.</w:t>
      </w:r>
      <w:r w:rsidRPr="009568B8">
        <w:rPr>
          <w:rFonts w:ascii="Georgia" w:hAnsi="Georgia"/>
          <w:sz w:val="18"/>
          <w:szCs w:val="18"/>
        </w:rPr>
        <w:t xml:space="preserve"> </w:t>
      </w:r>
    </w:p>
    <w:p w:rsidR="00286D82" w:rsidRPr="009568B8" w:rsidRDefault="00286D82" w:rsidP="009568B8">
      <w:pPr>
        <w:spacing w:before="80" w:after="80" w:line="280" w:lineRule="atLeast"/>
        <w:jc w:val="both"/>
        <w:rPr>
          <w:rFonts w:ascii="Georgia" w:hAnsi="Georgia"/>
          <w:sz w:val="18"/>
          <w:szCs w:val="18"/>
        </w:rPr>
      </w:pPr>
      <w:r>
        <w:rPr>
          <w:rFonts w:ascii="Georgia" w:hAnsi="Georgia"/>
          <w:sz w:val="18"/>
          <w:szCs w:val="18"/>
        </w:rPr>
        <w:t xml:space="preserve">In 2009-2010, support to UNFPA also enabled access to sexual and reproductive health services and supplies in </w:t>
      </w:r>
      <w:r w:rsidR="009045FE">
        <w:rPr>
          <w:rFonts w:ascii="Georgia" w:hAnsi="Georgia"/>
          <w:sz w:val="18"/>
          <w:szCs w:val="18"/>
        </w:rPr>
        <w:t>conflict and disaster affected</w:t>
      </w:r>
      <w:r>
        <w:rPr>
          <w:rFonts w:ascii="Georgia" w:hAnsi="Georgia"/>
          <w:sz w:val="18"/>
          <w:szCs w:val="18"/>
        </w:rPr>
        <w:t xml:space="preserve"> countries such as </w:t>
      </w:r>
      <w:smartTag w:uri="urn:schemas-microsoft-com:office:smarttags" w:element="country-region">
        <w:r>
          <w:rPr>
            <w:rFonts w:ascii="Georgia" w:hAnsi="Georgia"/>
            <w:sz w:val="18"/>
            <w:szCs w:val="18"/>
          </w:rPr>
          <w:t>Sri Lanka</w:t>
        </w:r>
      </w:smartTag>
      <w:r>
        <w:rPr>
          <w:rFonts w:ascii="Georgia" w:hAnsi="Georgia"/>
          <w:sz w:val="18"/>
          <w:szCs w:val="18"/>
        </w:rPr>
        <w:t xml:space="preserve"> and </w:t>
      </w:r>
      <w:smartTag w:uri="urn:schemas-microsoft-com:office:smarttags" w:element="country-region">
        <w:smartTag w:uri="urn:schemas-microsoft-com:office:smarttags" w:element="place">
          <w:r>
            <w:rPr>
              <w:rFonts w:ascii="Georgia" w:hAnsi="Georgia"/>
              <w:sz w:val="18"/>
              <w:szCs w:val="18"/>
            </w:rPr>
            <w:t>Pakistan</w:t>
          </w:r>
        </w:smartTag>
      </w:smartTag>
      <w:r>
        <w:rPr>
          <w:rFonts w:ascii="Georgia" w:hAnsi="Georgia"/>
          <w:sz w:val="18"/>
          <w:szCs w:val="18"/>
        </w:rPr>
        <w:t xml:space="preserve">. </w:t>
      </w:r>
    </w:p>
    <w:p w:rsidR="00F5217F" w:rsidRPr="00F5217F" w:rsidRDefault="00F5217F" w:rsidP="008237E2">
      <w:pPr>
        <w:pStyle w:val="H3"/>
        <w:spacing w:before="220" w:after="120"/>
      </w:pPr>
      <w:bookmarkStart w:id="11" w:name="_Toc360998873"/>
      <w:bookmarkStart w:id="12" w:name="_Toc361000216"/>
      <w:r w:rsidRPr="00F5217F">
        <w:t>Communicable Diseases</w:t>
      </w:r>
      <w:bookmarkEnd w:id="11"/>
      <w:bookmarkEnd w:id="12"/>
    </w:p>
    <w:p w:rsidR="009568B8" w:rsidRPr="009568B8" w:rsidRDefault="009568B8" w:rsidP="008237E2">
      <w:pPr>
        <w:spacing w:before="240" w:after="80" w:line="280" w:lineRule="atLeast"/>
        <w:jc w:val="both"/>
        <w:rPr>
          <w:rFonts w:ascii="Georgia" w:hAnsi="Georgia"/>
          <w:sz w:val="18"/>
          <w:szCs w:val="18"/>
        </w:rPr>
      </w:pPr>
      <w:r w:rsidRPr="009568B8">
        <w:rPr>
          <w:rFonts w:ascii="Georgia" w:hAnsi="Georgia"/>
          <w:sz w:val="18"/>
          <w:szCs w:val="18"/>
        </w:rPr>
        <w:t xml:space="preserve">AusAID is also supporting countries to </w:t>
      </w:r>
      <w:r w:rsidRPr="009568B8">
        <w:rPr>
          <w:rFonts w:ascii="Georgia" w:hAnsi="Georgia"/>
          <w:b/>
          <w:bCs/>
          <w:sz w:val="18"/>
          <w:szCs w:val="18"/>
        </w:rPr>
        <w:t>combat HIV/AIDS, malaria and other diseases (MDG 6)</w:t>
      </w:r>
      <w:r w:rsidRPr="009568B8">
        <w:rPr>
          <w:rFonts w:ascii="Georgia" w:hAnsi="Georgia"/>
          <w:sz w:val="18"/>
          <w:szCs w:val="18"/>
        </w:rPr>
        <w:t xml:space="preserve">. </w:t>
      </w:r>
      <w:r w:rsidR="00E451C3">
        <w:rPr>
          <w:rFonts w:ascii="Georgia" w:hAnsi="Georgia"/>
          <w:sz w:val="18"/>
          <w:szCs w:val="18"/>
        </w:rPr>
        <w:t xml:space="preserve"> </w:t>
      </w:r>
      <w:r w:rsidRPr="009568B8">
        <w:rPr>
          <w:rFonts w:ascii="Georgia" w:hAnsi="Georgia"/>
          <w:sz w:val="18"/>
          <w:szCs w:val="18"/>
        </w:rPr>
        <w:t xml:space="preserve">Australia’s bilateral program in Papua New Guinea – Sanap Waitim – has increased the number of HIV counselling and testing sites from 61 (2006) to 226 (2009). </w:t>
      </w:r>
      <w:r w:rsidR="00E451C3">
        <w:rPr>
          <w:rFonts w:ascii="Georgia" w:hAnsi="Georgia"/>
          <w:sz w:val="18"/>
          <w:szCs w:val="18"/>
        </w:rPr>
        <w:t xml:space="preserve"> </w:t>
      </w:r>
      <w:r w:rsidRPr="009568B8">
        <w:rPr>
          <w:rFonts w:ascii="Georgia" w:hAnsi="Georgia"/>
          <w:sz w:val="18"/>
          <w:szCs w:val="18"/>
        </w:rPr>
        <w:t>This has enabled 183,000 to be tested for HIV (a five fold increase since 2006).</w:t>
      </w:r>
      <w:r w:rsidR="00E451C3">
        <w:rPr>
          <w:rFonts w:ascii="Georgia" w:hAnsi="Georgia"/>
          <w:sz w:val="18"/>
          <w:szCs w:val="18"/>
        </w:rPr>
        <w:t xml:space="preserve"> </w:t>
      </w:r>
      <w:r w:rsidRPr="009568B8">
        <w:rPr>
          <w:rFonts w:ascii="Georgia" w:hAnsi="Georgia"/>
          <w:sz w:val="18"/>
          <w:szCs w:val="18"/>
        </w:rPr>
        <w:t xml:space="preserve"> In </w:t>
      </w:r>
      <w:smartTag w:uri="urn:schemas-microsoft-com:office:smarttags" w:element="place">
        <w:smartTag w:uri="urn:schemas-microsoft-com:office:smarttags" w:element="country-region">
          <w:r w:rsidRPr="009568B8">
            <w:rPr>
              <w:rFonts w:ascii="Georgia" w:hAnsi="Georgia"/>
              <w:sz w:val="18"/>
              <w:szCs w:val="18"/>
            </w:rPr>
            <w:t>Indonesia</w:t>
          </w:r>
        </w:smartTag>
      </w:smartTag>
      <w:r w:rsidRPr="009568B8">
        <w:rPr>
          <w:rFonts w:ascii="Georgia" w:hAnsi="Georgia"/>
          <w:sz w:val="18"/>
          <w:szCs w:val="18"/>
        </w:rPr>
        <w:t xml:space="preserve">, over 15,600 people were receiving antiretroviral treatment in December 2009, a 50% increased in a year. </w:t>
      </w:r>
      <w:r w:rsidR="00E451C3">
        <w:rPr>
          <w:rFonts w:ascii="Georgia" w:hAnsi="Georgia"/>
          <w:sz w:val="18"/>
          <w:szCs w:val="18"/>
        </w:rPr>
        <w:t xml:space="preserve"> </w:t>
      </w:r>
      <w:r w:rsidRPr="009568B8">
        <w:rPr>
          <w:rFonts w:ascii="Georgia" w:hAnsi="Georgia"/>
          <w:sz w:val="18"/>
          <w:szCs w:val="18"/>
        </w:rPr>
        <w:t xml:space="preserve">In the Greater Mekong sub region over 11,700 injecting drug users had access to harm reduction services in the second half of 2009, including clean needles and syringes, condoms, methadone treatment and primary health care. </w:t>
      </w:r>
      <w:r w:rsidR="00E451C3">
        <w:rPr>
          <w:rFonts w:ascii="Georgia" w:hAnsi="Georgia"/>
          <w:sz w:val="18"/>
          <w:szCs w:val="18"/>
        </w:rPr>
        <w:t xml:space="preserve"> </w:t>
      </w:r>
      <w:r w:rsidR="00732C39">
        <w:rPr>
          <w:rFonts w:ascii="Georgia" w:hAnsi="Georgia"/>
          <w:sz w:val="18"/>
          <w:szCs w:val="18"/>
        </w:rPr>
        <w:t>Funding to UNAIDS contributed to ongoing advocacy efforts</w:t>
      </w:r>
      <w:r w:rsidR="00BC47FD">
        <w:rPr>
          <w:rFonts w:ascii="Georgia" w:hAnsi="Georgia"/>
          <w:sz w:val="18"/>
          <w:szCs w:val="18"/>
        </w:rPr>
        <w:t>.</w:t>
      </w:r>
      <w:r w:rsidR="00E451C3">
        <w:rPr>
          <w:rFonts w:ascii="Georgia" w:hAnsi="Georgia"/>
          <w:sz w:val="18"/>
          <w:szCs w:val="18"/>
        </w:rPr>
        <w:t xml:space="preserve"> </w:t>
      </w:r>
      <w:r w:rsidR="00BC47FD">
        <w:rPr>
          <w:rFonts w:ascii="Georgia" w:hAnsi="Georgia"/>
          <w:sz w:val="18"/>
          <w:szCs w:val="18"/>
        </w:rPr>
        <w:t xml:space="preserve"> </w:t>
      </w:r>
      <w:r w:rsidR="00365F97">
        <w:rPr>
          <w:rFonts w:ascii="Georgia" w:hAnsi="Georgia"/>
          <w:sz w:val="18"/>
          <w:szCs w:val="18"/>
        </w:rPr>
        <w:t xml:space="preserve">In 2009 for example, the report of the Commission on AIDS in the Pacific was launched, drawing global attention </w:t>
      </w:r>
      <w:r w:rsidR="00440CF6">
        <w:rPr>
          <w:rFonts w:ascii="Georgia" w:hAnsi="Georgia"/>
          <w:sz w:val="18"/>
          <w:szCs w:val="18"/>
        </w:rPr>
        <w:t xml:space="preserve">to </w:t>
      </w:r>
      <w:smartTag w:uri="urn:schemas-microsoft-com:office:smarttags" w:element="country-region">
        <w:smartTag w:uri="urn:schemas-microsoft-com:office:smarttags" w:element="place">
          <w:r w:rsidR="00440CF6">
            <w:rPr>
              <w:rFonts w:ascii="Georgia" w:hAnsi="Georgia"/>
              <w:sz w:val="18"/>
              <w:szCs w:val="18"/>
            </w:rPr>
            <w:t>Papua</w:t>
          </w:r>
          <w:r w:rsidR="00365F97">
            <w:rPr>
              <w:rFonts w:ascii="Georgia" w:hAnsi="Georgia"/>
              <w:sz w:val="18"/>
              <w:szCs w:val="18"/>
            </w:rPr>
            <w:t xml:space="preserve"> New Guinea</w:t>
          </w:r>
        </w:smartTag>
      </w:smartTag>
      <w:r w:rsidR="00365F97">
        <w:rPr>
          <w:rFonts w:ascii="Georgia" w:hAnsi="Georgia"/>
          <w:sz w:val="18"/>
          <w:szCs w:val="18"/>
        </w:rPr>
        <w:t xml:space="preserve">’s HIV epidemic. </w:t>
      </w:r>
    </w:p>
    <w:p w:rsidR="009568B8" w:rsidRDefault="009568B8" w:rsidP="008237E2">
      <w:pPr>
        <w:spacing w:before="240" w:after="80" w:line="280" w:lineRule="atLeast"/>
        <w:jc w:val="both"/>
        <w:rPr>
          <w:rFonts w:ascii="Georgia" w:hAnsi="Georgia"/>
          <w:sz w:val="18"/>
          <w:szCs w:val="18"/>
        </w:rPr>
      </w:pPr>
      <w:r w:rsidRPr="009568B8">
        <w:rPr>
          <w:rFonts w:ascii="Georgia" w:hAnsi="Georgia"/>
          <w:sz w:val="18"/>
          <w:szCs w:val="18"/>
        </w:rPr>
        <w:t xml:space="preserve">In the </w:t>
      </w:r>
      <w:smartTag w:uri="urn:schemas-microsoft-com:office:smarttags" w:element="country-region">
        <w:r w:rsidRPr="009568B8">
          <w:rPr>
            <w:rFonts w:ascii="Georgia" w:hAnsi="Georgia"/>
            <w:sz w:val="18"/>
            <w:szCs w:val="18"/>
          </w:rPr>
          <w:t>Solomon Islands</w:t>
        </w:r>
      </w:smartTag>
      <w:r w:rsidRPr="009568B8">
        <w:rPr>
          <w:rFonts w:ascii="Georgia" w:hAnsi="Georgia"/>
          <w:sz w:val="18"/>
          <w:szCs w:val="18"/>
        </w:rPr>
        <w:t xml:space="preserve"> and </w:t>
      </w:r>
      <w:smartTag w:uri="urn:schemas-microsoft-com:office:smarttags" w:element="place">
        <w:smartTag w:uri="urn:schemas-microsoft-com:office:smarttags" w:element="country-region">
          <w:r w:rsidRPr="009568B8">
            <w:rPr>
              <w:rFonts w:ascii="Georgia" w:hAnsi="Georgia"/>
              <w:sz w:val="18"/>
              <w:szCs w:val="18"/>
            </w:rPr>
            <w:t>Vanuatu</w:t>
          </w:r>
        </w:smartTag>
      </w:smartTag>
      <w:r w:rsidRPr="009568B8">
        <w:rPr>
          <w:rFonts w:ascii="Georgia" w:hAnsi="Georgia"/>
          <w:sz w:val="18"/>
          <w:szCs w:val="18"/>
        </w:rPr>
        <w:t xml:space="preserve">, AusAID’s Pacific Malaria Initiative has effectively complemented </w:t>
      </w:r>
      <w:r w:rsidRPr="00607CB0">
        <w:rPr>
          <w:rFonts w:ascii="Georgia" w:hAnsi="Georgia"/>
          <w:sz w:val="18"/>
          <w:szCs w:val="18"/>
        </w:rPr>
        <w:t xml:space="preserve">Global Fund support and helped increased the coverage of malaria control </w:t>
      </w:r>
      <w:r w:rsidRPr="00607CB0">
        <w:rPr>
          <w:rFonts w:ascii="Georgia" w:hAnsi="Georgia"/>
          <w:sz w:val="18"/>
          <w:szCs w:val="18"/>
        </w:rPr>
        <w:lastRenderedPageBreak/>
        <w:t xml:space="preserve">interventions such as insecticide treated bed nets. </w:t>
      </w:r>
      <w:r w:rsidR="00E451C3">
        <w:rPr>
          <w:rFonts w:ascii="Georgia" w:hAnsi="Georgia"/>
          <w:sz w:val="18"/>
          <w:szCs w:val="18"/>
        </w:rPr>
        <w:t xml:space="preserve"> </w:t>
      </w:r>
      <w:r w:rsidRPr="00607CB0">
        <w:rPr>
          <w:rFonts w:ascii="Georgia" w:hAnsi="Georgia"/>
          <w:sz w:val="18"/>
          <w:szCs w:val="18"/>
        </w:rPr>
        <w:t xml:space="preserve">The number of malaria cases has halved from 199 to 77 per 100,000 in the </w:t>
      </w:r>
      <w:smartTag w:uri="urn:schemas-microsoft-com:office:smarttags" w:element="country-region">
        <w:r w:rsidRPr="00607CB0">
          <w:rPr>
            <w:rFonts w:ascii="Georgia" w:hAnsi="Georgia"/>
            <w:sz w:val="18"/>
            <w:szCs w:val="18"/>
          </w:rPr>
          <w:t>Solomon Islands</w:t>
        </w:r>
      </w:smartTag>
      <w:r w:rsidRPr="00607CB0">
        <w:rPr>
          <w:rFonts w:ascii="Georgia" w:hAnsi="Georgia"/>
          <w:sz w:val="18"/>
          <w:szCs w:val="18"/>
        </w:rPr>
        <w:t xml:space="preserve"> between 2003 and 2009, and by 80% to per 100,000 in </w:t>
      </w:r>
      <w:smartTag w:uri="urn:schemas-microsoft-com:office:smarttags" w:element="country-region">
        <w:smartTag w:uri="urn:schemas-microsoft-com:office:smarttags" w:element="place">
          <w:r w:rsidRPr="00607CB0">
            <w:rPr>
              <w:rFonts w:ascii="Georgia" w:hAnsi="Georgia"/>
              <w:sz w:val="18"/>
              <w:szCs w:val="18"/>
            </w:rPr>
            <w:t>Vanuatu</w:t>
          </w:r>
        </w:smartTag>
      </w:smartTag>
      <w:r w:rsidRPr="00607CB0">
        <w:rPr>
          <w:rFonts w:ascii="Georgia" w:hAnsi="Georgia"/>
          <w:sz w:val="18"/>
          <w:szCs w:val="18"/>
        </w:rPr>
        <w:t xml:space="preserve"> in the same period.</w:t>
      </w:r>
      <w:r w:rsidRPr="009568B8">
        <w:rPr>
          <w:rFonts w:ascii="Georgia" w:hAnsi="Georgia"/>
          <w:sz w:val="18"/>
          <w:szCs w:val="18"/>
        </w:rPr>
        <w:t xml:space="preserve"> </w:t>
      </w:r>
    </w:p>
    <w:p w:rsidR="00581C8A" w:rsidRPr="00581C8A" w:rsidRDefault="00F5217F" w:rsidP="008237E2">
      <w:pPr>
        <w:pStyle w:val="H3"/>
        <w:spacing w:before="120" w:after="120"/>
      </w:pPr>
      <w:bookmarkStart w:id="13" w:name="_Toc360998874"/>
      <w:bookmarkStart w:id="14" w:name="_Toc361000217"/>
      <w:r w:rsidRPr="00581C8A">
        <w:t>E</w:t>
      </w:r>
      <w:r w:rsidR="00FE0170" w:rsidRPr="00581C8A">
        <w:t>merging Infectious Diseases (EID) and Non-Communicable Diseases (NCD)</w:t>
      </w:r>
      <w:bookmarkEnd w:id="13"/>
      <w:bookmarkEnd w:id="14"/>
    </w:p>
    <w:p w:rsidR="006F79EB" w:rsidRDefault="009568B8" w:rsidP="008237E2">
      <w:pPr>
        <w:spacing w:before="240" w:after="80" w:line="280" w:lineRule="atLeast"/>
        <w:jc w:val="both"/>
        <w:rPr>
          <w:rFonts w:ascii="Georgia" w:hAnsi="Georgia"/>
          <w:sz w:val="18"/>
          <w:szCs w:val="18"/>
        </w:rPr>
      </w:pPr>
      <w:r w:rsidRPr="009568B8">
        <w:rPr>
          <w:rFonts w:ascii="Georgia" w:hAnsi="Georgia"/>
          <w:sz w:val="18"/>
          <w:szCs w:val="18"/>
        </w:rPr>
        <w:t xml:space="preserve">AusAID funding to combat </w:t>
      </w:r>
      <w:r w:rsidRPr="009568B8">
        <w:rPr>
          <w:rFonts w:ascii="Georgia" w:hAnsi="Georgia"/>
          <w:b/>
          <w:bCs/>
          <w:sz w:val="18"/>
          <w:szCs w:val="18"/>
        </w:rPr>
        <w:t xml:space="preserve">pandemics and emerging infectious diseases </w:t>
      </w:r>
      <w:r w:rsidRPr="009568B8">
        <w:rPr>
          <w:rFonts w:ascii="Georgia" w:hAnsi="Georgia"/>
          <w:sz w:val="18"/>
          <w:szCs w:val="18"/>
        </w:rPr>
        <w:t xml:space="preserve">in the Asia Pacific region has improved surveillance and response to infectious disease threats, and better detection and diagnosis of diseases with pandemic potential such as Pandemic (H1N1) 2009. </w:t>
      </w:r>
      <w:r w:rsidR="006F79EB">
        <w:rPr>
          <w:rFonts w:ascii="Georgia" w:hAnsi="Georgia"/>
          <w:sz w:val="18"/>
          <w:szCs w:val="18"/>
        </w:rPr>
        <w:t xml:space="preserve"> Support to WHO facilitated the establishment of field epidemiology training programs in countries like Lao PDR, which will address significant public health human resource needs in dealing with infectious diseases. </w:t>
      </w:r>
    </w:p>
    <w:p w:rsidR="009568B8" w:rsidRPr="009568B8" w:rsidRDefault="009568B8" w:rsidP="009568B8">
      <w:pPr>
        <w:spacing w:before="80" w:after="80" w:line="280" w:lineRule="atLeast"/>
        <w:jc w:val="both"/>
        <w:rPr>
          <w:rFonts w:ascii="Georgia" w:hAnsi="Georgia"/>
          <w:sz w:val="18"/>
          <w:szCs w:val="18"/>
        </w:rPr>
      </w:pPr>
      <w:r w:rsidRPr="009568B8">
        <w:rPr>
          <w:rFonts w:ascii="Georgia" w:hAnsi="Georgia"/>
          <w:sz w:val="18"/>
          <w:szCs w:val="18"/>
        </w:rPr>
        <w:t xml:space="preserve">On the </w:t>
      </w:r>
      <w:r w:rsidRPr="009568B8">
        <w:rPr>
          <w:rFonts w:ascii="Georgia" w:hAnsi="Georgia"/>
          <w:b/>
          <w:bCs/>
          <w:sz w:val="18"/>
          <w:szCs w:val="18"/>
        </w:rPr>
        <w:t>non communicable diseases</w:t>
      </w:r>
      <w:r w:rsidRPr="009568B8">
        <w:rPr>
          <w:rFonts w:ascii="Georgia" w:hAnsi="Georgia"/>
          <w:sz w:val="18"/>
          <w:szCs w:val="18"/>
        </w:rPr>
        <w:t xml:space="preserve"> side, the Pacific 22-1-2 program is helping </w:t>
      </w:r>
      <w:smartTag w:uri="urn:schemas-microsoft-com:office:smarttags" w:element="place">
        <w:smartTag w:uri="urn:schemas-microsoft-com:office:smarttags" w:element="PlaceName">
          <w:r w:rsidRPr="009568B8">
            <w:rPr>
              <w:rFonts w:ascii="Georgia" w:hAnsi="Georgia"/>
              <w:sz w:val="18"/>
              <w:szCs w:val="18"/>
            </w:rPr>
            <w:t>Pacific</w:t>
          </w:r>
        </w:smartTag>
        <w:r w:rsidRPr="009568B8">
          <w:rPr>
            <w:rFonts w:ascii="Georgia" w:hAnsi="Georgia"/>
            <w:sz w:val="18"/>
            <w:szCs w:val="18"/>
          </w:rPr>
          <w:t xml:space="preserve"> </w:t>
        </w:r>
        <w:smartTag w:uri="urn:schemas-microsoft-com:office:smarttags" w:element="PlaceType">
          <w:r w:rsidRPr="009568B8">
            <w:rPr>
              <w:rFonts w:ascii="Georgia" w:hAnsi="Georgia"/>
              <w:sz w:val="18"/>
              <w:szCs w:val="18"/>
            </w:rPr>
            <w:t>Island</w:t>
          </w:r>
        </w:smartTag>
      </w:smartTag>
      <w:r w:rsidRPr="009568B8">
        <w:rPr>
          <w:rFonts w:ascii="Georgia" w:hAnsi="Georgia"/>
          <w:sz w:val="18"/>
          <w:szCs w:val="18"/>
        </w:rPr>
        <w:t xml:space="preserve"> countries and territories develop and implement national priorities. </w:t>
      </w:r>
      <w:r w:rsidR="00E451C3">
        <w:rPr>
          <w:rFonts w:ascii="Georgia" w:hAnsi="Georgia"/>
          <w:sz w:val="18"/>
          <w:szCs w:val="18"/>
        </w:rPr>
        <w:t xml:space="preserve"> </w:t>
      </w:r>
      <w:r w:rsidRPr="009568B8">
        <w:rPr>
          <w:rFonts w:ascii="Georgia" w:hAnsi="Georgia"/>
          <w:sz w:val="18"/>
          <w:szCs w:val="18"/>
        </w:rPr>
        <w:t xml:space="preserve">The Tonga Health Promotion Foundation was established in 2009 and will help support healthy lifestyle activities in that country. </w:t>
      </w:r>
      <w:r w:rsidR="00E451C3">
        <w:rPr>
          <w:rFonts w:ascii="Georgia" w:hAnsi="Georgia"/>
          <w:sz w:val="18"/>
          <w:szCs w:val="18"/>
        </w:rPr>
        <w:t xml:space="preserve"> </w:t>
      </w:r>
      <w:r w:rsidRPr="009568B8">
        <w:rPr>
          <w:rFonts w:ascii="Georgia" w:hAnsi="Georgia"/>
          <w:sz w:val="18"/>
          <w:szCs w:val="18"/>
        </w:rPr>
        <w:t xml:space="preserve">The </w:t>
      </w:r>
      <w:smartTag w:uri="urn:schemas-microsoft-com:office:smarttags" w:element="place">
        <w:r w:rsidRPr="009568B8">
          <w:rPr>
            <w:rFonts w:ascii="Georgia" w:hAnsi="Georgia"/>
            <w:sz w:val="18"/>
            <w:szCs w:val="18"/>
          </w:rPr>
          <w:t>Cook Islands</w:t>
        </w:r>
      </w:smartTag>
      <w:r w:rsidRPr="009568B8">
        <w:rPr>
          <w:rFonts w:ascii="Georgia" w:hAnsi="Georgia"/>
          <w:sz w:val="18"/>
          <w:szCs w:val="18"/>
        </w:rPr>
        <w:t xml:space="preserve"> “Avarua Health Promoting School Program” achieved a decrease in the percentage of overweight students from 27% to 21% in just one year. </w:t>
      </w:r>
    </w:p>
    <w:p w:rsidR="001837ED" w:rsidRPr="00BB6A35" w:rsidRDefault="001837ED" w:rsidP="008237E2">
      <w:pPr>
        <w:pStyle w:val="Heading2"/>
        <w:keepLines/>
        <w:numPr>
          <w:ilvl w:val="0"/>
          <w:numId w:val="0"/>
        </w:numPr>
      </w:pPr>
      <w:bookmarkStart w:id="15" w:name="_Toc360998875"/>
      <w:bookmarkStart w:id="16" w:name="_Toc361000218"/>
      <w:r>
        <w:t>Portfolio Review</w:t>
      </w:r>
      <w:r w:rsidR="00F5217F">
        <w:t>: Lessons a</w:t>
      </w:r>
      <w:bookmarkStart w:id="17" w:name="_GoBack"/>
      <w:bookmarkEnd w:id="17"/>
      <w:r w:rsidR="00F5217F">
        <w:t>nd Challenges</w:t>
      </w:r>
      <w:bookmarkEnd w:id="15"/>
      <w:bookmarkEnd w:id="16"/>
    </w:p>
    <w:p w:rsidR="001837ED" w:rsidRDefault="00607CB0" w:rsidP="008237E2">
      <w:pPr>
        <w:spacing w:before="180" w:after="80" w:line="280" w:lineRule="atLeast"/>
        <w:jc w:val="both"/>
        <w:rPr>
          <w:rFonts w:ascii="Georgia" w:hAnsi="Georgia"/>
          <w:sz w:val="18"/>
          <w:szCs w:val="18"/>
        </w:rPr>
      </w:pPr>
      <w:r>
        <w:rPr>
          <w:rFonts w:ascii="Georgia" w:hAnsi="Georgia"/>
          <w:sz w:val="18"/>
          <w:szCs w:val="18"/>
        </w:rPr>
        <w:t xml:space="preserve">Table 1 </w:t>
      </w:r>
      <w:r w:rsidR="007D4D1B">
        <w:rPr>
          <w:rFonts w:ascii="Georgia" w:hAnsi="Georgia"/>
          <w:sz w:val="18"/>
          <w:szCs w:val="18"/>
        </w:rPr>
        <w:t xml:space="preserve">below </w:t>
      </w:r>
      <w:r w:rsidR="00357DD1">
        <w:rPr>
          <w:rFonts w:ascii="Georgia" w:hAnsi="Georgia"/>
          <w:sz w:val="18"/>
          <w:szCs w:val="18"/>
        </w:rPr>
        <w:t xml:space="preserve">shows that most </w:t>
      </w:r>
      <w:r w:rsidR="001837ED">
        <w:rPr>
          <w:rFonts w:ascii="Georgia" w:hAnsi="Georgia"/>
          <w:sz w:val="18"/>
          <w:szCs w:val="18"/>
        </w:rPr>
        <w:t xml:space="preserve">bilateral </w:t>
      </w:r>
      <w:r w:rsidR="00FE0170">
        <w:rPr>
          <w:rFonts w:ascii="Georgia" w:hAnsi="Georgia"/>
          <w:sz w:val="18"/>
          <w:szCs w:val="18"/>
        </w:rPr>
        <w:t>program</w:t>
      </w:r>
      <w:r w:rsidR="00357DD1">
        <w:rPr>
          <w:rFonts w:ascii="Georgia" w:hAnsi="Georgia"/>
          <w:sz w:val="18"/>
          <w:szCs w:val="18"/>
        </w:rPr>
        <w:t xml:space="preserve"> objectives are on track or partly achieved. </w:t>
      </w:r>
      <w:r w:rsidR="00E451C3">
        <w:rPr>
          <w:rFonts w:ascii="Georgia" w:hAnsi="Georgia"/>
          <w:sz w:val="18"/>
          <w:szCs w:val="18"/>
        </w:rPr>
        <w:t xml:space="preserve"> </w:t>
      </w:r>
      <w:r w:rsidR="003B7912">
        <w:rPr>
          <w:rFonts w:ascii="Georgia" w:hAnsi="Georgia"/>
          <w:sz w:val="18"/>
          <w:szCs w:val="18"/>
        </w:rPr>
        <w:t xml:space="preserve">The analysis highlights </w:t>
      </w:r>
      <w:r w:rsidR="003B7912">
        <w:t xml:space="preserve">significant constraints to achieving the stated </w:t>
      </w:r>
      <w:r w:rsidR="003B7912" w:rsidRPr="006D2818">
        <w:t xml:space="preserve">objectives </w:t>
      </w:r>
      <w:r w:rsidR="003B7912">
        <w:rPr>
          <w:rFonts w:ascii="Georgia" w:hAnsi="Georgia"/>
          <w:sz w:val="18"/>
          <w:szCs w:val="18"/>
        </w:rPr>
        <w:t xml:space="preserve">in </w:t>
      </w:r>
      <w:r w:rsidR="001837ED">
        <w:rPr>
          <w:rFonts w:ascii="Georgia" w:hAnsi="Georgia"/>
          <w:sz w:val="18"/>
          <w:szCs w:val="18"/>
        </w:rPr>
        <w:t xml:space="preserve">countries such as </w:t>
      </w:r>
      <w:r w:rsidR="003B7912">
        <w:rPr>
          <w:rFonts w:ascii="Georgia" w:hAnsi="Georgia"/>
          <w:sz w:val="18"/>
          <w:szCs w:val="18"/>
        </w:rPr>
        <w:t xml:space="preserve">PNG and </w:t>
      </w:r>
      <w:smartTag w:uri="urn:schemas-microsoft-com:office:smarttags" w:element="place">
        <w:r w:rsidR="003B7912">
          <w:rPr>
            <w:rFonts w:ascii="Georgia" w:hAnsi="Georgia"/>
            <w:sz w:val="18"/>
            <w:szCs w:val="18"/>
          </w:rPr>
          <w:t>East Timor</w:t>
        </w:r>
      </w:smartTag>
      <w:r w:rsidR="003B7912">
        <w:rPr>
          <w:rFonts w:ascii="Georgia" w:hAnsi="Georgia"/>
          <w:sz w:val="18"/>
          <w:szCs w:val="18"/>
        </w:rPr>
        <w:t>.   This is partly due to the</w:t>
      </w:r>
      <w:r w:rsidR="001837ED">
        <w:rPr>
          <w:rFonts w:ascii="Georgia" w:hAnsi="Georgia"/>
          <w:sz w:val="18"/>
          <w:szCs w:val="18"/>
        </w:rPr>
        <w:t xml:space="preserve"> high</w:t>
      </w:r>
      <w:r w:rsidR="003B7912">
        <w:rPr>
          <w:rFonts w:ascii="Georgia" w:hAnsi="Georgia"/>
          <w:sz w:val="18"/>
          <w:szCs w:val="18"/>
        </w:rPr>
        <w:t xml:space="preserve"> </w:t>
      </w:r>
      <w:r w:rsidR="001837ED">
        <w:rPr>
          <w:rFonts w:ascii="Georgia" w:hAnsi="Georgia"/>
          <w:sz w:val="18"/>
          <w:szCs w:val="18"/>
        </w:rPr>
        <w:t>ambition of these</w:t>
      </w:r>
      <w:r w:rsidR="003B7912">
        <w:rPr>
          <w:rFonts w:ascii="Georgia" w:hAnsi="Georgia"/>
          <w:sz w:val="18"/>
          <w:szCs w:val="18"/>
        </w:rPr>
        <w:t xml:space="preserve"> objectives in </w:t>
      </w:r>
      <w:r w:rsidR="00E61F1E">
        <w:rPr>
          <w:rFonts w:ascii="Georgia" w:hAnsi="Georgia"/>
          <w:sz w:val="18"/>
          <w:szCs w:val="18"/>
        </w:rPr>
        <w:t>challenging and</w:t>
      </w:r>
      <w:r w:rsidR="001837ED">
        <w:rPr>
          <w:rFonts w:ascii="Georgia" w:hAnsi="Georgia"/>
          <w:sz w:val="18"/>
          <w:szCs w:val="18"/>
        </w:rPr>
        <w:t xml:space="preserve"> resource constrained contexts</w:t>
      </w:r>
      <w:r w:rsidR="00E451C3">
        <w:rPr>
          <w:rFonts w:ascii="Georgia" w:hAnsi="Georgia"/>
          <w:sz w:val="18"/>
          <w:szCs w:val="18"/>
        </w:rPr>
        <w:t xml:space="preserve">. </w:t>
      </w:r>
      <w:r w:rsidR="003B7912">
        <w:rPr>
          <w:rFonts w:ascii="Georgia" w:hAnsi="Georgia"/>
          <w:sz w:val="18"/>
          <w:szCs w:val="18"/>
        </w:rPr>
        <w:t xml:space="preserve"> </w:t>
      </w:r>
      <w:r w:rsidR="001837ED">
        <w:rPr>
          <w:rFonts w:ascii="Georgia" w:hAnsi="Georgia"/>
          <w:sz w:val="18"/>
          <w:szCs w:val="18"/>
        </w:rPr>
        <w:t>In response</w:t>
      </w:r>
      <w:r w:rsidR="00E61F1E">
        <w:rPr>
          <w:rFonts w:ascii="Georgia" w:hAnsi="Georgia"/>
          <w:sz w:val="18"/>
          <w:szCs w:val="18"/>
        </w:rPr>
        <w:t>,</w:t>
      </w:r>
      <w:r w:rsidR="001837ED">
        <w:rPr>
          <w:rFonts w:ascii="Georgia" w:hAnsi="Georgia"/>
          <w:sz w:val="18"/>
          <w:szCs w:val="18"/>
        </w:rPr>
        <w:t xml:space="preserve"> </w:t>
      </w:r>
      <w:r w:rsidR="003B7912">
        <w:rPr>
          <w:rFonts w:ascii="Georgia" w:hAnsi="Georgia"/>
          <w:sz w:val="18"/>
          <w:szCs w:val="18"/>
        </w:rPr>
        <w:t>AusAID</w:t>
      </w:r>
      <w:r w:rsidR="00E61F1E">
        <w:rPr>
          <w:rFonts w:ascii="Georgia" w:hAnsi="Georgia"/>
          <w:sz w:val="18"/>
          <w:szCs w:val="18"/>
        </w:rPr>
        <w:t xml:space="preserve"> country teams </w:t>
      </w:r>
      <w:r w:rsidR="00F5217F">
        <w:rPr>
          <w:rFonts w:ascii="Georgia" w:hAnsi="Georgia"/>
          <w:sz w:val="18"/>
          <w:szCs w:val="18"/>
        </w:rPr>
        <w:t>have</w:t>
      </w:r>
      <w:r w:rsidR="003B7912">
        <w:rPr>
          <w:rFonts w:ascii="Georgia" w:hAnsi="Georgia"/>
          <w:sz w:val="18"/>
          <w:szCs w:val="18"/>
        </w:rPr>
        <w:t xml:space="preserve"> taken significant steps to work with government and other development partners to reorientate its sector programs to address critical health systems constraints</w:t>
      </w:r>
      <w:r w:rsidR="001837ED">
        <w:rPr>
          <w:rFonts w:ascii="Georgia" w:hAnsi="Georgia"/>
          <w:sz w:val="18"/>
          <w:szCs w:val="18"/>
        </w:rPr>
        <w:t xml:space="preserve">.  This includes </w:t>
      </w:r>
      <w:r w:rsidR="003B7912">
        <w:rPr>
          <w:rFonts w:ascii="Georgia" w:hAnsi="Georgia"/>
          <w:sz w:val="18"/>
          <w:szCs w:val="18"/>
        </w:rPr>
        <w:t>focusing on provincial and dis</w:t>
      </w:r>
      <w:r w:rsidR="00FE0170">
        <w:rPr>
          <w:rFonts w:ascii="Georgia" w:hAnsi="Georgia"/>
          <w:sz w:val="18"/>
          <w:szCs w:val="18"/>
        </w:rPr>
        <w:t>trict service delivery; improving monitoring and evaluation (M&amp;E);</w:t>
      </w:r>
      <w:r w:rsidR="003B7912">
        <w:rPr>
          <w:rFonts w:ascii="Georgia" w:hAnsi="Georgia"/>
          <w:sz w:val="18"/>
          <w:szCs w:val="18"/>
        </w:rPr>
        <w:t xml:space="preserve"> and addressing constraints to </w:t>
      </w:r>
      <w:r w:rsidR="001837ED">
        <w:rPr>
          <w:rFonts w:ascii="Georgia" w:hAnsi="Georgia"/>
          <w:sz w:val="18"/>
          <w:szCs w:val="18"/>
        </w:rPr>
        <w:t xml:space="preserve">the poor </w:t>
      </w:r>
      <w:r w:rsidR="003B7912">
        <w:rPr>
          <w:rFonts w:ascii="Georgia" w:hAnsi="Georgia"/>
          <w:sz w:val="18"/>
          <w:szCs w:val="18"/>
        </w:rPr>
        <w:t>accessing health services</w:t>
      </w:r>
      <w:r w:rsidR="001837ED">
        <w:rPr>
          <w:rFonts w:ascii="Georgia" w:hAnsi="Georgia"/>
          <w:sz w:val="18"/>
          <w:szCs w:val="18"/>
        </w:rPr>
        <w:t xml:space="preserve">. </w:t>
      </w:r>
      <w:r w:rsidR="00357DD1">
        <w:rPr>
          <w:rFonts w:ascii="Georgia" w:hAnsi="Georgia"/>
          <w:sz w:val="18"/>
          <w:szCs w:val="18"/>
        </w:rPr>
        <w:t xml:space="preserve"> </w:t>
      </w:r>
    </w:p>
    <w:p w:rsidR="00357DD1" w:rsidRDefault="00357DD1" w:rsidP="00D37AB8">
      <w:pPr>
        <w:spacing w:before="80" w:after="80" w:line="280" w:lineRule="atLeast"/>
        <w:jc w:val="both"/>
        <w:rPr>
          <w:rFonts w:ascii="Georgia" w:hAnsi="Georgia"/>
          <w:sz w:val="18"/>
          <w:szCs w:val="18"/>
        </w:rPr>
      </w:pPr>
      <w:r>
        <w:rPr>
          <w:rFonts w:ascii="Georgia" w:hAnsi="Georgia"/>
          <w:sz w:val="18"/>
          <w:szCs w:val="18"/>
        </w:rPr>
        <w:t>The Q</w:t>
      </w:r>
      <w:r w:rsidR="00CD1B73">
        <w:rPr>
          <w:rFonts w:ascii="Georgia" w:hAnsi="Georgia"/>
          <w:sz w:val="18"/>
          <w:szCs w:val="18"/>
        </w:rPr>
        <w:t xml:space="preserve">uality at Implementation (QAI) </w:t>
      </w:r>
      <w:r w:rsidR="003B7912">
        <w:rPr>
          <w:rFonts w:ascii="Georgia" w:hAnsi="Georgia"/>
          <w:sz w:val="18"/>
          <w:szCs w:val="18"/>
        </w:rPr>
        <w:t>summary</w:t>
      </w:r>
      <w:r w:rsidR="001837ED">
        <w:rPr>
          <w:rFonts w:ascii="Georgia" w:hAnsi="Georgia"/>
          <w:sz w:val="18"/>
          <w:szCs w:val="18"/>
        </w:rPr>
        <w:t xml:space="preserve"> </w:t>
      </w:r>
      <w:r w:rsidR="00607CB0">
        <w:rPr>
          <w:rFonts w:ascii="Georgia" w:hAnsi="Georgia"/>
          <w:sz w:val="18"/>
          <w:szCs w:val="18"/>
        </w:rPr>
        <w:t xml:space="preserve">(Table 2) </w:t>
      </w:r>
      <w:r w:rsidR="001837ED">
        <w:rPr>
          <w:rFonts w:ascii="Georgia" w:hAnsi="Georgia"/>
          <w:sz w:val="18"/>
          <w:szCs w:val="18"/>
        </w:rPr>
        <w:t>shows that the focus of the bilateral program is highly relevant to AusAID</w:t>
      </w:r>
      <w:r w:rsidR="00FE0170">
        <w:rPr>
          <w:rFonts w:ascii="Georgia" w:hAnsi="Georgia"/>
          <w:sz w:val="18"/>
          <w:szCs w:val="18"/>
        </w:rPr>
        <w:t>’</w:t>
      </w:r>
      <w:r w:rsidR="001837ED">
        <w:rPr>
          <w:rFonts w:ascii="Georgia" w:hAnsi="Georgia"/>
          <w:sz w:val="18"/>
          <w:szCs w:val="18"/>
        </w:rPr>
        <w:t>s overall objectives in health.  However, it</w:t>
      </w:r>
      <w:r w:rsidR="003B7912">
        <w:rPr>
          <w:rFonts w:ascii="Georgia" w:hAnsi="Georgia"/>
          <w:sz w:val="18"/>
          <w:szCs w:val="18"/>
        </w:rPr>
        <w:t xml:space="preserve"> highlights</w:t>
      </w:r>
      <w:r>
        <w:rPr>
          <w:rFonts w:ascii="Georgia" w:hAnsi="Georgia"/>
          <w:sz w:val="18"/>
          <w:szCs w:val="18"/>
        </w:rPr>
        <w:t xml:space="preserve"> </w:t>
      </w:r>
      <w:r w:rsidR="00FE0170">
        <w:rPr>
          <w:rFonts w:ascii="Georgia" w:hAnsi="Georgia"/>
          <w:sz w:val="18"/>
          <w:szCs w:val="18"/>
        </w:rPr>
        <w:t>M&amp;E</w:t>
      </w:r>
      <w:r w:rsidR="001837ED">
        <w:rPr>
          <w:rFonts w:ascii="Georgia" w:hAnsi="Georgia"/>
          <w:sz w:val="18"/>
          <w:szCs w:val="18"/>
        </w:rPr>
        <w:t xml:space="preserve"> and </w:t>
      </w:r>
      <w:r w:rsidR="00E61F1E">
        <w:rPr>
          <w:rFonts w:ascii="Georgia" w:hAnsi="Georgia"/>
          <w:sz w:val="18"/>
          <w:szCs w:val="18"/>
        </w:rPr>
        <w:t>“</w:t>
      </w:r>
      <w:r>
        <w:rPr>
          <w:rFonts w:ascii="Georgia" w:hAnsi="Georgia"/>
          <w:sz w:val="18"/>
          <w:szCs w:val="18"/>
        </w:rPr>
        <w:t>sustainability</w:t>
      </w:r>
      <w:r w:rsidR="00E61F1E">
        <w:rPr>
          <w:rFonts w:ascii="Georgia" w:hAnsi="Georgia"/>
          <w:sz w:val="18"/>
          <w:szCs w:val="18"/>
        </w:rPr>
        <w:t>”</w:t>
      </w:r>
      <w:r>
        <w:rPr>
          <w:rFonts w:ascii="Georgia" w:hAnsi="Georgia"/>
          <w:sz w:val="18"/>
          <w:szCs w:val="18"/>
        </w:rPr>
        <w:t xml:space="preserve"> as critical issue</w:t>
      </w:r>
      <w:r w:rsidR="001837ED">
        <w:rPr>
          <w:rFonts w:ascii="Georgia" w:hAnsi="Georgia"/>
          <w:sz w:val="18"/>
          <w:szCs w:val="18"/>
        </w:rPr>
        <w:t>s</w:t>
      </w:r>
      <w:r>
        <w:rPr>
          <w:rFonts w:ascii="Georgia" w:hAnsi="Georgia"/>
          <w:sz w:val="18"/>
          <w:szCs w:val="18"/>
        </w:rPr>
        <w:t xml:space="preserve"> </w:t>
      </w:r>
      <w:r w:rsidR="00F5217F">
        <w:rPr>
          <w:rFonts w:ascii="Georgia" w:hAnsi="Georgia"/>
          <w:sz w:val="18"/>
          <w:szCs w:val="18"/>
        </w:rPr>
        <w:t>to address.  This means</w:t>
      </w:r>
      <w:r w:rsidR="001837ED">
        <w:rPr>
          <w:rFonts w:ascii="Georgia" w:hAnsi="Georgia"/>
          <w:sz w:val="18"/>
          <w:szCs w:val="18"/>
        </w:rPr>
        <w:t xml:space="preserve"> 1) ensuring we have logical M&amp;E frameworks with quantifiable indicators and baselines in place</w:t>
      </w:r>
      <w:r w:rsidR="00E61F1E">
        <w:rPr>
          <w:rFonts w:ascii="Georgia" w:hAnsi="Georgia"/>
          <w:sz w:val="18"/>
          <w:szCs w:val="18"/>
        </w:rPr>
        <w:t xml:space="preserve"> for all program</w:t>
      </w:r>
      <w:r w:rsidR="00FE0170">
        <w:rPr>
          <w:rFonts w:ascii="Georgia" w:hAnsi="Georgia"/>
          <w:sz w:val="18"/>
          <w:szCs w:val="18"/>
        </w:rPr>
        <w:t>s</w:t>
      </w:r>
      <w:r w:rsidR="00E61F1E">
        <w:rPr>
          <w:rFonts w:ascii="Georgia" w:hAnsi="Georgia"/>
          <w:sz w:val="18"/>
          <w:szCs w:val="18"/>
        </w:rPr>
        <w:t>. In most cases these should be developed with counterpart gover</w:t>
      </w:r>
      <w:r w:rsidR="00842048">
        <w:rPr>
          <w:rFonts w:ascii="Georgia" w:hAnsi="Georgia"/>
          <w:sz w:val="18"/>
          <w:szCs w:val="18"/>
        </w:rPr>
        <w:t>nments and development partners;</w:t>
      </w:r>
      <w:r w:rsidR="00E451C3">
        <w:rPr>
          <w:rFonts w:ascii="Georgia" w:hAnsi="Georgia"/>
          <w:sz w:val="18"/>
          <w:szCs w:val="18"/>
        </w:rPr>
        <w:t xml:space="preserve"> </w:t>
      </w:r>
      <w:r w:rsidR="00842048">
        <w:rPr>
          <w:rFonts w:ascii="Georgia" w:hAnsi="Georgia"/>
          <w:sz w:val="18"/>
          <w:szCs w:val="18"/>
        </w:rPr>
        <w:t xml:space="preserve"> a</w:t>
      </w:r>
      <w:r w:rsidR="00FE0170">
        <w:rPr>
          <w:rFonts w:ascii="Georgia" w:hAnsi="Georgia"/>
          <w:sz w:val="18"/>
          <w:szCs w:val="18"/>
        </w:rPr>
        <w:t>nd</w:t>
      </w:r>
      <w:r w:rsidR="001837ED">
        <w:rPr>
          <w:rFonts w:ascii="Georgia" w:hAnsi="Georgia"/>
          <w:sz w:val="18"/>
          <w:szCs w:val="18"/>
        </w:rPr>
        <w:t xml:space="preserve"> 2) </w:t>
      </w:r>
      <w:r w:rsidR="003B7912">
        <w:rPr>
          <w:rFonts w:ascii="Georgia" w:hAnsi="Georgia"/>
          <w:sz w:val="18"/>
          <w:szCs w:val="18"/>
        </w:rPr>
        <w:t>structuring investments and policy engagement to ensure program</w:t>
      </w:r>
      <w:r w:rsidR="00E61F1E">
        <w:rPr>
          <w:rFonts w:ascii="Georgia" w:hAnsi="Georgia"/>
          <w:sz w:val="18"/>
          <w:szCs w:val="18"/>
        </w:rPr>
        <w:t xml:space="preserve">s </w:t>
      </w:r>
      <w:r w:rsidR="003B7912">
        <w:rPr>
          <w:rFonts w:ascii="Georgia" w:hAnsi="Georgia"/>
          <w:sz w:val="18"/>
          <w:szCs w:val="18"/>
        </w:rPr>
        <w:t>have an impact beyond the life of AusAID funding</w:t>
      </w:r>
      <w:r w:rsidR="00E61F1E">
        <w:rPr>
          <w:rFonts w:ascii="Georgia" w:hAnsi="Georgia"/>
          <w:sz w:val="18"/>
          <w:szCs w:val="18"/>
        </w:rPr>
        <w:t>.</w:t>
      </w:r>
      <w:r w:rsidR="00E451C3">
        <w:rPr>
          <w:rFonts w:ascii="Georgia" w:hAnsi="Georgia"/>
          <w:sz w:val="18"/>
          <w:szCs w:val="18"/>
        </w:rPr>
        <w:t xml:space="preserve"> </w:t>
      </w:r>
      <w:r w:rsidR="00E61F1E">
        <w:rPr>
          <w:rFonts w:ascii="Georgia" w:hAnsi="Georgia"/>
          <w:sz w:val="18"/>
          <w:szCs w:val="18"/>
        </w:rPr>
        <w:t xml:space="preserve"> In most cases</w:t>
      </w:r>
      <w:r w:rsidR="00FE0170">
        <w:rPr>
          <w:rFonts w:ascii="Georgia" w:hAnsi="Georgia"/>
          <w:sz w:val="18"/>
          <w:szCs w:val="18"/>
        </w:rPr>
        <w:t>, this</w:t>
      </w:r>
      <w:r w:rsidR="00E61F1E">
        <w:rPr>
          <w:rFonts w:ascii="Georgia" w:hAnsi="Georgia"/>
          <w:sz w:val="18"/>
          <w:szCs w:val="18"/>
        </w:rPr>
        <w:t xml:space="preserve"> means</w:t>
      </w:r>
      <w:r>
        <w:rPr>
          <w:rFonts w:ascii="Georgia" w:hAnsi="Georgia"/>
          <w:sz w:val="18"/>
          <w:szCs w:val="18"/>
        </w:rPr>
        <w:t xml:space="preserve"> </w:t>
      </w:r>
      <w:r w:rsidR="003B7912">
        <w:rPr>
          <w:rFonts w:ascii="Georgia" w:hAnsi="Georgia"/>
          <w:sz w:val="18"/>
          <w:szCs w:val="18"/>
        </w:rPr>
        <w:t>better integrat</w:t>
      </w:r>
      <w:r w:rsidR="00E61F1E">
        <w:rPr>
          <w:rFonts w:ascii="Georgia" w:hAnsi="Georgia"/>
          <w:sz w:val="18"/>
          <w:szCs w:val="18"/>
        </w:rPr>
        <w:t>ing</w:t>
      </w:r>
      <w:r w:rsidR="003B7912">
        <w:rPr>
          <w:rFonts w:ascii="Georgia" w:hAnsi="Georgia"/>
          <w:sz w:val="18"/>
          <w:szCs w:val="18"/>
        </w:rPr>
        <w:t xml:space="preserve"> </w:t>
      </w:r>
      <w:r w:rsidR="00E61F1E">
        <w:rPr>
          <w:rFonts w:ascii="Georgia" w:hAnsi="Georgia"/>
          <w:sz w:val="18"/>
          <w:szCs w:val="18"/>
        </w:rPr>
        <w:t xml:space="preserve">these investments </w:t>
      </w:r>
      <w:r w:rsidR="003B7912">
        <w:rPr>
          <w:rFonts w:ascii="Georgia" w:hAnsi="Georgia"/>
          <w:sz w:val="18"/>
          <w:szCs w:val="18"/>
        </w:rPr>
        <w:t>into countries own health reforms and delivery systems</w:t>
      </w:r>
      <w:r>
        <w:rPr>
          <w:rFonts w:ascii="Georgia" w:hAnsi="Georgia"/>
          <w:sz w:val="18"/>
          <w:szCs w:val="18"/>
        </w:rPr>
        <w:t xml:space="preserve">.  </w:t>
      </w:r>
    </w:p>
    <w:p w:rsidR="00F5217F" w:rsidRPr="009568B8" w:rsidRDefault="00D37AB8" w:rsidP="00F5217F">
      <w:pPr>
        <w:spacing w:before="80" w:after="80" w:line="280" w:lineRule="atLeast"/>
        <w:jc w:val="both"/>
        <w:rPr>
          <w:rFonts w:ascii="Georgia" w:hAnsi="Georgia"/>
          <w:sz w:val="18"/>
          <w:szCs w:val="18"/>
        </w:rPr>
      </w:pPr>
      <w:r>
        <w:rPr>
          <w:rFonts w:ascii="Georgia" w:hAnsi="Georgia"/>
          <w:sz w:val="18"/>
          <w:szCs w:val="18"/>
        </w:rPr>
        <w:t>Whilst, m</w:t>
      </w:r>
      <w:r w:rsidR="000C224E">
        <w:rPr>
          <w:rFonts w:ascii="Georgia" w:hAnsi="Georgia"/>
          <w:sz w:val="18"/>
          <w:szCs w:val="18"/>
        </w:rPr>
        <w:t>ultilateral partners</w:t>
      </w:r>
      <w:r w:rsidR="00183EEC">
        <w:rPr>
          <w:rFonts w:ascii="Georgia" w:hAnsi="Georgia"/>
          <w:sz w:val="18"/>
          <w:szCs w:val="18"/>
        </w:rPr>
        <w:t xml:space="preserve"> make a key contribution to AusAID’s health objectives</w:t>
      </w:r>
      <w:r>
        <w:rPr>
          <w:rFonts w:ascii="Georgia" w:hAnsi="Georgia"/>
          <w:sz w:val="18"/>
          <w:szCs w:val="18"/>
        </w:rPr>
        <w:t>,</w:t>
      </w:r>
      <w:r w:rsidR="00183EEC">
        <w:rPr>
          <w:rFonts w:ascii="Georgia" w:hAnsi="Georgia"/>
          <w:sz w:val="18"/>
          <w:szCs w:val="18"/>
        </w:rPr>
        <w:t xml:space="preserve"> </w:t>
      </w:r>
      <w:r>
        <w:rPr>
          <w:rFonts w:ascii="Georgia" w:hAnsi="Georgia"/>
          <w:sz w:val="18"/>
          <w:szCs w:val="18"/>
        </w:rPr>
        <w:t>c</w:t>
      </w:r>
      <w:r w:rsidR="00183EEC">
        <w:rPr>
          <w:rFonts w:ascii="Georgia" w:hAnsi="Georgia"/>
          <w:sz w:val="18"/>
          <w:szCs w:val="18"/>
        </w:rPr>
        <w:t>hallenges remain</w:t>
      </w:r>
      <w:r>
        <w:rPr>
          <w:rFonts w:ascii="Georgia" w:hAnsi="Georgia"/>
          <w:sz w:val="18"/>
          <w:szCs w:val="18"/>
        </w:rPr>
        <w:t xml:space="preserve">.  </w:t>
      </w:r>
      <w:r w:rsidR="00E4668E">
        <w:rPr>
          <w:rFonts w:ascii="Georgia" w:hAnsi="Georgia"/>
          <w:sz w:val="18"/>
          <w:szCs w:val="18"/>
        </w:rPr>
        <w:t xml:space="preserve">Currently it is estimated that health aid is provided by a combination of 40 bilateral donors, 26 UN and other agencies, 20 global and regional funds and 90 global health initiatives.  </w:t>
      </w:r>
      <w:r>
        <w:rPr>
          <w:rFonts w:ascii="Georgia" w:hAnsi="Georgia"/>
          <w:sz w:val="18"/>
          <w:szCs w:val="18"/>
        </w:rPr>
        <w:t xml:space="preserve">A key issue is </w:t>
      </w:r>
      <w:r w:rsidR="00341813">
        <w:rPr>
          <w:rFonts w:ascii="Georgia" w:hAnsi="Georgia"/>
          <w:sz w:val="18"/>
          <w:szCs w:val="18"/>
        </w:rPr>
        <w:t xml:space="preserve">ensuring </w:t>
      </w:r>
      <w:r w:rsidR="000C224E">
        <w:rPr>
          <w:rFonts w:ascii="Georgia" w:hAnsi="Georgia"/>
          <w:sz w:val="18"/>
          <w:szCs w:val="18"/>
        </w:rPr>
        <w:t xml:space="preserve">funds channelled through organisations such as GAVI, the Global Fund and </w:t>
      </w:r>
      <w:r w:rsidR="00B008CC">
        <w:rPr>
          <w:rFonts w:ascii="Georgia" w:hAnsi="Georgia"/>
          <w:sz w:val="18"/>
          <w:szCs w:val="18"/>
        </w:rPr>
        <w:t xml:space="preserve">the UN </w:t>
      </w:r>
      <w:r w:rsidR="00B81C7C">
        <w:rPr>
          <w:rFonts w:ascii="Georgia" w:hAnsi="Georgia"/>
          <w:sz w:val="18"/>
          <w:szCs w:val="18"/>
        </w:rPr>
        <w:t>translate</w:t>
      </w:r>
      <w:r w:rsidR="000C224E">
        <w:rPr>
          <w:rFonts w:ascii="Georgia" w:hAnsi="Georgia"/>
          <w:sz w:val="18"/>
          <w:szCs w:val="18"/>
        </w:rPr>
        <w:t xml:space="preserve"> into </w:t>
      </w:r>
      <w:r w:rsidR="00B81C7C">
        <w:rPr>
          <w:rFonts w:ascii="Georgia" w:hAnsi="Georgia"/>
          <w:sz w:val="18"/>
          <w:szCs w:val="18"/>
        </w:rPr>
        <w:t xml:space="preserve">country level </w:t>
      </w:r>
      <w:r w:rsidR="000C224E">
        <w:rPr>
          <w:rFonts w:ascii="Georgia" w:hAnsi="Georgia"/>
          <w:sz w:val="18"/>
          <w:szCs w:val="18"/>
        </w:rPr>
        <w:t>support which is</w:t>
      </w:r>
      <w:r>
        <w:rPr>
          <w:rFonts w:ascii="Georgia" w:hAnsi="Georgia"/>
          <w:sz w:val="18"/>
          <w:szCs w:val="18"/>
        </w:rPr>
        <w:t xml:space="preserve"> </w:t>
      </w:r>
      <w:r w:rsidR="000C224E">
        <w:rPr>
          <w:rFonts w:ascii="Georgia" w:hAnsi="Georgia"/>
          <w:sz w:val="18"/>
          <w:szCs w:val="18"/>
        </w:rPr>
        <w:t>effective</w:t>
      </w:r>
      <w:r w:rsidR="007D4D1B">
        <w:rPr>
          <w:rFonts w:ascii="Georgia" w:hAnsi="Georgia"/>
          <w:sz w:val="18"/>
          <w:szCs w:val="18"/>
        </w:rPr>
        <w:t>ly</w:t>
      </w:r>
      <w:r>
        <w:rPr>
          <w:rFonts w:ascii="Georgia" w:hAnsi="Georgia"/>
          <w:sz w:val="18"/>
          <w:szCs w:val="18"/>
        </w:rPr>
        <w:t xml:space="preserve"> coordinated</w:t>
      </w:r>
      <w:r w:rsidR="000C224E">
        <w:rPr>
          <w:rFonts w:ascii="Georgia" w:hAnsi="Georgia"/>
          <w:sz w:val="18"/>
          <w:szCs w:val="18"/>
        </w:rPr>
        <w:t xml:space="preserve"> and aligned with national priorities.</w:t>
      </w:r>
      <w:r w:rsidR="00E451C3">
        <w:rPr>
          <w:rFonts w:ascii="Georgia" w:hAnsi="Georgia"/>
          <w:sz w:val="18"/>
          <w:szCs w:val="18"/>
        </w:rPr>
        <w:t xml:space="preserve"> </w:t>
      </w:r>
      <w:r w:rsidR="000C224E">
        <w:rPr>
          <w:rFonts w:ascii="Georgia" w:hAnsi="Georgia"/>
          <w:sz w:val="18"/>
          <w:szCs w:val="18"/>
        </w:rPr>
        <w:t xml:space="preserve"> </w:t>
      </w:r>
      <w:r w:rsidR="00AD5D15">
        <w:rPr>
          <w:rFonts w:ascii="Georgia" w:hAnsi="Georgia"/>
          <w:sz w:val="18"/>
          <w:szCs w:val="18"/>
        </w:rPr>
        <w:t xml:space="preserve">AusAID staff (including posts) must engage more proactively with </w:t>
      </w:r>
      <w:r w:rsidR="00EC24C4">
        <w:rPr>
          <w:rFonts w:ascii="Georgia" w:hAnsi="Georgia"/>
          <w:sz w:val="18"/>
          <w:szCs w:val="18"/>
        </w:rPr>
        <w:t xml:space="preserve">these organisations to </w:t>
      </w:r>
      <w:r w:rsidR="008C1BFD">
        <w:rPr>
          <w:rFonts w:ascii="Georgia" w:hAnsi="Georgia"/>
          <w:sz w:val="18"/>
          <w:szCs w:val="18"/>
        </w:rPr>
        <w:t xml:space="preserve">maximise </w:t>
      </w:r>
      <w:r w:rsidR="00481BA5">
        <w:rPr>
          <w:rFonts w:ascii="Georgia" w:hAnsi="Georgia"/>
          <w:sz w:val="18"/>
          <w:szCs w:val="18"/>
        </w:rPr>
        <w:t xml:space="preserve">the </w:t>
      </w:r>
      <w:r w:rsidR="00A67D01">
        <w:rPr>
          <w:rFonts w:ascii="Georgia" w:hAnsi="Georgia"/>
          <w:sz w:val="18"/>
          <w:szCs w:val="18"/>
        </w:rPr>
        <w:t xml:space="preserve">value for money from these partnerships. </w:t>
      </w:r>
    </w:p>
    <w:p w:rsidR="00156A18" w:rsidRDefault="00156A18" w:rsidP="00E46AD5">
      <w:pPr>
        <w:pStyle w:val="Caption"/>
        <w:keepLines/>
      </w:pPr>
      <w:r>
        <w:lastRenderedPageBreak/>
        <w:t xml:space="preserve">Table </w:t>
      </w:r>
      <w:fldSimple w:instr=" SEQ Table \* MERGEFORMAT ">
        <w:r w:rsidR="000835D2">
          <w:rPr>
            <w:noProof/>
          </w:rPr>
          <w:t>1</w:t>
        </w:r>
      </w:fldSimple>
      <w:r>
        <w:t xml:space="preserve">: Ratings of the program’s progress in 2009 towards </w:t>
      </w:r>
      <w:r w:rsidR="00347DB7">
        <w:t xml:space="preserve">AusAID </w:t>
      </w:r>
      <w:r w:rsidR="00740EC3">
        <w:t xml:space="preserve">Health </w:t>
      </w:r>
      <w:r w:rsidR="00347DB7">
        <w:t>Objectives</w:t>
      </w:r>
    </w:p>
    <w:tbl>
      <w:tblPr>
        <w:tblW w:w="8455" w:type="dxa"/>
        <w:tblInd w:w="10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025"/>
        <w:gridCol w:w="4118"/>
        <w:gridCol w:w="857"/>
        <w:gridCol w:w="600"/>
        <w:gridCol w:w="571"/>
        <w:gridCol w:w="642"/>
        <w:gridCol w:w="642"/>
      </w:tblGrid>
      <w:tr w:rsidR="00E5467C" w:rsidRPr="00D81B5B" w:rsidTr="004E6291">
        <w:trPr>
          <w:cantSplit/>
          <w:tblHeader/>
        </w:trPr>
        <w:tc>
          <w:tcPr>
            <w:tcW w:w="1025" w:type="dxa"/>
          </w:tcPr>
          <w:p w:rsidR="00834BB3" w:rsidRPr="00D81B5B" w:rsidRDefault="00834BB3">
            <w:pPr>
              <w:pStyle w:val="TableTextColumnHeading"/>
            </w:pPr>
            <w:r>
              <w:t>APPR Region or Country</w:t>
            </w:r>
          </w:p>
        </w:tc>
        <w:tc>
          <w:tcPr>
            <w:tcW w:w="4118" w:type="dxa"/>
            <w:shd w:val="clear" w:color="auto" w:fill="auto"/>
            <w:tcMar>
              <w:left w:w="57" w:type="dxa"/>
              <w:right w:w="57" w:type="dxa"/>
            </w:tcMar>
          </w:tcPr>
          <w:p w:rsidR="00834BB3" w:rsidRPr="00D81B5B" w:rsidRDefault="00834BB3" w:rsidP="004E6291">
            <w:pPr>
              <w:pStyle w:val="TableTextColumnHeading"/>
              <w:tabs>
                <w:tab w:val="left" w:pos="3240"/>
              </w:tabs>
            </w:pPr>
            <w:r w:rsidRPr="00D81B5B">
              <w:t>Objective</w:t>
            </w:r>
            <w:r w:rsidR="004E6291">
              <w:tab/>
            </w:r>
          </w:p>
        </w:tc>
        <w:tc>
          <w:tcPr>
            <w:tcW w:w="857" w:type="dxa"/>
            <w:tcMar>
              <w:left w:w="57" w:type="dxa"/>
              <w:right w:w="57" w:type="dxa"/>
            </w:tcMar>
          </w:tcPr>
          <w:p w:rsidR="00834BB3" w:rsidRPr="00D81B5B" w:rsidRDefault="00834BB3" w:rsidP="00BD4551">
            <w:pPr>
              <w:pStyle w:val="TableTextColumnHeading"/>
              <w:ind w:left="-64" w:right="-73"/>
              <w:jc w:val="center"/>
            </w:pPr>
            <w:r>
              <w:t>Rating in 2007-08</w:t>
            </w:r>
          </w:p>
        </w:tc>
        <w:tc>
          <w:tcPr>
            <w:tcW w:w="1171" w:type="dxa"/>
            <w:gridSpan w:val="2"/>
            <w:shd w:val="clear" w:color="auto" w:fill="auto"/>
            <w:tcMar>
              <w:left w:w="57" w:type="dxa"/>
              <w:right w:w="57" w:type="dxa"/>
            </w:tcMar>
          </w:tcPr>
          <w:p w:rsidR="00834BB3" w:rsidRDefault="00834BB3" w:rsidP="00BD4551">
            <w:pPr>
              <w:pStyle w:val="TableTextColumnHeading"/>
              <w:ind w:right="-62"/>
              <w:jc w:val="center"/>
            </w:pPr>
            <w:r>
              <w:t>R</w:t>
            </w:r>
            <w:r w:rsidRPr="00D81B5B">
              <w:t>ating</w:t>
            </w:r>
            <w:r>
              <w:t xml:space="preserve"> in 2008-09</w:t>
            </w:r>
          </w:p>
        </w:tc>
        <w:tc>
          <w:tcPr>
            <w:tcW w:w="1284" w:type="dxa"/>
            <w:gridSpan w:val="2"/>
            <w:shd w:val="clear" w:color="auto" w:fill="auto"/>
            <w:tcMar>
              <w:left w:w="57" w:type="dxa"/>
              <w:right w:w="57" w:type="dxa"/>
            </w:tcMar>
          </w:tcPr>
          <w:p w:rsidR="00834BB3" w:rsidRDefault="00AB5F86" w:rsidP="00BD4551">
            <w:pPr>
              <w:pStyle w:val="TableTextColumnHeading"/>
              <w:ind w:right="-62"/>
              <w:jc w:val="center"/>
            </w:pPr>
            <w:r>
              <w:t>Rating in</w:t>
            </w:r>
          </w:p>
          <w:p w:rsidR="00AB5F86" w:rsidRDefault="00AB5F86" w:rsidP="00BD4551">
            <w:pPr>
              <w:pStyle w:val="TableTextColumnHeading"/>
              <w:ind w:right="-62"/>
              <w:jc w:val="center"/>
            </w:pPr>
            <w:r>
              <w:t>2009-10</w:t>
            </w:r>
          </w:p>
        </w:tc>
      </w:tr>
      <w:tr w:rsidR="00193B45" w:rsidRPr="00D81B5B" w:rsidTr="009B3C83">
        <w:trPr>
          <w:cantSplit/>
        </w:trPr>
        <w:tc>
          <w:tcPr>
            <w:tcW w:w="1025" w:type="dxa"/>
          </w:tcPr>
          <w:p w:rsidR="001109B2" w:rsidRDefault="001109B2" w:rsidP="00AB5F86">
            <w:pPr>
              <w:pStyle w:val="TableTextEntries"/>
              <w:jc w:val="both"/>
            </w:pPr>
            <w:smartTag w:uri="urn:schemas-microsoft-com:office:smarttags" w:element="place">
              <w:r>
                <w:t>Africa</w:t>
              </w:r>
            </w:smartTag>
            <w:r w:rsidR="006364D8">
              <w:t xml:space="preserve"> Regional</w:t>
            </w:r>
          </w:p>
        </w:tc>
        <w:tc>
          <w:tcPr>
            <w:tcW w:w="4118" w:type="dxa"/>
            <w:tcMar>
              <w:left w:w="57" w:type="dxa"/>
              <w:right w:w="57" w:type="dxa"/>
            </w:tcMar>
            <w:vAlign w:val="center"/>
          </w:tcPr>
          <w:p w:rsidR="001109B2" w:rsidRPr="0058729F" w:rsidRDefault="001109B2" w:rsidP="006135B6">
            <w:pPr>
              <w:pStyle w:val="TableTextEntries"/>
              <w:jc w:val="both"/>
            </w:pPr>
            <w:r w:rsidRPr="001A1F11">
              <w:rPr>
                <w:rFonts w:ascii="Franklin Gothic Medium" w:hAnsi="Franklin Gothic Medium"/>
                <w:bCs/>
                <w:color w:val="000000"/>
              </w:rPr>
              <w:t>Improving basic service delivery, particularly in food security and health</w:t>
            </w:r>
          </w:p>
        </w:tc>
        <w:tc>
          <w:tcPr>
            <w:tcW w:w="857" w:type="dxa"/>
            <w:shd w:val="clear" w:color="auto" w:fill="FF9900"/>
            <w:tcMar>
              <w:left w:w="57" w:type="dxa"/>
              <w:right w:w="57" w:type="dxa"/>
            </w:tcMar>
            <w:vAlign w:val="bottom"/>
          </w:tcPr>
          <w:p w:rsidR="001109B2" w:rsidRPr="00927ED2" w:rsidRDefault="001109B2"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171" w:type="dxa"/>
            <w:gridSpan w:val="2"/>
            <w:shd w:val="clear" w:color="auto" w:fill="FF9900"/>
            <w:tcMar>
              <w:left w:w="57" w:type="dxa"/>
              <w:right w:w="57" w:type="dxa"/>
            </w:tcMar>
            <w:vAlign w:val="bottom"/>
          </w:tcPr>
          <w:p w:rsidR="001109B2" w:rsidRPr="00927ED2" w:rsidRDefault="001109B2"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284" w:type="dxa"/>
            <w:gridSpan w:val="2"/>
            <w:tcMar>
              <w:left w:w="57" w:type="dxa"/>
              <w:right w:w="57" w:type="dxa"/>
            </w:tcMar>
            <w:vAlign w:val="center"/>
          </w:tcPr>
          <w:p w:rsidR="001109B2" w:rsidRPr="0058729F" w:rsidRDefault="001109B2" w:rsidP="00BD4551">
            <w:pPr>
              <w:pStyle w:val="TableTextEntries"/>
              <w:jc w:val="center"/>
            </w:pPr>
          </w:p>
        </w:tc>
      </w:tr>
      <w:tr w:rsidR="00F9294E" w:rsidRPr="0058729F" w:rsidTr="009B3C83">
        <w:trPr>
          <w:cantSplit/>
        </w:trPr>
        <w:tc>
          <w:tcPr>
            <w:tcW w:w="1025" w:type="dxa"/>
          </w:tcPr>
          <w:p w:rsidR="001109B2" w:rsidRDefault="001109B2" w:rsidP="00AB5F86">
            <w:pPr>
              <w:pStyle w:val="TableTextEntries"/>
              <w:jc w:val="both"/>
            </w:pPr>
          </w:p>
        </w:tc>
        <w:tc>
          <w:tcPr>
            <w:tcW w:w="4118" w:type="dxa"/>
            <w:tcMar>
              <w:left w:w="57" w:type="dxa"/>
              <w:right w:w="57" w:type="dxa"/>
            </w:tcMar>
            <w:vAlign w:val="center"/>
          </w:tcPr>
          <w:p w:rsidR="001109B2" w:rsidRPr="0058729F" w:rsidRDefault="001109B2" w:rsidP="006135B6">
            <w:pPr>
              <w:pStyle w:val="TableTextEntries"/>
              <w:jc w:val="both"/>
            </w:pPr>
            <w:r w:rsidRPr="001A1F11">
              <w:rPr>
                <w:rFonts w:ascii="Franklin Gothic Medium" w:hAnsi="Franklin Gothic Medium"/>
                <w:bCs/>
                <w:color w:val="000000"/>
              </w:rPr>
              <w:t xml:space="preserve">To support African countries in their efforts to make progress towards the MDGs (focusing on areas where </w:t>
            </w:r>
            <w:smartTag w:uri="urn:schemas-microsoft-com:office:smarttags" w:element="place">
              <w:smartTag w:uri="urn:schemas-microsoft-com:office:smarttags" w:element="country-region">
                <w:r w:rsidRPr="001A1F11">
                  <w:rPr>
                    <w:rFonts w:ascii="Franklin Gothic Medium" w:hAnsi="Franklin Gothic Medium"/>
                    <w:bCs/>
                    <w:color w:val="000000"/>
                  </w:rPr>
                  <w:t>Australia</w:t>
                </w:r>
              </w:smartTag>
            </w:smartTag>
            <w:r w:rsidRPr="001A1F11">
              <w:rPr>
                <w:rFonts w:ascii="Franklin Gothic Medium" w:hAnsi="Franklin Gothic Medium"/>
                <w:bCs/>
                <w:color w:val="000000"/>
              </w:rPr>
              <w:t xml:space="preserve"> has experience and/or expertise – including health &amp; HIV)</w:t>
            </w:r>
          </w:p>
        </w:tc>
        <w:tc>
          <w:tcPr>
            <w:tcW w:w="857" w:type="dxa"/>
            <w:tcMar>
              <w:left w:w="57" w:type="dxa"/>
              <w:right w:w="57" w:type="dxa"/>
            </w:tcMar>
          </w:tcPr>
          <w:p w:rsidR="001109B2" w:rsidRDefault="001109B2" w:rsidP="00BD4551">
            <w:pPr>
              <w:pStyle w:val="TableTextColumnHeading"/>
              <w:jc w:val="center"/>
            </w:pPr>
          </w:p>
        </w:tc>
        <w:tc>
          <w:tcPr>
            <w:tcW w:w="1171" w:type="dxa"/>
            <w:gridSpan w:val="2"/>
            <w:shd w:val="clear" w:color="auto" w:fill="auto"/>
            <w:tcMar>
              <w:left w:w="57" w:type="dxa"/>
              <w:right w:w="57" w:type="dxa"/>
            </w:tcMar>
            <w:vAlign w:val="center"/>
          </w:tcPr>
          <w:p w:rsidR="001109B2" w:rsidRPr="0058729F" w:rsidRDefault="001109B2" w:rsidP="00BD4551">
            <w:pPr>
              <w:pStyle w:val="Ratingbullet"/>
            </w:pPr>
          </w:p>
        </w:tc>
        <w:tc>
          <w:tcPr>
            <w:tcW w:w="1284" w:type="dxa"/>
            <w:gridSpan w:val="2"/>
            <w:shd w:val="clear" w:color="auto" w:fill="FF9900"/>
            <w:tcMar>
              <w:left w:w="57" w:type="dxa"/>
              <w:right w:w="57" w:type="dxa"/>
            </w:tcMar>
            <w:vAlign w:val="center"/>
          </w:tcPr>
          <w:p w:rsidR="001109B2" w:rsidRPr="0058729F" w:rsidRDefault="006364D8" w:rsidP="00BD4551">
            <w:pPr>
              <w:pStyle w:val="TableTextEntries"/>
              <w:jc w:val="center"/>
            </w:pPr>
            <w:r w:rsidRPr="00927ED2">
              <w:rPr>
                <w:rFonts w:ascii="Franklin Gothic Medium" w:hAnsi="Franklin Gothic Medium"/>
                <w:color w:val="000000"/>
              </w:rPr>
              <w:t>Amber</w:t>
            </w:r>
          </w:p>
        </w:tc>
      </w:tr>
      <w:tr w:rsidR="00F9294E" w:rsidRPr="0058729F" w:rsidTr="009B3C83">
        <w:trPr>
          <w:cantSplit/>
        </w:trPr>
        <w:tc>
          <w:tcPr>
            <w:tcW w:w="1025" w:type="dxa"/>
          </w:tcPr>
          <w:p w:rsidR="005769CA" w:rsidRDefault="005769CA" w:rsidP="003C71BD">
            <w:pPr>
              <w:pStyle w:val="TableTextEntries"/>
            </w:pPr>
            <w:smartTag w:uri="urn:schemas-microsoft-com:office:smarttags" w:element="place">
              <w:r>
                <w:t>Asia</w:t>
              </w:r>
            </w:smartTag>
            <w:r>
              <w:t xml:space="preserve"> Regional</w:t>
            </w:r>
          </w:p>
        </w:tc>
        <w:tc>
          <w:tcPr>
            <w:tcW w:w="4118" w:type="dxa"/>
            <w:tcMar>
              <w:left w:w="57" w:type="dxa"/>
              <w:right w:w="57" w:type="dxa"/>
            </w:tcMar>
            <w:vAlign w:val="center"/>
          </w:tcPr>
          <w:p w:rsidR="005769CA" w:rsidRPr="0058729F" w:rsidRDefault="005769CA" w:rsidP="006135B6">
            <w:pPr>
              <w:pStyle w:val="TableTextEntries"/>
              <w:jc w:val="both"/>
            </w:pPr>
            <w:r w:rsidRPr="001A1F11">
              <w:rPr>
                <w:rFonts w:ascii="Franklin Gothic Medium" w:hAnsi="Franklin Gothic Medium"/>
                <w:bCs/>
                <w:color w:val="000000"/>
              </w:rPr>
              <w:t>Improving regional responses to transboundary development challenges (which includes Disease outbreaks - improved regional response to HIV/AIDS and emerging health issu</w:t>
            </w:r>
            <w:r w:rsidR="009B3C83">
              <w:rPr>
                <w:rFonts w:ascii="Franklin Gothic Medium" w:hAnsi="Franklin Gothic Medium"/>
                <w:bCs/>
                <w:color w:val="000000"/>
              </w:rPr>
              <w:t xml:space="preserve">es, </w:t>
            </w:r>
            <w:r w:rsidRPr="001A1F11">
              <w:rPr>
                <w:rFonts w:ascii="Franklin Gothic Medium" w:hAnsi="Franklin Gothic Medium"/>
                <w:bCs/>
                <w:color w:val="000000"/>
              </w:rPr>
              <w:t>especially zoonotic diseases)</w:t>
            </w:r>
          </w:p>
        </w:tc>
        <w:tc>
          <w:tcPr>
            <w:tcW w:w="857" w:type="dxa"/>
            <w:shd w:val="clear" w:color="auto" w:fill="FF9900"/>
            <w:tcMar>
              <w:left w:w="57" w:type="dxa"/>
              <w:right w:w="57" w:type="dxa"/>
            </w:tcMar>
            <w:vAlign w:val="bottom"/>
          </w:tcPr>
          <w:p w:rsidR="005769CA" w:rsidRPr="00927ED2" w:rsidRDefault="005769CA"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171" w:type="dxa"/>
            <w:gridSpan w:val="2"/>
            <w:shd w:val="clear" w:color="auto" w:fill="FF9900"/>
            <w:tcMar>
              <w:left w:w="57" w:type="dxa"/>
              <w:right w:w="57" w:type="dxa"/>
            </w:tcMar>
            <w:vAlign w:val="bottom"/>
          </w:tcPr>
          <w:p w:rsidR="005769CA" w:rsidRPr="00927ED2" w:rsidRDefault="005769CA"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284" w:type="dxa"/>
            <w:gridSpan w:val="2"/>
            <w:shd w:val="clear" w:color="auto" w:fill="FF9900"/>
            <w:tcMar>
              <w:left w:w="57" w:type="dxa"/>
              <w:right w:w="57" w:type="dxa"/>
            </w:tcMar>
            <w:vAlign w:val="center"/>
          </w:tcPr>
          <w:p w:rsidR="005769CA" w:rsidRDefault="005769CA" w:rsidP="00BD4551">
            <w:pPr>
              <w:pStyle w:val="TableTextEntries"/>
              <w:jc w:val="center"/>
              <w:rPr>
                <w:rFonts w:ascii="Franklin Gothic Medium" w:hAnsi="Franklin Gothic Medium"/>
                <w:color w:val="000000"/>
              </w:rPr>
            </w:pPr>
          </w:p>
          <w:p w:rsidR="005769CA" w:rsidRDefault="005769CA" w:rsidP="00BD4551">
            <w:pPr>
              <w:pStyle w:val="TableTextEntries"/>
              <w:jc w:val="center"/>
              <w:rPr>
                <w:rFonts w:ascii="Franklin Gothic Medium" w:hAnsi="Franklin Gothic Medium"/>
                <w:color w:val="000000"/>
              </w:rPr>
            </w:pPr>
          </w:p>
          <w:p w:rsidR="005769CA" w:rsidRDefault="005769CA" w:rsidP="00BD4551">
            <w:pPr>
              <w:pStyle w:val="TableTextEntries"/>
              <w:jc w:val="center"/>
              <w:rPr>
                <w:rFonts w:ascii="Franklin Gothic Medium" w:hAnsi="Franklin Gothic Medium"/>
                <w:color w:val="000000"/>
              </w:rPr>
            </w:pPr>
          </w:p>
          <w:p w:rsidR="005769CA" w:rsidRPr="0058729F" w:rsidRDefault="005769CA" w:rsidP="00BD4551">
            <w:pPr>
              <w:widowControl w:val="0"/>
              <w:jc w:val="center"/>
            </w:pPr>
            <w:r w:rsidRPr="00927ED2">
              <w:rPr>
                <w:rFonts w:ascii="Franklin Gothic Medium" w:hAnsi="Franklin Gothic Medium"/>
                <w:color w:val="000000"/>
                <w:sz w:val="17"/>
                <w:szCs w:val="17"/>
              </w:rPr>
              <w:t>Amber</w:t>
            </w:r>
          </w:p>
        </w:tc>
      </w:tr>
      <w:tr w:rsidR="00F9294E" w:rsidRPr="0058729F" w:rsidTr="009B3C83">
        <w:trPr>
          <w:cantSplit/>
        </w:trPr>
        <w:tc>
          <w:tcPr>
            <w:tcW w:w="1025" w:type="dxa"/>
          </w:tcPr>
          <w:p w:rsidR="005769CA" w:rsidRDefault="008F08E0" w:rsidP="003C71BD">
            <w:pPr>
              <w:pStyle w:val="TableTextEntries"/>
            </w:pPr>
            <w:smartTag w:uri="urn:schemas-microsoft-com:office:smarttags" w:element="place">
              <w:smartTag w:uri="urn:schemas-microsoft-com:office:smarttags" w:element="country-region">
                <w:r>
                  <w:t>Cambodia</w:t>
                </w:r>
              </w:smartTag>
            </w:smartTag>
            <w:r>
              <w:t xml:space="preserve"> </w:t>
            </w:r>
          </w:p>
        </w:tc>
        <w:tc>
          <w:tcPr>
            <w:tcW w:w="4118" w:type="dxa"/>
            <w:tcMar>
              <w:left w:w="57" w:type="dxa"/>
              <w:right w:w="57" w:type="dxa"/>
            </w:tcMar>
            <w:vAlign w:val="center"/>
          </w:tcPr>
          <w:p w:rsidR="005769CA" w:rsidRPr="006135B6" w:rsidRDefault="008F08E0" w:rsidP="006135B6">
            <w:pPr>
              <w:widowControl w:val="0"/>
              <w:jc w:val="both"/>
              <w:rPr>
                <w:rFonts w:ascii="Franklin Gothic Medium" w:hAnsi="Franklin Gothic Medium"/>
                <w:color w:val="000000"/>
                <w:sz w:val="17"/>
                <w:szCs w:val="17"/>
              </w:rPr>
            </w:pPr>
            <w:r w:rsidRPr="006135B6">
              <w:rPr>
                <w:rFonts w:ascii="Franklin Gothic Medium" w:hAnsi="Franklin Gothic Medium"/>
                <w:color w:val="000000"/>
                <w:sz w:val="17"/>
                <w:szCs w:val="17"/>
              </w:rPr>
              <w:t>Improved management, financing, monitoring and evaluation systems for health service delivery</w:t>
            </w:r>
          </w:p>
        </w:tc>
        <w:tc>
          <w:tcPr>
            <w:tcW w:w="857" w:type="dxa"/>
            <w:shd w:val="clear" w:color="auto" w:fill="00FF00"/>
            <w:tcMar>
              <w:left w:w="57" w:type="dxa"/>
              <w:right w:w="57" w:type="dxa"/>
            </w:tcMar>
          </w:tcPr>
          <w:p w:rsidR="006135B6" w:rsidRDefault="006135B6" w:rsidP="00BD4551">
            <w:pPr>
              <w:widowControl w:val="0"/>
              <w:jc w:val="center"/>
              <w:rPr>
                <w:rFonts w:ascii="Franklin Gothic Medium" w:hAnsi="Franklin Gothic Medium"/>
                <w:color w:val="000000"/>
                <w:sz w:val="17"/>
                <w:szCs w:val="17"/>
              </w:rPr>
            </w:pPr>
          </w:p>
          <w:p w:rsidR="005769CA" w:rsidRPr="005F3264" w:rsidRDefault="005F3264" w:rsidP="00BD4551">
            <w:pPr>
              <w:widowControl w:val="0"/>
              <w:jc w:val="center"/>
              <w:rPr>
                <w:rFonts w:ascii="Franklin Gothic Medium" w:hAnsi="Franklin Gothic Medium"/>
                <w:color w:val="000000"/>
                <w:sz w:val="17"/>
                <w:szCs w:val="17"/>
              </w:rPr>
            </w:pPr>
            <w:r w:rsidRPr="005F3264">
              <w:rPr>
                <w:rFonts w:ascii="Franklin Gothic Medium" w:hAnsi="Franklin Gothic Medium"/>
                <w:color w:val="000000"/>
                <w:sz w:val="17"/>
                <w:szCs w:val="17"/>
              </w:rPr>
              <w:t>Green</w:t>
            </w:r>
          </w:p>
        </w:tc>
        <w:tc>
          <w:tcPr>
            <w:tcW w:w="1171" w:type="dxa"/>
            <w:gridSpan w:val="2"/>
            <w:shd w:val="clear" w:color="auto" w:fill="00FF00"/>
            <w:tcMar>
              <w:left w:w="57" w:type="dxa"/>
              <w:right w:w="57" w:type="dxa"/>
            </w:tcMar>
            <w:vAlign w:val="center"/>
          </w:tcPr>
          <w:p w:rsidR="006135B6" w:rsidRDefault="006135B6" w:rsidP="00BD4551">
            <w:pPr>
              <w:widowControl w:val="0"/>
              <w:jc w:val="center"/>
              <w:rPr>
                <w:rFonts w:ascii="Franklin Gothic Medium" w:hAnsi="Franklin Gothic Medium"/>
                <w:color w:val="000000"/>
                <w:sz w:val="17"/>
                <w:szCs w:val="17"/>
              </w:rPr>
            </w:pPr>
          </w:p>
          <w:p w:rsidR="005769CA" w:rsidRPr="005F3264" w:rsidRDefault="006135B6" w:rsidP="00BD4551">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Green</w:t>
            </w:r>
          </w:p>
        </w:tc>
        <w:tc>
          <w:tcPr>
            <w:tcW w:w="1284" w:type="dxa"/>
            <w:gridSpan w:val="2"/>
            <w:shd w:val="clear" w:color="auto" w:fill="00FF00"/>
            <w:tcMar>
              <w:left w:w="57" w:type="dxa"/>
              <w:right w:w="57" w:type="dxa"/>
            </w:tcMar>
            <w:vAlign w:val="center"/>
          </w:tcPr>
          <w:p w:rsidR="006135B6" w:rsidRDefault="006135B6" w:rsidP="00BD4551">
            <w:pPr>
              <w:widowControl w:val="0"/>
              <w:jc w:val="center"/>
              <w:rPr>
                <w:rFonts w:ascii="Franklin Gothic Medium" w:hAnsi="Franklin Gothic Medium"/>
                <w:color w:val="000000"/>
                <w:sz w:val="17"/>
                <w:szCs w:val="17"/>
              </w:rPr>
            </w:pPr>
          </w:p>
          <w:p w:rsidR="005769CA" w:rsidRPr="0058729F" w:rsidRDefault="006135B6" w:rsidP="00BD4551">
            <w:pPr>
              <w:widowControl w:val="0"/>
              <w:jc w:val="center"/>
            </w:pPr>
            <w:r w:rsidRPr="006135B6">
              <w:rPr>
                <w:rFonts w:ascii="Franklin Gothic Medium" w:hAnsi="Franklin Gothic Medium"/>
                <w:color w:val="000000"/>
                <w:sz w:val="17"/>
                <w:szCs w:val="17"/>
              </w:rPr>
              <w:t>Green</w:t>
            </w:r>
          </w:p>
        </w:tc>
      </w:tr>
      <w:tr w:rsidR="00F9294E" w:rsidRPr="0058729F" w:rsidTr="009B3C83">
        <w:trPr>
          <w:cantSplit/>
        </w:trPr>
        <w:tc>
          <w:tcPr>
            <w:tcW w:w="1025" w:type="dxa"/>
          </w:tcPr>
          <w:p w:rsidR="006135B6" w:rsidRDefault="006135B6" w:rsidP="003C71BD">
            <w:pPr>
              <w:pStyle w:val="TableTextEntries"/>
            </w:pPr>
            <w:smartTag w:uri="urn:schemas-microsoft-com:office:smarttags" w:element="place">
              <w:smartTag w:uri="urn:schemas-microsoft-com:office:smarttags" w:element="country-region">
                <w:r>
                  <w:t>China</w:t>
                </w:r>
              </w:smartTag>
            </w:smartTag>
          </w:p>
        </w:tc>
        <w:tc>
          <w:tcPr>
            <w:tcW w:w="4118" w:type="dxa"/>
            <w:tcMar>
              <w:left w:w="57" w:type="dxa"/>
              <w:right w:w="57" w:type="dxa"/>
            </w:tcMar>
            <w:vAlign w:val="center"/>
          </w:tcPr>
          <w:p w:rsidR="006135B6" w:rsidRPr="006135B6" w:rsidRDefault="006135B6" w:rsidP="006135B6">
            <w:pPr>
              <w:widowControl w:val="0"/>
              <w:rPr>
                <w:rFonts w:ascii="Franklin Gothic Medium" w:hAnsi="Franklin Gothic Medium"/>
                <w:color w:val="000000"/>
                <w:sz w:val="17"/>
                <w:szCs w:val="17"/>
              </w:rPr>
            </w:pPr>
            <w:r w:rsidRPr="006135B6">
              <w:rPr>
                <w:rFonts w:ascii="Franklin Gothic Medium" w:hAnsi="Franklin Gothic Medium"/>
                <w:color w:val="000000"/>
                <w:sz w:val="17"/>
                <w:szCs w:val="17"/>
              </w:rPr>
              <w:t xml:space="preserve">Build capacity in selected sectors in </w:t>
            </w:r>
            <w:smartTag w:uri="urn:schemas-microsoft-com:office:smarttags" w:element="place">
              <w:smartTag w:uri="urn:schemas-microsoft-com:office:smarttags" w:element="country-region">
                <w:r w:rsidRPr="006135B6">
                  <w:rPr>
                    <w:rFonts w:ascii="Franklin Gothic Medium" w:hAnsi="Franklin Gothic Medium"/>
                    <w:color w:val="000000"/>
                    <w:sz w:val="17"/>
                    <w:szCs w:val="17"/>
                  </w:rPr>
                  <w:t>China</w:t>
                </w:r>
              </w:smartTag>
            </w:smartTag>
            <w:r w:rsidRPr="006135B6">
              <w:rPr>
                <w:rFonts w:ascii="Franklin Gothic Medium" w:hAnsi="Franklin Gothic Medium"/>
                <w:color w:val="000000"/>
                <w:sz w:val="17"/>
                <w:szCs w:val="17"/>
              </w:rPr>
              <w:t>, in particular governance, environment and health</w:t>
            </w:r>
          </w:p>
        </w:tc>
        <w:tc>
          <w:tcPr>
            <w:tcW w:w="857" w:type="dxa"/>
            <w:shd w:val="clear" w:color="auto" w:fill="00FF00"/>
            <w:tcMar>
              <w:left w:w="57" w:type="dxa"/>
              <w:right w:w="57" w:type="dxa"/>
            </w:tcMar>
          </w:tcPr>
          <w:p w:rsidR="006135B6" w:rsidRDefault="006135B6" w:rsidP="00BD4551">
            <w:pPr>
              <w:widowControl w:val="0"/>
              <w:jc w:val="center"/>
              <w:rPr>
                <w:rFonts w:ascii="Franklin Gothic Medium" w:hAnsi="Franklin Gothic Medium"/>
                <w:color w:val="000000"/>
                <w:sz w:val="17"/>
                <w:szCs w:val="17"/>
              </w:rPr>
            </w:pPr>
          </w:p>
          <w:p w:rsidR="006135B6" w:rsidRPr="005F3264" w:rsidRDefault="006135B6" w:rsidP="00BD4551">
            <w:pPr>
              <w:widowControl w:val="0"/>
              <w:jc w:val="center"/>
              <w:rPr>
                <w:rFonts w:ascii="Franklin Gothic Medium" w:hAnsi="Franklin Gothic Medium"/>
                <w:color w:val="000000"/>
                <w:sz w:val="17"/>
                <w:szCs w:val="17"/>
              </w:rPr>
            </w:pPr>
            <w:r w:rsidRPr="005F3264">
              <w:rPr>
                <w:rFonts w:ascii="Franklin Gothic Medium" w:hAnsi="Franklin Gothic Medium"/>
                <w:color w:val="000000"/>
                <w:sz w:val="17"/>
                <w:szCs w:val="17"/>
              </w:rPr>
              <w:t>Green</w:t>
            </w:r>
          </w:p>
        </w:tc>
        <w:tc>
          <w:tcPr>
            <w:tcW w:w="1171" w:type="dxa"/>
            <w:gridSpan w:val="2"/>
            <w:shd w:val="clear" w:color="auto" w:fill="00FF00"/>
            <w:tcMar>
              <w:left w:w="57" w:type="dxa"/>
              <w:right w:w="57" w:type="dxa"/>
            </w:tcMar>
            <w:vAlign w:val="center"/>
          </w:tcPr>
          <w:p w:rsidR="006135B6" w:rsidRDefault="006135B6" w:rsidP="00BD4551">
            <w:pPr>
              <w:widowControl w:val="0"/>
              <w:jc w:val="center"/>
              <w:rPr>
                <w:rFonts w:ascii="Franklin Gothic Medium" w:hAnsi="Franklin Gothic Medium"/>
                <w:color w:val="000000"/>
                <w:sz w:val="17"/>
                <w:szCs w:val="17"/>
              </w:rPr>
            </w:pPr>
          </w:p>
          <w:p w:rsidR="006135B6" w:rsidRPr="005F3264" w:rsidRDefault="006135B6" w:rsidP="00BD4551">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Green</w:t>
            </w:r>
          </w:p>
        </w:tc>
        <w:tc>
          <w:tcPr>
            <w:tcW w:w="1284" w:type="dxa"/>
            <w:gridSpan w:val="2"/>
            <w:shd w:val="clear" w:color="auto" w:fill="00FF00"/>
            <w:tcMar>
              <w:left w:w="57" w:type="dxa"/>
              <w:right w:w="57" w:type="dxa"/>
            </w:tcMar>
            <w:vAlign w:val="center"/>
          </w:tcPr>
          <w:p w:rsidR="006135B6" w:rsidRDefault="006135B6" w:rsidP="00BD4551">
            <w:pPr>
              <w:widowControl w:val="0"/>
              <w:jc w:val="center"/>
              <w:rPr>
                <w:rFonts w:ascii="Franklin Gothic Medium" w:hAnsi="Franklin Gothic Medium"/>
                <w:color w:val="000000"/>
                <w:sz w:val="17"/>
                <w:szCs w:val="17"/>
              </w:rPr>
            </w:pPr>
          </w:p>
          <w:p w:rsidR="006135B6" w:rsidRPr="006135B6" w:rsidRDefault="006135B6" w:rsidP="00BD4551">
            <w:pPr>
              <w:widowControl w:val="0"/>
              <w:jc w:val="center"/>
              <w:rPr>
                <w:rFonts w:ascii="Franklin Gothic Medium" w:hAnsi="Franklin Gothic Medium"/>
                <w:color w:val="000000"/>
                <w:sz w:val="17"/>
                <w:szCs w:val="17"/>
              </w:rPr>
            </w:pPr>
            <w:r w:rsidRPr="006135B6">
              <w:rPr>
                <w:rFonts w:ascii="Franklin Gothic Medium" w:hAnsi="Franklin Gothic Medium"/>
                <w:color w:val="000000"/>
                <w:sz w:val="17"/>
                <w:szCs w:val="17"/>
              </w:rPr>
              <w:t>Green</w:t>
            </w:r>
          </w:p>
        </w:tc>
      </w:tr>
      <w:tr w:rsidR="00F9294E" w:rsidRPr="0058729F" w:rsidTr="009B3C83">
        <w:trPr>
          <w:cantSplit/>
        </w:trPr>
        <w:tc>
          <w:tcPr>
            <w:tcW w:w="1025" w:type="dxa"/>
          </w:tcPr>
          <w:p w:rsidR="005F4B6F" w:rsidRDefault="005F4B6F" w:rsidP="005E054E">
            <w:pPr>
              <w:pStyle w:val="TableTextEntries"/>
              <w:jc w:val="both"/>
            </w:pPr>
          </w:p>
        </w:tc>
        <w:tc>
          <w:tcPr>
            <w:tcW w:w="4118" w:type="dxa"/>
            <w:tcMar>
              <w:left w:w="57" w:type="dxa"/>
              <w:right w:w="57" w:type="dxa"/>
            </w:tcMar>
            <w:vAlign w:val="center"/>
          </w:tcPr>
          <w:p w:rsidR="005F4B6F" w:rsidRPr="0058729F" w:rsidRDefault="005F4B6F" w:rsidP="005E054E">
            <w:pPr>
              <w:pStyle w:val="TableTextEntries"/>
              <w:jc w:val="both"/>
            </w:pPr>
            <w:r w:rsidRPr="001A1F11">
              <w:rPr>
                <w:rFonts w:ascii="Franklin Gothic Medium" w:hAnsi="Franklin Gothic Medium"/>
                <w:bCs/>
                <w:color w:val="000000"/>
              </w:rPr>
              <w:t xml:space="preserve">Support </w:t>
            </w:r>
            <w:smartTag w:uri="urn:schemas-microsoft-com:office:smarttags" w:element="place">
              <w:smartTag w:uri="urn:schemas-microsoft-com:office:smarttags" w:element="country-region">
                <w:r w:rsidRPr="001A1F11">
                  <w:rPr>
                    <w:rFonts w:ascii="Franklin Gothic Medium" w:hAnsi="Franklin Gothic Medium"/>
                    <w:bCs/>
                    <w:color w:val="000000"/>
                  </w:rPr>
                  <w:t>China</w:t>
                </w:r>
              </w:smartTag>
            </w:smartTag>
            <w:r w:rsidRPr="001A1F11">
              <w:rPr>
                <w:rFonts w:ascii="Franklin Gothic Medium" w:hAnsi="Franklin Gothic Medium"/>
                <w:bCs/>
                <w:color w:val="000000"/>
              </w:rPr>
              <w:t>’s policy reform agenda in governance, environment and health</w:t>
            </w:r>
          </w:p>
        </w:tc>
        <w:tc>
          <w:tcPr>
            <w:tcW w:w="857" w:type="dxa"/>
            <w:tcMar>
              <w:left w:w="57" w:type="dxa"/>
              <w:right w:w="57" w:type="dxa"/>
            </w:tcMar>
          </w:tcPr>
          <w:p w:rsidR="005F4B6F" w:rsidRDefault="005F4B6F" w:rsidP="00BD4551">
            <w:pPr>
              <w:pStyle w:val="TableTextColumnHeading"/>
              <w:jc w:val="center"/>
            </w:pPr>
          </w:p>
        </w:tc>
        <w:tc>
          <w:tcPr>
            <w:tcW w:w="1171" w:type="dxa"/>
            <w:gridSpan w:val="2"/>
            <w:shd w:val="clear" w:color="auto" w:fill="00FF00"/>
            <w:tcMar>
              <w:left w:w="57" w:type="dxa"/>
              <w:right w:w="57" w:type="dxa"/>
            </w:tcMar>
            <w:vAlign w:val="center"/>
          </w:tcPr>
          <w:p w:rsidR="005F4B6F" w:rsidRDefault="005F4B6F" w:rsidP="00BD4551">
            <w:pPr>
              <w:widowControl w:val="0"/>
              <w:jc w:val="center"/>
              <w:rPr>
                <w:rFonts w:ascii="Franklin Gothic Medium" w:hAnsi="Franklin Gothic Medium"/>
                <w:color w:val="000000"/>
                <w:sz w:val="17"/>
                <w:szCs w:val="17"/>
              </w:rPr>
            </w:pPr>
          </w:p>
          <w:p w:rsidR="005F4B6F" w:rsidRPr="005F3264" w:rsidRDefault="005F4B6F" w:rsidP="00BD4551">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Green</w:t>
            </w:r>
          </w:p>
        </w:tc>
        <w:tc>
          <w:tcPr>
            <w:tcW w:w="1284" w:type="dxa"/>
            <w:gridSpan w:val="2"/>
            <w:shd w:val="clear" w:color="auto" w:fill="00FF00"/>
            <w:tcMar>
              <w:left w:w="57" w:type="dxa"/>
              <w:right w:w="57" w:type="dxa"/>
            </w:tcMar>
            <w:vAlign w:val="center"/>
          </w:tcPr>
          <w:p w:rsidR="005F4B6F" w:rsidRDefault="005F4B6F" w:rsidP="00BD4551">
            <w:pPr>
              <w:widowControl w:val="0"/>
              <w:jc w:val="center"/>
              <w:rPr>
                <w:rFonts w:ascii="Franklin Gothic Medium" w:hAnsi="Franklin Gothic Medium"/>
                <w:color w:val="000000"/>
                <w:sz w:val="17"/>
                <w:szCs w:val="17"/>
              </w:rPr>
            </w:pPr>
          </w:p>
          <w:p w:rsidR="005F4B6F" w:rsidRPr="006135B6" w:rsidRDefault="005F4B6F" w:rsidP="00BD4551">
            <w:pPr>
              <w:widowControl w:val="0"/>
              <w:jc w:val="center"/>
              <w:rPr>
                <w:rFonts w:ascii="Franklin Gothic Medium" w:hAnsi="Franklin Gothic Medium"/>
                <w:color w:val="000000"/>
                <w:sz w:val="17"/>
                <w:szCs w:val="17"/>
              </w:rPr>
            </w:pPr>
            <w:r w:rsidRPr="006135B6">
              <w:rPr>
                <w:rFonts w:ascii="Franklin Gothic Medium" w:hAnsi="Franklin Gothic Medium"/>
                <w:color w:val="000000"/>
                <w:sz w:val="17"/>
                <w:szCs w:val="17"/>
              </w:rPr>
              <w:t>Green</w:t>
            </w:r>
          </w:p>
        </w:tc>
      </w:tr>
      <w:tr w:rsidR="00F9294E" w:rsidRPr="0058729F" w:rsidTr="009B3C83">
        <w:trPr>
          <w:cantSplit/>
        </w:trPr>
        <w:tc>
          <w:tcPr>
            <w:tcW w:w="1025" w:type="dxa"/>
          </w:tcPr>
          <w:p w:rsidR="005F4B6F" w:rsidRDefault="005F4B6F" w:rsidP="003C71BD">
            <w:pPr>
              <w:pStyle w:val="TableTextEntries"/>
            </w:pPr>
            <w:smartTag w:uri="urn:schemas-microsoft-com:office:smarttags" w:element="place">
              <w:r>
                <w:t>East Timor</w:t>
              </w:r>
            </w:smartTag>
          </w:p>
        </w:tc>
        <w:tc>
          <w:tcPr>
            <w:tcW w:w="4118" w:type="dxa"/>
            <w:tcMar>
              <w:left w:w="57" w:type="dxa"/>
              <w:right w:w="57" w:type="dxa"/>
            </w:tcMar>
            <w:vAlign w:val="center"/>
          </w:tcPr>
          <w:p w:rsidR="005F4B6F" w:rsidRPr="0058729F" w:rsidRDefault="005F4B6F" w:rsidP="003C71BD">
            <w:pPr>
              <w:pStyle w:val="TableTextEntries"/>
            </w:pPr>
            <w:r>
              <w:rPr>
                <w:rFonts w:ascii="Franklin Gothic Medium" w:hAnsi="Franklin Gothic Medium"/>
                <w:bCs/>
                <w:color w:val="000000"/>
              </w:rPr>
              <w:t>I</w:t>
            </w:r>
            <w:r w:rsidRPr="001A1F11">
              <w:rPr>
                <w:rFonts w:ascii="Franklin Gothic Medium" w:hAnsi="Franklin Gothic Medium"/>
                <w:bCs/>
                <w:color w:val="000000"/>
              </w:rPr>
              <w:t>mprove access to health services and rural water and sanitation</w:t>
            </w:r>
          </w:p>
        </w:tc>
        <w:tc>
          <w:tcPr>
            <w:tcW w:w="857" w:type="dxa"/>
            <w:shd w:val="clear" w:color="auto" w:fill="FF9900"/>
            <w:tcMar>
              <w:left w:w="57" w:type="dxa"/>
              <w:right w:w="57" w:type="dxa"/>
            </w:tcMar>
          </w:tcPr>
          <w:p w:rsidR="00293495" w:rsidRDefault="00293495" w:rsidP="00BD4551">
            <w:pPr>
              <w:widowControl w:val="0"/>
              <w:jc w:val="center"/>
              <w:rPr>
                <w:rFonts w:ascii="Franklin Gothic Medium" w:hAnsi="Franklin Gothic Medium"/>
                <w:color w:val="000000"/>
                <w:sz w:val="17"/>
                <w:szCs w:val="17"/>
              </w:rPr>
            </w:pPr>
          </w:p>
          <w:p w:rsidR="005F4B6F" w:rsidRPr="00D9324F" w:rsidRDefault="00D9324F" w:rsidP="00BD4551">
            <w:pPr>
              <w:widowControl w:val="0"/>
              <w:jc w:val="center"/>
              <w:rPr>
                <w:rFonts w:ascii="Franklin Gothic Medium" w:hAnsi="Franklin Gothic Medium"/>
                <w:color w:val="000000"/>
                <w:sz w:val="17"/>
                <w:szCs w:val="17"/>
              </w:rPr>
            </w:pPr>
            <w:r w:rsidRPr="00D9324F">
              <w:rPr>
                <w:rFonts w:ascii="Franklin Gothic Medium" w:hAnsi="Franklin Gothic Medium"/>
                <w:color w:val="000000"/>
                <w:sz w:val="17"/>
                <w:szCs w:val="17"/>
              </w:rPr>
              <w:t>Amber</w:t>
            </w:r>
          </w:p>
        </w:tc>
        <w:tc>
          <w:tcPr>
            <w:tcW w:w="1171" w:type="dxa"/>
            <w:gridSpan w:val="2"/>
            <w:shd w:val="clear" w:color="auto" w:fill="FF9900"/>
            <w:tcMar>
              <w:left w:w="57" w:type="dxa"/>
              <w:right w:w="57" w:type="dxa"/>
            </w:tcMar>
            <w:vAlign w:val="center"/>
          </w:tcPr>
          <w:p w:rsidR="005F4B6F" w:rsidRPr="00D9324F" w:rsidRDefault="00D9324F" w:rsidP="00BD4551">
            <w:pPr>
              <w:widowControl w:val="0"/>
              <w:jc w:val="center"/>
              <w:rPr>
                <w:rFonts w:ascii="Franklin Gothic Medium" w:hAnsi="Franklin Gothic Medium"/>
                <w:color w:val="000000"/>
                <w:sz w:val="17"/>
                <w:szCs w:val="17"/>
              </w:rPr>
            </w:pPr>
            <w:r w:rsidRPr="00D9324F">
              <w:rPr>
                <w:rFonts w:ascii="Franklin Gothic Medium" w:hAnsi="Franklin Gothic Medium"/>
                <w:color w:val="000000"/>
                <w:sz w:val="17"/>
                <w:szCs w:val="17"/>
              </w:rPr>
              <w:t>Amber</w:t>
            </w:r>
          </w:p>
        </w:tc>
        <w:tc>
          <w:tcPr>
            <w:tcW w:w="1284" w:type="dxa"/>
            <w:gridSpan w:val="2"/>
            <w:shd w:val="clear" w:color="auto" w:fill="FF0000"/>
            <w:tcMar>
              <w:left w:w="57" w:type="dxa"/>
              <w:right w:w="57" w:type="dxa"/>
            </w:tcMar>
            <w:vAlign w:val="center"/>
          </w:tcPr>
          <w:p w:rsidR="005F4B6F" w:rsidRPr="00D9324F" w:rsidRDefault="00D9324F" w:rsidP="00BD4551">
            <w:pPr>
              <w:widowControl w:val="0"/>
              <w:shd w:val="clear" w:color="auto" w:fill="FF0000"/>
              <w:jc w:val="center"/>
              <w:rPr>
                <w:rFonts w:ascii="Franklin Gothic Medium" w:hAnsi="Franklin Gothic Medium"/>
                <w:color w:val="000000"/>
                <w:sz w:val="17"/>
                <w:szCs w:val="17"/>
              </w:rPr>
            </w:pPr>
            <w:r w:rsidRPr="00D9324F">
              <w:rPr>
                <w:rFonts w:ascii="Franklin Gothic Medium" w:hAnsi="Franklin Gothic Medium"/>
                <w:color w:val="000000"/>
                <w:sz w:val="17"/>
                <w:szCs w:val="17"/>
              </w:rPr>
              <w:t>Red</w:t>
            </w:r>
          </w:p>
        </w:tc>
      </w:tr>
      <w:tr w:rsidR="00F9294E" w:rsidRPr="0058729F" w:rsidTr="009B3C83">
        <w:trPr>
          <w:cantSplit/>
        </w:trPr>
        <w:tc>
          <w:tcPr>
            <w:tcW w:w="1025" w:type="dxa"/>
          </w:tcPr>
          <w:p w:rsidR="009D27DF" w:rsidRDefault="009D27DF" w:rsidP="003C71BD">
            <w:pPr>
              <w:pStyle w:val="TableTextEntries"/>
            </w:pPr>
            <w:smartTag w:uri="urn:schemas-microsoft-com:office:smarttags" w:element="place">
              <w:smartTag w:uri="urn:schemas-microsoft-com:office:smarttags" w:element="country-region">
                <w:r>
                  <w:t>Indonesia</w:t>
                </w:r>
              </w:smartTag>
            </w:smartTag>
          </w:p>
        </w:tc>
        <w:tc>
          <w:tcPr>
            <w:tcW w:w="4118" w:type="dxa"/>
            <w:tcMar>
              <w:left w:w="57" w:type="dxa"/>
              <w:right w:w="57" w:type="dxa"/>
            </w:tcMar>
            <w:vAlign w:val="center"/>
          </w:tcPr>
          <w:p w:rsidR="009D27DF" w:rsidRPr="0058729F" w:rsidRDefault="009D27DF" w:rsidP="00151FB0">
            <w:pPr>
              <w:pStyle w:val="TableTextEntries"/>
              <w:jc w:val="both"/>
            </w:pPr>
            <w:r w:rsidRPr="001A1F11">
              <w:rPr>
                <w:rFonts w:ascii="Franklin Gothic Medium" w:hAnsi="Franklin Gothic Medium"/>
                <w:bCs/>
                <w:color w:val="000000"/>
              </w:rPr>
              <w:t>Strengthening key elements of national and sub-national health systems: maternal and child health</w:t>
            </w:r>
          </w:p>
        </w:tc>
        <w:tc>
          <w:tcPr>
            <w:tcW w:w="857" w:type="dxa"/>
            <w:shd w:val="clear" w:color="auto" w:fill="FF9900"/>
            <w:tcMar>
              <w:left w:w="57" w:type="dxa"/>
              <w:right w:w="57" w:type="dxa"/>
            </w:tcMar>
            <w:vAlign w:val="bottom"/>
          </w:tcPr>
          <w:p w:rsidR="009D27DF" w:rsidRPr="00927ED2" w:rsidRDefault="009D27DF"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171" w:type="dxa"/>
            <w:gridSpan w:val="2"/>
            <w:shd w:val="clear" w:color="auto" w:fill="00FF00"/>
            <w:tcMar>
              <w:left w:w="57" w:type="dxa"/>
              <w:right w:w="57" w:type="dxa"/>
            </w:tcMar>
            <w:vAlign w:val="bottom"/>
          </w:tcPr>
          <w:p w:rsidR="009D27DF" w:rsidRPr="00927ED2" w:rsidRDefault="009D27DF" w:rsidP="00BD4551">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Green</w:t>
            </w:r>
          </w:p>
        </w:tc>
        <w:tc>
          <w:tcPr>
            <w:tcW w:w="1284" w:type="dxa"/>
            <w:gridSpan w:val="2"/>
            <w:tcMar>
              <w:left w:w="57" w:type="dxa"/>
              <w:right w:w="57" w:type="dxa"/>
            </w:tcMar>
            <w:vAlign w:val="center"/>
          </w:tcPr>
          <w:p w:rsidR="009D27DF" w:rsidRPr="0058729F" w:rsidRDefault="009D27DF" w:rsidP="00BD4551">
            <w:pPr>
              <w:pStyle w:val="TableTextEntries"/>
              <w:jc w:val="center"/>
            </w:pPr>
          </w:p>
        </w:tc>
      </w:tr>
      <w:tr w:rsidR="00F9294E" w:rsidRPr="0058729F" w:rsidTr="009B3C83">
        <w:trPr>
          <w:cantSplit/>
        </w:trPr>
        <w:tc>
          <w:tcPr>
            <w:tcW w:w="1025" w:type="dxa"/>
          </w:tcPr>
          <w:p w:rsidR="009D27DF" w:rsidRDefault="009D27DF" w:rsidP="003C71BD">
            <w:pPr>
              <w:pStyle w:val="TableTextEntries"/>
            </w:pPr>
          </w:p>
        </w:tc>
        <w:tc>
          <w:tcPr>
            <w:tcW w:w="4118" w:type="dxa"/>
            <w:tcMar>
              <w:left w:w="57" w:type="dxa"/>
              <w:right w:w="57" w:type="dxa"/>
            </w:tcMar>
            <w:vAlign w:val="center"/>
          </w:tcPr>
          <w:p w:rsidR="009D27DF" w:rsidRPr="0058729F" w:rsidRDefault="009D27DF" w:rsidP="00151FB0">
            <w:pPr>
              <w:pStyle w:val="TableTextEntries"/>
              <w:jc w:val="both"/>
            </w:pPr>
            <w:r w:rsidRPr="001A1F11">
              <w:rPr>
                <w:rFonts w:ascii="Franklin Gothic Medium" w:hAnsi="Franklin Gothic Medium"/>
                <w:bCs/>
                <w:color w:val="000000"/>
              </w:rPr>
              <w:t>Strengthening key elements of national and sub-national health systems: HIV/AIDS and other major diseases in targeted populations</w:t>
            </w:r>
          </w:p>
        </w:tc>
        <w:tc>
          <w:tcPr>
            <w:tcW w:w="857" w:type="dxa"/>
            <w:shd w:val="clear" w:color="auto" w:fill="FF9900"/>
            <w:tcMar>
              <w:left w:w="57" w:type="dxa"/>
              <w:right w:w="57" w:type="dxa"/>
            </w:tcMar>
            <w:vAlign w:val="bottom"/>
          </w:tcPr>
          <w:p w:rsidR="009D27DF" w:rsidRPr="00927ED2" w:rsidRDefault="009D27DF"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171" w:type="dxa"/>
            <w:gridSpan w:val="2"/>
            <w:shd w:val="clear" w:color="auto" w:fill="00FF00"/>
            <w:tcMar>
              <w:left w:w="57" w:type="dxa"/>
              <w:right w:w="57" w:type="dxa"/>
            </w:tcMar>
            <w:vAlign w:val="bottom"/>
          </w:tcPr>
          <w:p w:rsidR="009D27DF" w:rsidRPr="00927ED2" w:rsidRDefault="009D27DF" w:rsidP="00BD4551">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Green</w:t>
            </w:r>
          </w:p>
        </w:tc>
        <w:tc>
          <w:tcPr>
            <w:tcW w:w="1284" w:type="dxa"/>
            <w:gridSpan w:val="2"/>
            <w:tcMar>
              <w:left w:w="57" w:type="dxa"/>
              <w:right w:w="57" w:type="dxa"/>
            </w:tcMar>
            <w:vAlign w:val="center"/>
          </w:tcPr>
          <w:p w:rsidR="009D27DF" w:rsidRPr="0058729F" w:rsidRDefault="009D27DF" w:rsidP="00BD4551">
            <w:pPr>
              <w:pStyle w:val="TableTextEntries"/>
              <w:jc w:val="center"/>
            </w:pPr>
          </w:p>
        </w:tc>
      </w:tr>
      <w:tr w:rsidR="00F9294E" w:rsidRPr="0058729F" w:rsidTr="009B3C83">
        <w:trPr>
          <w:cantSplit/>
        </w:trPr>
        <w:tc>
          <w:tcPr>
            <w:tcW w:w="1025" w:type="dxa"/>
          </w:tcPr>
          <w:p w:rsidR="009D27DF" w:rsidRDefault="009D27DF" w:rsidP="003C71BD">
            <w:pPr>
              <w:pStyle w:val="TableTextEntries"/>
            </w:pPr>
          </w:p>
        </w:tc>
        <w:tc>
          <w:tcPr>
            <w:tcW w:w="4118" w:type="dxa"/>
            <w:tcMar>
              <w:left w:w="57" w:type="dxa"/>
              <w:right w:w="57" w:type="dxa"/>
            </w:tcMar>
            <w:vAlign w:val="center"/>
          </w:tcPr>
          <w:p w:rsidR="009D27DF" w:rsidRPr="0058729F" w:rsidRDefault="009D27DF" w:rsidP="00151FB0">
            <w:pPr>
              <w:pStyle w:val="TableTextEntries"/>
              <w:jc w:val="both"/>
            </w:pPr>
            <w:r w:rsidRPr="001A1F11">
              <w:rPr>
                <w:rFonts w:ascii="Franklin Gothic Medium" w:hAnsi="Franklin Gothic Medium"/>
                <w:bCs/>
                <w:color w:val="000000"/>
              </w:rPr>
              <w:t>Strengthening key elements of national and sub-national health systems: health governance and policy</w:t>
            </w:r>
          </w:p>
        </w:tc>
        <w:tc>
          <w:tcPr>
            <w:tcW w:w="857" w:type="dxa"/>
            <w:shd w:val="clear" w:color="auto" w:fill="FF9900"/>
            <w:tcMar>
              <w:left w:w="57" w:type="dxa"/>
              <w:right w:w="57" w:type="dxa"/>
            </w:tcMar>
            <w:vAlign w:val="bottom"/>
          </w:tcPr>
          <w:p w:rsidR="009D27DF" w:rsidRPr="00927ED2" w:rsidRDefault="009D27DF"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171" w:type="dxa"/>
            <w:gridSpan w:val="2"/>
            <w:shd w:val="clear" w:color="auto" w:fill="FF9900"/>
            <w:tcMar>
              <w:left w:w="57" w:type="dxa"/>
              <w:right w:w="57" w:type="dxa"/>
            </w:tcMar>
            <w:vAlign w:val="bottom"/>
          </w:tcPr>
          <w:p w:rsidR="009D27DF" w:rsidRPr="00927ED2" w:rsidRDefault="009D27DF"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284" w:type="dxa"/>
            <w:gridSpan w:val="2"/>
            <w:tcMar>
              <w:left w:w="57" w:type="dxa"/>
              <w:right w:w="57" w:type="dxa"/>
            </w:tcMar>
            <w:vAlign w:val="center"/>
          </w:tcPr>
          <w:p w:rsidR="009D27DF" w:rsidRPr="0058729F" w:rsidRDefault="009D27DF" w:rsidP="00BD4551">
            <w:pPr>
              <w:pStyle w:val="TableTextEntries"/>
              <w:jc w:val="center"/>
            </w:pPr>
          </w:p>
        </w:tc>
      </w:tr>
      <w:tr w:rsidR="00F9294E" w:rsidRPr="0058729F" w:rsidTr="009B3C83">
        <w:trPr>
          <w:cantSplit/>
        </w:trPr>
        <w:tc>
          <w:tcPr>
            <w:tcW w:w="1025" w:type="dxa"/>
          </w:tcPr>
          <w:p w:rsidR="009D27DF" w:rsidRDefault="009D27DF" w:rsidP="003C71BD">
            <w:pPr>
              <w:pStyle w:val="TableTextEntries"/>
            </w:pPr>
          </w:p>
        </w:tc>
        <w:tc>
          <w:tcPr>
            <w:tcW w:w="4118" w:type="dxa"/>
            <w:tcMar>
              <w:left w:w="57" w:type="dxa"/>
              <w:right w:w="57" w:type="dxa"/>
            </w:tcMar>
            <w:vAlign w:val="center"/>
          </w:tcPr>
          <w:p w:rsidR="009D27DF" w:rsidRPr="0058729F" w:rsidRDefault="009D27DF" w:rsidP="00151FB0">
            <w:pPr>
              <w:pStyle w:val="TableTextEntries"/>
              <w:jc w:val="both"/>
            </w:pPr>
            <w:r w:rsidRPr="001A1F11">
              <w:rPr>
                <w:rFonts w:ascii="Franklin Gothic Medium" w:hAnsi="Franklin Gothic Medium"/>
                <w:bCs/>
                <w:color w:val="000000"/>
              </w:rPr>
              <w:t>An improved social health insurance system</w:t>
            </w:r>
          </w:p>
        </w:tc>
        <w:tc>
          <w:tcPr>
            <w:tcW w:w="857" w:type="dxa"/>
            <w:tcMar>
              <w:left w:w="57" w:type="dxa"/>
              <w:right w:w="57" w:type="dxa"/>
            </w:tcMar>
          </w:tcPr>
          <w:p w:rsidR="009D27DF" w:rsidRDefault="009D27DF" w:rsidP="00BD4551">
            <w:pPr>
              <w:pStyle w:val="TableTextColumnHeading"/>
              <w:jc w:val="center"/>
            </w:pPr>
          </w:p>
        </w:tc>
        <w:tc>
          <w:tcPr>
            <w:tcW w:w="1171" w:type="dxa"/>
            <w:gridSpan w:val="2"/>
            <w:shd w:val="clear" w:color="auto" w:fill="auto"/>
            <w:tcMar>
              <w:left w:w="57" w:type="dxa"/>
              <w:right w:w="57" w:type="dxa"/>
            </w:tcMar>
            <w:vAlign w:val="center"/>
          </w:tcPr>
          <w:p w:rsidR="009D27DF" w:rsidRPr="0058729F" w:rsidRDefault="009D27DF" w:rsidP="00BD4551">
            <w:pPr>
              <w:pStyle w:val="Ratingbullet"/>
            </w:pPr>
          </w:p>
        </w:tc>
        <w:tc>
          <w:tcPr>
            <w:tcW w:w="1284" w:type="dxa"/>
            <w:gridSpan w:val="2"/>
            <w:shd w:val="clear" w:color="auto" w:fill="00FF00"/>
            <w:tcMar>
              <w:left w:w="57" w:type="dxa"/>
              <w:right w:w="57" w:type="dxa"/>
            </w:tcMar>
            <w:vAlign w:val="center"/>
          </w:tcPr>
          <w:p w:rsidR="009D27DF" w:rsidRPr="008A5B3D" w:rsidRDefault="007346B4" w:rsidP="00BD4551">
            <w:pPr>
              <w:widowControl w:val="0"/>
              <w:jc w:val="center"/>
            </w:pPr>
            <w:r w:rsidRPr="003C6A80">
              <w:rPr>
                <w:rFonts w:ascii="Franklin Gothic Medium" w:hAnsi="Franklin Gothic Medium"/>
                <w:color w:val="000000"/>
                <w:sz w:val="17"/>
                <w:szCs w:val="17"/>
              </w:rPr>
              <w:t>Green</w:t>
            </w:r>
          </w:p>
        </w:tc>
      </w:tr>
      <w:tr w:rsidR="00F9294E" w:rsidRPr="0058729F" w:rsidTr="009B3C83">
        <w:trPr>
          <w:cantSplit/>
        </w:trPr>
        <w:tc>
          <w:tcPr>
            <w:tcW w:w="1025" w:type="dxa"/>
          </w:tcPr>
          <w:p w:rsidR="009D27DF" w:rsidRDefault="009D27DF" w:rsidP="003C71BD">
            <w:pPr>
              <w:pStyle w:val="TableTextEntries"/>
            </w:pPr>
          </w:p>
        </w:tc>
        <w:tc>
          <w:tcPr>
            <w:tcW w:w="4118" w:type="dxa"/>
            <w:tcMar>
              <w:left w:w="57" w:type="dxa"/>
              <w:right w:w="57" w:type="dxa"/>
            </w:tcMar>
            <w:vAlign w:val="center"/>
          </w:tcPr>
          <w:p w:rsidR="009D27DF" w:rsidRPr="0058729F" w:rsidRDefault="009D27DF" w:rsidP="00151FB0">
            <w:pPr>
              <w:pStyle w:val="TableTextEntries"/>
              <w:jc w:val="both"/>
            </w:pPr>
            <w:r w:rsidRPr="001A1F11">
              <w:rPr>
                <w:rFonts w:ascii="Franklin Gothic Medium" w:hAnsi="Franklin Gothic Medium"/>
                <w:bCs/>
                <w:color w:val="000000"/>
              </w:rPr>
              <w:t>Health accounts institutionalised at district level within NTT province and at the national level</w:t>
            </w:r>
          </w:p>
        </w:tc>
        <w:tc>
          <w:tcPr>
            <w:tcW w:w="857" w:type="dxa"/>
            <w:tcMar>
              <w:left w:w="57" w:type="dxa"/>
              <w:right w:w="57" w:type="dxa"/>
            </w:tcMar>
          </w:tcPr>
          <w:p w:rsidR="009D27DF" w:rsidRDefault="009D27DF" w:rsidP="00BD4551">
            <w:pPr>
              <w:pStyle w:val="TableTextColumnHeading"/>
              <w:jc w:val="center"/>
            </w:pPr>
          </w:p>
        </w:tc>
        <w:tc>
          <w:tcPr>
            <w:tcW w:w="1171" w:type="dxa"/>
            <w:gridSpan w:val="2"/>
            <w:shd w:val="clear" w:color="auto" w:fill="auto"/>
            <w:tcMar>
              <w:left w:w="57" w:type="dxa"/>
              <w:right w:w="57" w:type="dxa"/>
            </w:tcMar>
            <w:vAlign w:val="center"/>
          </w:tcPr>
          <w:p w:rsidR="009D27DF" w:rsidRPr="0058729F" w:rsidRDefault="009D27DF" w:rsidP="00BD4551">
            <w:pPr>
              <w:pStyle w:val="Ratingbullet"/>
            </w:pPr>
          </w:p>
        </w:tc>
        <w:tc>
          <w:tcPr>
            <w:tcW w:w="1284" w:type="dxa"/>
            <w:gridSpan w:val="2"/>
            <w:shd w:val="clear" w:color="auto" w:fill="FF9900"/>
            <w:tcMar>
              <w:left w:w="57" w:type="dxa"/>
              <w:right w:w="57" w:type="dxa"/>
            </w:tcMar>
            <w:vAlign w:val="center"/>
          </w:tcPr>
          <w:p w:rsidR="009D27DF" w:rsidRPr="008A5B3D" w:rsidRDefault="007346B4" w:rsidP="00BD4551">
            <w:pPr>
              <w:widowControl w:val="0"/>
              <w:jc w:val="center"/>
            </w:pPr>
            <w:r w:rsidRPr="003C6A80">
              <w:rPr>
                <w:rFonts w:ascii="Franklin Gothic Medium" w:hAnsi="Franklin Gothic Medium"/>
                <w:color w:val="000000"/>
                <w:sz w:val="17"/>
                <w:szCs w:val="17"/>
              </w:rPr>
              <w:t>Amber</w:t>
            </w:r>
          </w:p>
        </w:tc>
      </w:tr>
      <w:tr w:rsidR="00F9294E" w:rsidRPr="0058729F" w:rsidTr="009B3C83">
        <w:trPr>
          <w:cantSplit/>
        </w:trPr>
        <w:tc>
          <w:tcPr>
            <w:tcW w:w="1025" w:type="dxa"/>
          </w:tcPr>
          <w:p w:rsidR="009D27DF" w:rsidRDefault="009D27DF" w:rsidP="003C71BD">
            <w:pPr>
              <w:pStyle w:val="TableTextEntries"/>
            </w:pPr>
          </w:p>
        </w:tc>
        <w:tc>
          <w:tcPr>
            <w:tcW w:w="4118" w:type="dxa"/>
            <w:tcMar>
              <w:left w:w="57" w:type="dxa"/>
              <w:right w:w="57" w:type="dxa"/>
            </w:tcMar>
            <w:vAlign w:val="center"/>
          </w:tcPr>
          <w:p w:rsidR="009D27DF" w:rsidRPr="0058729F" w:rsidRDefault="009D27DF" w:rsidP="00151FB0">
            <w:pPr>
              <w:pStyle w:val="TableTextEntries"/>
              <w:jc w:val="both"/>
            </w:pPr>
            <w:r w:rsidRPr="001A1F11">
              <w:rPr>
                <w:rFonts w:ascii="Franklin Gothic Medium" w:hAnsi="Franklin Gothic Medium"/>
                <w:bCs/>
                <w:color w:val="000000"/>
              </w:rPr>
              <w:t>Confident use of health facilities and services for delivery of babies, ante-natal and post-natal care in NTT</w:t>
            </w:r>
          </w:p>
        </w:tc>
        <w:tc>
          <w:tcPr>
            <w:tcW w:w="857" w:type="dxa"/>
            <w:tcMar>
              <w:left w:w="57" w:type="dxa"/>
              <w:right w:w="57" w:type="dxa"/>
            </w:tcMar>
          </w:tcPr>
          <w:p w:rsidR="009D27DF" w:rsidRDefault="009D27DF" w:rsidP="00BD4551">
            <w:pPr>
              <w:pStyle w:val="TableTextColumnHeading"/>
              <w:jc w:val="center"/>
            </w:pPr>
          </w:p>
        </w:tc>
        <w:tc>
          <w:tcPr>
            <w:tcW w:w="1171" w:type="dxa"/>
            <w:gridSpan w:val="2"/>
            <w:shd w:val="clear" w:color="auto" w:fill="auto"/>
            <w:tcMar>
              <w:left w:w="57" w:type="dxa"/>
              <w:right w:w="57" w:type="dxa"/>
            </w:tcMar>
            <w:vAlign w:val="center"/>
          </w:tcPr>
          <w:p w:rsidR="009D27DF" w:rsidRPr="0058729F" w:rsidRDefault="009D27DF" w:rsidP="00BD4551">
            <w:pPr>
              <w:pStyle w:val="Ratingbullet"/>
            </w:pPr>
          </w:p>
        </w:tc>
        <w:tc>
          <w:tcPr>
            <w:tcW w:w="1284" w:type="dxa"/>
            <w:gridSpan w:val="2"/>
            <w:shd w:val="clear" w:color="auto" w:fill="FF9900"/>
            <w:tcMar>
              <w:left w:w="57" w:type="dxa"/>
              <w:right w:w="57" w:type="dxa"/>
            </w:tcMar>
            <w:vAlign w:val="center"/>
          </w:tcPr>
          <w:p w:rsidR="009D27DF" w:rsidRPr="008A5B3D" w:rsidRDefault="007346B4" w:rsidP="00BD4551">
            <w:pPr>
              <w:widowControl w:val="0"/>
              <w:jc w:val="center"/>
            </w:pPr>
            <w:r w:rsidRPr="003C6A80">
              <w:rPr>
                <w:rFonts w:ascii="Franklin Gothic Medium" w:hAnsi="Franklin Gothic Medium"/>
                <w:color w:val="000000"/>
                <w:sz w:val="17"/>
                <w:szCs w:val="17"/>
              </w:rPr>
              <w:t>Amber</w:t>
            </w:r>
          </w:p>
        </w:tc>
      </w:tr>
      <w:tr w:rsidR="00F9294E" w:rsidRPr="0058729F" w:rsidTr="009B3C83">
        <w:trPr>
          <w:cantSplit/>
        </w:trPr>
        <w:tc>
          <w:tcPr>
            <w:tcW w:w="1025" w:type="dxa"/>
          </w:tcPr>
          <w:p w:rsidR="009D27DF" w:rsidRDefault="009D27DF" w:rsidP="003C71BD">
            <w:pPr>
              <w:pStyle w:val="TableTextEntries"/>
            </w:pPr>
          </w:p>
        </w:tc>
        <w:tc>
          <w:tcPr>
            <w:tcW w:w="4118" w:type="dxa"/>
            <w:tcMar>
              <w:left w:w="57" w:type="dxa"/>
              <w:right w:w="57" w:type="dxa"/>
            </w:tcMar>
            <w:vAlign w:val="center"/>
          </w:tcPr>
          <w:p w:rsidR="009D27DF" w:rsidRPr="0058729F" w:rsidRDefault="009D27DF" w:rsidP="00151FB0">
            <w:pPr>
              <w:pStyle w:val="TableTextEntries"/>
              <w:jc w:val="both"/>
            </w:pPr>
            <w:r w:rsidRPr="001A1F11">
              <w:rPr>
                <w:rFonts w:ascii="Franklin Gothic Medium" w:hAnsi="Franklin Gothic Medium"/>
                <w:bCs/>
                <w:color w:val="000000"/>
              </w:rPr>
              <w:t>Increased HIV/AIDS prevention, care/support and treatment programs in selected regions</w:t>
            </w:r>
          </w:p>
        </w:tc>
        <w:tc>
          <w:tcPr>
            <w:tcW w:w="857" w:type="dxa"/>
            <w:tcMar>
              <w:left w:w="57" w:type="dxa"/>
              <w:right w:w="57" w:type="dxa"/>
            </w:tcMar>
          </w:tcPr>
          <w:p w:rsidR="009D27DF" w:rsidRDefault="009D27DF" w:rsidP="00BD4551">
            <w:pPr>
              <w:pStyle w:val="TableTextColumnHeading"/>
              <w:jc w:val="center"/>
            </w:pPr>
          </w:p>
        </w:tc>
        <w:tc>
          <w:tcPr>
            <w:tcW w:w="1171" w:type="dxa"/>
            <w:gridSpan w:val="2"/>
            <w:shd w:val="clear" w:color="auto" w:fill="auto"/>
            <w:tcMar>
              <w:left w:w="57" w:type="dxa"/>
              <w:right w:w="57" w:type="dxa"/>
            </w:tcMar>
            <w:vAlign w:val="center"/>
          </w:tcPr>
          <w:p w:rsidR="009D27DF" w:rsidRPr="0058729F" w:rsidRDefault="009D27DF" w:rsidP="00BD4551">
            <w:pPr>
              <w:pStyle w:val="Ratingbullet"/>
            </w:pPr>
          </w:p>
        </w:tc>
        <w:tc>
          <w:tcPr>
            <w:tcW w:w="1284" w:type="dxa"/>
            <w:gridSpan w:val="2"/>
            <w:shd w:val="clear" w:color="auto" w:fill="00FF00"/>
            <w:tcMar>
              <w:left w:w="57" w:type="dxa"/>
              <w:right w:w="57" w:type="dxa"/>
            </w:tcMar>
            <w:vAlign w:val="center"/>
          </w:tcPr>
          <w:p w:rsidR="009D27DF" w:rsidRPr="003C6A80" w:rsidRDefault="007346B4" w:rsidP="00BD4551">
            <w:pPr>
              <w:widowControl w:val="0"/>
              <w:jc w:val="center"/>
              <w:rPr>
                <w:rFonts w:ascii="Franklin Gothic Medium" w:hAnsi="Franklin Gothic Medium"/>
                <w:color w:val="000000"/>
                <w:sz w:val="17"/>
                <w:szCs w:val="17"/>
              </w:rPr>
            </w:pPr>
            <w:r w:rsidRPr="003C6A80">
              <w:rPr>
                <w:rFonts w:ascii="Franklin Gothic Medium" w:hAnsi="Franklin Gothic Medium"/>
                <w:color w:val="000000"/>
                <w:sz w:val="17"/>
                <w:szCs w:val="17"/>
              </w:rPr>
              <w:t>Green</w:t>
            </w:r>
          </w:p>
        </w:tc>
      </w:tr>
      <w:tr w:rsidR="00F9294E" w:rsidRPr="0058729F" w:rsidTr="009B3C83">
        <w:trPr>
          <w:cantSplit/>
        </w:trPr>
        <w:tc>
          <w:tcPr>
            <w:tcW w:w="1025" w:type="dxa"/>
          </w:tcPr>
          <w:p w:rsidR="009D27DF" w:rsidRDefault="009D27DF" w:rsidP="003C71BD">
            <w:pPr>
              <w:pStyle w:val="TableTextEntries"/>
            </w:pPr>
          </w:p>
        </w:tc>
        <w:tc>
          <w:tcPr>
            <w:tcW w:w="4118" w:type="dxa"/>
            <w:tcMar>
              <w:left w:w="57" w:type="dxa"/>
              <w:right w:w="57" w:type="dxa"/>
            </w:tcMar>
            <w:vAlign w:val="center"/>
          </w:tcPr>
          <w:p w:rsidR="009D27DF" w:rsidRPr="0058729F" w:rsidRDefault="009D27DF" w:rsidP="00532574">
            <w:pPr>
              <w:pStyle w:val="TableTextEntries"/>
              <w:jc w:val="both"/>
            </w:pPr>
            <w:r w:rsidRPr="001A1F11">
              <w:rPr>
                <w:rFonts w:ascii="Franklin Gothic Medium" w:hAnsi="Franklin Gothic Medium"/>
                <w:bCs/>
                <w:color w:val="000000"/>
              </w:rPr>
              <w:t>Strengthened leadership of the national and sub-national response to HIV/AIDS</w:t>
            </w:r>
          </w:p>
        </w:tc>
        <w:tc>
          <w:tcPr>
            <w:tcW w:w="857" w:type="dxa"/>
            <w:tcMar>
              <w:left w:w="57" w:type="dxa"/>
              <w:right w:w="57" w:type="dxa"/>
            </w:tcMar>
          </w:tcPr>
          <w:p w:rsidR="009D27DF" w:rsidRDefault="009D27DF" w:rsidP="00BD4551">
            <w:pPr>
              <w:pStyle w:val="TableTextColumnHeading"/>
              <w:jc w:val="center"/>
            </w:pPr>
          </w:p>
        </w:tc>
        <w:tc>
          <w:tcPr>
            <w:tcW w:w="1171" w:type="dxa"/>
            <w:gridSpan w:val="2"/>
            <w:shd w:val="clear" w:color="auto" w:fill="auto"/>
            <w:tcMar>
              <w:left w:w="57" w:type="dxa"/>
              <w:right w:w="57" w:type="dxa"/>
            </w:tcMar>
            <w:vAlign w:val="center"/>
          </w:tcPr>
          <w:p w:rsidR="009D27DF" w:rsidRPr="0058729F" w:rsidRDefault="009D27DF" w:rsidP="00BD4551">
            <w:pPr>
              <w:pStyle w:val="Ratingbullet"/>
            </w:pPr>
          </w:p>
        </w:tc>
        <w:tc>
          <w:tcPr>
            <w:tcW w:w="1284" w:type="dxa"/>
            <w:gridSpan w:val="2"/>
            <w:shd w:val="clear" w:color="auto" w:fill="FF9900"/>
            <w:tcMar>
              <w:left w:w="57" w:type="dxa"/>
              <w:right w:w="57" w:type="dxa"/>
            </w:tcMar>
            <w:vAlign w:val="center"/>
          </w:tcPr>
          <w:p w:rsidR="009D27DF" w:rsidRPr="00A75E58" w:rsidRDefault="00A75E58" w:rsidP="00BD4551">
            <w:pPr>
              <w:widowControl w:val="0"/>
              <w:jc w:val="center"/>
              <w:rPr>
                <w:b/>
              </w:rPr>
            </w:pPr>
            <w:r w:rsidRPr="008A5B3D">
              <w:rPr>
                <w:rFonts w:ascii="Franklin Gothic Medium" w:hAnsi="Franklin Gothic Medium"/>
                <w:color w:val="000000"/>
                <w:sz w:val="17"/>
                <w:szCs w:val="17"/>
              </w:rPr>
              <w:t>Amber</w:t>
            </w:r>
          </w:p>
        </w:tc>
      </w:tr>
      <w:tr w:rsidR="00F9294E" w:rsidRPr="0058729F" w:rsidTr="009B3C83">
        <w:trPr>
          <w:cantSplit/>
        </w:trPr>
        <w:tc>
          <w:tcPr>
            <w:tcW w:w="1025" w:type="dxa"/>
          </w:tcPr>
          <w:p w:rsidR="00AD6373" w:rsidRDefault="00AD6373" w:rsidP="003C71BD">
            <w:pPr>
              <w:pStyle w:val="TableTextEntries"/>
            </w:pPr>
            <w:smartTag w:uri="urn:schemas-microsoft-com:office:smarttags" w:element="place">
              <w:smartTag w:uri="urn:schemas-microsoft-com:office:smarttags" w:element="country-region">
                <w:r>
                  <w:t>Nauru</w:t>
                </w:r>
              </w:smartTag>
            </w:smartTag>
          </w:p>
        </w:tc>
        <w:tc>
          <w:tcPr>
            <w:tcW w:w="4118" w:type="dxa"/>
            <w:tcMar>
              <w:left w:w="57" w:type="dxa"/>
              <w:right w:w="57" w:type="dxa"/>
            </w:tcMar>
            <w:vAlign w:val="center"/>
          </w:tcPr>
          <w:p w:rsidR="00AD6373" w:rsidRPr="0058729F" w:rsidRDefault="00AD6373" w:rsidP="00532574">
            <w:pPr>
              <w:pStyle w:val="TableTextEntries"/>
              <w:jc w:val="both"/>
            </w:pPr>
            <w:r w:rsidRPr="001A1F11">
              <w:rPr>
                <w:rFonts w:ascii="Franklin Gothic Medium" w:hAnsi="Franklin Gothic Medium"/>
                <w:bCs/>
                <w:color w:val="000000"/>
              </w:rPr>
              <w:t>Assist with shifting services toward greater emphasis on primary health and preventive measures in order to place these on a more sustainable long-term footing</w:t>
            </w:r>
          </w:p>
        </w:tc>
        <w:tc>
          <w:tcPr>
            <w:tcW w:w="857" w:type="dxa"/>
            <w:shd w:val="clear" w:color="auto" w:fill="FF9900"/>
            <w:tcMar>
              <w:left w:w="57" w:type="dxa"/>
              <w:right w:w="57" w:type="dxa"/>
            </w:tcMar>
            <w:vAlign w:val="bottom"/>
          </w:tcPr>
          <w:p w:rsidR="00AD6373" w:rsidRPr="00927ED2" w:rsidRDefault="00AD6373"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171" w:type="dxa"/>
            <w:gridSpan w:val="2"/>
            <w:shd w:val="clear" w:color="auto" w:fill="FF9900"/>
            <w:tcMar>
              <w:left w:w="57" w:type="dxa"/>
              <w:right w:w="57" w:type="dxa"/>
            </w:tcMar>
            <w:vAlign w:val="bottom"/>
          </w:tcPr>
          <w:p w:rsidR="00AD6373" w:rsidRPr="00927ED2" w:rsidRDefault="00AD6373"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284" w:type="dxa"/>
            <w:gridSpan w:val="2"/>
            <w:shd w:val="clear" w:color="auto" w:fill="FF9900"/>
            <w:tcMar>
              <w:left w:w="57" w:type="dxa"/>
              <w:right w:w="57" w:type="dxa"/>
            </w:tcMar>
            <w:vAlign w:val="bottom"/>
          </w:tcPr>
          <w:p w:rsidR="00AD6373" w:rsidRPr="00927ED2" w:rsidRDefault="00AD6373"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r>
      <w:tr w:rsidR="00F9294E" w:rsidRPr="0058729F" w:rsidTr="009B3C83">
        <w:trPr>
          <w:cantSplit/>
        </w:trPr>
        <w:tc>
          <w:tcPr>
            <w:tcW w:w="1025" w:type="dxa"/>
          </w:tcPr>
          <w:p w:rsidR="0089163F" w:rsidRDefault="0089163F" w:rsidP="003C71BD">
            <w:pPr>
              <w:pStyle w:val="TableTextEntries"/>
            </w:pPr>
            <w:r>
              <w:t>Pacific Regional</w:t>
            </w:r>
          </w:p>
        </w:tc>
        <w:tc>
          <w:tcPr>
            <w:tcW w:w="4118" w:type="dxa"/>
            <w:tcMar>
              <w:left w:w="57" w:type="dxa"/>
              <w:right w:w="57" w:type="dxa"/>
            </w:tcMar>
            <w:vAlign w:val="center"/>
          </w:tcPr>
          <w:p w:rsidR="0089163F" w:rsidRPr="0058729F" w:rsidRDefault="0089163F" w:rsidP="00532574">
            <w:pPr>
              <w:pStyle w:val="TableTextEntries"/>
              <w:jc w:val="both"/>
            </w:pPr>
            <w:r w:rsidRPr="001A1F11">
              <w:rPr>
                <w:rFonts w:ascii="Franklin Gothic Medium" w:hAnsi="Franklin Gothic Medium"/>
                <w:bCs/>
                <w:color w:val="000000"/>
              </w:rPr>
              <w:t>Improve service delivery, with a focus on health and technical and vocational education and training.</w:t>
            </w:r>
          </w:p>
        </w:tc>
        <w:tc>
          <w:tcPr>
            <w:tcW w:w="857" w:type="dxa"/>
            <w:tcMar>
              <w:left w:w="57" w:type="dxa"/>
              <w:right w:w="57" w:type="dxa"/>
            </w:tcMar>
          </w:tcPr>
          <w:p w:rsidR="0089163F" w:rsidRDefault="0089163F" w:rsidP="00BD4551">
            <w:pPr>
              <w:pStyle w:val="TableTextColumnHeading"/>
              <w:jc w:val="center"/>
            </w:pPr>
          </w:p>
        </w:tc>
        <w:tc>
          <w:tcPr>
            <w:tcW w:w="1171" w:type="dxa"/>
            <w:gridSpan w:val="2"/>
            <w:shd w:val="clear" w:color="auto" w:fill="FF9900"/>
            <w:tcMar>
              <w:left w:w="57" w:type="dxa"/>
              <w:right w:w="57" w:type="dxa"/>
            </w:tcMar>
            <w:vAlign w:val="bottom"/>
          </w:tcPr>
          <w:p w:rsidR="0089163F" w:rsidRPr="00927ED2" w:rsidRDefault="0089163F"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284" w:type="dxa"/>
            <w:gridSpan w:val="2"/>
            <w:shd w:val="clear" w:color="auto" w:fill="FF9900"/>
            <w:tcMar>
              <w:left w:w="57" w:type="dxa"/>
              <w:right w:w="57" w:type="dxa"/>
            </w:tcMar>
            <w:vAlign w:val="bottom"/>
          </w:tcPr>
          <w:p w:rsidR="0089163F" w:rsidRPr="00927ED2" w:rsidRDefault="0089163F" w:rsidP="00BD4551">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r>
      <w:tr w:rsidR="00F9294E" w:rsidRPr="00D81B5B" w:rsidTr="009B3C83">
        <w:trPr>
          <w:cantSplit/>
        </w:trPr>
        <w:tc>
          <w:tcPr>
            <w:tcW w:w="1025" w:type="dxa"/>
          </w:tcPr>
          <w:p w:rsidR="00CE3C2D" w:rsidRDefault="00CE3C2D" w:rsidP="003C71BD">
            <w:pPr>
              <w:pStyle w:val="TableTextEntries"/>
            </w:pPr>
            <w:smartTag w:uri="urn:schemas-microsoft-com:office:smarttags" w:element="place">
              <w:smartTag w:uri="urn:schemas-microsoft-com:office:smarttags" w:element="country-region">
                <w:r>
                  <w:t>Papua New Guinea</w:t>
                </w:r>
              </w:smartTag>
            </w:smartTag>
          </w:p>
        </w:tc>
        <w:tc>
          <w:tcPr>
            <w:tcW w:w="4118" w:type="dxa"/>
            <w:tcMar>
              <w:left w:w="57" w:type="dxa"/>
              <w:right w:w="57" w:type="dxa"/>
            </w:tcMar>
            <w:vAlign w:val="center"/>
          </w:tcPr>
          <w:p w:rsidR="00CE3C2D" w:rsidRPr="001A1F11" w:rsidRDefault="00CE3C2D" w:rsidP="00532574">
            <w:pPr>
              <w:widowControl w:val="0"/>
              <w:jc w:val="both"/>
              <w:rPr>
                <w:rFonts w:ascii="Franklin Gothic Medium" w:hAnsi="Franklin Gothic Medium"/>
                <w:bCs/>
                <w:color w:val="000000"/>
                <w:sz w:val="17"/>
                <w:szCs w:val="17"/>
              </w:rPr>
            </w:pPr>
            <w:r w:rsidRPr="001A1F11">
              <w:rPr>
                <w:rFonts w:ascii="Franklin Gothic Medium" w:hAnsi="Franklin Gothic Medium"/>
                <w:bCs/>
                <w:color w:val="000000"/>
                <w:sz w:val="17"/>
                <w:szCs w:val="17"/>
              </w:rPr>
              <w:t>Increased quality of and access to health services</w:t>
            </w:r>
          </w:p>
        </w:tc>
        <w:tc>
          <w:tcPr>
            <w:tcW w:w="857" w:type="dxa"/>
            <w:shd w:val="clear" w:color="auto" w:fill="FF0000"/>
            <w:tcMar>
              <w:left w:w="57" w:type="dxa"/>
              <w:right w:w="57" w:type="dxa"/>
            </w:tcMar>
            <w:vAlign w:val="bottom"/>
          </w:tcPr>
          <w:p w:rsidR="00CE3C2D" w:rsidRPr="00927ED2" w:rsidRDefault="00CE3C2D" w:rsidP="00BD4551">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Red</w:t>
            </w:r>
          </w:p>
        </w:tc>
        <w:tc>
          <w:tcPr>
            <w:tcW w:w="1171" w:type="dxa"/>
            <w:gridSpan w:val="2"/>
            <w:shd w:val="clear" w:color="auto" w:fill="FF0000"/>
            <w:tcMar>
              <w:left w:w="57" w:type="dxa"/>
              <w:right w:w="57" w:type="dxa"/>
            </w:tcMar>
            <w:vAlign w:val="bottom"/>
          </w:tcPr>
          <w:p w:rsidR="00CE3C2D" w:rsidRPr="00927ED2" w:rsidRDefault="00CE3C2D" w:rsidP="00BD4551">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Red</w:t>
            </w:r>
          </w:p>
        </w:tc>
        <w:tc>
          <w:tcPr>
            <w:tcW w:w="1284" w:type="dxa"/>
            <w:gridSpan w:val="2"/>
            <w:shd w:val="clear" w:color="auto" w:fill="FF0000"/>
            <w:tcMar>
              <w:left w:w="57" w:type="dxa"/>
              <w:right w:w="57" w:type="dxa"/>
            </w:tcMar>
            <w:vAlign w:val="bottom"/>
          </w:tcPr>
          <w:p w:rsidR="00CE3C2D" w:rsidRPr="00927ED2" w:rsidRDefault="00CE3C2D" w:rsidP="00BD4551">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Red</w:t>
            </w:r>
          </w:p>
        </w:tc>
      </w:tr>
      <w:tr w:rsidR="00F9294E" w:rsidRPr="00D81B5B" w:rsidTr="009B3C83">
        <w:trPr>
          <w:cantSplit/>
        </w:trPr>
        <w:tc>
          <w:tcPr>
            <w:tcW w:w="1025" w:type="dxa"/>
          </w:tcPr>
          <w:p w:rsidR="00032985" w:rsidRDefault="00032985" w:rsidP="003C71BD">
            <w:pPr>
              <w:pStyle w:val="TableTextEntries"/>
            </w:pPr>
          </w:p>
        </w:tc>
        <w:tc>
          <w:tcPr>
            <w:tcW w:w="4118" w:type="dxa"/>
            <w:tcMar>
              <w:left w:w="57" w:type="dxa"/>
              <w:right w:w="57" w:type="dxa"/>
            </w:tcMar>
            <w:vAlign w:val="center"/>
          </w:tcPr>
          <w:p w:rsidR="00032985" w:rsidRPr="00F6602D" w:rsidRDefault="00032985" w:rsidP="00532574">
            <w:pPr>
              <w:pStyle w:val="TableTextEntries"/>
              <w:jc w:val="both"/>
              <w:rPr>
                <w:rFonts w:ascii="Franklin Gothic Medium" w:hAnsi="Franklin Gothic Medium"/>
                <w:bCs/>
                <w:color w:val="000000"/>
              </w:rPr>
            </w:pPr>
            <w:r w:rsidRPr="001A1F11">
              <w:rPr>
                <w:rFonts w:ascii="Franklin Gothic Medium" w:hAnsi="Franklin Gothic Medium"/>
                <w:bCs/>
                <w:color w:val="000000"/>
              </w:rPr>
              <w:t>Stabilise spread of new HIV infections by 2020</w:t>
            </w:r>
          </w:p>
        </w:tc>
        <w:tc>
          <w:tcPr>
            <w:tcW w:w="857" w:type="dxa"/>
            <w:shd w:val="clear" w:color="auto" w:fill="FF9900"/>
            <w:tcMar>
              <w:left w:w="57" w:type="dxa"/>
              <w:right w:w="57" w:type="dxa"/>
            </w:tcMar>
            <w:vAlign w:val="bottom"/>
          </w:tcPr>
          <w:p w:rsidR="00032985" w:rsidRPr="00F6602D" w:rsidRDefault="00032985" w:rsidP="00BD4551">
            <w:pPr>
              <w:widowControl w:val="0"/>
              <w:jc w:val="center"/>
              <w:rPr>
                <w:rFonts w:ascii="Franklin Gothic Medium" w:hAnsi="Franklin Gothic Medium"/>
                <w:bCs/>
                <w:color w:val="000000"/>
                <w:sz w:val="17"/>
                <w:szCs w:val="17"/>
                <w:lang w:eastAsia="en-US"/>
              </w:rPr>
            </w:pPr>
            <w:r w:rsidRPr="00F6602D">
              <w:rPr>
                <w:rFonts w:ascii="Franklin Gothic Medium" w:hAnsi="Franklin Gothic Medium"/>
                <w:bCs/>
                <w:color w:val="000000"/>
                <w:sz w:val="17"/>
                <w:szCs w:val="17"/>
                <w:lang w:eastAsia="en-US"/>
              </w:rPr>
              <w:t>Amber</w:t>
            </w:r>
          </w:p>
        </w:tc>
        <w:tc>
          <w:tcPr>
            <w:tcW w:w="1171" w:type="dxa"/>
            <w:gridSpan w:val="2"/>
            <w:shd w:val="clear" w:color="auto" w:fill="FF9900"/>
            <w:tcMar>
              <w:left w:w="57" w:type="dxa"/>
              <w:right w:w="57" w:type="dxa"/>
            </w:tcMar>
            <w:vAlign w:val="bottom"/>
          </w:tcPr>
          <w:p w:rsidR="00032985" w:rsidRPr="00F6602D" w:rsidRDefault="00032985" w:rsidP="00BD4551">
            <w:pPr>
              <w:widowControl w:val="0"/>
              <w:jc w:val="center"/>
              <w:rPr>
                <w:rFonts w:ascii="Franklin Gothic Medium" w:hAnsi="Franklin Gothic Medium"/>
                <w:bCs/>
                <w:color w:val="000000"/>
                <w:sz w:val="17"/>
                <w:szCs w:val="17"/>
                <w:lang w:eastAsia="en-US"/>
              </w:rPr>
            </w:pPr>
            <w:r w:rsidRPr="00F6602D">
              <w:rPr>
                <w:rFonts w:ascii="Franklin Gothic Medium" w:hAnsi="Franklin Gothic Medium"/>
                <w:bCs/>
                <w:color w:val="000000"/>
                <w:sz w:val="17"/>
                <w:szCs w:val="17"/>
                <w:lang w:eastAsia="en-US"/>
              </w:rPr>
              <w:t>Amber</w:t>
            </w:r>
          </w:p>
        </w:tc>
        <w:tc>
          <w:tcPr>
            <w:tcW w:w="1284" w:type="dxa"/>
            <w:gridSpan w:val="2"/>
            <w:shd w:val="clear" w:color="auto" w:fill="FF9900"/>
            <w:tcMar>
              <w:left w:w="57" w:type="dxa"/>
              <w:right w:w="57" w:type="dxa"/>
            </w:tcMar>
            <w:vAlign w:val="bottom"/>
          </w:tcPr>
          <w:p w:rsidR="00032985" w:rsidRPr="00F6602D" w:rsidRDefault="00032985" w:rsidP="00BD4551">
            <w:pPr>
              <w:widowControl w:val="0"/>
              <w:jc w:val="center"/>
              <w:rPr>
                <w:rFonts w:ascii="Franklin Gothic Medium" w:hAnsi="Franklin Gothic Medium"/>
                <w:bCs/>
                <w:color w:val="000000"/>
                <w:sz w:val="17"/>
                <w:szCs w:val="17"/>
                <w:lang w:eastAsia="en-US"/>
              </w:rPr>
            </w:pPr>
            <w:r w:rsidRPr="00F6602D">
              <w:rPr>
                <w:rFonts w:ascii="Franklin Gothic Medium" w:hAnsi="Franklin Gothic Medium"/>
                <w:bCs/>
                <w:color w:val="000000"/>
                <w:sz w:val="17"/>
                <w:szCs w:val="17"/>
                <w:lang w:eastAsia="en-US"/>
              </w:rPr>
              <w:t>Amber</w:t>
            </w:r>
          </w:p>
        </w:tc>
      </w:tr>
      <w:tr w:rsidR="00F9294E" w:rsidRPr="00D81B5B" w:rsidTr="009B3C83">
        <w:trPr>
          <w:cantSplit/>
        </w:trPr>
        <w:tc>
          <w:tcPr>
            <w:tcW w:w="1025" w:type="dxa"/>
          </w:tcPr>
          <w:p w:rsidR="00032985" w:rsidRDefault="00032985" w:rsidP="003C71BD">
            <w:pPr>
              <w:pStyle w:val="TableTextEntries"/>
            </w:pPr>
          </w:p>
        </w:tc>
        <w:tc>
          <w:tcPr>
            <w:tcW w:w="4118" w:type="dxa"/>
            <w:tcMar>
              <w:left w:w="57" w:type="dxa"/>
              <w:right w:w="57" w:type="dxa"/>
            </w:tcMar>
            <w:vAlign w:val="center"/>
          </w:tcPr>
          <w:p w:rsidR="00F6602D" w:rsidRDefault="00F6602D" w:rsidP="00532574">
            <w:pPr>
              <w:pStyle w:val="TableTextEntries"/>
              <w:jc w:val="both"/>
              <w:rPr>
                <w:rFonts w:ascii="Franklin Gothic Medium" w:hAnsi="Franklin Gothic Medium"/>
                <w:bCs/>
                <w:color w:val="000000"/>
              </w:rPr>
            </w:pPr>
          </w:p>
          <w:p w:rsidR="00032985" w:rsidRPr="001A1F11" w:rsidRDefault="00032985" w:rsidP="00532574">
            <w:pPr>
              <w:pStyle w:val="TableTextEntries"/>
              <w:jc w:val="both"/>
              <w:rPr>
                <w:rFonts w:ascii="Franklin Gothic Medium" w:hAnsi="Franklin Gothic Medium"/>
                <w:bCs/>
                <w:color w:val="000000"/>
              </w:rPr>
            </w:pPr>
            <w:r w:rsidRPr="001A1F11">
              <w:rPr>
                <w:rFonts w:ascii="Franklin Gothic Medium" w:hAnsi="Franklin Gothic Medium"/>
                <w:bCs/>
                <w:color w:val="000000"/>
              </w:rPr>
              <w:t>Effective care and treatment of those infected by HIV</w:t>
            </w:r>
          </w:p>
        </w:tc>
        <w:tc>
          <w:tcPr>
            <w:tcW w:w="857" w:type="dxa"/>
            <w:shd w:val="clear" w:color="auto" w:fill="FF9900"/>
            <w:tcMar>
              <w:left w:w="57" w:type="dxa"/>
              <w:right w:w="57" w:type="dxa"/>
            </w:tcMar>
            <w:vAlign w:val="bottom"/>
          </w:tcPr>
          <w:p w:rsidR="00032985" w:rsidRPr="00F6602D" w:rsidRDefault="00032985" w:rsidP="00BD4551">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c>
          <w:tcPr>
            <w:tcW w:w="1171" w:type="dxa"/>
            <w:gridSpan w:val="2"/>
            <w:shd w:val="clear" w:color="auto" w:fill="FF9900"/>
            <w:tcMar>
              <w:left w:w="57" w:type="dxa"/>
              <w:right w:w="57" w:type="dxa"/>
            </w:tcMar>
            <w:vAlign w:val="bottom"/>
          </w:tcPr>
          <w:p w:rsidR="00032985" w:rsidRPr="00F6602D" w:rsidRDefault="00032985" w:rsidP="00BD4551">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c>
          <w:tcPr>
            <w:tcW w:w="1284" w:type="dxa"/>
            <w:gridSpan w:val="2"/>
            <w:shd w:val="clear" w:color="auto" w:fill="FF9900"/>
            <w:tcMar>
              <w:left w:w="57" w:type="dxa"/>
              <w:right w:w="57" w:type="dxa"/>
            </w:tcMar>
            <w:vAlign w:val="bottom"/>
          </w:tcPr>
          <w:p w:rsidR="00032985" w:rsidRPr="00F6602D" w:rsidRDefault="00032985" w:rsidP="00BD4551">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r>
      <w:tr w:rsidR="009B3C83" w:rsidRPr="00E5467C" w:rsidTr="005A5B40">
        <w:trPr>
          <w:cantSplit/>
        </w:trPr>
        <w:tc>
          <w:tcPr>
            <w:tcW w:w="1025" w:type="dxa"/>
          </w:tcPr>
          <w:p w:rsidR="009B3C83" w:rsidRDefault="009B3C83" w:rsidP="003C71BD">
            <w:pPr>
              <w:pStyle w:val="TableTextEntries"/>
            </w:pPr>
          </w:p>
        </w:tc>
        <w:tc>
          <w:tcPr>
            <w:tcW w:w="4118" w:type="dxa"/>
            <w:tcMar>
              <w:left w:w="57" w:type="dxa"/>
              <w:right w:w="57" w:type="dxa"/>
            </w:tcMar>
            <w:vAlign w:val="center"/>
          </w:tcPr>
          <w:p w:rsidR="009B3C83" w:rsidRDefault="009B3C83" w:rsidP="00532574">
            <w:pPr>
              <w:widowControl w:val="0"/>
              <w:jc w:val="both"/>
              <w:rPr>
                <w:rFonts w:ascii="Franklin Gothic Medium" w:hAnsi="Franklin Gothic Medium"/>
                <w:bCs/>
                <w:color w:val="000000"/>
                <w:sz w:val="17"/>
                <w:szCs w:val="17"/>
              </w:rPr>
            </w:pPr>
          </w:p>
          <w:p w:rsidR="009B3C83" w:rsidRPr="001A1F11" w:rsidRDefault="009B3C83" w:rsidP="00532574">
            <w:pPr>
              <w:widowControl w:val="0"/>
              <w:jc w:val="both"/>
              <w:rPr>
                <w:rFonts w:ascii="Franklin Gothic Medium" w:hAnsi="Franklin Gothic Medium"/>
                <w:bCs/>
                <w:color w:val="000000"/>
                <w:sz w:val="17"/>
                <w:szCs w:val="17"/>
              </w:rPr>
            </w:pPr>
            <w:r w:rsidRPr="001A1F11">
              <w:rPr>
                <w:rFonts w:ascii="Franklin Gothic Medium" w:hAnsi="Franklin Gothic Medium"/>
                <w:bCs/>
                <w:color w:val="000000"/>
                <w:sz w:val="17"/>
                <w:szCs w:val="17"/>
              </w:rPr>
              <w:t>Strengthened national capacity to lead, coordinate and implement HIV response</w:t>
            </w:r>
            <w:r w:rsidR="005A5B40">
              <w:rPr>
                <w:rFonts w:ascii="Franklin Gothic Medium" w:hAnsi="Franklin Gothic Medium"/>
                <w:bCs/>
                <w:color w:val="000000"/>
                <w:sz w:val="17"/>
                <w:szCs w:val="17"/>
              </w:rPr>
              <w:t xml:space="preserve"> (Government/Civil society responses)</w:t>
            </w:r>
          </w:p>
        </w:tc>
        <w:tc>
          <w:tcPr>
            <w:tcW w:w="857" w:type="dxa"/>
            <w:shd w:val="clear" w:color="auto" w:fill="FF9900"/>
          </w:tcPr>
          <w:p w:rsidR="009B3C83" w:rsidRDefault="009B3C83" w:rsidP="00BD4551">
            <w:pPr>
              <w:pStyle w:val="TableTextColumnHeading"/>
              <w:jc w:val="center"/>
            </w:pPr>
          </w:p>
          <w:p w:rsidR="009B3C83" w:rsidRDefault="009B3C83" w:rsidP="00BD4551">
            <w:pPr>
              <w:pStyle w:val="TableTextColumnHeading"/>
              <w:jc w:val="center"/>
            </w:pPr>
            <w:r>
              <w:t>Amber</w:t>
            </w:r>
          </w:p>
        </w:tc>
        <w:tc>
          <w:tcPr>
            <w:tcW w:w="600" w:type="dxa"/>
            <w:shd w:val="clear" w:color="auto" w:fill="FF0000"/>
            <w:tcMar>
              <w:left w:w="57" w:type="dxa"/>
              <w:right w:w="57" w:type="dxa"/>
            </w:tcMar>
            <w:vAlign w:val="bottom"/>
          </w:tcPr>
          <w:p w:rsidR="009B3C83" w:rsidRPr="009B3C83" w:rsidRDefault="009B3C83" w:rsidP="005A5B40">
            <w:pPr>
              <w:pStyle w:val="TableTextColumnHeading"/>
              <w:jc w:val="center"/>
              <w:rPr>
                <w:color w:val="000000"/>
                <w:sz w:val="16"/>
                <w:szCs w:val="16"/>
              </w:rPr>
            </w:pPr>
            <w:r w:rsidRPr="009B3C83">
              <w:rPr>
                <w:sz w:val="16"/>
                <w:szCs w:val="16"/>
              </w:rPr>
              <w:t>Red</w:t>
            </w:r>
          </w:p>
        </w:tc>
        <w:tc>
          <w:tcPr>
            <w:tcW w:w="571" w:type="dxa"/>
            <w:shd w:val="clear" w:color="auto" w:fill="FF9900"/>
            <w:vAlign w:val="bottom"/>
          </w:tcPr>
          <w:p w:rsidR="009B3C83" w:rsidRPr="009B3C83" w:rsidRDefault="009B3C83" w:rsidP="005A5B40">
            <w:pPr>
              <w:pStyle w:val="TableTextColumnHeading"/>
              <w:ind w:left="-137" w:right="-137"/>
              <w:jc w:val="center"/>
              <w:rPr>
                <w:sz w:val="16"/>
                <w:szCs w:val="16"/>
              </w:rPr>
            </w:pPr>
            <w:r w:rsidRPr="009B3C83">
              <w:rPr>
                <w:sz w:val="16"/>
                <w:szCs w:val="16"/>
              </w:rPr>
              <w:t>Amber</w:t>
            </w:r>
          </w:p>
        </w:tc>
        <w:tc>
          <w:tcPr>
            <w:tcW w:w="642" w:type="dxa"/>
            <w:shd w:val="clear" w:color="auto" w:fill="FF9900"/>
            <w:tcMar>
              <w:left w:w="57" w:type="dxa"/>
              <w:right w:w="57" w:type="dxa"/>
            </w:tcMar>
            <w:vAlign w:val="bottom"/>
          </w:tcPr>
          <w:p w:rsidR="009B3C83" w:rsidRPr="009B3C83" w:rsidRDefault="009B3C83" w:rsidP="005A5B40">
            <w:pPr>
              <w:pStyle w:val="TableTextColumnHeading"/>
              <w:jc w:val="center"/>
              <w:rPr>
                <w:sz w:val="16"/>
                <w:szCs w:val="16"/>
              </w:rPr>
            </w:pPr>
            <w:r w:rsidRPr="009B3C83">
              <w:rPr>
                <w:sz w:val="16"/>
                <w:szCs w:val="16"/>
              </w:rPr>
              <w:t>Amber</w:t>
            </w:r>
          </w:p>
        </w:tc>
        <w:tc>
          <w:tcPr>
            <w:tcW w:w="642" w:type="dxa"/>
            <w:shd w:val="clear" w:color="auto" w:fill="00FF00"/>
            <w:vAlign w:val="bottom"/>
          </w:tcPr>
          <w:p w:rsidR="009B3C83" w:rsidRPr="009B3C83" w:rsidRDefault="009B3C83" w:rsidP="005A5B40">
            <w:pPr>
              <w:pStyle w:val="TableTextColumnHeading"/>
              <w:jc w:val="center"/>
              <w:rPr>
                <w:sz w:val="16"/>
                <w:szCs w:val="16"/>
              </w:rPr>
            </w:pPr>
            <w:r w:rsidRPr="009B3C83">
              <w:rPr>
                <w:sz w:val="16"/>
                <w:szCs w:val="16"/>
              </w:rPr>
              <w:t>Green</w:t>
            </w:r>
          </w:p>
        </w:tc>
      </w:tr>
      <w:tr w:rsidR="00FB1C00" w:rsidRPr="00D81B5B" w:rsidTr="009B3C83">
        <w:trPr>
          <w:cantSplit/>
        </w:trPr>
        <w:tc>
          <w:tcPr>
            <w:tcW w:w="1025" w:type="dxa"/>
          </w:tcPr>
          <w:p w:rsidR="00FB1C00" w:rsidRDefault="00FB1C00" w:rsidP="003C71BD">
            <w:pPr>
              <w:pStyle w:val="TableTextEntries"/>
            </w:pPr>
            <w:smartTag w:uri="urn:schemas-microsoft-com:office:smarttags" w:element="place">
              <w:smartTag w:uri="urn:schemas-microsoft-com:office:smarttags" w:element="country-region">
                <w:r>
                  <w:lastRenderedPageBreak/>
                  <w:t>Philippines</w:t>
                </w:r>
              </w:smartTag>
            </w:smartTag>
          </w:p>
        </w:tc>
        <w:tc>
          <w:tcPr>
            <w:tcW w:w="4118" w:type="dxa"/>
            <w:tcMar>
              <w:left w:w="57" w:type="dxa"/>
              <w:right w:w="57" w:type="dxa"/>
            </w:tcMar>
            <w:vAlign w:val="center"/>
          </w:tcPr>
          <w:p w:rsidR="00FB1C00" w:rsidRPr="0058729F" w:rsidRDefault="00FB1C00" w:rsidP="00532574">
            <w:pPr>
              <w:pStyle w:val="TableTextEntries"/>
              <w:jc w:val="both"/>
            </w:pPr>
            <w:r w:rsidRPr="001A1F11">
              <w:rPr>
                <w:rFonts w:ascii="Franklin Gothic Medium" w:hAnsi="Franklin Gothic Medium"/>
                <w:bCs/>
                <w:color w:val="000000"/>
              </w:rPr>
              <w:t>Women’s and children’s health services more widely available in targeted regions</w:t>
            </w:r>
          </w:p>
        </w:tc>
        <w:tc>
          <w:tcPr>
            <w:tcW w:w="857" w:type="dxa"/>
            <w:shd w:val="clear" w:color="auto" w:fill="FF9900"/>
            <w:tcMar>
              <w:left w:w="57" w:type="dxa"/>
              <w:right w:w="57" w:type="dxa"/>
            </w:tcMar>
            <w:vAlign w:val="bottom"/>
          </w:tcPr>
          <w:p w:rsidR="00FB1C00" w:rsidRPr="00927ED2" w:rsidRDefault="00FB1C00" w:rsidP="003C71BD">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171" w:type="dxa"/>
            <w:gridSpan w:val="2"/>
            <w:shd w:val="clear" w:color="auto" w:fill="FF9900"/>
            <w:tcMar>
              <w:left w:w="57" w:type="dxa"/>
              <w:right w:w="57" w:type="dxa"/>
            </w:tcMar>
            <w:vAlign w:val="bottom"/>
          </w:tcPr>
          <w:p w:rsidR="00FB1C00" w:rsidRPr="00927ED2" w:rsidRDefault="00FB1C00" w:rsidP="003C71BD">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284" w:type="dxa"/>
            <w:gridSpan w:val="2"/>
            <w:shd w:val="clear" w:color="auto" w:fill="00FF00"/>
            <w:tcMar>
              <w:left w:w="57" w:type="dxa"/>
              <w:right w:w="57" w:type="dxa"/>
            </w:tcMar>
            <w:vAlign w:val="bottom"/>
          </w:tcPr>
          <w:p w:rsidR="00FB1C00" w:rsidRPr="00927ED2" w:rsidRDefault="00FB1C00" w:rsidP="003C71BD">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Green</w:t>
            </w:r>
          </w:p>
        </w:tc>
      </w:tr>
      <w:tr w:rsidR="000A7EB5" w:rsidRPr="00D81B5B" w:rsidTr="009B3C83">
        <w:trPr>
          <w:cantSplit/>
        </w:trPr>
        <w:tc>
          <w:tcPr>
            <w:tcW w:w="1025" w:type="dxa"/>
          </w:tcPr>
          <w:p w:rsidR="000A7EB5" w:rsidRDefault="000A7EB5" w:rsidP="003C71BD">
            <w:pPr>
              <w:pStyle w:val="TableTextEntries"/>
            </w:pPr>
            <w:smartTag w:uri="urn:schemas-microsoft-com:office:smarttags" w:element="place">
              <w:r>
                <w:t>Samoa</w:t>
              </w:r>
            </w:smartTag>
          </w:p>
        </w:tc>
        <w:tc>
          <w:tcPr>
            <w:tcW w:w="4118" w:type="dxa"/>
            <w:tcMar>
              <w:left w:w="57" w:type="dxa"/>
              <w:right w:w="57" w:type="dxa"/>
            </w:tcMar>
            <w:vAlign w:val="center"/>
          </w:tcPr>
          <w:p w:rsidR="000A7EB5" w:rsidRPr="0058729F" w:rsidRDefault="000A7EB5" w:rsidP="00532574">
            <w:pPr>
              <w:pStyle w:val="TableTextEntries"/>
              <w:jc w:val="both"/>
            </w:pPr>
            <w:r w:rsidRPr="001A1F11">
              <w:rPr>
                <w:rFonts w:ascii="Franklin Gothic Medium" w:hAnsi="Franklin Gothic Medium"/>
                <w:bCs/>
                <w:color w:val="000000"/>
              </w:rPr>
              <w:t>Improve health focussing on primary and preventive health</w:t>
            </w:r>
          </w:p>
        </w:tc>
        <w:tc>
          <w:tcPr>
            <w:tcW w:w="857" w:type="dxa"/>
            <w:shd w:val="clear" w:color="auto" w:fill="00FF00"/>
            <w:tcMar>
              <w:left w:w="57" w:type="dxa"/>
              <w:right w:w="57" w:type="dxa"/>
            </w:tcMar>
            <w:vAlign w:val="bottom"/>
          </w:tcPr>
          <w:p w:rsidR="000A7EB5" w:rsidRPr="00927ED2" w:rsidRDefault="000A7EB5" w:rsidP="003C71BD">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Green</w:t>
            </w:r>
          </w:p>
        </w:tc>
        <w:tc>
          <w:tcPr>
            <w:tcW w:w="1171" w:type="dxa"/>
            <w:gridSpan w:val="2"/>
            <w:shd w:val="clear" w:color="auto" w:fill="FF9900"/>
            <w:tcMar>
              <w:left w:w="57" w:type="dxa"/>
              <w:right w:w="57" w:type="dxa"/>
            </w:tcMar>
            <w:vAlign w:val="bottom"/>
          </w:tcPr>
          <w:p w:rsidR="000A7EB5" w:rsidRPr="00927ED2" w:rsidRDefault="000A7EB5" w:rsidP="003C71BD">
            <w:pPr>
              <w:widowControl w:val="0"/>
              <w:jc w:val="center"/>
              <w:rPr>
                <w:rFonts w:ascii="Franklin Gothic Medium" w:hAnsi="Franklin Gothic Medium"/>
                <w:color w:val="000000"/>
                <w:sz w:val="17"/>
                <w:szCs w:val="17"/>
              </w:rPr>
            </w:pPr>
            <w:r w:rsidRPr="00927ED2">
              <w:rPr>
                <w:rFonts w:ascii="Franklin Gothic Medium" w:hAnsi="Franklin Gothic Medium"/>
                <w:color w:val="000000"/>
                <w:sz w:val="17"/>
                <w:szCs w:val="17"/>
              </w:rPr>
              <w:t>Amber</w:t>
            </w:r>
          </w:p>
        </w:tc>
        <w:tc>
          <w:tcPr>
            <w:tcW w:w="1284" w:type="dxa"/>
            <w:gridSpan w:val="2"/>
            <w:shd w:val="clear" w:color="auto" w:fill="FF9900"/>
            <w:tcMar>
              <w:left w:w="57" w:type="dxa"/>
              <w:right w:w="57" w:type="dxa"/>
            </w:tcMar>
            <w:vAlign w:val="bottom"/>
          </w:tcPr>
          <w:p w:rsidR="000A7EB5" w:rsidRPr="00927ED2" w:rsidRDefault="000A7EB5" w:rsidP="003C71BD">
            <w:pPr>
              <w:widowControl w:val="0"/>
              <w:jc w:val="center"/>
              <w:rPr>
                <w:rFonts w:ascii="Franklin Gothic Medium" w:hAnsi="Franklin Gothic Medium"/>
                <w:color w:val="000000"/>
                <w:sz w:val="17"/>
                <w:szCs w:val="17"/>
              </w:rPr>
            </w:pPr>
            <w:r>
              <w:rPr>
                <w:rFonts w:ascii="Franklin Gothic Medium" w:hAnsi="Franklin Gothic Medium"/>
                <w:color w:val="000000"/>
                <w:sz w:val="17"/>
                <w:szCs w:val="17"/>
              </w:rPr>
              <w:t>Amber</w:t>
            </w:r>
          </w:p>
        </w:tc>
      </w:tr>
      <w:tr w:rsidR="00CE0FF1" w:rsidRPr="00D81B5B" w:rsidTr="009B3C83">
        <w:trPr>
          <w:cantSplit/>
        </w:trPr>
        <w:tc>
          <w:tcPr>
            <w:tcW w:w="1025" w:type="dxa"/>
          </w:tcPr>
          <w:p w:rsidR="00CE0FF1" w:rsidRDefault="00CE0FF1" w:rsidP="003C71BD">
            <w:pPr>
              <w:pStyle w:val="TableTextEntries"/>
            </w:pPr>
            <w:smartTag w:uri="urn:schemas-microsoft-com:office:smarttags" w:element="place">
              <w:smartTag w:uri="urn:schemas-microsoft-com:office:smarttags" w:element="country-region">
                <w:r>
                  <w:t>Solomon Islands</w:t>
                </w:r>
              </w:smartTag>
            </w:smartTag>
            <w:r>
              <w:t xml:space="preserve"> </w:t>
            </w:r>
          </w:p>
        </w:tc>
        <w:tc>
          <w:tcPr>
            <w:tcW w:w="4118" w:type="dxa"/>
            <w:tcMar>
              <w:left w:w="57" w:type="dxa"/>
              <w:right w:w="57" w:type="dxa"/>
            </w:tcMar>
            <w:vAlign w:val="center"/>
          </w:tcPr>
          <w:p w:rsidR="00CE0FF1" w:rsidRPr="0058729F" w:rsidRDefault="00CE0FF1" w:rsidP="00CE0FF1">
            <w:pPr>
              <w:pStyle w:val="TableTextEntries"/>
              <w:jc w:val="both"/>
            </w:pPr>
            <w:r w:rsidRPr="001A1F11">
              <w:rPr>
                <w:rFonts w:ascii="Franklin Gothic Medium" w:hAnsi="Franklin Gothic Medium"/>
                <w:bCs/>
                <w:color w:val="000000"/>
              </w:rPr>
              <w:t xml:space="preserve">Help better serve the </w:t>
            </w:r>
            <w:smartTag w:uri="urn:schemas-microsoft-com:office:smarttags" w:element="place">
              <w:smartTag w:uri="urn:schemas-microsoft-com:office:smarttags" w:element="country-region">
                <w:r w:rsidRPr="001A1F11">
                  <w:rPr>
                    <w:rFonts w:ascii="Franklin Gothic Medium" w:hAnsi="Franklin Gothic Medium"/>
                    <w:bCs/>
                    <w:color w:val="000000"/>
                  </w:rPr>
                  <w:t>Solomon Islands</w:t>
                </w:r>
              </w:smartTag>
            </w:smartTag>
            <w:r w:rsidRPr="001A1F11">
              <w:rPr>
                <w:rFonts w:ascii="Franklin Gothic Medium" w:hAnsi="Franklin Gothic Medium"/>
                <w:bCs/>
                <w:color w:val="000000"/>
              </w:rPr>
              <w:t xml:space="preserve"> people, by Strengthening public health functions that are responsive to community health needs and improve progress towards the MDGs</w:t>
            </w:r>
          </w:p>
        </w:tc>
        <w:tc>
          <w:tcPr>
            <w:tcW w:w="857" w:type="dxa"/>
            <w:shd w:val="clear" w:color="auto" w:fill="FF99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c>
          <w:tcPr>
            <w:tcW w:w="1171" w:type="dxa"/>
            <w:gridSpan w:val="2"/>
            <w:shd w:val="clear" w:color="auto" w:fill="FF99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c>
          <w:tcPr>
            <w:tcW w:w="1284" w:type="dxa"/>
            <w:gridSpan w:val="2"/>
            <w:shd w:val="clear" w:color="auto" w:fill="FF99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r>
      <w:tr w:rsidR="00CE0FF1" w:rsidRPr="00D81B5B" w:rsidTr="009B3C83">
        <w:trPr>
          <w:cantSplit/>
        </w:trPr>
        <w:tc>
          <w:tcPr>
            <w:tcW w:w="1025" w:type="dxa"/>
          </w:tcPr>
          <w:p w:rsidR="00CE0FF1" w:rsidRDefault="00CE0FF1" w:rsidP="003C71BD">
            <w:pPr>
              <w:pStyle w:val="TableTextEntries"/>
            </w:pPr>
            <w:smartTag w:uri="urn:schemas-microsoft-com:office:smarttags" w:element="place">
              <w:r>
                <w:t>South Asia</w:t>
              </w:r>
            </w:smartTag>
          </w:p>
        </w:tc>
        <w:tc>
          <w:tcPr>
            <w:tcW w:w="4118" w:type="dxa"/>
            <w:tcMar>
              <w:left w:w="57" w:type="dxa"/>
              <w:right w:w="57" w:type="dxa"/>
            </w:tcMar>
            <w:vAlign w:val="center"/>
          </w:tcPr>
          <w:p w:rsidR="00CE0FF1" w:rsidRPr="001A1F11" w:rsidRDefault="00CE0FF1" w:rsidP="00CE0FF1">
            <w:pPr>
              <w:widowControl w:val="0"/>
              <w:jc w:val="both"/>
              <w:rPr>
                <w:rFonts w:ascii="Franklin Gothic Medium" w:hAnsi="Franklin Gothic Medium"/>
                <w:bCs/>
                <w:color w:val="000000"/>
                <w:sz w:val="17"/>
                <w:szCs w:val="17"/>
              </w:rPr>
            </w:pPr>
            <w:r w:rsidRPr="001A1F11">
              <w:rPr>
                <w:rFonts w:ascii="Franklin Gothic Medium" w:hAnsi="Franklin Gothic Medium"/>
                <w:bCs/>
                <w:color w:val="000000"/>
                <w:sz w:val="17"/>
                <w:szCs w:val="17"/>
              </w:rPr>
              <w:t>To promote good governance and contribute to improved basic service delivery (with a focus on health, education and natural resource management at the state and community level)</w:t>
            </w:r>
          </w:p>
        </w:tc>
        <w:tc>
          <w:tcPr>
            <w:tcW w:w="857" w:type="dxa"/>
            <w:shd w:val="clear" w:color="auto" w:fill="00FF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Pr>
                <w:rFonts w:ascii="Franklin Gothic Medium" w:hAnsi="Franklin Gothic Medium"/>
                <w:bCs/>
                <w:color w:val="000000"/>
              </w:rPr>
              <w:t>Green</w:t>
            </w:r>
          </w:p>
        </w:tc>
        <w:tc>
          <w:tcPr>
            <w:tcW w:w="1171" w:type="dxa"/>
            <w:gridSpan w:val="2"/>
            <w:shd w:val="clear" w:color="auto" w:fill="00FF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Pr>
                <w:rFonts w:ascii="Franklin Gothic Medium" w:hAnsi="Franklin Gothic Medium"/>
                <w:bCs/>
                <w:color w:val="000000"/>
              </w:rPr>
              <w:t>Green</w:t>
            </w:r>
          </w:p>
        </w:tc>
        <w:tc>
          <w:tcPr>
            <w:tcW w:w="1284" w:type="dxa"/>
            <w:gridSpan w:val="2"/>
            <w:shd w:val="clear" w:color="auto" w:fill="00FF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Pr>
                <w:rFonts w:ascii="Franklin Gothic Medium" w:hAnsi="Franklin Gothic Medium"/>
                <w:bCs/>
                <w:color w:val="000000"/>
              </w:rPr>
              <w:t>Green</w:t>
            </w:r>
          </w:p>
        </w:tc>
      </w:tr>
      <w:tr w:rsidR="00CE0FF1" w:rsidRPr="00D81B5B" w:rsidTr="009B3C83">
        <w:trPr>
          <w:cantSplit/>
        </w:trPr>
        <w:tc>
          <w:tcPr>
            <w:tcW w:w="1025" w:type="dxa"/>
          </w:tcPr>
          <w:p w:rsidR="00CE0FF1" w:rsidRDefault="00CE0FF1" w:rsidP="003C71BD">
            <w:pPr>
              <w:pStyle w:val="TableTextEntries"/>
            </w:pPr>
            <w:smartTag w:uri="urn:schemas-microsoft-com:office:smarttags" w:element="place">
              <w:smartTag w:uri="urn:schemas-microsoft-com:office:smarttags" w:element="country-region">
                <w:r>
                  <w:t>Tonga</w:t>
                </w:r>
              </w:smartTag>
            </w:smartTag>
          </w:p>
        </w:tc>
        <w:tc>
          <w:tcPr>
            <w:tcW w:w="4118" w:type="dxa"/>
            <w:tcMar>
              <w:left w:w="57" w:type="dxa"/>
              <w:right w:w="57" w:type="dxa"/>
            </w:tcMar>
            <w:vAlign w:val="center"/>
          </w:tcPr>
          <w:p w:rsidR="00CE0FF1" w:rsidRPr="0058729F" w:rsidRDefault="00CE0FF1" w:rsidP="00854F40">
            <w:pPr>
              <w:pStyle w:val="TableTextEntries"/>
              <w:jc w:val="both"/>
            </w:pPr>
            <w:r w:rsidRPr="001A1F11">
              <w:rPr>
                <w:rFonts w:ascii="Franklin Gothic Medium" w:hAnsi="Franklin Gothic Medium"/>
                <w:bCs/>
                <w:color w:val="000000"/>
              </w:rPr>
              <w:t>Investing in people through improved service delivery, particularly in education, technical vocational training and basic health care</w:t>
            </w:r>
          </w:p>
        </w:tc>
        <w:tc>
          <w:tcPr>
            <w:tcW w:w="857" w:type="dxa"/>
            <w:shd w:val="clear" w:color="auto" w:fill="FF99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c>
          <w:tcPr>
            <w:tcW w:w="1171" w:type="dxa"/>
            <w:gridSpan w:val="2"/>
            <w:shd w:val="clear" w:color="auto" w:fill="FF99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c>
          <w:tcPr>
            <w:tcW w:w="1284" w:type="dxa"/>
            <w:gridSpan w:val="2"/>
            <w:shd w:val="clear" w:color="auto" w:fill="FF99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r>
      <w:tr w:rsidR="00CE0FF1" w:rsidRPr="00D81B5B" w:rsidTr="009B3C83">
        <w:trPr>
          <w:cantSplit/>
        </w:trPr>
        <w:tc>
          <w:tcPr>
            <w:tcW w:w="1025" w:type="dxa"/>
          </w:tcPr>
          <w:p w:rsidR="00CE0FF1" w:rsidRDefault="00CE0FF1" w:rsidP="003C71BD">
            <w:pPr>
              <w:pStyle w:val="TableTextEntries"/>
            </w:pPr>
            <w:smartTag w:uri="urn:schemas-microsoft-com:office:smarttags" w:element="place">
              <w:smartTag w:uri="urn:schemas-microsoft-com:office:smarttags" w:element="country-region">
                <w:r>
                  <w:t>Vanuatu</w:t>
                </w:r>
              </w:smartTag>
            </w:smartTag>
          </w:p>
        </w:tc>
        <w:tc>
          <w:tcPr>
            <w:tcW w:w="4118" w:type="dxa"/>
            <w:tcMar>
              <w:left w:w="57" w:type="dxa"/>
              <w:right w:w="57" w:type="dxa"/>
            </w:tcMar>
            <w:vAlign w:val="center"/>
          </w:tcPr>
          <w:p w:rsidR="00CE0FF1" w:rsidRPr="0058729F" w:rsidRDefault="00CE0FF1" w:rsidP="00854F40">
            <w:pPr>
              <w:pStyle w:val="TableTextEntries"/>
              <w:jc w:val="both"/>
            </w:pPr>
            <w:r w:rsidRPr="001A1F11">
              <w:rPr>
                <w:rFonts w:ascii="Franklin Gothic Medium" w:hAnsi="Franklin Gothic Medium"/>
                <w:bCs/>
                <w:color w:val="000000"/>
              </w:rPr>
              <w:t>Improved health service delivery to populations in greatest hardship, including rural communities and informal settlements in urban areas</w:t>
            </w:r>
          </w:p>
        </w:tc>
        <w:tc>
          <w:tcPr>
            <w:tcW w:w="857" w:type="dxa"/>
            <w:shd w:val="clear" w:color="auto" w:fill="FF99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c>
          <w:tcPr>
            <w:tcW w:w="1171" w:type="dxa"/>
            <w:gridSpan w:val="2"/>
            <w:shd w:val="clear" w:color="auto" w:fill="FF99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c>
          <w:tcPr>
            <w:tcW w:w="1284" w:type="dxa"/>
            <w:gridSpan w:val="2"/>
            <w:shd w:val="clear" w:color="auto" w:fill="FF9900"/>
            <w:tcMar>
              <w:left w:w="57" w:type="dxa"/>
              <w:right w:w="57" w:type="dxa"/>
            </w:tcMar>
            <w:vAlign w:val="bottom"/>
          </w:tcPr>
          <w:p w:rsidR="00CE0FF1" w:rsidRPr="00F6602D" w:rsidRDefault="00CE0FF1"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r>
      <w:tr w:rsidR="00854F40" w:rsidRPr="00D81B5B" w:rsidTr="009B3C83">
        <w:trPr>
          <w:cantSplit/>
        </w:trPr>
        <w:tc>
          <w:tcPr>
            <w:tcW w:w="1025" w:type="dxa"/>
          </w:tcPr>
          <w:p w:rsidR="00854F40" w:rsidRDefault="00854F40" w:rsidP="003C71BD">
            <w:pPr>
              <w:pStyle w:val="TableTextEntries"/>
            </w:pPr>
            <w:smartTag w:uri="urn:schemas-microsoft-com:office:smarttags" w:element="place">
              <w:smartTag w:uri="urn:schemas-microsoft-com:office:smarttags" w:element="country-region">
                <w:r>
                  <w:t>Vietnam</w:t>
                </w:r>
              </w:smartTag>
            </w:smartTag>
          </w:p>
        </w:tc>
        <w:tc>
          <w:tcPr>
            <w:tcW w:w="4118" w:type="dxa"/>
            <w:tcMar>
              <w:left w:w="57" w:type="dxa"/>
              <w:right w:w="57" w:type="dxa"/>
            </w:tcMar>
            <w:vAlign w:val="center"/>
          </w:tcPr>
          <w:p w:rsidR="00854F40" w:rsidRPr="0058729F" w:rsidRDefault="00854F40" w:rsidP="003C71BD">
            <w:pPr>
              <w:pStyle w:val="TableTextEntries"/>
            </w:pPr>
            <w:r w:rsidRPr="001A1F11">
              <w:rPr>
                <w:rFonts w:ascii="Franklin Gothic Medium" w:hAnsi="Franklin Gothic Medium"/>
                <w:bCs/>
                <w:color w:val="000000"/>
              </w:rPr>
              <w:t xml:space="preserve">Government of </w:t>
            </w:r>
            <w:smartTag w:uri="urn:schemas-microsoft-com:office:smarttags" w:element="place">
              <w:smartTag w:uri="urn:schemas-microsoft-com:office:smarttags" w:element="country-region">
                <w:r w:rsidRPr="001A1F11">
                  <w:rPr>
                    <w:rFonts w:ascii="Franklin Gothic Medium" w:hAnsi="Franklin Gothic Medium"/>
                    <w:bCs/>
                    <w:color w:val="000000"/>
                  </w:rPr>
                  <w:t>Vietnam</w:t>
                </w:r>
              </w:smartTag>
            </w:smartTag>
            <w:r w:rsidRPr="001A1F11">
              <w:rPr>
                <w:rFonts w:ascii="Franklin Gothic Medium" w:hAnsi="Franklin Gothic Medium"/>
                <w:bCs/>
                <w:color w:val="000000"/>
              </w:rPr>
              <w:t xml:space="preserve"> improves management, financing and coordination of the health sector</w:t>
            </w:r>
          </w:p>
        </w:tc>
        <w:tc>
          <w:tcPr>
            <w:tcW w:w="857" w:type="dxa"/>
            <w:shd w:val="clear" w:color="auto" w:fill="00FF00"/>
            <w:tcMar>
              <w:left w:w="57" w:type="dxa"/>
              <w:right w:w="57" w:type="dxa"/>
            </w:tcMar>
            <w:vAlign w:val="bottom"/>
          </w:tcPr>
          <w:p w:rsidR="00854F40" w:rsidRPr="00F6602D" w:rsidRDefault="00854F40" w:rsidP="003C71BD">
            <w:pPr>
              <w:pStyle w:val="TableTextEntries"/>
              <w:jc w:val="center"/>
              <w:rPr>
                <w:rFonts w:ascii="Franklin Gothic Medium" w:hAnsi="Franklin Gothic Medium"/>
                <w:bCs/>
                <w:color w:val="000000"/>
              </w:rPr>
            </w:pPr>
            <w:r>
              <w:rPr>
                <w:rFonts w:ascii="Franklin Gothic Medium" w:hAnsi="Franklin Gothic Medium"/>
                <w:bCs/>
                <w:color w:val="000000"/>
              </w:rPr>
              <w:t>Green</w:t>
            </w:r>
          </w:p>
        </w:tc>
        <w:tc>
          <w:tcPr>
            <w:tcW w:w="1171" w:type="dxa"/>
            <w:gridSpan w:val="2"/>
            <w:shd w:val="clear" w:color="auto" w:fill="00FF00"/>
            <w:tcMar>
              <w:left w:w="57" w:type="dxa"/>
              <w:right w:w="57" w:type="dxa"/>
            </w:tcMar>
            <w:vAlign w:val="bottom"/>
          </w:tcPr>
          <w:p w:rsidR="00854F40" w:rsidRPr="00F6602D" w:rsidRDefault="00854F40" w:rsidP="003C71BD">
            <w:pPr>
              <w:pStyle w:val="TableTextEntries"/>
              <w:jc w:val="center"/>
              <w:rPr>
                <w:rFonts w:ascii="Franklin Gothic Medium" w:hAnsi="Franklin Gothic Medium"/>
                <w:bCs/>
                <w:color w:val="000000"/>
              </w:rPr>
            </w:pPr>
            <w:r>
              <w:rPr>
                <w:rFonts w:ascii="Franklin Gothic Medium" w:hAnsi="Franklin Gothic Medium"/>
                <w:bCs/>
                <w:color w:val="000000"/>
              </w:rPr>
              <w:t>Green</w:t>
            </w:r>
          </w:p>
        </w:tc>
        <w:tc>
          <w:tcPr>
            <w:tcW w:w="1284" w:type="dxa"/>
            <w:gridSpan w:val="2"/>
            <w:shd w:val="clear" w:color="auto" w:fill="FF9900"/>
            <w:tcMar>
              <w:left w:w="57" w:type="dxa"/>
              <w:right w:w="57" w:type="dxa"/>
            </w:tcMar>
            <w:vAlign w:val="bottom"/>
          </w:tcPr>
          <w:p w:rsidR="00854F40" w:rsidRPr="00F6602D" w:rsidRDefault="00854F40" w:rsidP="003C71BD">
            <w:pPr>
              <w:pStyle w:val="TableTextEntries"/>
              <w:jc w:val="center"/>
              <w:rPr>
                <w:rFonts w:ascii="Franklin Gothic Medium" w:hAnsi="Franklin Gothic Medium"/>
                <w:bCs/>
                <w:color w:val="000000"/>
              </w:rPr>
            </w:pPr>
            <w:r w:rsidRPr="00F6602D">
              <w:rPr>
                <w:rFonts w:ascii="Franklin Gothic Medium" w:hAnsi="Franklin Gothic Medium"/>
                <w:bCs/>
                <w:color w:val="000000"/>
              </w:rPr>
              <w:t>Amber</w:t>
            </w:r>
          </w:p>
        </w:tc>
      </w:tr>
    </w:tbl>
    <w:p w:rsidR="00156A18" w:rsidRDefault="00156A18" w:rsidP="00EC0129">
      <w:pPr>
        <w:pStyle w:val="Note"/>
        <w:keepNext/>
      </w:pPr>
      <w:r w:rsidRPr="00D33DDE">
        <w:t xml:space="preserve">Note: </w:t>
      </w:r>
    </w:p>
    <w:p w:rsidR="00FE607C" w:rsidRDefault="00BE3D14" w:rsidP="00EC0129">
      <w:pPr>
        <w:pStyle w:val="Note"/>
        <w:keepNext/>
        <w:spacing w:before="0"/>
      </w:pPr>
      <w:r>
        <w:rPr>
          <w:rFonts w:ascii="Arial Unicode MS" w:eastAsia="Arial Unicode MS" w:hAnsi="Arial Unicode MS" w:cs="Arial Unicode MS"/>
          <w:noProof/>
          <w:lang w:val="en-US"/>
        </w:rPr>
        <mc:AlternateContent>
          <mc:Choice Requires="wps">
            <w:drawing>
              <wp:inline distT="0" distB="0" distL="0" distR="0">
                <wp:extent cx="108585" cy="73660"/>
                <wp:effectExtent l="0" t="0" r="24765" b="21590"/>
                <wp:docPr id="14" name="Rectangle 2" descr="Gre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73660"/>
                        </a:xfrm>
                        <a:prstGeom prst="rect">
                          <a:avLst/>
                        </a:prstGeom>
                        <a:solidFill>
                          <a:srgbClr val="92D050"/>
                        </a:solidFill>
                        <a:ln w="2540">
                          <a:solidFill>
                            <a:srgbClr val="92D050"/>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5203E9" w:rsidRPr="005203E9" w:rsidRDefault="005203E9">
                            <w:pPr>
                              <w:rPr>
                                <w:sz w:val="18"/>
                                <w:szCs w:val="22"/>
                              </w:rPr>
                            </w:pPr>
                          </w:p>
                        </w:txbxContent>
                      </wps:txbx>
                      <wps:bodyPr rot="0" vert="horz" wrap="square" lIns="91440" tIns="45720" rIns="91440" bIns="45720" anchor="t" anchorCtr="0" upright="1">
                        <a:noAutofit/>
                      </wps:bodyPr>
                    </wps:wsp>
                  </a:graphicData>
                </a:graphic>
              </wp:inline>
            </w:drawing>
          </mc:Choice>
          <mc:Fallback>
            <w:pict>
              <v:rect id="Rectangle 2" o:spid="_x0000_s1026" alt="Green" style="width:8.5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" fillcolor="#92d050" strokecolor="#92d050" strokeweight=".2pt">
                <v:shadow color="#4e6128 [1606]" opacity=".5" offset="1pt"/>
                <v:textbox>
                  <w:txbxContent>
                    <w:p w:rsidR="005203E9" w:rsidRPr="005203E9" w:rsidRDefault="005203E9">
                      <w:pPr>
                        <w:rPr>
                          <w:sz w:val="18"/>
                          <w:szCs w:val="22"/>
                        </w:rPr>
                      </w:pPr>
                    </w:p>
                  </w:txbxContent>
                </v:textbox>
                <w10:wrap anchorx="page"/>
                <w10:anchorlock/>
              </v:rect>
            </w:pict>
          </mc:Fallback>
        </mc:AlternateContent>
      </w:r>
      <w:r w:rsidR="00A00CF4">
        <w:t xml:space="preserve"> </w:t>
      </w:r>
      <w:r w:rsidR="00FE607C" w:rsidRPr="006D2818">
        <w:t>The objective will be fully achieved within the timeframe of the strategy.</w:t>
      </w:r>
    </w:p>
    <w:p w:rsidR="00FE607C" w:rsidRPr="006D2818" w:rsidRDefault="00BE3D14" w:rsidP="00793157">
      <w:pPr>
        <w:pStyle w:val="Note"/>
        <w:keepNext/>
        <w:spacing w:before="0"/>
      </w:pPr>
      <w:r>
        <w:rPr>
          <w:rFonts w:ascii="Arial Unicode MS" w:eastAsia="Arial Unicode MS" w:hAnsi="Arial Unicode MS" w:cs="Arial Unicode MS"/>
          <w:noProof/>
          <w:lang w:val="en-US"/>
        </w:rPr>
        <mc:AlternateContent>
          <mc:Choice Requires="wps">
            <w:drawing>
              <wp:inline distT="0" distB="0" distL="0" distR="0">
                <wp:extent cx="108585" cy="72390"/>
                <wp:effectExtent l="0" t="0" r="24765" b="22860"/>
                <wp:docPr id="13" name="Rectangle 3" descr="Amb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72390"/>
                        </a:xfrm>
                        <a:prstGeom prst="rect">
                          <a:avLst/>
                        </a:prstGeom>
                        <a:solidFill>
                          <a:schemeClr val="accent6">
                            <a:lumMod val="100000"/>
                            <a:lumOff val="0"/>
                          </a:schemeClr>
                        </a:solidFill>
                        <a:ln w="254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inline>
            </w:drawing>
          </mc:Choice>
          <mc:Fallback>
            <w:pict>
              <v:rect w14:anchorId="78C3613F" id="Rectangle 3" o:spid="_x0000_s1026" alt="Amber" style="width:8.5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" fillcolor="#f79646 [3209]" strokecolor="#f79646 [3209]" strokeweight=".2pt">
                <v:shadow color="#974706 [1609]" opacity=".5" offset="1pt"/>
                <w10:wrap anchorx="page"/>
                <w10:anchorlock/>
              </v:rect>
            </w:pict>
          </mc:Fallback>
        </mc:AlternateContent>
      </w:r>
      <w:r w:rsidR="00A00CF4">
        <w:t xml:space="preserve"> </w:t>
      </w:r>
      <w:r w:rsidR="00FE607C" w:rsidRPr="006D2818">
        <w:t>The objective will be partly achieved within the timeframe of the strategy.</w:t>
      </w:r>
    </w:p>
    <w:p w:rsidR="00FE607C" w:rsidRPr="006D2818" w:rsidRDefault="00BE3D14" w:rsidP="00E46AD5">
      <w:pPr>
        <w:pStyle w:val="Note"/>
        <w:keepLines w:val="0"/>
        <w:spacing w:before="0"/>
      </w:pPr>
      <w:r>
        <w:rPr>
          <w:noProof/>
          <w:color w:val="FF0000"/>
          <w:sz w:val="18"/>
          <w:szCs w:val="18"/>
          <w:lang w:val="en-US"/>
        </w:rPr>
        <mc:AlternateContent>
          <mc:Choice Requires="wps">
            <w:drawing>
              <wp:inline distT="0" distB="0" distL="0" distR="0">
                <wp:extent cx="108585" cy="73025"/>
                <wp:effectExtent l="0" t="0" r="24765" b="22225"/>
                <wp:docPr id="12" name="Rectangle 4" descr="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73025"/>
                        </a:xfrm>
                        <a:prstGeom prst="rect">
                          <a:avLst/>
                        </a:prstGeom>
                        <a:solidFill>
                          <a:srgbClr val="FF0000"/>
                        </a:solidFill>
                        <a:ln w="2540">
                          <a:solidFill>
                            <a:srgbClr val="FF0000"/>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t" anchorCtr="0" upright="1">
                        <a:noAutofit/>
                      </wps:bodyPr>
                    </wps:wsp>
                  </a:graphicData>
                </a:graphic>
              </wp:inline>
            </w:drawing>
          </mc:Choice>
          <mc:Fallback>
            <w:pict>
              <v:rect w14:anchorId="26DFBAA8" id="Rectangle 4" o:spid="_x0000_s1026" alt="Red" style="width:8.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" fillcolor="red" strokecolor="red" strokeweight=".2pt">
                <v:shadow color="#622423 [1605]" opacity=".5" offset="1pt"/>
                <w10:wrap anchorx="page"/>
                <w10:anchorlock/>
              </v:rect>
            </w:pict>
          </mc:Fallback>
        </mc:AlternateContent>
      </w:r>
      <w:r w:rsidR="00A00CF4">
        <w:rPr>
          <w:color w:val="FF0000"/>
          <w:sz w:val="18"/>
          <w:szCs w:val="18"/>
        </w:rPr>
        <w:t xml:space="preserve"> </w:t>
      </w:r>
      <w:r w:rsidR="00FE607C" w:rsidRPr="006D2818">
        <w:t>The objective is unlikely to be achieved within the timeframe of the strategy.</w:t>
      </w:r>
    </w:p>
    <w:p w:rsidR="00EA4005" w:rsidRPr="00EA4005" w:rsidRDefault="00565842" w:rsidP="00F004F9">
      <w:pPr>
        <w:pStyle w:val="Caption"/>
        <w:keepLines/>
      </w:pPr>
      <w:r>
        <w:t xml:space="preserve">Table </w:t>
      </w:r>
      <w:fldSimple w:instr=" SEQ Table \* MERGEFORMAT ">
        <w:r w:rsidR="000835D2">
          <w:rPr>
            <w:noProof/>
          </w:rPr>
          <w:t>2</w:t>
        </w:r>
      </w:fldSimple>
      <w:r>
        <w:t xml:space="preserve">: </w:t>
      </w:r>
      <w:r w:rsidR="006A4DBD">
        <w:t xml:space="preserve">Quality at </w:t>
      </w:r>
      <w:r w:rsidR="006A4DBD" w:rsidRPr="007D3DEB">
        <w:t>Implementation</w:t>
      </w:r>
      <w:r w:rsidR="006A4DBD">
        <w:t xml:space="preserve"> Reports – Rating of Objectives</w:t>
      </w:r>
    </w:p>
    <w:tbl>
      <w:tblPr>
        <w:tblStyle w:val="TableGrid"/>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Caption w:val="Table 2: Quality at Implementation Reports – Rating of Objectives"/>
      </w:tblPr>
      <w:tblGrid>
        <w:gridCol w:w="1040"/>
        <w:gridCol w:w="683"/>
        <w:gridCol w:w="486"/>
        <w:gridCol w:w="682"/>
        <w:gridCol w:w="486"/>
        <w:gridCol w:w="682"/>
        <w:gridCol w:w="375"/>
        <w:gridCol w:w="682"/>
        <w:gridCol w:w="486"/>
        <w:gridCol w:w="682"/>
        <w:gridCol w:w="486"/>
        <w:gridCol w:w="682"/>
        <w:gridCol w:w="486"/>
      </w:tblGrid>
      <w:tr w:rsidR="00876213" w:rsidRPr="00683B63" w:rsidTr="00F02C25">
        <w:trPr>
          <w:cantSplit/>
          <w:tblHeader/>
        </w:trPr>
        <w:tc>
          <w:tcPr>
            <w:tcW w:w="1230" w:type="dxa"/>
            <w:tcBorders>
              <w:top w:val="single" w:sz="4" w:space="0" w:color="auto"/>
              <w:bottom w:val="nil"/>
            </w:tcBorders>
            <w:shd w:val="clear" w:color="auto" w:fill="E1F04E"/>
          </w:tcPr>
          <w:p w:rsidR="00876213" w:rsidRPr="00683B63" w:rsidRDefault="00876213" w:rsidP="00E46AD5">
            <w:pPr>
              <w:pStyle w:val="TableTextColumnHeading"/>
              <w:keepLines w:val="0"/>
              <w:rPr>
                <w:sz w:val="16"/>
                <w:szCs w:val="16"/>
              </w:rPr>
            </w:pPr>
          </w:p>
        </w:tc>
        <w:tc>
          <w:tcPr>
            <w:tcW w:w="1228" w:type="dxa"/>
            <w:gridSpan w:val="2"/>
            <w:tcBorders>
              <w:top w:val="single" w:sz="4" w:space="0" w:color="auto"/>
              <w:bottom w:val="nil"/>
            </w:tcBorders>
            <w:shd w:val="clear" w:color="auto" w:fill="E1F04E"/>
          </w:tcPr>
          <w:p w:rsidR="00876213" w:rsidRPr="00683B63" w:rsidRDefault="00876213" w:rsidP="00E46AD5">
            <w:pPr>
              <w:pStyle w:val="TableTextColumnHeading"/>
              <w:keepLines w:val="0"/>
              <w:rPr>
                <w:sz w:val="16"/>
                <w:szCs w:val="16"/>
              </w:rPr>
            </w:pPr>
            <w:r>
              <w:rPr>
                <w:sz w:val="16"/>
                <w:szCs w:val="16"/>
              </w:rPr>
              <w:t>Relevance</w:t>
            </w:r>
          </w:p>
        </w:tc>
        <w:tc>
          <w:tcPr>
            <w:tcW w:w="1222" w:type="dxa"/>
            <w:gridSpan w:val="2"/>
            <w:tcBorders>
              <w:top w:val="single" w:sz="4" w:space="0" w:color="auto"/>
              <w:bottom w:val="nil"/>
            </w:tcBorders>
            <w:shd w:val="clear" w:color="auto" w:fill="E1F04E"/>
          </w:tcPr>
          <w:p w:rsidR="00876213" w:rsidRPr="00683B63" w:rsidRDefault="00876213" w:rsidP="00E46AD5">
            <w:pPr>
              <w:pStyle w:val="TableTextColumnHeading"/>
              <w:keepLines w:val="0"/>
              <w:rPr>
                <w:sz w:val="16"/>
                <w:szCs w:val="16"/>
              </w:rPr>
            </w:pPr>
            <w:r>
              <w:rPr>
                <w:sz w:val="16"/>
                <w:szCs w:val="16"/>
              </w:rPr>
              <w:t>Effectiveness</w:t>
            </w:r>
          </w:p>
        </w:tc>
        <w:tc>
          <w:tcPr>
            <w:tcW w:w="1220" w:type="dxa"/>
            <w:gridSpan w:val="2"/>
            <w:tcBorders>
              <w:top w:val="single" w:sz="4" w:space="0" w:color="auto"/>
              <w:bottom w:val="nil"/>
            </w:tcBorders>
            <w:shd w:val="clear" w:color="auto" w:fill="E1F04E"/>
          </w:tcPr>
          <w:p w:rsidR="00876213" w:rsidRPr="00683B63" w:rsidRDefault="00876213" w:rsidP="00E46AD5">
            <w:pPr>
              <w:pStyle w:val="TableTextColumnHeading"/>
              <w:keepLines w:val="0"/>
              <w:rPr>
                <w:sz w:val="16"/>
                <w:szCs w:val="16"/>
              </w:rPr>
            </w:pPr>
            <w:r>
              <w:rPr>
                <w:sz w:val="16"/>
                <w:szCs w:val="16"/>
              </w:rPr>
              <w:t>Efficiency</w:t>
            </w:r>
          </w:p>
        </w:tc>
        <w:tc>
          <w:tcPr>
            <w:tcW w:w="1216" w:type="dxa"/>
            <w:gridSpan w:val="2"/>
            <w:tcBorders>
              <w:top w:val="single" w:sz="4" w:space="0" w:color="auto"/>
              <w:bottom w:val="nil"/>
            </w:tcBorders>
            <w:shd w:val="clear" w:color="auto" w:fill="E1F04E"/>
          </w:tcPr>
          <w:p w:rsidR="00876213" w:rsidRPr="00683B63" w:rsidRDefault="00876213" w:rsidP="00E46AD5">
            <w:pPr>
              <w:pStyle w:val="TableTextColumnHeading"/>
              <w:keepLines w:val="0"/>
              <w:rPr>
                <w:sz w:val="16"/>
                <w:szCs w:val="16"/>
              </w:rPr>
            </w:pPr>
            <w:r>
              <w:rPr>
                <w:sz w:val="16"/>
                <w:szCs w:val="16"/>
              </w:rPr>
              <w:t>M&amp;E</w:t>
            </w:r>
          </w:p>
        </w:tc>
        <w:tc>
          <w:tcPr>
            <w:tcW w:w="1210" w:type="dxa"/>
            <w:gridSpan w:val="2"/>
            <w:tcBorders>
              <w:top w:val="single" w:sz="4" w:space="0" w:color="auto"/>
              <w:bottom w:val="nil"/>
            </w:tcBorders>
            <w:shd w:val="clear" w:color="auto" w:fill="E1F04E"/>
          </w:tcPr>
          <w:p w:rsidR="00876213" w:rsidRPr="00683B63" w:rsidRDefault="00876213" w:rsidP="00E46AD5">
            <w:pPr>
              <w:pStyle w:val="TableTextColumnHeading"/>
              <w:keepLines w:val="0"/>
              <w:rPr>
                <w:sz w:val="16"/>
                <w:szCs w:val="16"/>
              </w:rPr>
            </w:pPr>
            <w:r>
              <w:rPr>
                <w:sz w:val="16"/>
                <w:szCs w:val="16"/>
              </w:rPr>
              <w:t>Sustainability</w:t>
            </w:r>
          </w:p>
        </w:tc>
        <w:tc>
          <w:tcPr>
            <w:tcW w:w="1196" w:type="dxa"/>
            <w:gridSpan w:val="2"/>
            <w:tcBorders>
              <w:top w:val="single" w:sz="4" w:space="0" w:color="auto"/>
              <w:bottom w:val="nil"/>
            </w:tcBorders>
            <w:shd w:val="clear" w:color="auto" w:fill="E1F04E"/>
          </w:tcPr>
          <w:p w:rsidR="00876213" w:rsidRPr="00683B63" w:rsidRDefault="00876213" w:rsidP="00E46AD5">
            <w:pPr>
              <w:pStyle w:val="TableTextColumnHeading"/>
              <w:keepLines w:val="0"/>
              <w:rPr>
                <w:sz w:val="16"/>
                <w:szCs w:val="16"/>
              </w:rPr>
            </w:pPr>
            <w:r>
              <w:rPr>
                <w:sz w:val="16"/>
                <w:szCs w:val="16"/>
              </w:rPr>
              <w:t>Gender Equality</w:t>
            </w:r>
          </w:p>
        </w:tc>
      </w:tr>
      <w:tr w:rsidR="00207D0F" w:rsidRPr="00683B63" w:rsidTr="00F02C25">
        <w:trPr>
          <w:cantSplit/>
          <w:tblHeader/>
        </w:trPr>
        <w:tc>
          <w:tcPr>
            <w:tcW w:w="1230" w:type="dxa"/>
            <w:tcBorders>
              <w:top w:val="nil"/>
              <w:bottom w:val="nil"/>
            </w:tcBorders>
            <w:shd w:val="clear" w:color="auto" w:fill="E1F04E"/>
          </w:tcPr>
          <w:p w:rsidR="00876213" w:rsidRPr="00683B63" w:rsidRDefault="00876213" w:rsidP="00E46AD5">
            <w:pPr>
              <w:pStyle w:val="TableTextColumnHeading"/>
              <w:keepLines w:val="0"/>
              <w:rPr>
                <w:sz w:val="16"/>
                <w:szCs w:val="16"/>
              </w:rPr>
            </w:pPr>
          </w:p>
        </w:tc>
        <w:tc>
          <w:tcPr>
            <w:tcW w:w="786"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Number</w:t>
            </w:r>
          </w:p>
        </w:tc>
        <w:tc>
          <w:tcPr>
            <w:tcW w:w="442"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w:t>
            </w:r>
          </w:p>
        </w:tc>
        <w:tc>
          <w:tcPr>
            <w:tcW w:w="786"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Number</w:t>
            </w:r>
          </w:p>
        </w:tc>
        <w:tc>
          <w:tcPr>
            <w:tcW w:w="436"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w:t>
            </w:r>
          </w:p>
        </w:tc>
        <w:tc>
          <w:tcPr>
            <w:tcW w:w="786"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Number</w:t>
            </w:r>
          </w:p>
        </w:tc>
        <w:tc>
          <w:tcPr>
            <w:tcW w:w="434"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w:t>
            </w:r>
          </w:p>
        </w:tc>
        <w:tc>
          <w:tcPr>
            <w:tcW w:w="786"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Number</w:t>
            </w:r>
          </w:p>
        </w:tc>
        <w:tc>
          <w:tcPr>
            <w:tcW w:w="430"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w:t>
            </w:r>
          </w:p>
        </w:tc>
        <w:tc>
          <w:tcPr>
            <w:tcW w:w="786"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Number</w:t>
            </w:r>
          </w:p>
        </w:tc>
        <w:tc>
          <w:tcPr>
            <w:tcW w:w="424"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w:t>
            </w:r>
          </w:p>
        </w:tc>
        <w:tc>
          <w:tcPr>
            <w:tcW w:w="786"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Number</w:t>
            </w:r>
          </w:p>
        </w:tc>
        <w:tc>
          <w:tcPr>
            <w:tcW w:w="410" w:type="dxa"/>
            <w:tcBorders>
              <w:top w:val="nil"/>
              <w:bottom w:val="nil"/>
            </w:tcBorders>
            <w:shd w:val="clear" w:color="auto" w:fill="E1F04E"/>
          </w:tcPr>
          <w:p w:rsidR="00876213" w:rsidRPr="00683B63" w:rsidRDefault="00876213" w:rsidP="00E46AD5">
            <w:pPr>
              <w:pStyle w:val="TableTextColumnHeading"/>
              <w:keepLines w:val="0"/>
              <w:rPr>
                <w:sz w:val="16"/>
                <w:szCs w:val="16"/>
              </w:rPr>
            </w:pPr>
            <w:r>
              <w:rPr>
                <w:sz w:val="16"/>
                <w:szCs w:val="16"/>
              </w:rPr>
              <w:t>%</w:t>
            </w:r>
          </w:p>
        </w:tc>
      </w:tr>
      <w:tr w:rsidR="00876213" w:rsidRPr="00683B63" w:rsidTr="00F02C25">
        <w:trPr>
          <w:cantSplit/>
        </w:trPr>
        <w:tc>
          <w:tcPr>
            <w:tcW w:w="1230" w:type="dxa"/>
            <w:tcBorders>
              <w:top w:val="nil"/>
            </w:tcBorders>
          </w:tcPr>
          <w:p w:rsidR="00876213" w:rsidRPr="00683B63" w:rsidRDefault="00876213" w:rsidP="00E46AD5">
            <w:pPr>
              <w:pStyle w:val="TableTextColumnHeading"/>
              <w:keepLines w:val="0"/>
              <w:rPr>
                <w:sz w:val="16"/>
                <w:szCs w:val="16"/>
              </w:rPr>
            </w:pPr>
            <w:r>
              <w:rPr>
                <w:sz w:val="16"/>
                <w:szCs w:val="16"/>
              </w:rPr>
              <w:t>Very high q</w:t>
            </w:r>
            <w:r w:rsidRPr="00683B63">
              <w:rPr>
                <w:sz w:val="16"/>
                <w:szCs w:val="16"/>
              </w:rPr>
              <w:t>uality</w:t>
            </w:r>
          </w:p>
        </w:tc>
        <w:tc>
          <w:tcPr>
            <w:tcW w:w="786" w:type="dxa"/>
            <w:tcBorders>
              <w:top w:val="nil"/>
            </w:tcBorders>
          </w:tcPr>
          <w:p w:rsidR="00876213" w:rsidRPr="00683B63" w:rsidRDefault="008157FF" w:rsidP="00E46AD5">
            <w:pPr>
              <w:pStyle w:val="TableTextColumnHeading"/>
              <w:keepLines w:val="0"/>
              <w:rPr>
                <w:sz w:val="16"/>
                <w:szCs w:val="16"/>
              </w:rPr>
            </w:pPr>
            <w:r>
              <w:rPr>
                <w:sz w:val="16"/>
                <w:szCs w:val="16"/>
              </w:rPr>
              <w:t>14</w:t>
            </w:r>
          </w:p>
        </w:tc>
        <w:tc>
          <w:tcPr>
            <w:tcW w:w="442" w:type="dxa"/>
            <w:tcBorders>
              <w:top w:val="nil"/>
            </w:tcBorders>
          </w:tcPr>
          <w:p w:rsidR="00876213" w:rsidRPr="00683B63" w:rsidRDefault="008157FF" w:rsidP="00E46AD5">
            <w:pPr>
              <w:pStyle w:val="TableTextColumnHeading"/>
              <w:keepLines w:val="0"/>
              <w:rPr>
                <w:sz w:val="16"/>
                <w:szCs w:val="16"/>
              </w:rPr>
            </w:pPr>
            <w:r>
              <w:rPr>
                <w:sz w:val="16"/>
                <w:szCs w:val="16"/>
              </w:rPr>
              <w:t>22</w:t>
            </w:r>
          </w:p>
        </w:tc>
        <w:tc>
          <w:tcPr>
            <w:tcW w:w="786" w:type="dxa"/>
            <w:tcBorders>
              <w:top w:val="nil"/>
            </w:tcBorders>
          </w:tcPr>
          <w:p w:rsidR="00876213" w:rsidRPr="00683B63" w:rsidRDefault="008157FF" w:rsidP="00E46AD5">
            <w:pPr>
              <w:pStyle w:val="TableTextColumnHeading"/>
              <w:keepLines w:val="0"/>
              <w:rPr>
                <w:sz w:val="16"/>
                <w:szCs w:val="16"/>
              </w:rPr>
            </w:pPr>
            <w:r>
              <w:rPr>
                <w:sz w:val="16"/>
                <w:szCs w:val="16"/>
              </w:rPr>
              <w:t>1</w:t>
            </w:r>
          </w:p>
        </w:tc>
        <w:tc>
          <w:tcPr>
            <w:tcW w:w="436" w:type="dxa"/>
            <w:tcBorders>
              <w:top w:val="nil"/>
            </w:tcBorders>
          </w:tcPr>
          <w:p w:rsidR="00876213" w:rsidRPr="00683B63" w:rsidRDefault="008157FF" w:rsidP="00E46AD5">
            <w:pPr>
              <w:pStyle w:val="TableTextColumnHeading"/>
              <w:keepLines w:val="0"/>
              <w:rPr>
                <w:sz w:val="16"/>
                <w:szCs w:val="16"/>
              </w:rPr>
            </w:pPr>
            <w:r>
              <w:rPr>
                <w:sz w:val="16"/>
                <w:szCs w:val="16"/>
              </w:rPr>
              <w:t>1.5</w:t>
            </w:r>
          </w:p>
        </w:tc>
        <w:tc>
          <w:tcPr>
            <w:tcW w:w="786" w:type="dxa"/>
            <w:tcBorders>
              <w:top w:val="nil"/>
            </w:tcBorders>
          </w:tcPr>
          <w:p w:rsidR="00876213" w:rsidRPr="00683B63" w:rsidRDefault="008157FF" w:rsidP="00E46AD5">
            <w:pPr>
              <w:pStyle w:val="TableTextColumnHeading"/>
              <w:keepLines w:val="0"/>
              <w:rPr>
                <w:sz w:val="16"/>
                <w:szCs w:val="16"/>
              </w:rPr>
            </w:pPr>
            <w:r>
              <w:rPr>
                <w:sz w:val="16"/>
                <w:szCs w:val="16"/>
              </w:rPr>
              <w:t>0</w:t>
            </w:r>
          </w:p>
        </w:tc>
        <w:tc>
          <w:tcPr>
            <w:tcW w:w="434" w:type="dxa"/>
            <w:tcBorders>
              <w:top w:val="nil"/>
            </w:tcBorders>
          </w:tcPr>
          <w:p w:rsidR="00876213" w:rsidRPr="00683B63" w:rsidRDefault="008157FF" w:rsidP="00E46AD5">
            <w:pPr>
              <w:pStyle w:val="TableTextColumnHeading"/>
              <w:keepLines w:val="0"/>
              <w:rPr>
                <w:sz w:val="16"/>
                <w:szCs w:val="16"/>
              </w:rPr>
            </w:pPr>
            <w:r>
              <w:rPr>
                <w:sz w:val="16"/>
                <w:szCs w:val="16"/>
              </w:rPr>
              <w:t>0</w:t>
            </w:r>
          </w:p>
        </w:tc>
        <w:tc>
          <w:tcPr>
            <w:tcW w:w="786" w:type="dxa"/>
            <w:tcBorders>
              <w:top w:val="nil"/>
            </w:tcBorders>
          </w:tcPr>
          <w:p w:rsidR="00876213" w:rsidRPr="00683B63" w:rsidRDefault="008157FF" w:rsidP="00E46AD5">
            <w:pPr>
              <w:pStyle w:val="TableTextColumnHeading"/>
              <w:keepLines w:val="0"/>
              <w:rPr>
                <w:sz w:val="16"/>
                <w:szCs w:val="16"/>
              </w:rPr>
            </w:pPr>
            <w:r>
              <w:rPr>
                <w:sz w:val="16"/>
                <w:szCs w:val="16"/>
              </w:rPr>
              <w:t>0</w:t>
            </w:r>
          </w:p>
        </w:tc>
        <w:tc>
          <w:tcPr>
            <w:tcW w:w="430" w:type="dxa"/>
            <w:tcBorders>
              <w:top w:val="nil"/>
            </w:tcBorders>
          </w:tcPr>
          <w:p w:rsidR="00876213" w:rsidRPr="00683B63" w:rsidRDefault="008157FF" w:rsidP="00E46AD5">
            <w:pPr>
              <w:pStyle w:val="TableTextColumnHeading"/>
              <w:keepLines w:val="0"/>
              <w:rPr>
                <w:sz w:val="16"/>
                <w:szCs w:val="16"/>
              </w:rPr>
            </w:pPr>
            <w:r>
              <w:rPr>
                <w:sz w:val="16"/>
                <w:szCs w:val="16"/>
              </w:rPr>
              <w:t>0</w:t>
            </w:r>
          </w:p>
        </w:tc>
        <w:tc>
          <w:tcPr>
            <w:tcW w:w="786" w:type="dxa"/>
            <w:tcBorders>
              <w:top w:val="nil"/>
            </w:tcBorders>
          </w:tcPr>
          <w:p w:rsidR="00876213" w:rsidRPr="00683B63" w:rsidRDefault="0081374A" w:rsidP="00E46AD5">
            <w:pPr>
              <w:pStyle w:val="TableTextColumnHeading"/>
              <w:keepLines w:val="0"/>
              <w:rPr>
                <w:sz w:val="16"/>
                <w:szCs w:val="16"/>
              </w:rPr>
            </w:pPr>
            <w:r>
              <w:rPr>
                <w:sz w:val="16"/>
                <w:szCs w:val="16"/>
              </w:rPr>
              <w:t>0</w:t>
            </w:r>
          </w:p>
        </w:tc>
        <w:tc>
          <w:tcPr>
            <w:tcW w:w="424" w:type="dxa"/>
            <w:tcBorders>
              <w:top w:val="nil"/>
            </w:tcBorders>
          </w:tcPr>
          <w:p w:rsidR="00876213" w:rsidRPr="00683B63" w:rsidRDefault="0081374A" w:rsidP="00E46AD5">
            <w:pPr>
              <w:pStyle w:val="TableTextColumnHeading"/>
              <w:keepLines w:val="0"/>
              <w:rPr>
                <w:sz w:val="16"/>
                <w:szCs w:val="16"/>
              </w:rPr>
            </w:pPr>
            <w:r>
              <w:rPr>
                <w:sz w:val="16"/>
                <w:szCs w:val="16"/>
              </w:rPr>
              <w:t>0</w:t>
            </w:r>
          </w:p>
        </w:tc>
        <w:tc>
          <w:tcPr>
            <w:tcW w:w="786" w:type="dxa"/>
            <w:tcBorders>
              <w:top w:val="nil"/>
            </w:tcBorders>
          </w:tcPr>
          <w:p w:rsidR="00876213" w:rsidRPr="00683B63" w:rsidRDefault="0081374A" w:rsidP="00E46AD5">
            <w:pPr>
              <w:pStyle w:val="TableTextColumnHeading"/>
              <w:keepLines w:val="0"/>
              <w:rPr>
                <w:sz w:val="16"/>
                <w:szCs w:val="16"/>
              </w:rPr>
            </w:pPr>
            <w:r>
              <w:rPr>
                <w:sz w:val="16"/>
                <w:szCs w:val="16"/>
              </w:rPr>
              <w:t>1</w:t>
            </w:r>
          </w:p>
        </w:tc>
        <w:tc>
          <w:tcPr>
            <w:tcW w:w="410" w:type="dxa"/>
            <w:tcBorders>
              <w:top w:val="nil"/>
            </w:tcBorders>
          </w:tcPr>
          <w:p w:rsidR="00876213" w:rsidRPr="00683B63" w:rsidRDefault="0081374A" w:rsidP="00E46AD5">
            <w:pPr>
              <w:pStyle w:val="TableTextColumnHeading"/>
              <w:keepLines w:val="0"/>
              <w:rPr>
                <w:sz w:val="16"/>
                <w:szCs w:val="16"/>
              </w:rPr>
            </w:pPr>
            <w:r>
              <w:rPr>
                <w:sz w:val="16"/>
                <w:szCs w:val="16"/>
              </w:rPr>
              <w:t>1.5</w:t>
            </w:r>
          </w:p>
        </w:tc>
      </w:tr>
      <w:tr w:rsidR="00876213" w:rsidRPr="00683B63" w:rsidTr="00F02C25">
        <w:trPr>
          <w:cantSplit/>
        </w:trPr>
        <w:tc>
          <w:tcPr>
            <w:tcW w:w="1230" w:type="dxa"/>
          </w:tcPr>
          <w:p w:rsidR="00876213" w:rsidRPr="00683B63" w:rsidRDefault="00876213" w:rsidP="00E46AD5">
            <w:pPr>
              <w:pStyle w:val="TableTextColumnHeading"/>
              <w:keepLines w:val="0"/>
              <w:rPr>
                <w:sz w:val="16"/>
                <w:szCs w:val="16"/>
              </w:rPr>
            </w:pPr>
            <w:r>
              <w:rPr>
                <w:sz w:val="16"/>
                <w:szCs w:val="16"/>
              </w:rPr>
              <w:t>Good quality</w:t>
            </w:r>
          </w:p>
        </w:tc>
        <w:tc>
          <w:tcPr>
            <w:tcW w:w="786" w:type="dxa"/>
          </w:tcPr>
          <w:p w:rsidR="00876213" w:rsidRPr="00683B63" w:rsidRDefault="008157FF" w:rsidP="00E46AD5">
            <w:pPr>
              <w:pStyle w:val="TableTextColumnHeading"/>
              <w:keepLines w:val="0"/>
              <w:rPr>
                <w:sz w:val="16"/>
                <w:szCs w:val="16"/>
              </w:rPr>
            </w:pPr>
            <w:r>
              <w:rPr>
                <w:sz w:val="16"/>
                <w:szCs w:val="16"/>
              </w:rPr>
              <w:t>35</w:t>
            </w:r>
          </w:p>
        </w:tc>
        <w:tc>
          <w:tcPr>
            <w:tcW w:w="442" w:type="dxa"/>
          </w:tcPr>
          <w:p w:rsidR="00876213" w:rsidRPr="00683B63" w:rsidRDefault="008157FF" w:rsidP="00E46AD5">
            <w:pPr>
              <w:pStyle w:val="TableTextColumnHeading"/>
              <w:keepLines w:val="0"/>
              <w:rPr>
                <w:sz w:val="16"/>
                <w:szCs w:val="16"/>
              </w:rPr>
            </w:pPr>
            <w:r>
              <w:rPr>
                <w:sz w:val="16"/>
                <w:szCs w:val="16"/>
              </w:rPr>
              <w:t>54.5</w:t>
            </w:r>
          </w:p>
        </w:tc>
        <w:tc>
          <w:tcPr>
            <w:tcW w:w="786" w:type="dxa"/>
          </w:tcPr>
          <w:p w:rsidR="00876213" w:rsidRPr="00683B63" w:rsidRDefault="008157FF" w:rsidP="00E46AD5">
            <w:pPr>
              <w:pStyle w:val="TableTextColumnHeading"/>
              <w:keepLines w:val="0"/>
              <w:rPr>
                <w:sz w:val="16"/>
                <w:szCs w:val="16"/>
              </w:rPr>
            </w:pPr>
            <w:r>
              <w:rPr>
                <w:sz w:val="16"/>
                <w:szCs w:val="16"/>
              </w:rPr>
              <w:t>25</w:t>
            </w:r>
          </w:p>
        </w:tc>
        <w:tc>
          <w:tcPr>
            <w:tcW w:w="436" w:type="dxa"/>
          </w:tcPr>
          <w:p w:rsidR="00876213" w:rsidRPr="00683B63" w:rsidRDefault="008157FF" w:rsidP="00E46AD5">
            <w:pPr>
              <w:pStyle w:val="TableTextColumnHeading"/>
              <w:keepLines w:val="0"/>
              <w:rPr>
                <w:sz w:val="16"/>
                <w:szCs w:val="16"/>
              </w:rPr>
            </w:pPr>
            <w:r>
              <w:rPr>
                <w:sz w:val="16"/>
                <w:szCs w:val="16"/>
              </w:rPr>
              <w:t>39</w:t>
            </w:r>
          </w:p>
        </w:tc>
        <w:tc>
          <w:tcPr>
            <w:tcW w:w="786" w:type="dxa"/>
          </w:tcPr>
          <w:p w:rsidR="00876213" w:rsidRPr="00683B63" w:rsidRDefault="008157FF" w:rsidP="00E46AD5">
            <w:pPr>
              <w:pStyle w:val="TableTextColumnHeading"/>
              <w:keepLines w:val="0"/>
              <w:rPr>
                <w:sz w:val="16"/>
                <w:szCs w:val="16"/>
              </w:rPr>
            </w:pPr>
            <w:r>
              <w:rPr>
                <w:sz w:val="16"/>
                <w:szCs w:val="16"/>
              </w:rPr>
              <w:t>20</w:t>
            </w:r>
          </w:p>
        </w:tc>
        <w:tc>
          <w:tcPr>
            <w:tcW w:w="434" w:type="dxa"/>
          </w:tcPr>
          <w:p w:rsidR="00876213" w:rsidRPr="00683B63" w:rsidRDefault="008157FF" w:rsidP="00E46AD5">
            <w:pPr>
              <w:pStyle w:val="TableTextColumnHeading"/>
              <w:keepLines w:val="0"/>
              <w:rPr>
                <w:sz w:val="16"/>
                <w:szCs w:val="16"/>
              </w:rPr>
            </w:pPr>
            <w:r>
              <w:rPr>
                <w:sz w:val="16"/>
                <w:szCs w:val="16"/>
              </w:rPr>
              <w:t>31</w:t>
            </w:r>
          </w:p>
        </w:tc>
        <w:tc>
          <w:tcPr>
            <w:tcW w:w="786" w:type="dxa"/>
          </w:tcPr>
          <w:p w:rsidR="00876213" w:rsidRPr="00683B63" w:rsidRDefault="008157FF" w:rsidP="00E46AD5">
            <w:pPr>
              <w:pStyle w:val="TableTextColumnHeading"/>
              <w:keepLines w:val="0"/>
              <w:rPr>
                <w:sz w:val="16"/>
                <w:szCs w:val="16"/>
              </w:rPr>
            </w:pPr>
            <w:r>
              <w:rPr>
                <w:sz w:val="16"/>
                <w:szCs w:val="16"/>
              </w:rPr>
              <w:t>18</w:t>
            </w:r>
          </w:p>
        </w:tc>
        <w:tc>
          <w:tcPr>
            <w:tcW w:w="430" w:type="dxa"/>
          </w:tcPr>
          <w:p w:rsidR="00876213" w:rsidRPr="00683B63" w:rsidRDefault="008157FF" w:rsidP="00E46AD5">
            <w:pPr>
              <w:pStyle w:val="TableTextColumnHeading"/>
              <w:keepLines w:val="0"/>
              <w:rPr>
                <w:sz w:val="16"/>
                <w:szCs w:val="16"/>
              </w:rPr>
            </w:pPr>
            <w:r>
              <w:rPr>
                <w:sz w:val="16"/>
                <w:szCs w:val="16"/>
              </w:rPr>
              <w:t>28.5</w:t>
            </w:r>
          </w:p>
        </w:tc>
        <w:tc>
          <w:tcPr>
            <w:tcW w:w="786" w:type="dxa"/>
          </w:tcPr>
          <w:p w:rsidR="00876213" w:rsidRPr="00683B63" w:rsidRDefault="0081374A" w:rsidP="00E46AD5">
            <w:pPr>
              <w:pStyle w:val="TableTextColumnHeading"/>
              <w:keepLines w:val="0"/>
              <w:rPr>
                <w:sz w:val="16"/>
                <w:szCs w:val="16"/>
              </w:rPr>
            </w:pPr>
            <w:r>
              <w:rPr>
                <w:sz w:val="16"/>
                <w:szCs w:val="16"/>
              </w:rPr>
              <w:t>16</w:t>
            </w:r>
          </w:p>
        </w:tc>
        <w:tc>
          <w:tcPr>
            <w:tcW w:w="424" w:type="dxa"/>
          </w:tcPr>
          <w:p w:rsidR="00876213" w:rsidRPr="00683B63" w:rsidRDefault="0081374A" w:rsidP="00E46AD5">
            <w:pPr>
              <w:pStyle w:val="TableTextColumnHeading"/>
              <w:keepLines w:val="0"/>
              <w:rPr>
                <w:sz w:val="16"/>
                <w:szCs w:val="16"/>
              </w:rPr>
            </w:pPr>
            <w:r>
              <w:rPr>
                <w:sz w:val="16"/>
                <w:szCs w:val="16"/>
              </w:rPr>
              <w:t>25</w:t>
            </w:r>
          </w:p>
        </w:tc>
        <w:tc>
          <w:tcPr>
            <w:tcW w:w="786" w:type="dxa"/>
          </w:tcPr>
          <w:p w:rsidR="00876213" w:rsidRPr="00683B63" w:rsidRDefault="0081374A" w:rsidP="00E46AD5">
            <w:pPr>
              <w:pStyle w:val="TableTextColumnHeading"/>
              <w:keepLines w:val="0"/>
              <w:rPr>
                <w:sz w:val="16"/>
                <w:szCs w:val="16"/>
              </w:rPr>
            </w:pPr>
            <w:r>
              <w:rPr>
                <w:sz w:val="16"/>
                <w:szCs w:val="16"/>
              </w:rPr>
              <w:t>22</w:t>
            </w:r>
          </w:p>
        </w:tc>
        <w:tc>
          <w:tcPr>
            <w:tcW w:w="410" w:type="dxa"/>
          </w:tcPr>
          <w:p w:rsidR="00876213" w:rsidRPr="00683B63" w:rsidRDefault="0081374A" w:rsidP="00E46AD5">
            <w:pPr>
              <w:pStyle w:val="TableTextColumnHeading"/>
              <w:keepLines w:val="0"/>
              <w:rPr>
                <w:sz w:val="16"/>
                <w:szCs w:val="16"/>
              </w:rPr>
            </w:pPr>
            <w:r>
              <w:rPr>
                <w:sz w:val="16"/>
                <w:szCs w:val="16"/>
              </w:rPr>
              <w:t>34</w:t>
            </w:r>
          </w:p>
        </w:tc>
      </w:tr>
      <w:tr w:rsidR="00876213" w:rsidRPr="00683B63" w:rsidTr="00F02C25">
        <w:trPr>
          <w:cantSplit/>
        </w:trPr>
        <w:tc>
          <w:tcPr>
            <w:tcW w:w="1230" w:type="dxa"/>
            <w:tcBorders>
              <w:bottom w:val="nil"/>
            </w:tcBorders>
          </w:tcPr>
          <w:p w:rsidR="00876213" w:rsidRPr="00683B63" w:rsidRDefault="00876213" w:rsidP="00E46AD5">
            <w:pPr>
              <w:pStyle w:val="TableTextColumnHeading"/>
              <w:keepLines w:val="0"/>
              <w:rPr>
                <w:sz w:val="16"/>
                <w:szCs w:val="16"/>
              </w:rPr>
            </w:pPr>
            <w:r>
              <w:rPr>
                <w:sz w:val="16"/>
                <w:szCs w:val="16"/>
              </w:rPr>
              <w:t>Adequate</w:t>
            </w:r>
          </w:p>
        </w:tc>
        <w:tc>
          <w:tcPr>
            <w:tcW w:w="786" w:type="dxa"/>
            <w:tcBorders>
              <w:bottom w:val="nil"/>
            </w:tcBorders>
          </w:tcPr>
          <w:p w:rsidR="00876213" w:rsidRPr="00683B63" w:rsidRDefault="008157FF" w:rsidP="00E46AD5">
            <w:pPr>
              <w:pStyle w:val="TableTextColumnHeading"/>
              <w:keepLines w:val="0"/>
              <w:rPr>
                <w:sz w:val="16"/>
                <w:szCs w:val="16"/>
              </w:rPr>
            </w:pPr>
            <w:r>
              <w:rPr>
                <w:sz w:val="16"/>
                <w:szCs w:val="16"/>
              </w:rPr>
              <w:t>12</w:t>
            </w:r>
          </w:p>
        </w:tc>
        <w:tc>
          <w:tcPr>
            <w:tcW w:w="442" w:type="dxa"/>
            <w:tcBorders>
              <w:bottom w:val="nil"/>
            </w:tcBorders>
          </w:tcPr>
          <w:p w:rsidR="00876213" w:rsidRPr="00683B63" w:rsidRDefault="008157FF" w:rsidP="00E46AD5">
            <w:pPr>
              <w:pStyle w:val="TableTextColumnHeading"/>
              <w:keepLines w:val="0"/>
              <w:rPr>
                <w:sz w:val="16"/>
                <w:szCs w:val="16"/>
              </w:rPr>
            </w:pPr>
            <w:r>
              <w:rPr>
                <w:sz w:val="16"/>
                <w:szCs w:val="16"/>
              </w:rPr>
              <w:t>19</w:t>
            </w:r>
          </w:p>
        </w:tc>
        <w:tc>
          <w:tcPr>
            <w:tcW w:w="786" w:type="dxa"/>
            <w:tcBorders>
              <w:bottom w:val="nil"/>
            </w:tcBorders>
          </w:tcPr>
          <w:p w:rsidR="00876213" w:rsidRPr="00683B63" w:rsidRDefault="008157FF" w:rsidP="00E46AD5">
            <w:pPr>
              <w:pStyle w:val="TableTextColumnHeading"/>
              <w:keepLines w:val="0"/>
              <w:rPr>
                <w:sz w:val="16"/>
                <w:szCs w:val="16"/>
              </w:rPr>
            </w:pPr>
            <w:r>
              <w:rPr>
                <w:sz w:val="16"/>
                <w:szCs w:val="16"/>
              </w:rPr>
              <w:t>27</w:t>
            </w:r>
          </w:p>
        </w:tc>
        <w:tc>
          <w:tcPr>
            <w:tcW w:w="436" w:type="dxa"/>
            <w:tcBorders>
              <w:bottom w:val="nil"/>
            </w:tcBorders>
          </w:tcPr>
          <w:p w:rsidR="00876213" w:rsidRPr="00683B63" w:rsidRDefault="008157FF" w:rsidP="00E46AD5">
            <w:pPr>
              <w:pStyle w:val="TableTextColumnHeading"/>
              <w:keepLines w:val="0"/>
              <w:rPr>
                <w:sz w:val="16"/>
                <w:szCs w:val="16"/>
              </w:rPr>
            </w:pPr>
            <w:r>
              <w:rPr>
                <w:sz w:val="16"/>
                <w:szCs w:val="16"/>
              </w:rPr>
              <w:t>42.5</w:t>
            </w:r>
          </w:p>
        </w:tc>
        <w:tc>
          <w:tcPr>
            <w:tcW w:w="786" w:type="dxa"/>
            <w:tcBorders>
              <w:bottom w:val="nil"/>
            </w:tcBorders>
          </w:tcPr>
          <w:p w:rsidR="00876213" w:rsidRPr="00683B63" w:rsidRDefault="008157FF" w:rsidP="00E46AD5">
            <w:pPr>
              <w:pStyle w:val="TableTextColumnHeading"/>
              <w:keepLines w:val="0"/>
              <w:rPr>
                <w:sz w:val="16"/>
                <w:szCs w:val="16"/>
              </w:rPr>
            </w:pPr>
            <w:r>
              <w:rPr>
                <w:sz w:val="16"/>
                <w:szCs w:val="16"/>
              </w:rPr>
              <w:t>32</w:t>
            </w:r>
          </w:p>
        </w:tc>
        <w:tc>
          <w:tcPr>
            <w:tcW w:w="434" w:type="dxa"/>
            <w:tcBorders>
              <w:bottom w:val="nil"/>
            </w:tcBorders>
          </w:tcPr>
          <w:p w:rsidR="00876213" w:rsidRPr="00683B63" w:rsidRDefault="008157FF" w:rsidP="00E46AD5">
            <w:pPr>
              <w:pStyle w:val="TableTextColumnHeading"/>
              <w:keepLines w:val="0"/>
              <w:rPr>
                <w:sz w:val="16"/>
                <w:szCs w:val="16"/>
              </w:rPr>
            </w:pPr>
            <w:r>
              <w:rPr>
                <w:sz w:val="16"/>
                <w:szCs w:val="16"/>
              </w:rPr>
              <w:t>50</w:t>
            </w:r>
          </w:p>
        </w:tc>
        <w:tc>
          <w:tcPr>
            <w:tcW w:w="786" w:type="dxa"/>
            <w:tcBorders>
              <w:bottom w:val="nil"/>
            </w:tcBorders>
          </w:tcPr>
          <w:p w:rsidR="00876213" w:rsidRPr="00683B63" w:rsidRDefault="008157FF" w:rsidP="00E46AD5">
            <w:pPr>
              <w:pStyle w:val="TableTextColumnHeading"/>
              <w:keepLines w:val="0"/>
              <w:rPr>
                <w:sz w:val="16"/>
                <w:szCs w:val="16"/>
              </w:rPr>
            </w:pPr>
            <w:r>
              <w:rPr>
                <w:sz w:val="16"/>
                <w:szCs w:val="16"/>
              </w:rPr>
              <w:t>27</w:t>
            </w:r>
          </w:p>
        </w:tc>
        <w:tc>
          <w:tcPr>
            <w:tcW w:w="430" w:type="dxa"/>
            <w:tcBorders>
              <w:bottom w:val="nil"/>
            </w:tcBorders>
          </w:tcPr>
          <w:p w:rsidR="00876213" w:rsidRPr="00683B63" w:rsidRDefault="008157FF" w:rsidP="00E46AD5">
            <w:pPr>
              <w:pStyle w:val="TableTextColumnHeading"/>
              <w:keepLines w:val="0"/>
              <w:rPr>
                <w:sz w:val="16"/>
                <w:szCs w:val="16"/>
              </w:rPr>
            </w:pPr>
            <w:r>
              <w:rPr>
                <w:sz w:val="16"/>
                <w:szCs w:val="16"/>
              </w:rPr>
              <w:t>42</w:t>
            </w:r>
          </w:p>
        </w:tc>
        <w:tc>
          <w:tcPr>
            <w:tcW w:w="786" w:type="dxa"/>
            <w:tcBorders>
              <w:bottom w:val="nil"/>
            </w:tcBorders>
          </w:tcPr>
          <w:p w:rsidR="00876213" w:rsidRPr="00683B63" w:rsidRDefault="0081374A" w:rsidP="00E46AD5">
            <w:pPr>
              <w:pStyle w:val="TableTextColumnHeading"/>
              <w:keepLines w:val="0"/>
              <w:rPr>
                <w:sz w:val="16"/>
                <w:szCs w:val="16"/>
              </w:rPr>
            </w:pPr>
            <w:r>
              <w:rPr>
                <w:sz w:val="16"/>
                <w:szCs w:val="16"/>
              </w:rPr>
              <w:t>30</w:t>
            </w:r>
          </w:p>
        </w:tc>
        <w:tc>
          <w:tcPr>
            <w:tcW w:w="424" w:type="dxa"/>
            <w:tcBorders>
              <w:bottom w:val="nil"/>
            </w:tcBorders>
          </w:tcPr>
          <w:p w:rsidR="00876213" w:rsidRPr="00683B63" w:rsidRDefault="0081374A" w:rsidP="00E46AD5">
            <w:pPr>
              <w:pStyle w:val="TableTextColumnHeading"/>
              <w:keepLines w:val="0"/>
              <w:rPr>
                <w:sz w:val="16"/>
                <w:szCs w:val="16"/>
              </w:rPr>
            </w:pPr>
            <w:r>
              <w:rPr>
                <w:sz w:val="16"/>
                <w:szCs w:val="16"/>
              </w:rPr>
              <w:t>47</w:t>
            </w:r>
          </w:p>
        </w:tc>
        <w:tc>
          <w:tcPr>
            <w:tcW w:w="786" w:type="dxa"/>
            <w:tcBorders>
              <w:bottom w:val="nil"/>
            </w:tcBorders>
          </w:tcPr>
          <w:p w:rsidR="00876213" w:rsidRPr="00683B63" w:rsidRDefault="0081374A" w:rsidP="00E46AD5">
            <w:pPr>
              <w:pStyle w:val="TableTextColumnHeading"/>
              <w:keepLines w:val="0"/>
              <w:rPr>
                <w:sz w:val="16"/>
                <w:szCs w:val="16"/>
              </w:rPr>
            </w:pPr>
            <w:r>
              <w:rPr>
                <w:sz w:val="16"/>
                <w:szCs w:val="16"/>
              </w:rPr>
              <w:t>24</w:t>
            </w:r>
          </w:p>
        </w:tc>
        <w:tc>
          <w:tcPr>
            <w:tcW w:w="410" w:type="dxa"/>
            <w:tcBorders>
              <w:bottom w:val="nil"/>
            </w:tcBorders>
          </w:tcPr>
          <w:p w:rsidR="00876213" w:rsidRPr="00683B63" w:rsidRDefault="0081374A" w:rsidP="00E46AD5">
            <w:pPr>
              <w:pStyle w:val="TableTextColumnHeading"/>
              <w:keepLines w:val="0"/>
              <w:rPr>
                <w:sz w:val="16"/>
                <w:szCs w:val="16"/>
              </w:rPr>
            </w:pPr>
            <w:r>
              <w:rPr>
                <w:sz w:val="16"/>
                <w:szCs w:val="16"/>
              </w:rPr>
              <w:t>37.5</w:t>
            </w:r>
          </w:p>
        </w:tc>
      </w:tr>
      <w:tr w:rsidR="00876213" w:rsidRPr="00207D0F" w:rsidTr="00F02C25">
        <w:trPr>
          <w:cantSplit/>
        </w:trPr>
        <w:tc>
          <w:tcPr>
            <w:tcW w:w="1230" w:type="dxa"/>
            <w:tcBorders>
              <w:top w:val="nil"/>
              <w:bottom w:val="nil"/>
            </w:tcBorders>
            <w:shd w:val="clear" w:color="auto" w:fill="99CC00"/>
          </w:tcPr>
          <w:p w:rsidR="00876213" w:rsidRPr="00683B63" w:rsidRDefault="00876213" w:rsidP="00E46AD5">
            <w:pPr>
              <w:pStyle w:val="TableTextColumnHeading"/>
              <w:keepLines w:val="0"/>
              <w:rPr>
                <w:sz w:val="16"/>
                <w:szCs w:val="16"/>
              </w:rPr>
            </w:pPr>
            <w:r>
              <w:rPr>
                <w:sz w:val="16"/>
                <w:szCs w:val="16"/>
              </w:rPr>
              <w:t>Sub-total Satisfactory</w:t>
            </w:r>
          </w:p>
        </w:tc>
        <w:tc>
          <w:tcPr>
            <w:tcW w:w="786" w:type="dxa"/>
            <w:tcBorders>
              <w:top w:val="nil"/>
              <w:bottom w:val="nil"/>
            </w:tcBorders>
            <w:shd w:val="clear" w:color="auto" w:fill="99CC00"/>
          </w:tcPr>
          <w:p w:rsidR="00876213" w:rsidRPr="00683B63" w:rsidRDefault="008157FF" w:rsidP="00E46AD5">
            <w:pPr>
              <w:pStyle w:val="TableTextColumnHeading"/>
              <w:keepLines w:val="0"/>
              <w:rPr>
                <w:sz w:val="16"/>
                <w:szCs w:val="16"/>
              </w:rPr>
            </w:pPr>
            <w:r>
              <w:rPr>
                <w:sz w:val="16"/>
                <w:szCs w:val="16"/>
              </w:rPr>
              <w:t>61</w:t>
            </w:r>
          </w:p>
        </w:tc>
        <w:tc>
          <w:tcPr>
            <w:tcW w:w="442" w:type="dxa"/>
            <w:tcBorders>
              <w:top w:val="nil"/>
              <w:bottom w:val="nil"/>
            </w:tcBorders>
            <w:shd w:val="clear" w:color="auto" w:fill="99CC00"/>
          </w:tcPr>
          <w:p w:rsidR="00876213" w:rsidRPr="00683B63" w:rsidRDefault="008157FF" w:rsidP="00E46AD5">
            <w:pPr>
              <w:pStyle w:val="TableTextColumnHeading"/>
              <w:keepLines w:val="0"/>
              <w:rPr>
                <w:sz w:val="16"/>
                <w:szCs w:val="16"/>
              </w:rPr>
            </w:pPr>
            <w:r>
              <w:rPr>
                <w:sz w:val="16"/>
                <w:szCs w:val="16"/>
              </w:rPr>
              <w:t>95.5</w:t>
            </w:r>
          </w:p>
        </w:tc>
        <w:tc>
          <w:tcPr>
            <w:tcW w:w="786" w:type="dxa"/>
            <w:tcBorders>
              <w:top w:val="nil"/>
              <w:bottom w:val="nil"/>
            </w:tcBorders>
            <w:shd w:val="clear" w:color="auto" w:fill="99CC00"/>
          </w:tcPr>
          <w:p w:rsidR="00876213" w:rsidRPr="00683B63" w:rsidRDefault="008157FF" w:rsidP="00E46AD5">
            <w:pPr>
              <w:pStyle w:val="TableTextColumnHeading"/>
              <w:keepLines w:val="0"/>
              <w:rPr>
                <w:sz w:val="16"/>
                <w:szCs w:val="16"/>
              </w:rPr>
            </w:pPr>
            <w:r>
              <w:rPr>
                <w:sz w:val="16"/>
                <w:szCs w:val="16"/>
              </w:rPr>
              <w:t>53</w:t>
            </w:r>
          </w:p>
        </w:tc>
        <w:tc>
          <w:tcPr>
            <w:tcW w:w="436" w:type="dxa"/>
            <w:tcBorders>
              <w:top w:val="nil"/>
              <w:bottom w:val="nil"/>
            </w:tcBorders>
            <w:shd w:val="clear" w:color="auto" w:fill="99CC00"/>
          </w:tcPr>
          <w:p w:rsidR="00876213" w:rsidRPr="00683B63" w:rsidRDefault="008157FF" w:rsidP="00E46AD5">
            <w:pPr>
              <w:pStyle w:val="TableTextColumnHeading"/>
              <w:keepLines w:val="0"/>
              <w:rPr>
                <w:sz w:val="16"/>
                <w:szCs w:val="16"/>
              </w:rPr>
            </w:pPr>
            <w:r>
              <w:rPr>
                <w:sz w:val="16"/>
                <w:szCs w:val="16"/>
              </w:rPr>
              <w:t>83</w:t>
            </w:r>
          </w:p>
        </w:tc>
        <w:tc>
          <w:tcPr>
            <w:tcW w:w="786" w:type="dxa"/>
            <w:tcBorders>
              <w:top w:val="nil"/>
              <w:bottom w:val="nil"/>
            </w:tcBorders>
            <w:shd w:val="clear" w:color="auto" w:fill="99CC00"/>
          </w:tcPr>
          <w:p w:rsidR="00876213" w:rsidRPr="00683B63" w:rsidRDefault="008157FF" w:rsidP="00E46AD5">
            <w:pPr>
              <w:pStyle w:val="TableTextColumnHeading"/>
              <w:keepLines w:val="0"/>
              <w:rPr>
                <w:sz w:val="16"/>
                <w:szCs w:val="16"/>
              </w:rPr>
            </w:pPr>
            <w:r>
              <w:rPr>
                <w:sz w:val="16"/>
                <w:szCs w:val="16"/>
              </w:rPr>
              <w:t>52</w:t>
            </w:r>
          </w:p>
        </w:tc>
        <w:tc>
          <w:tcPr>
            <w:tcW w:w="434" w:type="dxa"/>
            <w:tcBorders>
              <w:top w:val="nil"/>
              <w:bottom w:val="nil"/>
            </w:tcBorders>
            <w:shd w:val="clear" w:color="auto" w:fill="99CC00"/>
          </w:tcPr>
          <w:p w:rsidR="00876213" w:rsidRPr="00683B63" w:rsidRDefault="008157FF" w:rsidP="00E46AD5">
            <w:pPr>
              <w:pStyle w:val="TableTextColumnHeading"/>
              <w:keepLines w:val="0"/>
              <w:rPr>
                <w:sz w:val="16"/>
                <w:szCs w:val="16"/>
              </w:rPr>
            </w:pPr>
            <w:r>
              <w:rPr>
                <w:sz w:val="16"/>
                <w:szCs w:val="16"/>
              </w:rPr>
              <w:t>81</w:t>
            </w:r>
          </w:p>
        </w:tc>
        <w:tc>
          <w:tcPr>
            <w:tcW w:w="786" w:type="dxa"/>
            <w:tcBorders>
              <w:top w:val="nil"/>
              <w:bottom w:val="nil"/>
            </w:tcBorders>
            <w:shd w:val="clear" w:color="auto" w:fill="99CC00"/>
          </w:tcPr>
          <w:p w:rsidR="00876213" w:rsidRPr="00683B63" w:rsidRDefault="008157FF" w:rsidP="00E46AD5">
            <w:pPr>
              <w:pStyle w:val="TableTextColumnHeading"/>
              <w:keepLines w:val="0"/>
              <w:rPr>
                <w:sz w:val="16"/>
                <w:szCs w:val="16"/>
              </w:rPr>
            </w:pPr>
            <w:r>
              <w:rPr>
                <w:sz w:val="16"/>
                <w:szCs w:val="16"/>
              </w:rPr>
              <w:t>45</w:t>
            </w:r>
          </w:p>
        </w:tc>
        <w:tc>
          <w:tcPr>
            <w:tcW w:w="430" w:type="dxa"/>
            <w:tcBorders>
              <w:top w:val="nil"/>
              <w:bottom w:val="nil"/>
            </w:tcBorders>
            <w:shd w:val="clear" w:color="auto" w:fill="99CC00"/>
          </w:tcPr>
          <w:p w:rsidR="00876213" w:rsidRPr="00683B63" w:rsidRDefault="008157FF" w:rsidP="00E46AD5">
            <w:pPr>
              <w:pStyle w:val="TableTextColumnHeading"/>
              <w:keepLines w:val="0"/>
              <w:rPr>
                <w:sz w:val="16"/>
                <w:szCs w:val="16"/>
              </w:rPr>
            </w:pPr>
            <w:r>
              <w:rPr>
                <w:sz w:val="16"/>
                <w:szCs w:val="16"/>
              </w:rPr>
              <w:t>70.5</w:t>
            </w:r>
          </w:p>
        </w:tc>
        <w:tc>
          <w:tcPr>
            <w:tcW w:w="786" w:type="dxa"/>
            <w:tcBorders>
              <w:top w:val="nil"/>
              <w:bottom w:val="nil"/>
            </w:tcBorders>
            <w:shd w:val="clear" w:color="auto" w:fill="99CC00"/>
          </w:tcPr>
          <w:p w:rsidR="00876213" w:rsidRPr="00683B63" w:rsidRDefault="0081374A" w:rsidP="00E46AD5">
            <w:pPr>
              <w:pStyle w:val="TableTextColumnHeading"/>
              <w:keepLines w:val="0"/>
              <w:rPr>
                <w:sz w:val="16"/>
                <w:szCs w:val="16"/>
              </w:rPr>
            </w:pPr>
            <w:r>
              <w:rPr>
                <w:sz w:val="16"/>
                <w:szCs w:val="16"/>
              </w:rPr>
              <w:t>46</w:t>
            </w:r>
          </w:p>
        </w:tc>
        <w:tc>
          <w:tcPr>
            <w:tcW w:w="424" w:type="dxa"/>
            <w:tcBorders>
              <w:top w:val="nil"/>
              <w:bottom w:val="nil"/>
            </w:tcBorders>
            <w:shd w:val="clear" w:color="auto" w:fill="99CC00"/>
          </w:tcPr>
          <w:p w:rsidR="00876213" w:rsidRPr="00683B63" w:rsidRDefault="0081374A" w:rsidP="00E46AD5">
            <w:pPr>
              <w:pStyle w:val="TableTextColumnHeading"/>
              <w:keepLines w:val="0"/>
              <w:rPr>
                <w:sz w:val="16"/>
                <w:szCs w:val="16"/>
              </w:rPr>
            </w:pPr>
            <w:r>
              <w:rPr>
                <w:sz w:val="16"/>
                <w:szCs w:val="16"/>
              </w:rPr>
              <w:t>72</w:t>
            </w:r>
          </w:p>
        </w:tc>
        <w:tc>
          <w:tcPr>
            <w:tcW w:w="786" w:type="dxa"/>
            <w:tcBorders>
              <w:top w:val="nil"/>
              <w:bottom w:val="nil"/>
            </w:tcBorders>
            <w:shd w:val="clear" w:color="auto" w:fill="99CC00"/>
          </w:tcPr>
          <w:p w:rsidR="00876213" w:rsidRPr="00683B63" w:rsidRDefault="0081374A" w:rsidP="00E46AD5">
            <w:pPr>
              <w:pStyle w:val="TableTextColumnHeading"/>
              <w:keepLines w:val="0"/>
              <w:rPr>
                <w:sz w:val="16"/>
                <w:szCs w:val="16"/>
              </w:rPr>
            </w:pPr>
            <w:r>
              <w:rPr>
                <w:sz w:val="16"/>
                <w:szCs w:val="16"/>
              </w:rPr>
              <w:t>47</w:t>
            </w:r>
          </w:p>
        </w:tc>
        <w:tc>
          <w:tcPr>
            <w:tcW w:w="410" w:type="dxa"/>
            <w:tcBorders>
              <w:top w:val="nil"/>
              <w:bottom w:val="nil"/>
            </w:tcBorders>
            <w:shd w:val="clear" w:color="auto" w:fill="99CC00"/>
          </w:tcPr>
          <w:p w:rsidR="00876213" w:rsidRPr="00683B63" w:rsidRDefault="0081374A" w:rsidP="00E46AD5">
            <w:pPr>
              <w:pStyle w:val="TableTextColumnHeading"/>
              <w:keepLines w:val="0"/>
              <w:rPr>
                <w:sz w:val="16"/>
                <w:szCs w:val="16"/>
              </w:rPr>
            </w:pPr>
            <w:r>
              <w:rPr>
                <w:sz w:val="16"/>
                <w:szCs w:val="16"/>
              </w:rPr>
              <w:t>73</w:t>
            </w:r>
          </w:p>
        </w:tc>
      </w:tr>
      <w:tr w:rsidR="00876213" w:rsidRPr="00683B63" w:rsidTr="00F02C25">
        <w:trPr>
          <w:cantSplit/>
        </w:trPr>
        <w:tc>
          <w:tcPr>
            <w:tcW w:w="1230" w:type="dxa"/>
            <w:tcBorders>
              <w:top w:val="nil"/>
            </w:tcBorders>
          </w:tcPr>
          <w:p w:rsidR="00876213" w:rsidRPr="00683B63" w:rsidRDefault="00876213" w:rsidP="00E46AD5">
            <w:pPr>
              <w:pStyle w:val="TableTextColumnHeading"/>
              <w:keepLines w:val="0"/>
              <w:rPr>
                <w:sz w:val="16"/>
                <w:szCs w:val="16"/>
              </w:rPr>
            </w:pPr>
            <w:r>
              <w:rPr>
                <w:sz w:val="16"/>
                <w:szCs w:val="16"/>
              </w:rPr>
              <w:t>Less than adequate</w:t>
            </w:r>
          </w:p>
        </w:tc>
        <w:tc>
          <w:tcPr>
            <w:tcW w:w="786" w:type="dxa"/>
            <w:tcBorders>
              <w:top w:val="nil"/>
            </w:tcBorders>
          </w:tcPr>
          <w:p w:rsidR="00876213" w:rsidRPr="00683B63" w:rsidRDefault="008157FF" w:rsidP="00E46AD5">
            <w:pPr>
              <w:pStyle w:val="TableTextColumnHeading"/>
              <w:keepLines w:val="0"/>
              <w:rPr>
                <w:sz w:val="16"/>
                <w:szCs w:val="16"/>
              </w:rPr>
            </w:pPr>
            <w:r>
              <w:rPr>
                <w:sz w:val="16"/>
                <w:szCs w:val="16"/>
              </w:rPr>
              <w:t>2</w:t>
            </w:r>
          </w:p>
        </w:tc>
        <w:tc>
          <w:tcPr>
            <w:tcW w:w="442" w:type="dxa"/>
            <w:tcBorders>
              <w:top w:val="nil"/>
            </w:tcBorders>
          </w:tcPr>
          <w:p w:rsidR="00876213" w:rsidRPr="00683B63" w:rsidRDefault="008157FF" w:rsidP="00E46AD5">
            <w:pPr>
              <w:pStyle w:val="TableTextColumnHeading"/>
              <w:keepLines w:val="0"/>
              <w:rPr>
                <w:sz w:val="16"/>
                <w:szCs w:val="16"/>
              </w:rPr>
            </w:pPr>
            <w:r>
              <w:rPr>
                <w:sz w:val="16"/>
                <w:szCs w:val="16"/>
              </w:rPr>
              <w:t>3</w:t>
            </w:r>
          </w:p>
        </w:tc>
        <w:tc>
          <w:tcPr>
            <w:tcW w:w="786" w:type="dxa"/>
            <w:tcBorders>
              <w:top w:val="nil"/>
            </w:tcBorders>
          </w:tcPr>
          <w:p w:rsidR="00876213" w:rsidRPr="00683B63" w:rsidRDefault="008157FF" w:rsidP="00E46AD5">
            <w:pPr>
              <w:pStyle w:val="TableTextColumnHeading"/>
              <w:keepLines w:val="0"/>
              <w:rPr>
                <w:sz w:val="16"/>
                <w:szCs w:val="16"/>
              </w:rPr>
            </w:pPr>
            <w:r>
              <w:rPr>
                <w:sz w:val="16"/>
                <w:szCs w:val="16"/>
              </w:rPr>
              <w:t>8</w:t>
            </w:r>
          </w:p>
        </w:tc>
        <w:tc>
          <w:tcPr>
            <w:tcW w:w="436" w:type="dxa"/>
            <w:tcBorders>
              <w:top w:val="nil"/>
            </w:tcBorders>
          </w:tcPr>
          <w:p w:rsidR="00876213" w:rsidRPr="00683B63" w:rsidRDefault="008157FF" w:rsidP="00E46AD5">
            <w:pPr>
              <w:pStyle w:val="TableTextColumnHeading"/>
              <w:keepLines w:val="0"/>
              <w:rPr>
                <w:sz w:val="16"/>
                <w:szCs w:val="16"/>
              </w:rPr>
            </w:pPr>
            <w:r>
              <w:rPr>
                <w:sz w:val="16"/>
                <w:szCs w:val="16"/>
              </w:rPr>
              <w:t>12.5</w:t>
            </w:r>
          </w:p>
        </w:tc>
        <w:tc>
          <w:tcPr>
            <w:tcW w:w="786" w:type="dxa"/>
            <w:tcBorders>
              <w:top w:val="nil"/>
            </w:tcBorders>
          </w:tcPr>
          <w:p w:rsidR="00876213" w:rsidRPr="00683B63" w:rsidRDefault="008157FF" w:rsidP="00E46AD5">
            <w:pPr>
              <w:pStyle w:val="TableTextColumnHeading"/>
              <w:keepLines w:val="0"/>
              <w:rPr>
                <w:sz w:val="16"/>
                <w:szCs w:val="16"/>
              </w:rPr>
            </w:pPr>
            <w:r>
              <w:rPr>
                <w:sz w:val="16"/>
                <w:szCs w:val="16"/>
              </w:rPr>
              <w:t>10</w:t>
            </w:r>
          </w:p>
        </w:tc>
        <w:tc>
          <w:tcPr>
            <w:tcW w:w="434" w:type="dxa"/>
            <w:tcBorders>
              <w:top w:val="nil"/>
            </w:tcBorders>
          </w:tcPr>
          <w:p w:rsidR="00876213" w:rsidRPr="00683B63" w:rsidRDefault="008157FF" w:rsidP="00E46AD5">
            <w:pPr>
              <w:pStyle w:val="TableTextColumnHeading"/>
              <w:keepLines w:val="0"/>
              <w:rPr>
                <w:sz w:val="16"/>
                <w:szCs w:val="16"/>
              </w:rPr>
            </w:pPr>
            <w:r>
              <w:rPr>
                <w:sz w:val="16"/>
                <w:szCs w:val="16"/>
              </w:rPr>
              <w:t>16</w:t>
            </w:r>
          </w:p>
        </w:tc>
        <w:tc>
          <w:tcPr>
            <w:tcW w:w="786" w:type="dxa"/>
            <w:tcBorders>
              <w:top w:val="nil"/>
            </w:tcBorders>
          </w:tcPr>
          <w:p w:rsidR="00876213" w:rsidRPr="00683B63" w:rsidRDefault="008157FF" w:rsidP="00E46AD5">
            <w:pPr>
              <w:pStyle w:val="TableTextColumnHeading"/>
              <w:keepLines w:val="0"/>
              <w:rPr>
                <w:sz w:val="16"/>
                <w:szCs w:val="16"/>
              </w:rPr>
            </w:pPr>
            <w:r>
              <w:rPr>
                <w:sz w:val="16"/>
                <w:szCs w:val="16"/>
              </w:rPr>
              <w:t>16</w:t>
            </w:r>
          </w:p>
        </w:tc>
        <w:tc>
          <w:tcPr>
            <w:tcW w:w="430" w:type="dxa"/>
            <w:tcBorders>
              <w:top w:val="nil"/>
            </w:tcBorders>
          </w:tcPr>
          <w:p w:rsidR="00876213" w:rsidRPr="00683B63" w:rsidRDefault="008157FF" w:rsidP="00E46AD5">
            <w:pPr>
              <w:pStyle w:val="TableTextColumnHeading"/>
              <w:keepLines w:val="0"/>
              <w:rPr>
                <w:sz w:val="16"/>
                <w:szCs w:val="16"/>
              </w:rPr>
            </w:pPr>
            <w:r>
              <w:rPr>
                <w:sz w:val="16"/>
                <w:szCs w:val="16"/>
              </w:rPr>
              <w:t>25</w:t>
            </w:r>
          </w:p>
        </w:tc>
        <w:tc>
          <w:tcPr>
            <w:tcW w:w="786" w:type="dxa"/>
            <w:tcBorders>
              <w:top w:val="nil"/>
            </w:tcBorders>
          </w:tcPr>
          <w:p w:rsidR="00876213" w:rsidRPr="00683B63" w:rsidRDefault="0081374A" w:rsidP="00E46AD5">
            <w:pPr>
              <w:pStyle w:val="TableTextColumnHeading"/>
              <w:keepLines w:val="0"/>
              <w:rPr>
                <w:sz w:val="16"/>
                <w:szCs w:val="16"/>
              </w:rPr>
            </w:pPr>
            <w:r>
              <w:rPr>
                <w:sz w:val="16"/>
                <w:szCs w:val="16"/>
              </w:rPr>
              <w:t>13</w:t>
            </w:r>
          </w:p>
        </w:tc>
        <w:tc>
          <w:tcPr>
            <w:tcW w:w="424" w:type="dxa"/>
            <w:tcBorders>
              <w:top w:val="nil"/>
            </w:tcBorders>
          </w:tcPr>
          <w:p w:rsidR="00876213" w:rsidRPr="00683B63" w:rsidRDefault="0081374A" w:rsidP="00E46AD5">
            <w:pPr>
              <w:pStyle w:val="TableTextColumnHeading"/>
              <w:keepLines w:val="0"/>
              <w:rPr>
                <w:sz w:val="16"/>
                <w:szCs w:val="16"/>
              </w:rPr>
            </w:pPr>
            <w:r>
              <w:rPr>
                <w:sz w:val="16"/>
                <w:szCs w:val="16"/>
              </w:rPr>
              <w:t>20.5</w:t>
            </w:r>
          </w:p>
        </w:tc>
        <w:tc>
          <w:tcPr>
            <w:tcW w:w="786" w:type="dxa"/>
            <w:tcBorders>
              <w:top w:val="nil"/>
            </w:tcBorders>
          </w:tcPr>
          <w:p w:rsidR="00876213" w:rsidRPr="00683B63" w:rsidRDefault="0081374A" w:rsidP="00E46AD5">
            <w:pPr>
              <w:pStyle w:val="TableTextColumnHeading"/>
              <w:keepLines w:val="0"/>
              <w:rPr>
                <w:sz w:val="16"/>
                <w:szCs w:val="16"/>
              </w:rPr>
            </w:pPr>
            <w:r>
              <w:rPr>
                <w:sz w:val="16"/>
                <w:szCs w:val="16"/>
              </w:rPr>
              <w:t>12</w:t>
            </w:r>
          </w:p>
        </w:tc>
        <w:tc>
          <w:tcPr>
            <w:tcW w:w="410" w:type="dxa"/>
            <w:tcBorders>
              <w:top w:val="nil"/>
            </w:tcBorders>
          </w:tcPr>
          <w:p w:rsidR="00876213" w:rsidRPr="00683B63" w:rsidRDefault="0081374A" w:rsidP="00E46AD5">
            <w:pPr>
              <w:pStyle w:val="TableTextColumnHeading"/>
              <w:keepLines w:val="0"/>
              <w:rPr>
                <w:sz w:val="16"/>
                <w:szCs w:val="16"/>
              </w:rPr>
            </w:pPr>
            <w:r>
              <w:rPr>
                <w:sz w:val="16"/>
                <w:szCs w:val="16"/>
              </w:rPr>
              <w:t>19</w:t>
            </w:r>
          </w:p>
        </w:tc>
      </w:tr>
      <w:tr w:rsidR="00876213" w:rsidRPr="00683B63" w:rsidTr="00F02C25">
        <w:trPr>
          <w:cantSplit/>
        </w:trPr>
        <w:tc>
          <w:tcPr>
            <w:tcW w:w="1230" w:type="dxa"/>
          </w:tcPr>
          <w:p w:rsidR="00876213" w:rsidRPr="00683B63" w:rsidRDefault="00876213" w:rsidP="00E46AD5">
            <w:pPr>
              <w:pStyle w:val="TableTextColumnHeading"/>
              <w:keepLines w:val="0"/>
              <w:rPr>
                <w:sz w:val="16"/>
                <w:szCs w:val="16"/>
              </w:rPr>
            </w:pPr>
            <w:r>
              <w:rPr>
                <w:sz w:val="16"/>
                <w:szCs w:val="16"/>
              </w:rPr>
              <w:t>Poor quality</w:t>
            </w:r>
          </w:p>
        </w:tc>
        <w:tc>
          <w:tcPr>
            <w:tcW w:w="786" w:type="dxa"/>
          </w:tcPr>
          <w:p w:rsidR="00876213" w:rsidRPr="00683B63" w:rsidRDefault="008157FF" w:rsidP="00E46AD5">
            <w:pPr>
              <w:pStyle w:val="TableTextColumnHeading"/>
              <w:keepLines w:val="0"/>
              <w:rPr>
                <w:sz w:val="16"/>
                <w:szCs w:val="16"/>
              </w:rPr>
            </w:pPr>
            <w:r>
              <w:rPr>
                <w:sz w:val="16"/>
                <w:szCs w:val="16"/>
              </w:rPr>
              <w:t>1</w:t>
            </w:r>
          </w:p>
        </w:tc>
        <w:tc>
          <w:tcPr>
            <w:tcW w:w="442" w:type="dxa"/>
          </w:tcPr>
          <w:p w:rsidR="00876213" w:rsidRPr="00683B63" w:rsidRDefault="008157FF" w:rsidP="00E46AD5">
            <w:pPr>
              <w:pStyle w:val="TableTextColumnHeading"/>
              <w:keepLines w:val="0"/>
              <w:rPr>
                <w:sz w:val="16"/>
                <w:szCs w:val="16"/>
              </w:rPr>
            </w:pPr>
            <w:r>
              <w:rPr>
                <w:sz w:val="16"/>
                <w:szCs w:val="16"/>
              </w:rPr>
              <w:t>1.5</w:t>
            </w:r>
          </w:p>
        </w:tc>
        <w:tc>
          <w:tcPr>
            <w:tcW w:w="786" w:type="dxa"/>
          </w:tcPr>
          <w:p w:rsidR="00876213" w:rsidRPr="00683B63" w:rsidRDefault="008157FF" w:rsidP="00E46AD5">
            <w:pPr>
              <w:pStyle w:val="TableTextColumnHeading"/>
              <w:keepLines w:val="0"/>
              <w:rPr>
                <w:sz w:val="16"/>
                <w:szCs w:val="16"/>
              </w:rPr>
            </w:pPr>
            <w:r>
              <w:rPr>
                <w:sz w:val="16"/>
                <w:szCs w:val="16"/>
              </w:rPr>
              <w:t>2</w:t>
            </w:r>
          </w:p>
        </w:tc>
        <w:tc>
          <w:tcPr>
            <w:tcW w:w="436" w:type="dxa"/>
          </w:tcPr>
          <w:p w:rsidR="00876213" w:rsidRPr="00683B63" w:rsidRDefault="008157FF" w:rsidP="00E46AD5">
            <w:pPr>
              <w:pStyle w:val="TableTextColumnHeading"/>
              <w:keepLines w:val="0"/>
              <w:rPr>
                <w:sz w:val="16"/>
                <w:szCs w:val="16"/>
              </w:rPr>
            </w:pPr>
            <w:r>
              <w:rPr>
                <w:sz w:val="16"/>
                <w:szCs w:val="16"/>
              </w:rPr>
              <w:t>3</w:t>
            </w:r>
          </w:p>
        </w:tc>
        <w:tc>
          <w:tcPr>
            <w:tcW w:w="786" w:type="dxa"/>
          </w:tcPr>
          <w:p w:rsidR="00876213" w:rsidRPr="00683B63" w:rsidRDefault="008157FF" w:rsidP="00E46AD5">
            <w:pPr>
              <w:pStyle w:val="TableTextColumnHeading"/>
              <w:keepLines w:val="0"/>
              <w:rPr>
                <w:sz w:val="16"/>
                <w:szCs w:val="16"/>
              </w:rPr>
            </w:pPr>
            <w:r>
              <w:rPr>
                <w:sz w:val="16"/>
                <w:szCs w:val="16"/>
              </w:rPr>
              <w:t>2</w:t>
            </w:r>
          </w:p>
        </w:tc>
        <w:tc>
          <w:tcPr>
            <w:tcW w:w="434" w:type="dxa"/>
          </w:tcPr>
          <w:p w:rsidR="00876213" w:rsidRPr="00683B63" w:rsidRDefault="008157FF" w:rsidP="00E46AD5">
            <w:pPr>
              <w:pStyle w:val="TableTextColumnHeading"/>
              <w:keepLines w:val="0"/>
              <w:rPr>
                <w:sz w:val="16"/>
                <w:szCs w:val="16"/>
              </w:rPr>
            </w:pPr>
            <w:r>
              <w:rPr>
                <w:sz w:val="16"/>
                <w:szCs w:val="16"/>
              </w:rPr>
              <w:t>3</w:t>
            </w:r>
          </w:p>
        </w:tc>
        <w:tc>
          <w:tcPr>
            <w:tcW w:w="786" w:type="dxa"/>
          </w:tcPr>
          <w:p w:rsidR="00876213" w:rsidRPr="00683B63" w:rsidRDefault="008157FF" w:rsidP="00E46AD5">
            <w:pPr>
              <w:pStyle w:val="TableTextColumnHeading"/>
              <w:keepLines w:val="0"/>
              <w:rPr>
                <w:sz w:val="16"/>
                <w:szCs w:val="16"/>
              </w:rPr>
            </w:pPr>
            <w:r>
              <w:rPr>
                <w:sz w:val="16"/>
                <w:szCs w:val="16"/>
              </w:rPr>
              <w:t>3</w:t>
            </w:r>
          </w:p>
        </w:tc>
        <w:tc>
          <w:tcPr>
            <w:tcW w:w="430" w:type="dxa"/>
          </w:tcPr>
          <w:p w:rsidR="00876213" w:rsidRPr="00683B63" w:rsidRDefault="008157FF" w:rsidP="00E46AD5">
            <w:pPr>
              <w:pStyle w:val="TableTextColumnHeading"/>
              <w:keepLines w:val="0"/>
              <w:rPr>
                <w:sz w:val="16"/>
                <w:szCs w:val="16"/>
              </w:rPr>
            </w:pPr>
            <w:r>
              <w:rPr>
                <w:sz w:val="16"/>
                <w:szCs w:val="16"/>
              </w:rPr>
              <w:t>4.5</w:t>
            </w:r>
          </w:p>
        </w:tc>
        <w:tc>
          <w:tcPr>
            <w:tcW w:w="786" w:type="dxa"/>
          </w:tcPr>
          <w:p w:rsidR="00876213" w:rsidRPr="00683B63" w:rsidRDefault="0081374A" w:rsidP="00E46AD5">
            <w:pPr>
              <w:pStyle w:val="TableTextColumnHeading"/>
              <w:keepLines w:val="0"/>
              <w:rPr>
                <w:sz w:val="16"/>
                <w:szCs w:val="16"/>
              </w:rPr>
            </w:pPr>
            <w:r>
              <w:rPr>
                <w:sz w:val="16"/>
                <w:szCs w:val="16"/>
              </w:rPr>
              <w:t>4</w:t>
            </w:r>
          </w:p>
        </w:tc>
        <w:tc>
          <w:tcPr>
            <w:tcW w:w="424" w:type="dxa"/>
          </w:tcPr>
          <w:p w:rsidR="00876213" w:rsidRPr="00683B63" w:rsidRDefault="0081374A" w:rsidP="00E46AD5">
            <w:pPr>
              <w:pStyle w:val="TableTextColumnHeading"/>
              <w:keepLines w:val="0"/>
              <w:rPr>
                <w:sz w:val="16"/>
                <w:szCs w:val="16"/>
              </w:rPr>
            </w:pPr>
            <w:r>
              <w:rPr>
                <w:sz w:val="16"/>
                <w:szCs w:val="16"/>
              </w:rPr>
              <w:t>6</w:t>
            </w:r>
          </w:p>
        </w:tc>
        <w:tc>
          <w:tcPr>
            <w:tcW w:w="786" w:type="dxa"/>
          </w:tcPr>
          <w:p w:rsidR="00876213" w:rsidRPr="00683B63" w:rsidRDefault="0081374A" w:rsidP="00E46AD5">
            <w:pPr>
              <w:pStyle w:val="TableTextColumnHeading"/>
              <w:keepLines w:val="0"/>
              <w:rPr>
                <w:sz w:val="16"/>
                <w:szCs w:val="16"/>
              </w:rPr>
            </w:pPr>
            <w:r>
              <w:rPr>
                <w:sz w:val="16"/>
                <w:szCs w:val="16"/>
              </w:rPr>
              <w:t>5</w:t>
            </w:r>
          </w:p>
        </w:tc>
        <w:tc>
          <w:tcPr>
            <w:tcW w:w="410" w:type="dxa"/>
          </w:tcPr>
          <w:p w:rsidR="00876213" w:rsidRPr="00683B63" w:rsidRDefault="0081374A" w:rsidP="00E46AD5">
            <w:pPr>
              <w:pStyle w:val="TableTextColumnHeading"/>
              <w:keepLines w:val="0"/>
              <w:rPr>
                <w:sz w:val="16"/>
                <w:szCs w:val="16"/>
              </w:rPr>
            </w:pPr>
            <w:r>
              <w:rPr>
                <w:sz w:val="16"/>
                <w:szCs w:val="16"/>
              </w:rPr>
              <w:t>8</w:t>
            </w:r>
          </w:p>
        </w:tc>
      </w:tr>
      <w:tr w:rsidR="00876213" w:rsidRPr="00683B63" w:rsidTr="00F02C25">
        <w:trPr>
          <w:cantSplit/>
        </w:trPr>
        <w:tc>
          <w:tcPr>
            <w:tcW w:w="1230" w:type="dxa"/>
            <w:tcBorders>
              <w:bottom w:val="nil"/>
            </w:tcBorders>
          </w:tcPr>
          <w:p w:rsidR="00876213" w:rsidRPr="00683B63" w:rsidRDefault="00876213" w:rsidP="00E46AD5">
            <w:pPr>
              <w:pStyle w:val="TableTextColumnHeading"/>
              <w:keepLines w:val="0"/>
              <w:rPr>
                <w:sz w:val="16"/>
                <w:szCs w:val="16"/>
              </w:rPr>
            </w:pPr>
            <w:r>
              <w:rPr>
                <w:sz w:val="16"/>
                <w:szCs w:val="16"/>
              </w:rPr>
              <w:t>Very poor quality</w:t>
            </w:r>
          </w:p>
        </w:tc>
        <w:tc>
          <w:tcPr>
            <w:tcW w:w="786" w:type="dxa"/>
            <w:tcBorders>
              <w:bottom w:val="nil"/>
            </w:tcBorders>
          </w:tcPr>
          <w:p w:rsidR="00876213" w:rsidRPr="00683B63" w:rsidRDefault="008157FF" w:rsidP="00E46AD5">
            <w:pPr>
              <w:pStyle w:val="TableTextColumnHeading"/>
              <w:keepLines w:val="0"/>
              <w:rPr>
                <w:sz w:val="16"/>
                <w:szCs w:val="16"/>
              </w:rPr>
            </w:pPr>
            <w:r>
              <w:rPr>
                <w:sz w:val="16"/>
                <w:szCs w:val="16"/>
              </w:rPr>
              <w:t>0</w:t>
            </w:r>
          </w:p>
        </w:tc>
        <w:tc>
          <w:tcPr>
            <w:tcW w:w="442" w:type="dxa"/>
            <w:tcBorders>
              <w:bottom w:val="nil"/>
            </w:tcBorders>
          </w:tcPr>
          <w:p w:rsidR="00876213" w:rsidRPr="00683B63" w:rsidRDefault="008157FF" w:rsidP="00E46AD5">
            <w:pPr>
              <w:pStyle w:val="TableTextColumnHeading"/>
              <w:keepLines w:val="0"/>
              <w:rPr>
                <w:sz w:val="16"/>
                <w:szCs w:val="16"/>
              </w:rPr>
            </w:pPr>
            <w:r>
              <w:rPr>
                <w:sz w:val="16"/>
                <w:szCs w:val="16"/>
              </w:rPr>
              <w:t>0</w:t>
            </w:r>
          </w:p>
        </w:tc>
        <w:tc>
          <w:tcPr>
            <w:tcW w:w="786" w:type="dxa"/>
            <w:tcBorders>
              <w:bottom w:val="nil"/>
            </w:tcBorders>
          </w:tcPr>
          <w:p w:rsidR="00876213" w:rsidRPr="00683B63" w:rsidRDefault="008157FF" w:rsidP="00E46AD5">
            <w:pPr>
              <w:pStyle w:val="TableTextColumnHeading"/>
              <w:keepLines w:val="0"/>
              <w:rPr>
                <w:sz w:val="16"/>
                <w:szCs w:val="16"/>
              </w:rPr>
            </w:pPr>
            <w:r>
              <w:rPr>
                <w:sz w:val="16"/>
                <w:szCs w:val="16"/>
              </w:rPr>
              <w:t>1</w:t>
            </w:r>
          </w:p>
        </w:tc>
        <w:tc>
          <w:tcPr>
            <w:tcW w:w="436" w:type="dxa"/>
            <w:tcBorders>
              <w:bottom w:val="nil"/>
            </w:tcBorders>
          </w:tcPr>
          <w:p w:rsidR="00876213" w:rsidRPr="00683B63" w:rsidRDefault="008157FF" w:rsidP="00E46AD5">
            <w:pPr>
              <w:pStyle w:val="TableTextColumnHeading"/>
              <w:keepLines w:val="0"/>
              <w:rPr>
                <w:sz w:val="16"/>
                <w:szCs w:val="16"/>
              </w:rPr>
            </w:pPr>
            <w:r>
              <w:rPr>
                <w:sz w:val="16"/>
                <w:szCs w:val="16"/>
              </w:rPr>
              <w:t>1.5</w:t>
            </w:r>
          </w:p>
        </w:tc>
        <w:tc>
          <w:tcPr>
            <w:tcW w:w="786" w:type="dxa"/>
            <w:tcBorders>
              <w:bottom w:val="nil"/>
            </w:tcBorders>
          </w:tcPr>
          <w:p w:rsidR="00876213" w:rsidRPr="00683B63" w:rsidRDefault="008157FF" w:rsidP="00E46AD5">
            <w:pPr>
              <w:pStyle w:val="TableTextColumnHeading"/>
              <w:keepLines w:val="0"/>
              <w:rPr>
                <w:sz w:val="16"/>
                <w:szCs w:val="16"/>
              </w:rPr>
            </w:pPr>
            <w:r>
              <w:rPr>
                <w:sz w:val="16"/>
                <w:szCs w:val="16"/>
              </w:rPr>
              <w:t>0</w:t>
            </w:r>
          </w:p>
        </w:tc>
        <w:tc>
          <w:tcPr>
            <w:tcW w:w="434" w:type="dxa"/>
            <w:tcBorders>
              <w:bottom w:val="nil"/>
            </w:tcBorders>
          </w:tcPr>
          <w:p w:rsidR="00876213" w:rsidRPr="00683B63" w:rsidRDefault="008157FF" w:rsidP="00E46AD5">
            <w:pPr>
              <w:pStyle w:val="TableTextColumnHeading"/>
              <w:keepLines w:val="0"/>
              <w:rPr>
                <w:sz w:val="16"/>
                <w:szCs w:val="16"/>
              </w:rPr>
            </w:pPr>
            <w:r>
              <w:rPr>
                <w:sz w:val="16"/>
                <w:szCs w:val="16"/>
              </w:rPr>
              <w:t>0</w:t>
            </w:r>
          </w:p>
        </w:tc>
        <w:tc>
          <w:tcPr>
            <w:tcW w:w="786" w:type="dxa"/>
            <w:tcBorders>
              <w:bottom w:val="nil"/>
            </w:tcBorders>
          </w:tcPr>
          <w:p w:rsidR="00876213" w:rsidRPr="00683B63" w:rsidRDefault="008157FF" w:rsidP="00E46AD5">
            <w:pPr>
              <w:pStyle w:val="TableTextColumnHeading"/>
              <w:keepLines w:val="0"/>
              <w:rPr>
                <w:sz w:val="16"/>
                <w:szCs w:val="16"/>
              </w:rPr>
            </w:pPr>
            <w:r>
              <w:rPr>
                <w:sz w:val="16"/>
                <w:szCs w:val="16"/>
              </w:rPr>
              <w:t>0</w:t>
            </w:r>
          </w:p>
        </w:tc>
        <w:tc>
          <w:tcPr>
            <w:tcW w:w="430" w:type="dxa"/>
            <w:tcBorders>
              <w:bottom w:val="nil"/>
            </w:tcBorders>
          </w:tcPr>
          <w:p w:rsidR="00876213" w:rsidRPr="00683B63" w:rsidRDefault="008157FF" w:rsidP="00E46AD5">
            <w:pPr>
              <w:pStyle w:val="TableTextColumnHeading"/>
              <w:keepLines w:val="0"/>
              <w:rPr>
                <w:sz w:val="16"/>
                <w:szCs w:val="16"/>
              </w:rPr>
            </w:pPr>
            <w:r>
              <w:rPr>
                <w:sz w:val="16"/>
                <w:szCs w:val="16"/>
              </w:rPr>
              <w:t>0</w:t>
            </w:r>
          </w:p>
        </w:tc>
        <w:tc>
          <w:tcPr>
            <w:tcW w:w="786" w:type="dxa"/>
            <w:tcBorders>
              <w:bottom w:val="nil"/>
            </w:tcBorders>
          </w:tcPr>
          <w:p w:rsidR="00876213" w:rsidRPr="00683B63" w:rsidRDefault="0081374A" w:rsidP="00E46AD5">
            <w:pPr>
              <w:pStyle w:val="TableTextColumnHeading"/>
              <w:keepLines w:val="0"/>
              <w:rPr>
                <w:sz w:val="16"/>
                <w:szCs w:val="16"/>
              </w:rPr>
            </w:pPr>
            <w:r>
              <w:rPr>
                <w:sz w:val="16"/>
                <w:szCs w:val="16"/>
              </w:rPr>
              <w:t>1</w:t>
            </w:r>
          </w:p>
        </w:tc>
        <w:tc>
          <w:tcPr>
            <w:tcW w:w="424" w:type="dxa"/>
            <w:tcBorders>
              <w:bottom w:val="nil"/>
            </w:tcBorders>
          </w:tcPr>
          <w:p w:rsidR="00876213" w:rsidRPr="00683B63" w:rsidRDefault="0081374A" w:rsidP="00E46AD5">
            <w:pPr>
              <w:pStyle w:val="TableTextColumnHeading"/>
              <w:keepLines w:val="0"/>
              <w:rPr>
                <w:sz w:val="16"/>
                <w:szCs w:val="16"/>
              </w:rPr>
            </w:pPr>
            <w:r>
              <w:rPr>
                <w:sz w:val="16"/>
                <w:szCs w:val="16"/>
              </w:rPr>
              <w:t>1.5</w:t>
            </w:r>
          </w:p>
        </w:tc>
        <w:tc>
          <w:tcPr>
            <w:tcW w:w="786" w:type="dxa"/>
            <w:tcBorders>
              <w:bottom w:val="nil"/>
            </w:tcBorders>
          </w:tcPr>
          <w:p w:rsidR="00876213" w:rsidRPr="00683B63" w:rsidRDefault="0081374A" w:rsidP="00E46AD5">
            <w:pPr>
              <w:pStyle w:val="TableTextColumnHeading"/>
              <w:keepLines w:val="0"/>
              <w:rPr>
                <w:sz w:val="16"/>
                <w:szCs w:val="16"/>
              </w:rPr>
            </w:pPr>
            <w:r>
              <w:rPr>
                <w:sz w:val="16"/>
                <w:szCs w:val="16"/>
              </w:rPr>
              <w:t>0</w:t>
            </w:r>
          </w:p>
        </w:tc>
        <w:tc>
          <w:tcPr>
            <w:tcW w:w="410" w:type="dxa"/>
            <w:tcBorders>
              <w:bottom w:val="nil"/>
            </w:tcBorders>
          </w:tcPr>
          <w:p w:rsidR="00876213" w:rsidRPr="00683B63" w:rsidRDefault="0081374A" w:rsidP="00E46AD5">
            <w:pPr>
              <w:pStyle w:val="TableTextColumnHeading"/>
              <w:keepLines w:val="0"/>
              <w:rPr>
                <w:sz w:val="16"/>
                <w:szCs w:val="16"/>
              </w:rPr>
            </w:pPr>
            <w:r>
              <w:rPr>
                <w:sz w:val="16"/>
                <w:szCs w:val="16"/>
              </w:rPr>
              <w:t>0</w:t>
            </w:r>
          </w:p>
        </w:tc>
      </w:tr>
      <w:tr w:rsidR="00876213" w:rsidRPr="00683B63" w:rsidTr="00F02C25">
        <w:trPr>
          <w:cantSplit/>
        </w:trPr>
        <w:tc>
          <w:tcPr>
            <w:tcW w:w="1230" w:type="dxa"/>
            <w:tcBorders>
              <w:top w:val="nil"/>
              <w:bottom w:val="single" w:sz="4" w:space="0" w:color="auto"/>
            </w:tcBorders>
            <w:shd w:val="clear" w:color="auto" w:fill="99CC00"/>
          </w:tcPr>
          <w:p w:rsidR="00876213" w:rsidRPr="00683B63" w:rsidRDefault="00876213" w:rsidP="00E46AD5">
            <w:pPr>
              <w:pStyle w:val="TableTextColumnHeading"/>
              <w:keepLines w:val="0"/>
              <w:rPr>
                <w:sz w:val="16"/>
                <w:szCs w:val="16"/>
              </w:rPr>
            </w:pPr>
            <w:r>
              <w:rPr>
                <w:sz w:val="16"/>
                <w:szCs w:val="16"/>
              </w:rPr>
              <w:t>Sub-total Unsatisfactory</w:t>
            </w:r>
          </w:p>
        </w:tc>
        <w:tc>
          <w:tcPr>
            <w:tcW w:w="786" w:type="dxa"/>
            <w:tcBorders>
              <w:top w:val="nil"/>
              <w:bottom w:val="single" w:sz="4" w:space="0" w:color="auto"/>
            </w:tcBorders>
            <w:shd w:val="clear" w:color="auto" w:fill="99CC00"/>
          </w:tcPr>
          <w:p w:rsidR="00876213" w:rsidRPr="00683B63" w:rsidRDefault="008157FF" w:rsidP="00E46AD5">
            <w:pPr>
              <w:pStyle w:val="TableTextColumnHeading"/>
              <w:keepLines w:val="0"/>
              <w:rPr>
                <w:sz w:val="16"/>
                <w:szCs w:val="16"/>
              </w:rPr>
            </w:pPr>
            <w:r>
              <w:rPr>
                <w:sz w:val="16"/>
                <w:szCs w:val="16"/>
              </w:rPr>
              <w:t>3</w:t>
            </w:r>
          </w:p>
        </w:tc>
        <w:tc>
          <w:tcPr>
            <w:tcW w:w="442" w:type="dxa"/>
            <w:tcBorders>
              <w:top w:val="nil"/>
              <w:bottom w:val="single" w:sz="4" w:space="0" w:color="auto"/>
            </w:tcBorders>
            <w:shd w:val="clear" w:color="auto" w:fill="99CC00"/>
          </w:tcPr>
          <w:p w:rsidR="00876213" w:rsidRPr="00683B63" w:rsidRDefault="008157FF" w:rsidP="00E46AD5">
            <w:pPr>
              <w:pStyle w:val="TableTextColumnHeading"/>
              <w:keepLines w:val="0"/>
              <w:rPr>
                <w:sz w:val="16"/>
                <w:szCs w:val="16"/>
              </w:rPr>
            </w:pPr>
            <w:r>
              <w:rPr>
                <w:sz w:val="16"/>
                <w:szCs w:val="16"/>
              </w:rPr>
              <w:t>4.5</w:t>
            </w:r>
          </w:p>
        </w:tc>
        <w:tc>
          <w:tcPr>
            <w:tcW w:w="786" w:type="dxa"/>
            <w:tcBorders>
              <w:top w:val="nil"/>
              <w:bottom w:val="single" w:sz="4" w:space="0" w:color="auto"/>
            </w:tcBorders>
            <w:shd w:val="clear" w:color="auto" w:fill="99CC00"/>
          </w:tcPr>
          <w:p w:rsidR="00876213" w:rsidRPr="00683B63" w:rsidRDefault="008157FF" w:rsidP="00E46AD5">
            <w:pPr>
              <w:pStyle w:val="TableTextColumnHeading"/>
              <w:keepLines w:val="0"/>
              <w:rPr>
                <w:sz w:val="16"/>
                <w:szCs w:val="16"/>
              </w:rPr>
            </w:pPr>
            <w:r>
              <w:rPr>
                <w:sz w:val="16"/>
                <w:szCs w:val="16"/>
              </w:rPr>
              <w:t>11</w:t>
            </w:r>
          </w:p>
        </w:tc>
        <w:tc>
          <w:tcPr>
            <w:tcW w:w="436" w:type="dxa"/>
            <w:tcBorders>
              <w:top w:val="nil"/>
              <w:bottom w:val="single" w:sz="4" w:space="0" w:color="auto"/>
            </w:tcBorders>
            <w:shd w:val="clear" w:color="auto" w:fill="99CC00"/>
          </w:tcPr>
          <w:p w:rsidR="00876213" w:rsidRPr="00683B63" w:rsidRDefault="008157FF" w:rsidP="00E46AD5">
            <w:pPr>
              <w:pStyle w:val="TableTextColumnHeading"/>
              <w:keepLines w:val="0"/>
              <w:rPr>
                <w:sz w:val="16"/>
                <w:szCs w:val="16"/>
              </w:rPr>
            </w:pPr>
            <w:r>
              <w:rPr>
                <w:sz w:val="16"/>
                <w:szCs w:val="16"/>
              </w:rPr>
              <w:t>1.7</w:t>
            </w:r>
          </w:p>
        </w:tc>
        <w:tc>
          <w:tcPr>
            <w:tcW w:w="786" w:type="dxa"/>
            <w:tcBorders>
              <w:top w:val="nil"/>
              <w:bottom w:val="single" w:sz="4" w:space="0" w:color="auto"/>
            </w:tcBorders>
            <w:shd w:val="clear" w:color="auto" w:fill="99CC00"/>
          </w:tcPr>
          <w:p w:rsidR="00876213" w:rsidRPr="00683B63" w:rsidRDefault="008157FF" w:rsidP="00E46AD5">
            <w:pPr>
              <w:pStyle w:val="TableTextColumnHeading"/>
              <w:keepLines w:val="0"/>
              <w:rPr>
                <w:sz w:val="16"/>
                <w:szCs w:val="16"/>
              </w:rPr>
            </w:pPr>
            <w:r>
              <w:rPr>
                <w:sz w:val="16"/>
                <w:szCs w:val="16"/>
              </w:rPr>
              <w:t>12</w:t>
            </w:r>
          </w:p>
        </w:tc>
        <w:tc>
          <w:tcPr>
            <w:tcW w:w="434" w:type="dxa"/>
            <w:tcBorders>
              <w:top w:val="nil"/>
              <w:bottom w:val="single" w:sz="4" w:space="0" w:color="auto"/>
            </w:tcBorders>
            <w:shd w:val="clear" w:color="auto" w:fill="99CC00"/>
          </w:tcPr>
          <w:p w:rsidR="00876213" w:rsidRPr="00683B63" w:rsidRDefault="008157FF" w:rsidP="00E46AD5">
            <w:pPr>
              <w:pStyle w:val="TableTextColumnHeading"/>
              <w:keepLines w:val="0"/>
              <w:rPr>
                <w:sz w:val="16"/>
                <w:szCs w:val="16"/>
              </w:rPr>
            </w:pPr>
            <w:r>
              <w:rPr>
                <w:sz w:val="16"/>
                <w:szCs w:val="16"/>
              </w:rPr>
              <w:t>19</w:t>
            </w:r>
          </w:p>
        </w:tc>
        <w:tc>
          <w:tcPr>
            <w:tcW w:w="786" w:type="dxa"/>
            <w:tcBorders>
              <w:top w:val="nil"/>
              <w:bottom w:val="single" w:sz="4" w:space="0" w:color="auto"/>
            </w:tcBorders>
            <w:shd w:val="clear" w:color="auto" w:fill="99CC00"/>
          </w:tcPr>
          <w:p w:rsidR="00876213" w:rsidRPr="00683B63" w:rsidRDefault="008157FF" w:rsidP="00E46AD5">
            <w:pPr>
              <w:pStyle w:val="TableTextColumnHeading"/>
              <w:keepLines w:val="0"/>
              <w:rPr>
                <w:sz w:val="16"/>
                <w:szCs w:val="16"/>
              </w:rPr>
            </w:pPr>
            <w:r>
              <w:rPr>
                <w:sz w:val="16"/>
                <w:szCs w:val="16"/>
              </w:rPr>
              <w:t>19</w:t>
            </w:r>
          </w:p>
        </w:tc>
        <w:tc>
          <w:tcPr>
            <w:tcW w:w="430" w:type="dxa"/>
            <w:tcBorders>
              <w:top w:val="nil"/>
              <w:bottom w:val="single" w:sz="4" w:space="0" w:color="auto"/>
            </w:tcBorders>
            <w:shd w:val="clear" w:color="auto" w:fill="99CC00"/>
          </w:tcPr>
          <w:p w:rsidR="00876213" w:rsidRPr="00683B63" w:rsidRDefault="008157FF" w:rsidP="00E46AD5">
            <w:pPr>
              <w:pStyle w:val="TableTextColumnHeading"/>
              <w:keepLines w:val="0"/>
              <w:rPr>
                <w:sz w:val="16"/>
                <w:szCs w:val="16"/>
              </w:rPr>
            </w:pPr>
            <w:r>
              <w:rPr>
                <w:sz w:val="16"/>
                <w:szCs w:val="16"/>
              </w:rPr>
              <w:t>29.5</w:t>
            </w:r>
          </w:p>
        </w:tc>
        <w:tc>
          <w:tcPr>
            <w:tcW w:w="786" w:type="dxa"/>
            <w:tcBorders>
              <w:top w:val="nil"/>
              <w:bottom w:val="single" w:sz="4" w:space="0" w:color="auto"/>
            </w:tcBorders>
            <w:shd w:val="clear" w:color="auto" w:fill="99CC00"/>
          </w:tcPr>
          <w:p w:rsidR="00876213" w:rsidRPr="00683B63" w:rsidRDefault="0081374A" w:rsidP="00E46AD5">
            <w:pPr>
              <w:pStyle w:val="TableTextColumnHeading"/>
              <w:keepLines w:val="0"/>
              <w:rPr>
                <w:sz w:val="16"/>
                <w:szCs w:val="16"/>
              </w:rPr>
            </w:pPr>
            <w:r>
              <w:rPr>
                <w:sz w:val="16"/>
                <w:szCs w:val="16"/>
              </w:rPr>
              <w:t>18</w:t>
            </w:r>
          </w:p>
        </w:tc>
        <w:tc>
          <w:tcPr>
            <w:tcW w:w="424" w:type="dxa"/>
            <w:tcBorders>
              <w:top w:val="nil"/>
              <w:bottom w:val="single" w:sz="4" w:space="0" w:color="auto"/>
            </w:tcBorders>
            <w:shd w:val="clear" w:color="auto" w:fill="99CC00"/>
          </w:tcPr>
          <w:p w:rsidR="00876213" w:rsidRPr="00683B63" w:rsidRDefault="0081374A" w:rsidP="00E46AD5">
            <w:pPr>
              <w:pStyle w:val="TableTextColumnHeading"/>
              <w:keepLines w:val="0"/>
              <w:rPr>
                <w:sz w:val="16"/>
                <w:szCs w:val="16"/>
              </w:rPr>
            </w:pPr>
            <w:r>
              <w:rPr>
                <w:sz w:val="16"/>
                <w:szCs w:val="16"/>
              </w:rPr>
              <w:t>28</w:t>
            </w:r>
          </w:p>
        </w:tc>
        <w:tc>
          <w:tcPr>
            <w:tcW w:w="786" w:type="dxa"/>
            <w:tcBorders>
              <w:top w:val="nil"/>
              <w:bottom w:val="single" w:sz="4" w:space="0" w:color="auto"/>
            </w:tcBorders>
            <w:shd w:val="clear" w:color="auto" w:fill="99CC00"/>
          </w:tcPr>
          <w:p w:rsidR="00876213" w:rsidRPr="00683B63" w:rsidRDefault="0081374A" w:rsidP="00E46AD5">
            <w:pPr>
              <w:pStyle w:val="TableTextColumnHeading"/>
              <w:keepLines w:val="0"/>
              <w:rPr>
                <w:sz w:val="16"/>
                <w:szCs w:val="16"/>
              </w:rPr>
            </w:pPr>
            <w:r>
              <w:rPr>
                <w:sz w:val="16"/>
                <w:szCs w:val="16"/>
              </w:rPr>
              <w:t>17</w:t>
            </w:r>
          </w:p>
        </w:tc>
        <w:tc>
          <w:tcPr>
            <w:tcW w:w="410" w:type="dxa"/>
            <w:tcBorders>
              <w:top w:val="nil"/>
              <w:bottom w:val="single" w:sz="4" w:space="0" w:color="auto"/>
            </w:tcBorders>
            <w:shd w:val="clear" w:color="auto" w:fill="99CC00"/>
          </w:tcPr>
          <w:p w:rsidR="00876213" w:rsidRPr="00683B63" w:rsidRDefault="0081374A" w:rsidP="00E46AD5">
            <w:pPr>
              <w:pStyle w:val="TableTextColumnHeading"/>
              <w:keepLines w:val="0"/>
              <w:rPr>
                <w:sz w:val="16"/>
                <w:szCs w:val="16"/>
              </w:rPr>
            </w:pPr>
            <w:r>
              <w:rPr>
                <w:sz w:val="16"/>
                <w:szCs w:val="16"/>
              </w:rPr>
              <w:t>27</w:t>
            </w:r>
          </w:p>
        </w:tc>
      </w:tr>
    </w:tbl>
    <w:p w:rsidR="009A5FEB" w:rsidRDefault="006A4DBD" w:rsidP="008237E2">
      <w:pPr>
        <w:pStyle w:val="Heading2"/>
        <w:keepLines/>
        <w:numPr>
          <w:ilvl w:val="0"/>
          <w:numId w:val="0"/>
        </w:numPr>
        <w:spacing w:after="120"/>
      </w:pPr>
      <w:bookmarkStart w:id="18" w:name="_Toc360998876"/>
      <w:bookmarkStart w:id="19" w:name="_Toc361000219"/>
      <w:r>
        <w:lastRenderedPageBreak/>
        <w:t>Conclusions and recommended actions</w:t>
      </w:r>
      <w:bookmarkEnd w:id="18"/>
      <w:bookmarkEnd w:id="19"/>
    </w:p>
    <w:p w:rsidR="00FE1CC7" w:rsidRDefault="009568B8" w:rsidP="009568B8">
      <w:pPr>
        <w:spacing w:before="80" w:after="80" w:line="280" w:lineRule="atLeast"/>
        <w:jc w:val="both"/>
        <w:rPr>
          <w:rFonts w:ascii="Georgia" w:hAnsi="Georgia"/>
          <w:sz w:val="18"/>
          <w:szCs w:val="18"/>
        </w:rPr>
      </w:pPr>
      <w:r w:rsidRPr="00703296">
        <w:rPr>
          <w:rFonts w:ascii="Georgia" w:hAnsi="Georgia"/>
          <w:sz w:val="18"/>
          <w:szCs w:val="18"/>
        </w:rPr>
        <w:t xml:space="preserve">There are a number of challenges as </w:t>
      </w:r>
      <w:smartTag w:uri="urn:schemas-microsoft-com:office:smarttags" w:element="country-region">
        <w:smartTag w:uri="urn:schemas-microsoft-com:office:smarttags" w:element="place">
          <w:r w:rsidR="005A5B40">
            <w:rPr>
              <w:rFonts w:ascii="Georgia" w:hAnsi="Georgia"/>
              <w:sz w:val="18"/>
              <w:szCs w:val="18"/>
            </w:rPr>
            <w:t>Australia</w:t>
          </w:r>
        </w:smartTag>
      </w:smartTag>
      <w:r w:rsidRPr="00703296">
        <w:rPr>
          <w:rFonts w:ascii="Georgia" w:hAnsi="Georgia"/>
          <w:sz w:val="18"/>
          <w:szCs w:val="18"/>
        </w:rPr>
        <w:t xml:space="preserve"> increase</w:t>
      </w:r>
      <w:r w:rsidR="005A5B40">
        <w:rPr>
          <w:rFonts w:ascii="Georgia" w:hAnsi="Georgia"/>
          <w:sz w:val="18"/>
          <w:szCs w:val="18"/>
        </w:rPr>
        <w:t>s aid</w:t>
      </w:r>
      <w:r w:rsidRPr="00703296">
        <w:rPr>
          <w:rFonts w:ascii="Georgia" w:hAnsi="Georgia"/>
          <w:sz w:val="18"/>
          <w:szCs w:val="18"/>
        </w:rPr>
        <w:t xml:space="preserve"> e</w:t>
      </w:r>
      <w:r>
        <w:rPr>
          <w:rFonts w:ascii="Georgia" w:hAnsi="Georgia"/>
          <w:sz w:val="18"/>
          <w:szCs w:val="18"/>
        </w:rPr>
        <w:t>xpenditure in the health sector.  These will need to be dealt with in country and regional strategies, multilateral negotiations and effectiveness reviews, and the ways in which we manage pressures from the large number of health lobbies pressing their individual causes.  As the size of our investment increases</w:t>
      </w:r>
      <w:r w:rsidR="00E4668E">
        <w:rPr>
          <w:rFonts w:ascii="Georgia" w:hAnsi="Georgia"/>
          <w:sz w:val="18"/>
          <w:szCs w:val="18"/>
        </w:rPr>
        <w:t>,</w:t>
      </w:r>
      <w:r>
        <w:rPr>
          <w:rFonts w:ascii="Georgia" w:hAnsi="Georgia"/>
          <w:sz w:val="18"/>
          <w:szCs w:val="18"/>
        </w:rPr>
        <w:t xml:space="preserve"> so too will the need </w:t>
      </w:r>
      <w:r w:rsidR="005A5B40">
        <w:rPr>
          <w:rFonts w:ascii="Georgia" w:hAnsi="Georgia"/>
          <w:sz w:val="18"/>
          <w:szCs w:val="18"/>
        </w:rPr>
        <w:t>to</w:t>
      </w:r>
      <w:r>
        <w:rPr>
          <w:rFonts w:ascii="Georgia" w:hAnsi="Georgia"/>
          <w:sz w:val="18"/>
          <w:szCs w:val="18"/>
        </w:rPr>
        <w:t xml:space="preserve"> </w:t>
      </w:r>
      <w:r w:rsidR="007D4D1B">
        <w:rPr>
          <w:rFonts w:ascii="Georgia" w:hAnsi="Georgia"/>
          <w:sz w:val="18"/>
          <w:szCs w:val="18"/>
        </w:rPr>
        <w:t xml:space="preserve">clearly </w:t>
      </w:r>
      <w:r w:rsidR="00B008CC">
        <w:rPr>
          <w:rFonts w:ascii="Georgia" w:hAnsi="Georgia"/>
          <w:sz w:val="18"/>
          <w:szCs w:val="18"/>
        </w:rPr>
        <w:t>prioritise</w:t>
      </w:r>
      <w:r>
        <w:rPr>
          <w:rFonts w:ascii="Georgia" w:hAnsi="Georgia"/>
          <w:sz w:val="18"/>
          <w:szCs w:val="18"/>
        </w:rPr>
        <w:t xml:space="preserve">.  To be effective, we need to develop strong evidence based positions and demonstrate how we will monitor progress and account for results.  This will involve mutual accountability with partners and stronger management of our large multilateral investments to ensure value for money in our areas of interest.  </w:t>
      </w:r>
    </w:p>
    <w:p w:rsidR="009568B8" w:rsidRPr="00703296" w:rsidRDefault="009568B8" w:rsidP="008237E2">
      <w:pPr>
        <w:spacing w:before="240" w:after="240" w:line="280" w:lineRule="atLeast"/>
        <w:jc w:val="both"/>
        <w:rPr>
          <w:rFonts w:ascii="Georgia" w:hAnsi="Georgia"/>
          <w:sz w:val="18"/>
          <w:szCs w:val="18"/>
        </w:rPr>
      </w:pPr>
      <w:r>
        <w:rPr>
          <w:rFonts w:ascii="Georgia" w:hAnsi="Georgia"/>
          <w:sz w:val="18"/>
          <w:szCs w:val="18"/>
        </w:rPr>
        <w:t xml:space="preserve">Our research and management priorities will </w:t>
      </w:r>
      <w:r w:rsidR="00FE1CC7">
        <w:rPr>
          <w:rFonts w:ascii="Georgia" w:hAnsi="Georgia"/>
          <w:sz w:val="18"/>
          <w:szCs w:val="18"/>
        </w:rPr>
        <w:t xml:space="preserve">therefore </w:t>
      </w:r>
      <w:r>
        <w:rPr>
          <w:rFonts w:ascii="Georgia" w:hAnsi="Georgia"/>
          <w:sz w:val="18"/>
          <w:szCs w:val="18"/>
        </w:rPr>
        <w:t xml:space="preserve">need to include practical ways </w:t>
      </w:r>
      <w:r w:rsidR="00842048">
        <w:rPr>
          <w:rFonts w:ascii="Georgia" w:hAnsi="Georgia"/>
          <w:sz w:val="18"/>
          <w:szCs w:val="18"/>
        </w:rPr>
        <w:t>to address</w:t>
      </w:r>
      <w:r>
        <w:rPr>
          <w:rFonts w:ascii="Georgia" w:hAnsi="Georgia"/>
          <w:sz w:val="18"/>
          <w:szCs w:val="18"/>
        </w:rPr>
        <w:t>:</w:t>
      </w:r>
    </w:p>
    <w:p w:rsidR="009568B8" w:rsidRPr="009568B8" w:rsidRDefault="009568B8" w:rsidP="008237E2">
      <w:pPr>
        <w:numPr>
          <w:ilvl w:val="0"/>
          <w:numId w:val="19"/>
        </w:numPr>
        <w:spacing w:before="240" w:after="80" w:line="280" w:lineRule="atLeast"/>
        <w:ind w:left="357" w:hanging="357"/>
        <w:jc w:val="both"/>
        <w:rPr>
          <w:rFonts w:ascii="Georgia" w:hAnsi="Georgia"/>
          <w:sz w:val="18"/>
          <w:szCs w:val="18"/>
        </w:rPr>
      </w:pPr>
      <w:r w:rsidRPr="009568B8">
        <w:rPr>
          <w:rFonts w:ascii="Georgia" w:hAnsi="Georgia"/>
          <w:sz w:val="18"/>
          <w:szCs w:val="18"/>
        </w:rPr>
        <w:t>Working in partnership with governments, donors and other stakeholders in a more aligned and co-ordinated way under country-leadership; including avoiding fragmentation of effort by supply-driven and vertical disease approaches</w:t>
      </w:r>
      <w:r w:rsidR="00493F84">
        <w:rPr>
          <w:rFonts w:ascii="Georgia" w:hAnsi="Georgia"/>
          <w:sz w:val="18"/>
          <w:szCs w:val="18"/>
        </w:rPr>
        <w:t xml:space="preserve"> to providing ODA</w:t>
      </w:r>
      <w:r w:rsidRPr="009568B8">
        <w:rPr>
          <w:rFonts w:ascii="Georgia" w:hAnsi="Georgia"/>
          <w:sz w:val="18"/>
          <w:szCs w:val="18"/>
        </w:rPr>
        <w:t xml:space="preserve"> which draw resources away from work to strengthen basic elements of the health system.</w:t>
      </w:r>
    </w:p>
    <w:p w:rsidR="00E4668E" w:rsidRDefault="00E4668E" w:rsidP="008237E2">
      <w:pPr>
        <w:numPr>
          <w:ilvl w:val="0"/>
          <w:numId w:val="19"/>
        </w:numPr>
        <w:spacing w:before="240" w:after="80" w:line="280" w:lineRule="atLeast"/>
        <w:ind w:left="357" w:hanging="357"/>
        <w:jc w:val="both"/>
        <w:rPr>
          <w:rFonts w:ascii="Georgia" w:hAnsi="Georgia"/>
          <w:sz w:val="18"/>
          <w:szCs w:val="18"/>
        </w:rPr>
      </w:pPr>
      <w:r w:rsidRPr="009568B8">
        <w:rPr>
          <w:rFonts w:ascii="Georgia" w:hAnsi="Georgia"/>
          <w:sz w:val="18"/>
          <w:szCs w:val="18"/>
        </w:rPr>
        <w:t>Maximising the impact of our multilateral expenditure in countries: ensuring policy coherence and co-ordination with our bilateral programs. </w:t>
      </w:r>
    </w:p>
    <w:p w:rsidR="009568B8" w:rsidRPr="009568B8" w:rsidRDefault="009568B8" w:rsidP="008237E2">
      <w:pPr>
        <w:numPr>
          <w:ilvl w:val="0"/>
          <w:numId w:val="19"/>
        </w:numPr>
        <w:spacing w:before="240" w:after="80" w:line="280" w:lineRule="atLeast"/>
        <w:ind w:left="357" w:hanging="357"/>
        <w:jc w:val="both"/>
        <w:rPr>
          <w:rFonts w:ascii="Georgia" w:hAnsi="Georgia"/>
          <w:sz w:val="18"/>
          <w:szCs w:val="18"/>
        </w:rPr>
      </w:pPr>
      <w:r w:rsidRPr="009568B8">
        <w:rPr>
          <w:rFonts w:ascii="Georgia" w:hAnsi="Georgia"/>
          <w:sz w:val="18"/>
          <w:szCs w:val="18"/>
        </w:rPr>
        <w:t xml:space="preserve">Maximising </w:t>
      </w:r>
      <w:r w:rsidR="00773FF2">
        <w:rPr>
          <w:rFonts w:ascii="Georgia" w:hAnsi="Georgia"/>
          <w:sz w:val="18"/>
          <w:szCs w:val="18"/>
        </w:rPr>
        <w:t xml:space="preserve">the </w:t>
      </w:r>
      <w:r w:rsidRPr="009568B8">
        <w:rPr>
          <w:rFonts w:ascii="Georgia" w:hAnsi="Georgia"/>
          <w:sz w:val="18"/>
          <w:szCs w:val="18"/>
        </w:rPr>
        <w:t>impact and focussing on accountability for results in delivering complex health reforms.</w:t>
      </w:r>
      <w:r w:rsidR="00E61F1E">
        <w:rPr>
          <w:rFonts w:ascii="Georgia" w:hAnsi="Georgia"/>
          <w:sz w:val="18"/>
          <w:szCs w:val="18"/>
        </w:rPr>
        <w:t xml:space="preserve">  In the immediate term</w:t>
      </w:r>
      <w:r w:rsidR="00773FF2">
        <w:rPr>
          <w:rFonts w:ascii="Georgia" w:hAnsi="Georgia"/>
          <w:sz w:val="18"/>
          <w:szCs w:val="18"/>
        </w:rPr>
        <w:t>,</w:t>
      </w:r>
      <w:r w:rsidR="00E61F1E">
        <w:rPr>
          <w:rFonts w:ascii="Georgia" w:hAnsi="Georgia"/>
          <w:sz w:val="18"/>
          <w:szCs w:val="18"/>
        </w:rPr>
        <w:t xml:space="preserve"> this means ensuring all our major </w:t>
      </w:r>
      <w:r w:rsidR="007F0644">
        <w:rPr>
          <w:rFonts w:ascii="Georgia" w:hAnsi="Georgia"/>
          <w:sz w:val="18"/>
          <w:szCs w:val="18"/>
        </w:rPr>
        <w:t xml:space="preserve">and new </w:t>
      </w:r>
      <w:r w:rsidR="00E61F1E">
        <w:rPr>
          <w:rFonts w:ascii="Georgia" w:hAnsi="Georgia"/>
          <w:sz w:val="18"/>
          <w:szCs w:val="18"/>
        </w:rPr>
        <w:t xml:space="preserve">programs have </w:t>
      </w:r>
      <w:r w:rsidR="00773FF2">
        <w:rPr>
          <w:rFonts w:ascii="Georgia" w:hAnsi="Georgia"/>
          <w:sz w:val="18"/>
          <w:szCs w:val="18"/>
        </w:rPr>
        <w:t xml:space="preserve">strong </w:t>
      </w:r>
      <w:r w:rsidR="00E61F1E">
        <w:rPr>
          <w:rFonts w:ascii="Georgia" w:hAnsi="Georgia"/>
          <w:sz w:val="18"/>
          <w:szCs w:val="18"/>
        </w:rPr>
        <w:t>M&amp;E frameworks</w:t>
      </w:r>
      <w:r w:rsidR="00773FF2">
        <w:rPr>
          <w:rFonts w:ascii="Georgia" w:hAnsi="Georgia"/>
          <w:sz w:val="18"/>
          <w:szCs w:val="18"/>
        </w:rPr>
        <w:t xml:space="preserve"> with quantifiable indicators and baselines to measure progress</w:t>
      </w:r>
      <w:r w:rsidR="00E61F1E">
        <w:rPr>
          <w:rFonts w:ascii="Georgia" w:hAnsi="Georgia"/>
          <w:sz w:val="18"/>
          <w:szCs w:val="18"/>
        </w:rPr>
        <w:t>.</w:t>
      </w:r>
    </w:p>
    <w:p w:rsidR="009568B8" w:rsidRPr="009568B8" w:rsidRDefault="009568B8" w:rsidP="008237E2">
      <w:pPr>
        <w:numPr>
          <w:ilvl w:val="0"/>
          <w:numId w:val="19"/>
        </w:numPr>
        <w:spacing w:before="240" w:after="80" w:line="280" w:lineRule="atLeast"/>
        <w:ind w:left="357" w:hanging="357"/>
        <w:jc w:val="both"/>
        <w:rPr>
          <w:rFonts w:ascii="Georgia" w:hAnsi="Georgia"/>
          <w:sz w:val="18"/>
          <w:szCs w:val="18"/>
        </w:rPr>
      </w:pPr>
      <w:r w:rsidRPr="009568B8">
        <w:rPr>
          <w:rFonts w:ascii="Georgia" w:hAnsi="Georgia"/>
          <w:sz w:val="18"/>
          <w:szCs w:val="18"/>
        </w:rPr>
        <w:t>Assessing the most effective aid delivery mechanisms to deliver results in each country setting</w:t>
      </w:r>
      <w:r w:rsidR="00607CB0">
        <w:rPr>
          <w:rFonts w:ascii="Georgia" w:hAnsi="Georgia"/>
          <w:sz w:val="18"/>
          <w:szCs w:val="18"/>
        </w:rPr>
        <w:t xml:space="preserve"> </w:t>
      </w:r>
      <w:r w:rsidR="00E4668E">
        <w:rPr>
          <w:rFonts w:ascii="Georgia" w:hAnsi="Georgia"/>
          <w:sz w:val="18"/>
          <w:szCs w:val="18"/>
        </w:rPr>
        <w:t xml:space="preserve">including </w:t>
      </w:r>
      <w:r w:rsidR="00E4668E" w:rsidRPr="009568B8">
        <w:rPr>
          <w:rFonts w:ascii="Georgia" w:hAnsi="Georgia"/>
          <w:sz w:val="18"/>
          <w:szCs w:val="18"/>
        </w:rPr>
        <w:t>ways</w:t>
      </w:r>
      <w:r w:rsidR="00607CB0" w:rsidRPr="009568B8">
        <w:rPr>
          <w:rFonts w:ascii="Georgia" w:hAnsi="Georgia"/>
          <w:sz w:val="18"/>
          <w:szCs w:val="18"/>
        </w:rPr>
        <w:t xml:space="preserve"> to accelerate progress in conf</w:t>
      </w:r>
      <w:r w:rsidR="005A5B40">
        <w:rPr>
          <w:rFonts w:ascii="Georgia" w:hAnsi="Georgia"/>
          <w:sz w:val="18"/>
          <w:szCs w:val="18"/>
        </w:rPr>
        <w:t>lict and fragile state settings</w:t>
      </w:r>
      <w:r w:rsidR="00607CB0">
        <w:rPr>
          <w:rFonts w:ascii="Georgia" w:hAnsi="Georgia"/>
          <w:sz w:val="18"/>
          <w:szCs w:val="18"/>
        </w:rPr>
        <w:t xml:space="preserve"> </w:t>
      </w:r>
      <w:r w:rsidRPr="009568B8">
        <w:rPr>
          <w:rFonts w:ascii="Georgia" w:hAnsi="Georgia"/>
          <w:sz w:val="18"/>
          <w:szCs w:val="18"/>
        </w:rPr>
        <w:t>(</w:t>
      </w:r>
      <w:r w:rsidR="005A5B40" w:rsidRPr="009568B8">
        <w:rPr>
          <w:rFonts w:ascii="Georgia" w:hAnsi="Georgia"/>
          <w:sz w:val="18"/>
          <w:szCs w:val="18"/>
        </w:rPr>
        <w:t>e.g.</w:t>
      </w:r>
      <w:r w:rsidRPr="009568B8">
        <w:rPr>
          <w:rFonts w:ascii="Georgia" w:hAnsi="Georgia"/>
          <w:sz w:val="18"/>
          <w:szCs w:val="18"/>
        </w:rPr>
        <w:t>, based on factors such as development need, capacity, risk, size of Australian investment and comparative advantage).</w:t>
      </w:r>
      <w:r w:rsidR="00773FF2" w:rsidRPr="00773FF2">
        <w:rPr>
          <w:rFonts w:ascii="Georgia" w:hAnsi="Georgia"/>
          <w:sz w:val="18"/>
          <w:szCs w:val="18"/>
        </w:rPr>
        <w:t xml:space="preserve"> </w:t>
      </w:r>
      <w:r w:rsidR="00E451C3">
        <w:rPr>
          <w:rFonts w:ascii="Georgia" w:hAnsi="Georgia"/>
          <w:sz w:val="18"/>
          <w:szCs w:val="18"/>
        </w:rPr>
        <w:t xml:space="preserve"> </w:t>
      </w:r>
      <w:r w:rsidR="00773FF2" w:rsidRPr="009568B8">
        <w:rPr>
          <w:rFonts w:ascii="Georgia" w:hAnsi="Georgia"/>
          <w:sz w:val="18"/>
          <w:szCs w:val="18"/>
        </w:rPr>
        <w:t xml:space="preserve">Further analysis is being undertaken to give us a better picture of the balance of </w:t>
      </w:r>
      <w:r w:rsidR="00773FF2">
        <w:rPr>
          <w:rFonts w:ascii="Georgia" w:hAnsi="Georgia"/>
          <w:sz w:val="18"/>
          <w:szCs w:val="18"/>
        </w:rPr>
        <w:t>a</w:t>
      </w:r>
      <w:r w:rsidR="00773FF2" w:rsidRPr="009568B8">
        <w:rPr>
          <w:rFonts w:ascii="Georgia" w:hAnsi="Georgia"/>
          <w:sz w:val="18"/>
          <w:szCs w:val="18"/>
        </w:rPr>
        <w:t>pproaches</w:t>
      </w:r>
      <w:r w:rsidR="00773FF2">
        <w:rPr>
          <w:rFonts w:ascii="Georgia" w:hAnsi="Georgia"/>
          <w:sz w:val="18"/>
          <w:szCs w:val="18"/>
        </w:rPr>
        <w:t xml:space="preserve"> and aid mechanisms</w:t>
      </w:r>
      <w:r w:rsidR="00773FF2" w:rsidRPr="009568B8">
        <w:rPr>
          <w:rFonts w:ascii="Georgia" w:hAnsi="Georgia"/>
          <w:sz w:val="18"/>
          <w:szCs w:val="18"/>
        </w:rPr>
        <w:t xml:space="preserve"> across our health support.</w:t>
      </w:r>
    </w:p>
    <w:p w:rsidR="009568B8" w:rsidRPr="009568B8" w:rsidRDefault="009568B8" w:rsidP="008237E2">
      <w:pPr>
        <w:numPr>
          <w:ilvl w:val="0"/>
          <w:numId w:val="19"/>
        </w:numPr>
        <w:spacing w:before="240" w:after="80" w:line="280" w:lineRule="atLeast"/>
        <w:ind w:left="357" w:hanging="357"/>
        <w:jc w:val="both"/>
        <w:rPr>
          <w:rFonts w:ascii="Georgia" w:hAnsi="Georgia"/>
          <w:sz w:val="18"/>
          <w:szCs w:val="18"/>
        </w:rPr>
      </w:pPr>
      <w:r w:rsidRPr="009568B8">
        <w:rPr>
          <w:rFonts w:ascii="Georgia" w:hAnsi="Georgia"/>
          <w:sz w:val="18"/>
          <w:szCs w:val="18"/>
        </w:rPr>
        <w:t>Achieving greater equity by reducing constraints to the poor accessing services (eg, geographic, financial, cultural, gender).</w:t>
      </w:r>
      <w:r w:rsidR="00CD1B73">
        <w:rPr>
          <w:rFonts w:ascii="Georgia" w:hAnsi="Georgia"/>
          <w:sz w:val="18"/>
          <w:szCs w:val="18"/>
        </w:rPr>
        <w:t xml:space="preserve"> </w:t>
      </w:r>
      <w:r w:rsidR="00E451C3">
        <w:rPr>
          <w:rFonts w:ascii="Georgia" w:hAnsi="Georgia"/>
          <w:sz w:val="18"/>
          <w:szCs w:val="18"/>
        </w:rPr>
        <w:t xml:space="preserve"> </w:t>
      </w:r>
      <w:r w:rsidR="007F0644">
        <w:rPr>
          <w:rFonts w:ascii="Georgia" w:hAnsi="Georgia"/>
          <w:sz w:val="18"/>
          <w:szCs w:val="18"/>
        </w:rPr>
        <w:t>In the immediate term this means ensuring all our major programs</w:t>
      </w:r>
      <w:r w:rsidR="007F0644" w:rsidRPr="007F0644">
        <w:rPr>
          <w:rFonts w:ascii="Georgia" w:hAnsi="Georgia"/>
          <w:sz w:val="18"/>
          <w:szCs w:val="18"/>
        </w:rPr>
        <w:t xml:space="preserve"> </w:t>
      </w:r>
      <w:r w:rsidR="007F0644">
        <w:rPr>
          <w:rFonts w:ascii="Georgia" w:hAnsi="Georgia"/>
          <w:sz w:val="18"/>
          <w:szCs w:val="18"/>
        </w:rPr>
        <w:t xml:space="preserve">and new </w:t>
      </w:r>
      <w:r w:rsidR="00E4668E">
        <w:rPr>
          <w:rFonts w:ascii="Georgia" w:hAnsi="Georgia"/>
          <w:sz w:val="18"/>
          <w:szCs w:val="18"/>
        </w:rPr>
        <w:t>investments have</w:t>
      </w:r>
      <w:r w:rsidR="007F0644">
        <w:rPr>
          <w:rFonts w:ascii="Georgia" w:hAnsi="Georgia"/>
          <w:sz w:val="18"/>
          <w:szCs w:val="18"/>
        </w:rPr>
        <w:t xml:space="preserve"> a strong poverty focus, including appropriate indicators</w:t>
      </w:r>
      <w:r w:rsidR="00E4668E">
        <w:rPr>
          <w:rFonts w:ascii="Georgia" w:hAnsi="Georgia"/>
          <w:sz w:val="18"/>
          <w:szCs w:val="18"/>
        </w:rPr>
        <w:t xml:space="preserve"> for success</w:t>
      </w:r>
      <w:r w:rsidR="007F0644">
        <w:rPr>
          <w:rFonts w:ascii="Georgia" w:hAnsi="Georgia"/>
          <w:sz w:val="18"/>
          <w:szCs w:val="18"/>
        </w:rPr>
        <w:t>.</w:t>
      </w:r>
    </w:p>
    <w:p w:rsidR="009568B8" w:rsidRPr="009568B8" w:rsidRDefault="009568B8" w:rsidP="008237E2">
      <w:pPr>
        <w:numPr>
          <w:ilvl w:val="0"/>
          <w:numId w:val="19"/>
        </w:numPr>
        <w:spacing w:before="240" w:after="80" w:line="280" w:lineRule="atLeast"/>
        <w:ind w:left="357" w:hanging="357"/>
        <w:jc w:val="both"/>
        <w:rPr>
          <w:rFonts w:ascii="Georgia" w:hAnsi="Georgia"/>
          <w:sz w:val="18"/>
          <w:szCs w:val="18"/>
        </w:rPr>
      </w:pPr>
      <w:r w:rsidRPr="009568B8">
        <w:rPr>
          <w:rFonts w:ascii="Georgia" w:hAnsi="Georgia"/>
          <w:sz w:val="18"/>
          <w:szCs w:val="18"/>
        </w:rPr>
        <w:t>Strengthening the evidence base for decision-making by more targeted research and policy.</w:t>
      </w:r>
      <w:r w:rsidR="00F21C73">
        <w:rPr>
          <w:rFonts w:ascii="Georgia" w:hAnsi="Georgia"/>
          <w:sz w:val="18"/>
          <w:szCs w:val="18"/>
        </w:rPr>
        <w:t xml:space="preserve">  Developing a clear strategy for research and knowledge generation</w:t>
      </w:r>
      <w:r w:rsidR="00E4668E">
        <w:rPr>
          <w:rFonts w:ascii="Georgia" w:hAnsi="Georgia"/>
          <w:sz w:val="18"/>
          <w:szCs w:val="18"/>
        </w:rPr>
        <w:t xml:space="preserve"> to inform policy making and programming.</w:t>
      </w:r>
    </w:p>
    <w:p w:rsidR="0036163C" w:rsidRPr="00022CB2" w:rsidRDefault="009568B8" w:rsidP="008237E2">
      <w:pPr>
        <w:numPr>
          <w:ilvl w:val="0"/>
          <w:numId w:val="19"/>
        </w:numPr>
        <w:spacing w:before="240" w:after="80" w:line="280" w:lineRule="atLeast"/>
        <w:ind w:left="357" w:hanging="357"/>
        <w:jc w:val="both"/>
      </w:pPr>
      <w:r w:rsidRPr="009568B8">
        <w:rPr>
          <w:rFonts w:ascii="Georgia" w:hAnsi="Georgia"/>
          <w:sz w:val="18"/>
          <w:szCs w:val="18"/>
        </w:rPr>
        <w:t>Developing staff skills and capacity</w:t>
      </w:r>
      <w:r w:rsidR="007F0644">
        <w:rPr>
          <w:rFonts w:ascii="Georgia" w:hAnsi="Georgia"/>
          <w:sz w:val="18"/>
          <w:szCs w:val="18"/>
        </w:rPr>
        <w:t xml:space="preserve"> </w:t>
      </w:r>
      <w:r w:rsidRPr="009568B8">
        <w:rPr>
          <w:rFonts w:ascii="Georgia" w:hAnsi="Georgia"/>
          <w:sz w:val="18"/>
          <w:szCs w:val="18"/>
        </w:rPr>
        <w:t>to engage on this agenda</w:t>
      </w:r>
      <w:r w:rsidR="007F0644">
        <w:rPr>
          <w:rFonts w:ascii="Georgia" w:hAnsi="Georgia"/>
          <w:sz w:val="18"/>
          <w:szCs w:val="18"/>
        </w:rPr>
        <w:t xml:space="preserve">.  </w:t>
      </w:r>
      <w:r w:rsidR="00E4668E">
        <w:rPr>
          <w:rFonts w:ascii="Georgia" w:hAnsi="Georgia"/>
          <w:sz w:val="18"/>
          <w:szCs w:val="18"/>
        </w:rPr>
        <w:t>This</w:t>
      </w:r>
      <w:r w:rsidR="007F0644">
        <w:rPr>
          <w:rFonts w:ascii="Georgia" w:hAnsi="Georgia"/>
          <w:sz w:val="18"/>
          <w:szCs w:val="18"/>
        </w:rPr>
        <w:t xml:space="preserve"> will involve creating </w:t>
      </w:r>
      <w:r w:rsidR="00F21C73">
        <w:rPr>
          <w:rFonts w:ascii="Georgia" w:hAnsi="Georgia"/>
          <w:sz w:val="18"/>
          <w:szCs w:val="18"/>
        </w:rPr>
        <w:t xml:space="preserve">specialist work streams and </w:t>
      </w:r>
      <w:r w:rsidR="00773FF2">
        <w:rPr>
          <w:rFonts w:ascii="Georgia" w:hAnsi="Georgia"/>
          <w:sz w:val="18"/>
          <w:szCs w:val="18"/>
        </w:rPr>
        <w:t>more in-house</w:t>
      </w:r>
      <w:r w:rsidR="00F21C73">
        <w:rPr>
          <w:rFonts w:ascii="Georgia" w:hAnsi="Georgia"/>
          <w:sz w:val="18"/>
          <w:szCs w:val="18"/>
        </w:rPr>
        <w:t xml:space="preserve"> </w:t>
      </w:r>
      <w:r w:rsidR="00E4668E">
        <w:rPr>
          <w:rFonts w:ascii="Georgia" w:hAnsi="Georgia"/>
          <w:sz w:val="18"/>
          <w:szCs w:val="18"/>
        </w:rPr>
        <w:t xml:space="preserve">specialist health </w:t>
      </w:r>
      <w:r w:rsidR="00F21C73">
        <w:rPr>
          <w:rFonts w:ascii="Georgia" w:hAnsi="Georgia"/>
          <w:sz w:val="18"/>
          <w:szCs w:val="18"/>
        </w:rPr>
        <w:t xml:space="preserve">positions, </w:t>
      </w:r>
      <w:r w:rsidR="00E4668E">
        <w:rPr>
          <w:rFonts w:ascii="Georgia" w:hAnsi="Georgia"/>
          <w:sz w:val="18"/>
          <w:szCs w:val="18"/>
        </w:rPr>
        <w:t xml:space="preserve">along with </w:t>
      </w:r>
      <w:r w:rsidR="00F21C73">
        <w:rPr>
          <w:rFonts w:ascii="Georgia" w:hAnsi="Georgia"/>
          <w:sz w:val="18"/>
          <w:szCs w:val="18"/>
        </w:rPr>
        <w:t>professional development and training programs</w:t>
      </w:r>
      <w:r w:rsidR="00773FF2" w:rsidRPr="00773FF2">
        <w:rPr>
          <w:rFonts w:ascii="Georgia" w:hAnsi="Georgia"/>
          <w:sz w:val="18"/>
          <w:szCs w:val="18"/>
        </w:rPr>
        <w:t xml:space="preserve"> </w:t>
      </w:r>
      <w:r w:rsidR="00773FF2">
        <w:rPr>
          <w:rFonts w:ascii="Georgia" w:hAnsi="Georgia"/>
          <w:sz w:val="18"/>
          <w:szCs w:val="18"/>
        </w:rPr>
        <w:t>specifically</w:t>
      </w:r>
      <w:r w:rsidR="007F0644" w:rsidRPr="007F0644">
        <w:rPr>
          <w:rFonts w:ascii="Georgia" w:hAnsi="Georgia"/>
          <w:sz w:val="18"/>
          <w:szCs w:val="18"/>
        </w:rPr>
        <w:t xml:space="preserve"> </w:t>
      </w:r>
      <w:r w:rsidR="007F0644">
        <w:rPr>
          <w:rFonts w:ascii="Georgia" w:hAnsi="Georgia"/>
          <w:sz w:val="18"/>
          <w:szCs w:val="18"/>
        </w:rPr>
        <w:t>in health sector policy</w:t>
      </w:r>
      <w:r w:rsidR="00F21C73">
        <w:rPr>
          <w:rFonts w:ascii="Georgia" w:hAnsi="Georgia"/>
          <w:sz w:val="18"/>
          <w:szCs w:val="18"/>
        </w:rPr>
        <w:t xml:space="preserve"> and reform i</w:t>
      </w:r>
      <w:r w:rsidR="007F0644">
        <w:rPr>
          <w:rFonts w:ascii="Georgia" w:hAnsi="Georgia"/>
          <w:sz w:val="18"/>
          <w:szCs w:val="18"/>
        </w:rPr>
        <w:t>n low income settings and aid effectiveness, programming and delivery in the health sector.</w:t>
      </w:r>
      <w:bookmarkStart w:id="20" w:name="footnote1"/>
      <w:bookmarkEnd w:id="20"/>
    </w:p>
    <w:sectPr w:rsidR="0036163C" w:rsidRPr="00022CB2" w:rsidSect="004E6291">
      <w:headerReference w:type="even" r:id="rId14"/>
      <w:footerReference w:type="even" r:id="rId15"/>
      <w:footerReference w:type="default" r:id="rId16"/>
      <w:footerReference w:type="first" r:id="rId17"/>
      <w:pgSz w:w="11907" w:h="16840" w:code="9"/>
      <w:pgMar w:top="2381" w:right="2155" w:bottom="1079"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F8E" w:rsidRDefault="00AC4F8E">
      <w:r>
        <w:separator/>
      </w:r>
    </w:p>
    <w:p w:rsidR="00AC4F8E" w:rsidRDefault="00AC4F8E"/>
  </w:endnote>
  <w:endnote w:type="continuationSeparator" w:id="0">
    <w:p w:rsidR="00AC4F8E" w:rsidRDefault="00AC4F8E">
      <w:r>
        <w:continuationSeparator/>
      </w:r>
    </w:p>
    <w:p w:rsidR="00AC4F8E" w:rsidRDefault="00AC4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ED" w:rsidRPr="00AD612A" w:rsidRDefault="006911B5">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19050" t="0" r="3810" b="0"/>
          <wp:wrapNone/>
          <wp:docPr id="10" name="Picture 10"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MDG_2_factsheet_www"/>
                  <pic:cNvPicPr>
                    <a:picLocks noChangeAspect="1" noChangeArrowheads="1"/>
                  </pic:cNvPicPr>
                </pic:nvPicPr>
                <pic:blipFill>
                  <a:blip r:embed="rId1"/>
                  <a:srcRect/>
                  <a:stretch>
                    <a:fillRect/>
                  </a:stretch>
                </pic:blipFill>
                <pic:spPr bwMode="auto">
                  <a:xfrm>
                    <a:off x="0" y="0"/>
                    <a:ext cx="396240" cy="1508125"/>
                  </a:xfrm>
                  <a:prstGeom prst="rect">
                    <a:avLst/>
                  </a:prstGeom>
                  <a:noFill/>
                  <a:ln w="9525">
                    <a:noFill/>
                    <a:miter lim="800000"/>
                    <a:headEnd/>
                    <a:tailEnd/>
                  </a:ln>
                </pic:spPr>
              </pic:pic>
            </a:graphicData>
          </a:graphic>
        </wp:anchor>
      </w:drawing>
    </w:r>
    <w:r w:rsidR="007F14ED" w:rsidRPr="007C1ECE">
      <w:tab/>
    </w:r>
    <w:r w:rsidR="007F14ED">
      <w:tab/>
    </w:r>
    <w:r w:rsidR="007F14ED">
      <w:tab/>
    </w:r>
    <w:r w:rsidR="00AE504D">
      <w:rPr>
        <w:rStyle w:val="PageNumber"/>
      </w:rPr>
      <w:fldChar w:fldCharType="begin"/>
    </w:r>
    <w:r w:rsidR="007F14ED">
      <w:rPr>
        <w:rStyle w:val="PageNumber"/>
      </w:rPr>
      <w:instrText xml:space="preserve"> PAGE </w:instrText>
    </w:r>
    <w:r w:rsidR="00AE504D">
      <w:rPr>
        <w:rStyle w:val="PageNumber"/>
      </w:rPr>
      <w:fldChar w:fldCharType="separate"/>
    </w:r>
    <w:r w:rsidR="007F14ED">
      <w:rPr>
        <w:rStyle w:val="PageNumber"/>
        <w:noProof/>
      </w:rPr>
      <w:t>2</w:t>
    </w:r>
    <w:r w:rsidR="00AE504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ED" w:rsidRPr="004A4B6B" w:rsidRDefault="006911B5"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19050" t="0" r="2540" b="0"/>
          <wp:wrapNone/>
          <wp:docPr id="11" name="Picture 11"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D2"/>
                  <pic:cNvPicPr>
                    <a:picLocks noChangeAspect="1" noChangeArrowheads="1"/>
                  </pic:cNvPicPr>
                </pic:nvPicPr>
                <pic:blipFill>
                  <a:blip r:embed="rId1">
                    <a:grayscl/>
                  </a:blip>
                  <a:srcRect/>
                  <a:stretch>
                    <a:fillRect/>
                  </a:stretch>
                </pic:blipFill>
                <pic:spPr bwMode="auto">
                  <a:xfrm>
                    <a:off x="0" y="0"/>
                    <a:ext cx="7560310" cy="10694035"/>
                  </a:xfrm>
                  <a:prstGeom prst="rect">
                    <a:avLst/>
                  </a:prstGeom>
                  <a:noFill/>
                  <a:ln w="9525">
                    <a:noFill/>
                    <a:miter lim="800000"/>
                    <a:headEnd/>
                    <a:tailEnd/>
                  </a:ln>
                </pic:spPr>
              </pic:pic>
            </a:graphicData>
          </a:graphic>
        </wp:anchor>
      </w:drawing>
    </w:r>
    <w:r w:rsidR="007F14ED">
      <w:tab/>
    </w:r>
    <w:r w:rsidR="00857E48">
      <w:fldChar w:fldCharType="begin"/>
    </w:r>
    <w:r w:rsidR="00857E48">
      <w:instrText xml:space="preserve"> STYLEREF  Title </w:instrText>
    </w:r>
    <w:r w:rsidR="00857E48">
      <w:fldChar w:fldCharType="separate"/>
    </w:r>
    <w:r w:rsidR="006A7570">
      <w:rPr>
        <w:noProof/>
      </w:rPr>
      <w:t>Annual thematic performance report 2009: Health</w:t>
    </w:r>
    <w:r w:rsidR="00857E48">
      <w:rPr>
        <w:noProof/>
      </w:rPr>
      <w:fldChar w:fldCharType="end"/>
    </w:r>
    <w:r w:rsidR="007F14ED">
      <w:rPr>
        <w:rStyle w:val="PageNumber"/>
      </w:rPr>
      <w:tab/>
    </w:r>
    <w:r w:rsidR="007F14ED">
      <w:rPr>
        <w:rStyle w:val="PageNumber"/>
      </w:rPr>
      <w:tab/>
    </w:r>
    <w:r w:rsidR="00AE504D" w:rsidRPr="004A26C9">
      <w:rPr>
        <w:rStyle w:val="PageNumber"/>
      </w:rPr>
      <w:fldChar w:fldCharType="begin"/>
    </w:r>
    <w:r w:rsidR="007F14ED" w:rsidRPr="004A26C9">
      <w:rPr>
        <w:rStyle w:val="PageNumber"/>
      </w:rPr>
      <w:instrText xml:space="preserve"> PAGE </w:instrText>
    </w:r>
    <w:r w:rsidR="00AE504D" w:rsidRPr="004A26C9">
      <w:rPr>
        <w:rStyle w:val="PageNumber"/>
      </w:rPr>
      <w:fldChar w:fldCharType="separate"/>
    </w:r>
    <w:r w:rsidR="006A7570">
      <w:rPr>
        <w:rStyle w:val="PageNumber"/>
        <w:noProof/>
      </w:rPr>
      <w:t>7</w:t>
    </w:r>
    <w:r w:rsidR="00AE504D"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ED" w:rsidRDefault="007F14ED">
    <w:pPr>
      <w:pStyle w:val="Footer"/>
    </w:pPr>
    <w:r>
      <w:tab/>
    </w:r>
    <w:r>
      <w:tab/>
    </w:r>
    <w:r>
      <w:tab/>
    </w:r>
    <w:r w:rsidR="00AE504D">
      <w:rPr>
        <w:rStyle w:val="PageNumber"/>
      </w:rPr>
      <w:fldChar w:fldCharType="begin"/>
    </w:r>
    <w:r>
      <w:rPr>
        <w:rStyle w:val="PageNumber"/>
      </w:rPr>
      <w:instrText xml:space="preserve"> PAGE </w:instrText>
    </w:r>
    <w:r w:rsidR="00AE504D">
      <w:rPr>
        <w:rStyle w:val="PageNumber"/>
      </w:rPr>
      <w:fldChar w:fldCharType="separate"/>
    </w:r>
    <w:r w:rsidR="00773399">
      <w:rPr>
        <w:rStyle w:val="PageNumber"/>
        <w:noProof/>
      </w:rPr>
      <w:t>1</w:t>
    </w:r>
    <w:r w:rsidR="00AE50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F8E" w:rsidRDefault="00AC4F8E" w:rsidP="00D62AA4">
      <w:pPr>
        <w:spacing w:before="60" w:after="40" w:line="180" w:lineRule="exact"/>
      </w:pPr>
      <w:r>
        <w:continuationSeparator/>
      </w:r>
    </w:p>
  </w:footnote>
  <w:footnote w:type="continuationSeparator" w:id="0">
    <w:p w:rsidR="00AC4F8E" w:rsidRDefault="00AC4F8E">
      <w:r>
        <w:continuationSeparator/>
      </w:r>
    </w:p>
    <w:p w:rsidR="00AC4F8E" w:rsidRDefault="00AC4F8E"/>
  </w:footnote>
  <w:footnote w:type="continuationNotice" w:id="1">
    <w:p w:rsidR="00AC4F8E" w:rsidRDefault="00AC4F8E"/>
    <w:p w:rsidR="00AC4F8E" w:rsidRDefault="00AC4F8E"/>
  </w:footnote>
  <w:footnote w:id="2">
    <w:p w:rsidR="007F14ED" w:rsidRPr="009E26E1" w:rsidRDefault="007F14ED" w:rsidP="00787356">
      <w:pPr>
        <w:pStyle w:val="FootNote1"/>
      </w:pPr>
      <w:r>
        <w:rPr>
          <w:rStyle w:val="FootnoteReference"/>
        </w:rPr>
        <w:footnoteRef/>
      </w:r>
      <w:r>
        <w:t xml:space="preserve"> </w:t>
      </w:r>
      <w:r w:rsidRPr="00787356">
        <w:t>The Millennium Development Goals (MDGs) are agreed targets set by the world's nations to reduce poverty by 2015. Theses include halving extreme poverty, getting all children into school, closing the gap on gender inequality, saving lives lost to disease and the lack of available health care, and protecting the environment</w:t>
      </w:r>
      <w:r w:rsidRPr="009E26E1">
        <w:t>.</w:t>
      </w:r>
    </w:p>
  </w:footnote>
  <w:footnote w:id="3">
    <w:p w:rsidR="007F14ED" w:rsidRDefault="007F14ED" w:rsidP="00E772AC">
      <w:pPr>
        <w:pStyle w:val="FootnoteText"/>
        <w:ind w:left="0" w:firstLine="0"/>
      </w:pPr>
      <w:r>
        <w:rPr>
          <w:rStyle w:val="FootnoteReference"/>
        </w:rPr>
        <w:footnoteRef/>
      </w:r>
      <w:r>
        <w:t xml:space="preserve"> AusAID’s expenditure is reported against internationally agreed OECD DAC codes (Development Assistance Cooperation), which are grouped by key health intervention areas in AusAID’s annual budget. “</w:t>
      </w:r>
      <w:r w:rsidRPr="00E772AC">
        <w:t>Health governance and sector-wide activities</w:t>
      </w:r>
      <w:r>
        <w:t>” includes interventions to improve the delivery of key health services in developing countries at all levels (national, provincial and local).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ED" w:rsidRDefault="006911B5"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19050" t="0" r="2540" b="0"/>
          <wp:wrapNone/>
          <wp:docPr id="9" name="Picture 9"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facsheet_D2"/>
                  <pic:cNvPicPr>
                    <a:picLocks noChangeAspect="1" noChangeArrowheads="1"/>
                  </pic:cNvPicPr>
                </pic:nvPicPr>
                <pic:blipFill>
                  <a:blip r:embed="rId1">
                    <a:grayscl/>
                  </a:blip>
                  <a:srcRect/>
                  <a:stretch>
                    <a:fillRect/>
                  </a:stretch>
                </pic:blipFill>
                <pic:spPr bwMode="auto">
                  <a:xfrm>
                    <a:off x="0" y="0"/>
                    <a:ext cx="7560310" cy="106940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F0B84"/>
    <w:multiLevelType w:val="hybridMultilevel"/>
    <w:tmpl w:val="F450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tplc="4976B9A0">
      <w:start w:val="1"/>
      <w:numFmt w:val="lowerLetter"/>
      <w:pStyle w:val="TableListNumber2"/>
      <w:lvlText w:val="%1."/>
      <w:lvlJc w:val="left"/>
      <w:pPr>
        <w:tabs>
          <w:tab w:val="num" w:pos="454"/>
        </w:tabs>
        <w:ind w:left="454" w:hanging="227"/>
      </w:pPr>
      <w:rPr>
        <w:rFonts w:hint="default"/>
      </w:rPr>
    </w:lvl>
    <w:lvl w:ilvl="1" w:tplc="E48A0500" w:tentative="1">
      <w:start w:val="1"/>
      <w:numFmt w:val="lowerLetter"/>
      <w:lvlText w:val="%2."/>
      <w:lvlJc w:val="left"/>
      <w:pPr>
        <w:tabs>
          <w:tab w:val="num" w:pos="1440"/>
        </w:tabs>
        <w:ind w:left="1440" w:hanging="360"/>
      </w:pPr>
    </w:lvl>
    <w:lvl w:ilvl="2" w:tplc="15C6C84E" w:tentative="1">
      <w:start w:val="1"/>
      <w:numFmt w:val="lowerRoman"/>
      <w:lvlText w:val="%3."/>
      <w:lvlJc w:val="right"/>
      <w:pPr>
        <w:tabs>
          <w:tab w:val="num" w:pos="2160"/>
        </w:tabs>
        <w:ind w:left="2160" w:hanging="180"/>
      </w:pPr>
    </w:lvl>
    <w:lvl w:ilvl="3" w:tplc="F8B4AA32" w:tentative="1">
      <w:start w:val="1"/>
      <w:numFmt w:val="decimal"/>
      <w:lvlText w:val="%4."/>
      <w:lvlJc w:val="left"/>
      <w:pPr>
        <w:tabs>
          <w:tab w:val="num" w:pos="2880"/>
        </w:tabs>
        <w:ind w:left="2880" w:hanging="360"/>
      </w:pPr>
    </w:lvl>
    <w:lvl w:ilvl="4" w:tplc="CFFECF48" w:tentative="1">
      <w:start w:val="1"/>
      <w:numFmt w:val="lowerLetter"/>
      <w:lvlText w:val="%5."/>
      <w:lvlJc w:val="left"/>
      <w:pPr>
        <w:tabs>
          <w:tab w:val="num" w:pos="3600"/>
        </w:tabs>
        <w:ind w:left="3600" w:hanging="360"/>
      </w:pPr>
    </w:lvl>
    <w:lvl w:ilvl="5" w:tplc="765058E2" w:tentative="1">
      <w:start w:val="1"/>
      <w:numFmt w:val="lowerRoman"/>
      <w:lvlText w:val="%6."/>
      <w:lvlJc w:val="right"/>
      <w:pPr>
        <w:tabs>
          <w:tab w:val="num" w:pos="4320"/>
        </w:tabs>
        <w:ind w:left="4320" w:hanging="180"/>
      </w:pPr>
    </w:lvl>
    <w:lvl w:ilvl="6" w:tplc="482A0968" w:tentative="1">
      <w:start w:val="1"/>
      <w:numFmt w:val="decimal"/>
      <w:lvlText w:val="%7."/>
      <w:lvlJc w:val="left"/>
      <w:pPr>
        <w:tabs>
          <w:tab w:val="num" w:pos="5040"/>
        </w:tabs>
        <w:ind w:left="5040" w:hanging="360"/>
      </w:pPr>
    </w:lvl>
    <w:lvl w:ilvl="7" w:tplc="1F52D81C" w:tentative="1">
      <w:start w:val="1"/>
      <w:numFmt w:val="lowerLetter"/>
      <w:lvlText w:val="%8."/>
      <w:lvlJc w:val="left"/>
      <w:pPr>
        <w:tabs>
          <w:tab w:val="num" w:pos="5760"/>
        </w:tabs>
        <w:ind w:left="5760" w:hanging="360"/>
      </w:pPr>
    </w:lvl>
    <w:lvl w:ilvl="8" w:tplc="2CB2EF48"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33F6B"/>
    <w:multiLevelType w:val="hybridMultilevel"/>
    <w:tmpl w:val="53929CB2"/>
    <w:lvl w:ilvl="0" w:tplc="C3C63F8A">
      <w:start w:val="1"/>
      <w:numFmt w:val="lowerLetter"/>
      <w:pStyle w:val="BoxListNumber2"/>
      <w:lvlText w:val="%1."/>
      <w:lvlJc w:val="left"/>
      <w:pPr>
        <w:tabs>
          <w:tab w:val="num" w:pos="567"/>
        </w:tabs>
        <w:ind w:left="567" w:hanging="283"/>
      </w:pPr>
      <w:rPr>
        <w:rFonts w:hint="default"/>
      </w:rPr>
    </w:lvl>
    <w:lvl w:ilvl="1" w:tplc="1B9CA928" w:tentative="1">
      <w:start w:val="1"/>
      <w:numFmt w:val="lowerLetter"/>
      <w:lvlText w:val="%2."/>
      <w:lvlJc w:val="left"/>
      <w:pPr>
        <w:tabs>
          <w:tab w:val="num" w:pos="1440"/>
        </w:tabs>
        <w:ind w:left="1440" w:hanging="360"/>
      </w:pPr>
    </w:lvl>
    <w:lvl w:ilvl="2" w:tplc="EDD47E4E" w:tentative="1">
      <w:start w:val="1"/>
      <w:numFmt w:val="lowerRoman"/>
      <w:lvlText w:val="%3."/>
      <w:lvlJc w:val="right"/>
      <w:pPr>
        <w:tabs>
          <w:tab w:val="num" w:pos="2160"/>
        </w:tabs>
        <w:ind w:left="2160" w:hanging="180"/>
      </w:pPr>
    </w:lvl>
    <w:lvl w:ilvl="3" w:tplc="E0060A2C" w:tentative="1">
      <w:start w:val="1"/>
      <w:numFmt w:val="decimal"/>
      <w:lvlText w:val="%4."/>
      <w:lvlJc w:val="left"/>
      <w:pPr>
        <w:tabs>
          <w:tab w:val="num" w:pos="2880"/>
        </w:tabs>
        <w:ind w:left="2880" w:hanging="360"/>
      </w:pPr>
    </w:lvl>
    <w:lvl w:ilvl="4" w:tplc="A3C68FD6" w:tentative="1">
      <w:start w:val="1"/>
      <w:numFmt w:val="lowerLetter"/>
      <w:lvlText w:val="%5."/>
      <w:lvlJc w:val="left"/>
      <w:pPr>
        <w:tabs>
          <w:tab w:val="num" w:pos="3600"/>
        </w:tabs>
        <w:ind w:left="3600" w:hanging="360"/>
      </w:pPr>
    </w:lvl>
    <w:lvl w:ilvl="5" w:tplc="9B2205DC" w:tentative="1">
      <w:start w:val="1"/>
      <w:numFmt w:val="lowerRoman"/>
      <w:lvlText w:val="%6."/>
      <w:lvlJc w:val="right"/>
      <w:pPr>
        <w:tabs>
          <w:tab w:val="num" w:pos="4320"/>
        </w:tabs>
        <w:ind w:left="4320" w:hanging="180"/>
      </w:pPr>
    </w:lvl>
    <w:lvl w:ilvl="6" w:tplc="2EBC28C0" w:tentative="1">
      <w:start w:val="1"/>
      <w:numFmt w:val="decimal"/>
      <w:lvlText w:val="%7."/>
      <w:lvlJc w:val="left"/>
      <w:pPr>
        <w:tabs>
          <w:tab w:val="num" w:pos="5040"/>
        </w:tabs>
        <w:ind w:left="5040" w:hanging="360"/>
      </w:pPr>
    </w:lvl>
    <w:lvl w:ilvl="7" w:tplc="B13CBE28" w:tentative="1">
      <w:start w:val="1"/>
      <w:numFmt w:val="lowerLetter"/>
      <w:lvlText w:val="%8."/>
      <w:lvlJc w:val="left"/>
      <w:pPr>
        <w:tabs>
          <w:tab w:val="num" w:pos="5760"/>
        </w:tabs>
        <w:ind w:left="5760" w:hanging="360"/>
      </w:pPr>
    </w:lvl>
    <w:lvl w:ilvl="8" w:tplc="9E967D02" w:tentative="1">
      <w:start w:val="1"/>
      <w:numFmt w:val="lowerRoman"/>
      <w:lvlText w:val="%9."/>
      <w:lvlJc w:val="right"/>
      <w:pPr>
        <w:tabs>
          <w:tab w:val="num" w:pos="6480"/>
        </w:tabs>
        <w:ind w:left="6480" w:hanging="180"/>
      </w:pPr>
    </w:lvl>
  </w:abstractNum>
  <w:abstractNum w:abstractNumId="7">
    <w:nsid w:val="3A8305A3"/>
    <w:multiLevelType w:val="hybridMultilevel"/>
    <w:tmpl w:val="C4126D96"/>
    <w:lvl w:ilvl="0" w:tplc="EA345ABC">
      <w:start w:val="2"/>
      <w:numFmt w:val="bullet"/>
      <w:lvlText w:val="-"/>
      <w:lvlJc w:val="left"/>
      <w:pPr>
        <w:tabs>
          <w:tab w:val="num" w:pos="360"/>
        </w:tabs>
        <w:ind w:left="360" w:hanging="360"/>
      </w:pPr>
      <w:rPr>
        <w:rFonts w:ascii="Garamond" w:eastAsia="Garamond" w:hAnsi="Garamond" w:cs="Garamond"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46CD579B"/>
    <w:multiLevelType w:val="hybridMultilevel"/>
    <w:tmpl w:val="36F2514A"/>
    <w:lvl w:ilvl="0" w:tplc="2D1CE58E">
      <w:start w:val="1"/>
      <w:numFmt w:val="bullet"/>
      <w:pStyle w:val="BoxListBullet"/>
      <w:lvlText w:val="&gt;"/>
      <w:lvlJc w:val="left"/>
      <w:pPr>
        <w:tabs>
          <w:tab w:val="num" w:pos="284"/>
        </w:tabs>
        <w:ind w:left="284" w:hanging="284"/>
      </w:pPr>
      <w:rPr>
        <w:rFonts w:hint="default"/>
        <w:color w:val="auto"/>
      </w:rPr>
    </w:lvl>
    <w:lvl w:ilvl="1" w:tplc="317CDD0C" w:tentative="1">
      <w:start w:val="1"/>
      <w:numFmt w:val="bullet"/>
      <w:lvlText w:val="o"/>
      <w:lvlJc w:val="left"/>
      <w:pPr>
        <w:tabs>
          <w:tab w:val="num" w:pos="1440"/>
        </w:tabs>
        <w:ind w:left="1440" w:hanging="360"/>
      </w:pPr>
      <w:rPr>
        <w:rFonts w:ascii="Courier New" w:hAnsi="Courier New" w:cs="Courier New" w:hint="default"/>
      </w:rPr>
    </w:lvl>
    <w:lvl w:ilvl="2" w:tplc="D7685334" w:tentative="1">
      <w:start w:val="1"/>
      <w:numFmt w:val="bullet"/>
      <w:lvlText w:val=""/>
      <w:lvlJc w:val="left"/>
      <w:pPr>
        <w:tabs>
          <w:tab w:val="num" w:pos="2160"/>
        </w:tabs>
        <w:ind w:left="2160" w:hanging="360"/>
      </w:pPr>
      <w:rPr>
        <w:rFonts w:ascii="Wingdings" w:hAnsi="Wingdings" w:hint="default"/>
      </w:rPr>
    </w:lvl>
    <w:lvl w:ilvl="3" w:tplc="5200391A" w:tentative="1">
      <w:start w:val="1"/>
      <w:numFmt w:val="bullet"/>
      <w:lvlText w:val=""/>
      <w:lvlJc w:val="left"/>
      <w:pPr>
        <w:tabs>
          <w:tab w:val="num" w:pos="2880"/>
        </w:tabs>
        <w:ind w:left="2880" w:hanging="360"/>
      </w:pPr>
      <w:rPr>
        <w:rFonts w:ascii="Symbol" w:hAnsi="Symbol" w:hint="default"/>
      </w:rPr>
    </w:lvl>
    <w:lvl w:ilvl="4" w:tplc="290E7814" w:tentative="1">
      <w:start w:val="1"/>
      <w:numFmt w:val="bullet"/>
      <w:lvlText w:val="o"/>
      <w:lvlJc w:val="left"/>
      <w:pPr>
        <w:tabs>
          <w:tab w:val="num" w:pos="3600"/>
        </w:tabs>
        <w:ind w:left="3600" w:hanging="360"/>
      </w:pPr>
      <w:rPr>
        <w:rFonts w:ascii="Courier New" w:hAnsi="Courier New" w:cs="Courier New" w:hint="default"/>
      </w:rPr>
    </w:lvl>
    <w:lvl w:ilvl="5" w:tplc="F66076C8" w:tentative="1">
      <w:start w:val="1"/>
      <w:numFmt w:val="bullet"/>
      <w:lvlText w:val=""/>
      <w:lvlJc w:val="left"/>
      <w:pPr>
        <w:tabs>
          <w:tab w:val="num" w:pos="4320"/>
        </w:tabs>
        <w:ind w:left="4320" w:hanging="360"/>
      </w:pPr>
      <w:rPr>
        <w:rFonts w:ascii="Wingdings" w:hAnsi="Wingdings" w:hint="default"/>
      </w:rPr>
    </w:lvl>
    <w:lvl w:ilvl="6" w:tplc="5894A6B0" w:tentative="1">
      <w:start w:val="1"/>
      <w:numFmt w:val="bullet"/>
      <w:lvlText w:val=""/>
      <w:lvlJc w:val="left"/>
      <w:pPr>
        <w:tabs>
          <w:tab w:val="num" w:pos="5040"/>
        </w:tabs>
        <w:ind w:left="5040" w:hanging="360"/>
      </w:pPr>
      <w:rPr>
        <w:rFonts w:ascii="Symbol" w:hAnsi="Symbol" w:hint="default"/>
      </w:rPr>
    </w:lvl>
    <w:lvl w:ilvl="7" w:tplc="623E6A88" w:tentative="1">
      <w:start w:val="1"/>
      <w:numFmt w:val="bullet"/>
      <w:lvlText w:val="o"/>
      <w:lvlJc w:val="left"/>
      <w:pPr>
        <w:tabs>
          <w:tab w:val="num" w:pos="5760"/>
        </w:tabs>
        <w:ind w:left="5760" w:hanging="360"/>
      </w:pPr>
      <w:rPr>
        <w:rFonts w:ascii="Courier New" w:hAnsi="Courier New" w:cs="Courier New" w:hint="default"/>
      </w:rPr>
    </w:lvl>
    <w:lvl w:ilvl="8" w:tplc="80129E60" w:tentative="1">
      <w:start w:val="1"/>
      <w:numFmt w:val="bullet"/>
      <w:lvlText w:val=""/>
      <w:lvlJc w:val="left"/>
      <w:pPr>
        <w:tabs>
          <w:tab w:val="num" w:pos="6480"/>
        </w:tabs>
        <w:ind w:left="6480" w:hanging="360"/>
      </w:pPr>
      <w:rPr>
        <w:rFonts w:ascii="Wingdings" w:hAnsi="Wingdings" w:hint="default"/>
      </w:rPr>
    </w:lvl>
  </w:abstractNum>
  <w:abstractNum w:abstractNumId="9">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98A5214"/>
    <w:multiLevelType w:val="hybridMultilevel"/>
    <w:tmpl w:val="0B5AC610"/>
    <w:lvl w:ilvl="0" w:tplc="4C48D134">
      <w:start w:val="1"/>
      <w:numFmt w:val="decimal"/>
      <w:pStyle w:val="TableListNumber"/>
      <w:lvlText w:val="%1."/>
      <w:lvlJc w:val="left"/>
      <w:pPr>
        <w:tabs>
          <w:tab w:val="num" w:pos="227"/>
        </w:tabs>
        <w:ind w:left="227" w:hanging="227"/>
      </w:pPr>
      <w:rPr>
        <w:rFonts w:hint="default"/>
      </w:rPr>
    </w:lvl>
    <w:lvl w:ilvl="1" w:tplc="62BE85D2" w:tentative="1">
      <w:start w:val="1"/>
      <w:numFmt w:val="lowerLetter"/>
      <w:lvlText w:val="%2."/>
      <w:lvlJc w:val="left"/>
      <w:pPr>
        <w:tabs>
          <w:tab w:val="num" w:pos="1440"/>
        </w:tabs>
        <w:ind w:left="1440" w:hanging="360"/>
      </w:pPr>
    </w:lvl>
    <w:lvl w:ilvl="2" w:tplc="4A12E1AC" w:tentative="1">
      <w:start w:val="1"/>
      <w:numFmt w:val="lowerRoman"/>
      <w:lvlText w:val="%3."/>
      <w:lvlJc w:val="right"/>
      <w:pPr>
        <w:tabs>
          <w:tab w:val="num" w:pos="2160"/>
        </w:tabs>
        <w:ind w:left="2160" w:hanging="180"/>
      </w:pPr>
    </w:lvl>
    <w:lvl w:ilvl="3" w:tplc="0A8E6732" w:tentative="1">
      <w:start w:val="1"/>
      <w:numFmt w:val="decimal"/>
      <w:lvlText w:val="%4."/>
      <w:lvlJc w:val="left"/>
      <w:pPr>
        <w:tabs>
          <w:tab w:val="num" w:pos="2880"/>
        </w:tabs>
        <w:ind w:left="2880" w:hanging="360"/>
      </w:pPr>
    </w:lvl>
    <w:lvl w:ilvl="4" w:tplc="822689B8" w:tentative="1">
      <w:start w:val="1"/>
      <w:numFmt w:val="lowerLetter"/>
      <w:lvlText w:val="%5."/>
      <w:lvlJc w:val="left"/>
      <w:pPr>
        <w:tabs>
          <w:tab w:val="num" w:pos="3600"/>
        </w:tabs>
        <w:ind w:left="3600" w:hanging="360"/>
      </w:pPr>
    </w:lvl>
    <w:lvl w:ilvl="5" w:tplc="D91A6ED8" w:tentative="1">
      <w:start w:val="1"/>
      <w:numFmt w:val="lowerRoman"/>
      <w:lvlText w:val="%6."/>
      <w:lvlJc w:val="right"/>
      <w:pPr>
        <w:tabs>
          <w:tab w:val="num" w:pos="4320"/>
        </w:tabs>
        <w:ind w:left="4320" w:hanging="180"/>
      </w:pPr>
    </w:lvl>
    <w:lvl w:ilvl="6" w:tplc="DCC8A6A4" w:tentative="1">
      <w:start w:val="1"/>
      <w:numFmt w:val="decimal"/>
      <w:lvlText w:val="%7."/>
      <w:lvlJc w:val="left"/>
      <w:pPr>
        <w:tabs>
          <w:tab w:val="num" w:pos="5040"/>
        </w:tabs>
        <w:ind w:left="5040" w:hanging="360"/>
      </w:pPr>
    </w:lvl>
    <w:lvl w:ilvl="7" w:tplc="56626758" w:tentative="1">
      <w:start w:val="1"/>
      <w:numFmt w:val="lowerLetter"/>
      <w:lvlText w:val="%8."/>
      <w:lvlJc w:val="left"/>
      <w:pPr>
        <w:tabs>
          <w:tab w:val="num" w:pos="5760"/>
        </w:tabs>
        <w:ind w:left="5760" w:hanging="360"/>
      </w:pPr>
    </w:lvl>
    <w:lvl w:ilvl="8" w:tplc="0AD28B8E" w:tentative="1">
      <w:start w:val="1"/>
      <w:numFmt w:val="lowerRoman"/>
      <w:lvlText w:val="%9."/>
      <w:lvlJc w:val="right"/>
      <w:pPr>
        <w:tabs>
          <w:tab w:val="num" w:pos="6480"/>
        </w:tabs>
        <w:ind w:left="6480" w:hanging="180"/>
      </w:pPr>
    </w:lvl>
  </w:abstractNum>
  <w:abstractNum w:abstractNumId="12">
    <w:nsid w:val="6106667C"/>
    <w:multiLevelType w:val="hybridMultilevel"/>
    <w:tmpl w:val="E6ECA4A6"/>
    <w:lvl w:ilvl="0" w:tplc="EA345ABC">
      <w:start w:val="2"/>
      <w:numFmt w:val="bullet"/>
      <w:lvlText w:val="-"/>
      <w:lvlJc w:val="left"/>
      <w:pPr>
        <w:tabs>
          <w:tab w:val="num" w:pos="360"/>
        </w:tabs>
        <w:ind w:left="360" w:hanging="360"/>
      </w:pPr>
      <w:rPr>
        <w:rFonts w:ascii="Garamond" w:eastAsia="Garamond" w:hAnsi="Garamond" w:cs="Garamond"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F264CF"/>
    <w:multiLevelType w:val="multilevel"/>
    <w:tmpl w:val="E72AB4D4"/>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2139AF"/>
    <w:multiLevelType w:val="hybridMultilevel"/>
    <w:tmpl w:val="3146AA6C"/>
    <w:lvl w:ilvl="0" w:tplc="18F0340C">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E1124E"/>
    <w:multiLevelType w:val="hybridMultilevel"/>
    <w:tmpl w:val="6D42E656"/>
    <w:lvl w:ilvl="0" w:tplc="9F4CD67A">
      <w:start w:val="1"/>
      <w:numFmt w:val="lowerLetter"/>
      <w:pStyle w:val="ListNumber2"/>
      <w:lvlText w:val="%1."/>
      <w:lvlJc w:val="left"/>
      <w:pPr>
        <w:tabs>
          <w:tab w:val="num" w:pos="567"/>
        </w:tabs>
        <w:ind w:left="567" w:hanging="283"/>
      </w:pPr>
      <w:rPr>
        <w:rFonts w:hint="default"/>
      </w:rPr>
    </w:lvl>
    <w:lvl w:ilvl="1" w:tplc="B88C6598" w:tentative="1">
      <w:start w:val="1"/>
      <w:numFmt w:val="lowerLetter"/>
      <w:lvlText w:val="%2."/>
      <w:lvlJc w:val="left"/>
      <w:pPr>
        <w:tabs>
          <w:tab w:val="num" w:pos="1440"/>
        </w:tabs>
        <w:ind w:left="1440" w:hanging="360"/>
      </w:pPr>
    </w:lvl>
    <w:lvl w:ilvl="2" w:tplc="11509A6C" w:tentative="1">
      <w:start w:val="1"/>
      <w:numFmt w:val="lowerRoman"/>
      <w:lvlText w:val="%3."/>
      <w:lvlJc w:val="right"/>
      <w:pPr>
        <w:tabs>
          <w:tab w:val="num" w:pos="2160"/>
        </w:tabs>
        <w:ind w:left="2160" w:hanging="180"/>
      </w:pPr>
    </w:lvl>
    <w:lvl w:ilvl="3" w:tplc="BE2E5E5A" w:tentative="1">
      <w:start w:val="1"/>
      <w:numFmt w:val="decimal"/>
      <w:lvlText w:val="%4."/>
      <w:lvlJc w:val="left"/>
      <w:pPr>
        <w:tabs>
          <w:tab w:val="num" w:pos="2880"/>
        </w:tabs>
        <w:ind w:left="2880" w:hanging="360"/>
      </w:pPr>
    </w:lvl>
    <w:lvl w:ilvl="4" w:tplc="2D44102A" w:tentative="1">
      <w:start w:val="1"/>
      <w:numFmt w:val="lowerLetter"/>
      <w:lvlText w:val="%5."/>
      <w:lvlJc w:val="left"/>
      <w:pPr>
        <w:tabs>
          <w:tab w:val="num" w:pos="3600"/>
        </w:tabs>
        <w:ind w:left="3600" w:hanging="360"/>
      </w:pPr>
    </w:lvl>
    <w:lvl w:ilvl="5" w:tplc="9BACA038" w:tentative="1">
      <w:start w:val="1"/>
      <w:numFmt w:val="lowerRoman"/>
      <w:lvlText w:val="%6."/>
      <w:lvlJc w:val="right"/>
      <w:pPr>
        <w:tabs>
          <w:tab w:val="num" w:pos="4320"/>
        </w:tabs>
        <w:ind w:left="4320" w:hanging="180"/>
      </w:pPr>
    </w:lvl>
    <w:lvl w:ilvl="6" w:tplc="271CDD00" w:tentative="1">
      <w:start w:val="1"/>
      <w:numFmt w:val="decimal"/>
      <w:lvlText w:val="%7."/>
      <w:lvlJc w:val="left"/>
      <w:pPr>
        <w:tabs>
          <w:tab w:val="num" w:pos="5040"/>
        </w:tabs>
        <w:ind w:left="5040" w:hanging="360"/>
      </w:pPr>
    </w:lvl>
    <w:lvl w:ilvl="7" w:tplc="DBF4CD20" w:tentative="1">
      <w:start w:val="1"/>
      <w:numFmt w:val="lowerLetter"/>
      <w:lvlText w:val="%8."/>
      <w:lvlJc w:val="left"/>
      <w:pPr>
        <w:tabs>
          <w:tab w:val="num" w:pos="5760"/>
        </w:tabs>
        <w:ind w:left="5760" w:hanging="360"/>
      </w:pPr>
    </w:lvl>
    <w:lvl w:ilvl="8" w:tplc="E220837E" w:tentative="1">
      <w:start w:val="1"/>
      <w:numFmt w:val="lowerRoman"/>
      <w:lvlText w:val="%9."/>
      <w:lvlJc w:val="right"/>
      <w:pPr>
        <w:tabs>
          <w:tab w:val="num" w:pos="6480"/>
        </w:tabs>
        <w:ind w:left="6480" w:hanging="180"/>
      </w:pPr>
    </w:lvl>
  </w:abstractNum>
  <w:abstractNum w:abstractNumId="20">
    <w:nsid w:val="7F7A528B"/>
    <w:multiLevelType w:val="hybridMultilevel"/>
    <w:tmpl w:val="4ADC517C"/>
    <w:lvl w:ilvl="0" w:tplc="65E2F766">
      <w:start w:val="1"/>
      <w:numFmt w:val="bullet"/>
      <w:pStyle w:val="ListBullet"/>
      <w:lvlText w:val="&gt;"/>
      <w:lvlJc w:val="left"/>
      <w:pPr>
        <w:tabs>
          <w:tab w:val="num" w:pos="284"/>
        </w:tabs>
        <w:ind w:left="284" w:hanging="284"/>
      </w:pPr>
      <w:rPr>
        <w:rFonts w:hint="default"/>
        <w:color w:val="auto"/>
        <w:position w:val="3"/>
      </w:rPr>
    </w:lvl>
    <w:lvl w:ilvl="1" w:tplc="96A26566" w:tentative="1">
      <w:start w:val="1"/>
      <w:numFmt w:val="bullet"/>
      <w:lvlText w:val="o"/>
      <w:lvlJc w:val="left"/>
      <w:pPr>
        <w:tabs>
          <w:tab w:val="num" w:pos="1440"/>
        </w:tabs>
        <w:ind w:left="1440" w:hanging="360"/>
      </w:pPr>
      <w:rPr>
        <w:rFonts w:ascii="Courier New" w:hAnsi="Courier New" w:cs="Courier New" w:hint="default"/>
      </w:rPr>
    </w:lvl>
    <w:lvl w:ilvl="2" w:tplc="85768344" w:tentative="1">
      <w:start w:val="1"/>
      <w:numFmt w:val="bullet"/>
      <w:lvlText w:val=""/>
      <w:lvlJc w:val="left"/>
      <w:pPr>
        <w:tabs>
          <w:tab w:val="num" w:pos="2160"/>
        </w:tabs>
        <w:ind w:left="2160" w:hanging="360"/>
      </w:pPr>
      <w:rPr>
        <w:rFonts w:ascii="Wingdings" w:hAnsi="Wingdings" w:hint="default"/>
      </w:rPr>
    </w:lvl>
    <w:lvl w:ilvl="3" w:tplc="65D64778" w:tentative="1">
      <w:start w:val="1"/>
      <w:numFmt w:val="bullet"/>
      <w:lvlText w:val=""/>
      <w:lvlJc w:val="left"/>
      <w:pPr>
        <w:tabs>
          <w:tab w:val="num" w:pos="2880"/>
        </w:tabs>
        <w:ind w:left="2880" w:hanging="360"/>
      </w:pPr>
      <w:rPr>
        <w:rFonts w:ascii="Symbol" w:hAnsi="Symbol" w:hint="default"/>
      </w:rPr>
    </w:lvl>
    <w:lvl w:ilvl="4" w:tplc="3F16C156" w:tentative="1">
      <w:start w:val="1"/>
      <w:numFmt w:val="bullet"/>
      <w:lvlText w:val="o"/>
      <w:lvlJc w:val="left"/>
      <w:pPr>
        <w:tabs>
          <w:tab w:val="num" w:pos="3600"/>
        </w:tabs>
        <w:ind w:left="3600" w:hanging="360"/>
      </w:pPr>
      <w:rPr>
        <w:rFonts w:ascii="Courier New" w:hAnsi="Courier New" w:cs="Courier New" w:hint="default"/>
      </w:rPr>
    </w:lvl>
    <w:lvl w:ilvl="5" w:tplc="8EEA2D2C" w:tentative="1">
      <w:start w:val="1"/>
      <w:numFmt w:val="bullet"/>
      <w:lvlText w:val=""/>
      <w:lvlJc w:val="left"/>
      <w:pPr>
        <w:tabs>
          <w:tab w:val="num" w:pos="4320"/>
        </w:tabs>
        <w:ind w:left="4320" w:hanging="360"/>
      </w:pPr>
      <w:rPr>
        <w:rFonts w:ascii="Wingdings" w:hAnsi="Wingdings" w:hint="default"/>
      </w:rPr>
    </w:lvl>
    <w:lvl w:ilvl="6" w:tplc="79C610C6" w:tentative="1">
      <w:start w:val="1"/>
      <w:numFmt w:val="bullet"/>
      <w:lvlText w:val=""/>
      <w:lvlJc w:val="left"/>
      <w:pPr>
        <w:tabs>
          <w:tab w:val="num" w:pos="5040"/>
        </w:tabs>
        <w:ind w:left="5040" w:hanging="360"/>
      </w:pPr>
      <w:rPr>
        <w:rFonts w:ascii="Symbol" w:hAnsi="Symbol" w:hint="default"/>
      </w:rPr>
    </w:lvl>
    <w:lvl w:ilvl="7" w:tplc="FF146250" w:tentative="1">
      <w:start w:val="1"/>
      <w:numFmt w:val="bullet"/>
      <w:lvlText w:val="o"/>
      <w:lvlJc w:val="left"/>
      <w:pPr>
        <w:tabs>
          <w:tab w:val="num" w:pos="5760"/>
        </w:tabs>
        <w:ind w:left="5760" w:hanging="360"/>
      </w:pPr>
      <w:rPr>
        <w:rFonts w:ascii="Courier New" w:hAnsi="Courier New" w:cs="Courier New" w:hint="default"/>
      </w:rPr>
    </w:lvl>
    <w:lvl w:ilvl="8" w:tplc="230002C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6"/>
  </w:num>
  <w:num w:numId="4">
    <w:abstractNumId w:val="10"/>
  </w:num>
  <w:num w:numId="5">
    <w:abstractNumId w:val="8"/>
  </w:num>
  <w:num w:numId="6">
    <w:abstractNumId w:val="5"/>
  </w:num>
  <w:num w:numId="7">
    <w:abstractNumId w:val="14"/>
  </w:num>
  <w:num w:numId="8">
    <w:abstractNumId w:val="15"/>
  </w:num>
  <w:num w:numId="9">
    <w:abstractNumId w:val="1"/>
  </w:num>
  <w:num w:numId="10">
    <w:abstractNumId w:val="9"/>
  </w:num>
  <w:num w:numId="11">
    <w:abstractNumId w:val="17"/>
  </w:num>
  <w:num w:numId="12">
    <w:abstractNumId w:val="4"/>
  </w:num>
  <w:num w:numId="13">
    <w:abstractNumId w:val="3"/>
  </w:num>
  <w:num w:numId="14">
    <w:abstractNumId w:val="19"/>
  </w:num>
  <w:num w:numId="15">
    <w:abstractNumId w:val="20"/>
  </w:num>
  <w:num w:numId="16">
    <w:abstractNumId w:val="16"/>
  </w:num>
  <w:num w:numId="17">
    <w:abstractNumId w:val="13"/>
  </w:num>
  <w:num w:numId="18">
    <w:abstractNumId w:val="7"/>
  </w:num>
  <w:num w:numId="19">
    <w:abstractNumId w:val="12"/>
  </w:num>
  <w:num w:numId="20">
    <w:abstractNumId w:val="14"/>
  </w:num>
  <w:num w:numId="21">
    <w:abstractNumId w:val="0"/>
  </w:num>
  <w:num w:numId="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FB"/>
    <w:rsid w:val="0000249C"/>
    <w:rsid w:val="00002939"/>
    <w:rsid w:val="00002C6B"/>
    <w:rsid w:val="00004368"/>
    <w:rsid w:val="000063E5"/>
    <w:rsid w:val="000076C0"/>
    <w:rsid w:val="00011550"/>
    <w:rsid w:val="0001170C"/>
    <w:rsid w:val="000129D7"/>
    <w:rsid w:val="0001356A"/>
    <w:rsid w:val="00014038"/>
    <w:rsid w:val="0001508D"/>
    <w:rsid w:val="00015DBC"/>
    <w:rsid w:val="00016771"/>
    <w:rsid w:val="00016CBA"/>
    <w:rsid w:val="00017D33"/>
    <w:rsid w:val="00017E33"/>
    <w:rsid w:val="000211DA"/>
    <w:rsid w:val="0002235F"/>
    <w:rsid w:val="00022CB2"/>
    <w:rsid w:val="00022D41"/>
    <w:rsid w:val="000257E7"/>
    <w:rsid w:val="00030588"/>
    <w:rsid w:val="000326E7"/>
    <w:rsid w:val="00032985"/>
    <w:rsid w:val="0003385B"/>
    <w:rsid w:val="00034B41"/>
    <w:rsid w:val="00034E45"/>
    <w:rsid w:val="00035E2A"/>
    <w:rsid w:val="00037673"/>
    <w:rsid w:val="00041428"/>
    <w:rsid w:val="000419A5"/>
    <w:rsid w:val="000433AB"/>
    <w:rsid w:val="00044EDD"/>
    <w:rsid w:val="000452A6"/>
    <w:rsid w:val="00045455"/>
    <w:rsid w:val="0004636D"/>
    <w:rsid w:val="00046974"/>
    <w:rsid w:val="000513B2"/>
    <w:rsid w:val="00053228"/>
    <w:rsid w:val="00053BB3"/>
    <w:rsid w:val="00053D8A"/>
    <w:rsid w:val="00060A32"/>
    <w:rsid w:val="00061389"/>
    <w:rsid w:val="00063C90"/>
    <w:rsid w:val="000655EB"/>
    <w:rsid w:val="00065C12"/>
    <w:rsid w:val="00067F6E"/>
    <w:rsid w:val="00070BAE"/>
    <w:rsid w:val="00070F05"/>
    <w:rsid w:val="00071102"/>
    <w:rsid w:val="000722A1"/>
    <w:rsid w:val="00074C9B"/>
    <w:rsid w:val="00075C1B"/>
    <w:rsid w:val="00075E37"/>
    <w:rsid w:val="00075F52"/>
    <w:rsid w:val="0007626B"/>
    <w:rsid w:val="000765D3"/>
    <w:rsid w:val="000766F0"/>
    <w:rsid w:val="00076703"/>
    <w:rsid w:val="000805B2"/>
    <w:rsid w:val="00082E97"/>
    <w:rsid w:val="000833A0"/>
    <w:rsid w:val="000835D2"/>
    <w:rsid w:val="00083C95"/>
    <w:rsid w:val="000849C7"/>
    <w:rsid w:val="00085585"/>
    <w:rsid w:val="00085E50"/>
    <w:rsid w:val="00086164"/>
    <w:rsid w:val="000863C3"/>
    <w:rsid w:val="00087E73"/>
    <w:rsid w:val="000902AB"/>
    <w:rsid w:val="00090C8C"/>
    <w:rsid w:val="00092F37"/>
    <w:rsid w:val="00097A76"/>
    <w:rsid w:val="000A016C"/>
    <w:rsid w:val="000A0794"/>
    <w:rsid w:val="000A1D78"/>
    <w:rsid w:val="000A3437"/>
    <w:rsid w:val="000A4433"/>
    <w:rsid w:val="000A5BCC"/>
    <w:rsid w:val="000A7400"/>
    <w:rsid w:val="000A7708"/>
    <w:rsid w:val="000A7AD4"/>
    <w:rsid w:val="000A7EB5"/>
    <w:rsid w:val="000B0232"/>
    <w:rsid w:val="000B108C"/>
    <w:rsid w:val="000B13AB"/>
    <w:rsid w:val="000B146D"/>
    <w:rsid w:val="000B4054"/>
    <w:rsid w:val="000B56CF"/>
    <w:rsid w:val="000B5B55"/>
    <w:rsid w:val="000B6330"/>
    <w:rsid w:val="000B7FF7"/>
    <w:rsid w:val="000C0125"/>
    <w:rsid w:val="000C0807"/>
    <w:rsid w:val="000C0D83"/>
    <w:rsid w:val="000C224E"/>
    <w:rsid w:val="000C3A8C"/>
    <w:rsid w:val="000C45A2"/>
    <w:rsid w:val="000C6046"/>
    <w:rsid w:val="000D074E"/>
    <w:rsid w:val="000D32D5"/>
    <w:rsid w:val="000D37F6"/>
    <w:rsid w:val="000D444F"/>
    <w:rsid w:val="000D47A5"/>
    <w:rsid w:val="000D5F29"/>
    <w:rsid w:val="000D633E"/>
    <w:rsid w:val="000E0333"/>
    <w:rsid w:val="000E2E8A"/>
    <w:rsid w:val="000E595E"/>
    <w:rsid w:val="000E5C21"/>
    <w:rsid w:val="000F706A"/>
    <w:rsid w:val="000F7DB9"/>
    <w:rsid w:val="000F7EBB"/>
    <w:rsid w:val="0010001A"/>
    <w:rsid w:val="001004C9"/>
    <w:rsid w:val="001020A5"/>
    <w:rsid w:val="00102987"/>
    <w:rsid w:val="00103943"/>
    <w:rsid w:val="00104CCC"/>
    <w:rsid w:val="001104EF"/>
    <w:rsid w:val="001109B2"/>
    <w:rsid w:val="00115A41"/>
    <w:rsid w:val="00115A8C"/>
    <w:rsid w:val="00115D91"/>
    <w:rsid w:val="001204E2"/>
    <w:rsid w:val="001250BF"/>
    <w:rsid w:val="001251A0"/>
    <w:rsid w:val="001260C2"/>
    <w:rsid w:val="00127B7F"/>
    <w:rsid w:val="001315B0"/>
    <w:rsid w:val="00132E41"/>
    <w:rsid w:val="001331BC"/>
    <w:rsid w:val="00135A4C"/>
    <w:rsid w:val="001360A4"/>
    <w:rsid w:val="00136A29"/>
    <w:rsid w:val="00136E47"/>
    <w:rsid w:val="00136FF9"/>
    <w:rsid w:val="0013728F"/>
    <w:rsid w:val="00137310"/>
    <w:rsid w:val="00137BA1"/>
    <w:rsid w:val="0014049B"/>
    <w:rsid w:val="00140ED6"/>
    <w:rsid w:val="00141482"/>
    <w:rsid w:val="00141818"/>
    <w:rsid w:val="00141CFD"/>
    <w:rsid w:val="0014252B"/>
    <w:rsid w:val="0014282B"/>
    <w:rsid w:val="00142A4D"/>
    <w:rsid w:val="00142E47"/>
    <w:rsid w:val="00143167"/>
    <w:rsid w:val="00143525"/>
    <w:rsid w:val="001436A7"/>
    <w:rsid w:val="00144611"/>
    <w:rsid w:val="00144B1B"/>
    <w:rsid w:val="001456C7"/>
    <w:rsid w:val="0014787F"/>
    <w:rsid w:val="00147947"/>
    <w:rsid w:val="00151A73"/>
    <w:rsid w:val="00151FB0"/>
    <w:rsid w:val="00152D98"/>
    <w:rsid w:val="0015411C"/>
    <w:rsid w:val="00154381"/>
    <w:rsid w:val="001564B4"/>
    <w:rsid w:val="00156521"/>
    <w:rsid w:val="00156A18"/>
    <w:rsid w:val="0016217F"/>
    <w:rsid w:val="00163792"/>
    <w:rsid w:val="00163F59"/>
    <w:rsid w:val="001644AA"/>
    <w:rsid w:val="00165C4D"/>
    <w:rsid w:val="00166BE1"/>
    <w:rsid w:val="001671BC"/>
    <w:rsid w:val="001702D7"/>
    <w:rsid w:val="001707ED"/>
    <w:rsid w:val="00170B04"/>
    <w:rsid w:val="001711E6"/>
    <w:rsid w:val="00172093"/>
    <w:rsid w:val="00172FF2"/>
    <w:rsid w:val="0017313D"/>
    <w:rsid w:val="001756DD"/>
    <w:rsid w:val="00175CFE"/>
    <w:rsid w:val="00176846"/>
    <w:rsid w:val="001772C7"/>
    <w:rsid w:val="00177AE1"/>
    <w:rsid w:val="00177E22"/>
    <w:rsid w:val="00180E63"/>
    <w:rsid w:val="00180EC6"/>
    <w:rsid w:val="00182E7D"/>
    <w:rsid w:val="001837ED"/>
    <w:rsid w:val="00183EEC"/>
    <w:rsid w:val="001840DC"/>
    <w:rsid w:val="00184C6E"/>
    <w:rsid w:val="00187D56"/>
    <w:rsid w:val="00190A25"/>
    <w:rsid w:val="00193384"/>
    <w:rsid w:val="00193B45"/>
    <w:rsid w:val="001957F2"/>
    <w:rsid w:val="0019627A"/>
    <w:rsid w:val="00197485"/>
    <w:rsid w:val="001A0653"/>
    <w:rsid w:val="001A157D"/>
    <w:rsid w:val="001A4314"/>
    <w:rsid w:val="001A4CB0"/>
    <w:rsid w:val="001A4F3D"/>
    <w:rsid w:val="001A50A6"/>
    <w:rsid w:val="001A64D6"/>
    <w:rsid w:val="001A676A"/>
    <w:rsid w:val="001A76CD"/>
    <w:rsid w:val="001A7A00"/>
    <w:rsid w:val="001B0BC3"/>
    <w:rsid w:val="001B11EB"/>
    <w:rsid w:val="001B1559"/>
    <w:rsid w:val="001B3A25"/>
    <w:rsid w:val="001B40B6"/>
    <w:rsid w:val="001B72DE"/>
    <w:rsid w:val="001B7441"/>
    <w:rsid w:val="001B7D36"/>
    <w:rsid w:val="001C1650"/>
    <w:rsid w:val="001C18A5"/>
    <w:rsid w:val="001C27DD"/>
    <w:rsid w:val="001C54D5"/>
    <w:rsid w:val="001C557B"/>
    <w:rsid w:val="001C68A6"/>
    <w:rsid w:val="001C6E03"/>
    <w:rsid w:val="001C6E25"/>
    <w:rsid w:val="001C7FAB"/>
    <w:rsid w:val="001D0D54"/>
    <w:rsid w:val="001D0D75"/>
    <w:rsid w:val="001D21D0"/>
    <w:rsid w:val="001D24B1"/>
    <w:rsid w:val="001D2D04"/>
    <w:rsid w:val="001D5233"/>
    <w:rsid w:val="001D65A4"/>
    <w:rsid w:val="001E521E"/>
    <w:rsid w:val="001E5458"/>
    <w:rsid w:val="001E61C0"/>
    <w:rsid w:val="001E77A7"/>
    <w:rsid w:val="001E7C2A"/>
    <w:rsid w:val="001E7C47"/>
    <w:rsid w:val="001F0E53"/>
    <w:rsid w:val="001F0E62"/>
    <w:rsid w:val="001F1365"/>
    <w:rsid w:val="001F2032"/>
    <w:rsid w:val="001F294E"/>
    <w:rsid w:val="001F353B"/>
    <w:rsid w:val="001F39C9"/>
    <w:rsid w:val="001F3B52"/>
    <w:rsid w:val="001F4CD3"/>
    <w:rsid w:val="001F4E51"/>
    <w:rsid w:val="001F4F35"/>
    <w:rsid w:val="001F5AA9"/>
    <w:rsid w:val="002010D6"/>
    <w:rsid w:val="0020245F"/>
    <w:rsid w:val="002028B6"/>
    <w:rsid w:val="00203160"/>
    <w:rsid w:val="0020410B"/>
    <w:rsid w:val="00205AA6"/>
    <w:rsid w:val="00207D0F"/>
    <w:rsid w:val="0021017E"/>
    <w:rsid w:val="0021259A"/>
    <w:rsid w:val="00212975"/>
    <w:rsid w:val="00213176"/>
    <w:rsid w:val="00214904"/>
    <w:rsid w:val="00214C9D"/>
    <w:rsid w:val="002178C9"/>
    <w:rsid w:val="00221795"/>
    <w:rsid w:val="002229D9"/>
    <w:rsid w:val="00222F3B"/>
    <w:rsid w:val="00224921"/>
    <w:rsid w:val="00226029"/>
    <w:rsid w:val="00226880"/>
    <w:rsid w:val="0022688E"/>
    <w:rsid w:val="002274D0"/>
    <w:rsid w:val="00227783"/>
    <w:rsid w:val="00227D6B"/>
    <w:rsid w:val="00230BD1"/>
    <w:rsid w:val="00230F10"/>
    <w:rsid w:val="00231CB6"/>
    <w:rsid w:val="00232097"/>
    <w:rsid w:val="00232ABE"/>
    <w:rsid w:val="00233570"/>
    <w:rsid w:val="00233D7A"/>
    <w:rsid w:val="0023416D"/>
    <w:rsid w:val="00234457"/>
    <w:rsid w:val="00234583"/>
    <w:rsid w:val="00234D37"/>
    <w:rsid w:val="00236C53"/>
    <w:rsid w:val="00237451"/>
    <w:rsid w:val="0024071E"/>
    <w:rsid w:val="00240A07"/>
    <w:rsid w:val="002415C3"/>
    <w:rsid w:val="00243468"/>
    <w:rsid w:val="0024348E"/>
    <w:rsid w:val="00244F96"/>
    <w:rsid w:val="002452D0"/>
    <w:rsid w:val="0024542D"/>
    <w:rsid w:val="0024630C"/>
    <w:rsid w:val="00247D70"/>
    <w:rsid w:val="00247F6A"/>
    <w:rsid w:val="002505BE"/>
    <w:rsid w:val="00250D70"/>
    <w:rsid w:val="002515F6"/>
    <w:rsid w:val="0025173D"/>
    <w:rsid w:val="00253146"/>
    <w:rsid w:val="00253B3E"/>
    <w:rsid w:val="00254E43"/>
    <w:rsid w:val="00254E51"/>
    <w:rsid w:val="00257199"/>
    <w:rsid w:val="002600C7"/>
    <w:rsid w:val="00260CE2"/>
    <w:rsid w:val="0026347A"/>
    <w:rsid w:val="00263B78"/>
    <w:rsid w:val="00266A89"/>
    <w:rsid w:val="00266B56"/>
    <w:rsid w:val="00266C05"/>
    <w:rsid w:val="002702DD"/>
    <w:rsid w:val="00272699"/>
    <w:rsid w:val="0027351E"/>
    <w:rsid w:val="0027441E"/>
    <w:rsid w:val="0027483C"/>
    <w:rsid w:val="00280B66"/>
    <w:rsid w:val="00281D52"/>
    <w:rsid w:val="002820D7"/>
    <w:rsid w:val="00285919"/>
    <w:rsid w:val="00286D82"/>
    <w:rsid w:val="00286E03"/>
    <w:rsid w:val="00287F57"/>
    <w:rsid w:val="00291B3A"/>
    <w:rsid w:val="00292656"/>
    <w:rsid w:val="00292C3C"/>
    <w:rsid w:val="00293495"/>
    <w:rsid w:val="00294AA6"/>
    <w:rsid w:val="00294D4C"/>
    <w:rsid w:val="00296270"/>
    <w:rsid w:val="00297DF9"/>
    <w:rsid w:val="002A0E97"/>
    <w:rsid w:val="002A1D2F"/>
    <w:rsid w:val="002A1DE3"/>
    <w:rsid w:val="002A2305"/>
    <w:rsid w:val="002A477C"/>
    <w:rsid w:val="002A4BB1"/>
    <w:rsid w:val="002A561C"/>
    <w:rsid w:val="002A6CE4"/>
    <w:rsid w:val="002B02EA"/>
    <w:rsid w:val="002B0EB5"/>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7822"/>
    <w:rsid w:val="002C79E4"/>
    <w:rsid w:val="002D2CB2"/>
    <w:rsid w:val="002D468F"/>
    <w:rsid w:val="002D5DED"/>
    <w:rsid w:val="002D657C"/>
    <w:rsid w:val="002D6E19"/>
    <w:rsid w:val="002D7A0A"/>
    <w:rsid w:val="002E000E"/>
    <w:rsid w:val="002E0115"/>
    <w:rsid w:val="002E1AC2"/>
    <w:rsid w:val="002E2CDD"/>
    <w:rsid w:val="002E499B"/>
    <w:rsid w:val="002E626C"/>
    <w:rsid w:val="002E7F6A"/>
    <w:rsid w:val="002F056E"/>
    <w:rsid w:val="002F1AB4"/>
    <w:rsid w:val="002F2DDC"/>
    <w:rsid w:val="002F3393"/>
    <w:rsid w:val="002F36D2"/>
    <w:rsid w:val="002F3C1A"/>
    <w:rsid w:val="002F3E97"/>
    <w:rsid w:val="002F4300"/>
    <w:rsid w:val="002F489A"/>
    <w:rsid w:val="003023FD"/>
    <w:rsid w:val="0030414F"/>
    <w:rsid w:val="00305213"/>
    <w:rsid w:val="00305565"/>
    <w:rsid w:val="00310C02"/>
    <w:rsid w:val="0031131B"/>
    <w:rsid w:val="00312B95"/>
    <w:rsid w:val="00312E50"/>
    <w:rsid w:val="003138AF"/>
    <w:rsid w:val="003147DD"/>
    <w:rsid w:val="00315D84"/>
    <w:rsid w:val="00316AAC"/>
    <w:rsid w:val="003173FB"/>
    <w:rsid w:val="00321C81"/>
    <w:rsid w:val="00322444"/>
    <w:rsid w:val="003225AB"/>
    <w:rsid w:val="00323965"/>
    <w:rsid w:val="0033013B"/>
    <w:rsid w:val="00330A76"/>
    <w:rsid w:val="00330D74"/>
    <w:rsid w:val="00332945"/>
    <w:rsid w:val="00333014"/>
    <w:rsid w:val="00333127"/>
    <w:rsid w:val="003341A9"/>
    <w:rsid w:val="00334B60"/>
    <w:rsid w:val="003360B5"/>
    <w:rsid w:val="003360BB"/>
    <w:rsid w:val="003368B5"/>
    <w:rsid w:val="003369D5"/>
    <w:rsid w:val="00336FAC"/>
    <w:rsid w:val="003379F3"/>
    <w:rsid w:val="00337AAE"/>
    <w:rsid w:val="003405D1"/>
    <w:rsid w:val="00341566"/>
    <w:rsid w:val="00341813"/>
    <w:rsid w:val="00342A5A"/>
    <w:rsid w:val="00345C2F"/>
    <w:rsid w:val="0034794C"/>
    <w:rsid w:val="00347D10"/>
    <w:rsid w:val="00347DB7"/>
    <w:rsid w:val="00347E04"/>
    <w:rsid w:val="0035098F"/>
    <w:rsid w:val="003522B0"/>
    <w:rsid w:val="00352A66"/>
    <w:rsid w:val="00354CF6"/>
    <w:rsid w:val="003557A9"/>
    <w:rsid w:val="0035655A"/>
    <w:rsid w:val="0035692B"/>
    <w:rsid w:val="00357879"/>
    <w:rsid w:val="00357DD1"/>
    <w:rsid w:val="00360BFF"/>
    <w:rsid w:val="00360C27"/>
    <w:rsid w:val="0036152B"/>
    <w:rsid w:val="0036163C"/>
    <w:rsid w:val="00361A07"/>
    <w:rsid w:val="00362300"/>
    <w:rsid w:val="00362945"/>
    <w:rsid w:val="00363DA6"/>
    <w:rsid w:val="003643A3"/>
    <w:rsid w:val="00364555"/>
    <w:rsid w:val="0036493C"/>
    <w:rsid w:val="00365BED"/>
    <w:rsid w:val="00365ECE"/>
    <w:rsid w:val="00365F97"/>
    <w:rsid w:val="00366135"/>
    <w:rsid w:val="00366EAE"/>
    <w:rsid w:val="0037000D"/>
    <w:rsid w:val="00370402"/>
    <w:rsid w:val="00372980"/>
    <w:rsid w:val="00372C90"/>
    <w:rsid w:val="00373509"/>
    <w:rsid w:val="00373545"/>
    <w:rsid w:val="00373D61"/>
    <w:rsid w:val="00377B4B"/>
    <w:rsid w:val="003813B0"/>
    <w:rsid w:val="00381894"/>
    <w:rsid w:val="00381DB8"/>
    <w:rsid w:val="00382BC2"/>
    <w:rsid w:val="00383EC7"/>
    <w:rsid w:val="003852FD"/>
    <w:rsid w:val="003864C0"/>
    <w:rsid w:val="00386714"/>
    <w:rsid w:val="00386BBA"/>
    <w:rsid w:val="00386D59"/>
    <w:rsid w:val="003870E2"/>
    <w:rsid w:val="003908F2"/>
    <w:rsid w:val="0039171C"/>
    <w:rsid w:val="00392F1E"/>
    <w:rsid w:val="00393C49"/>
    <w:rsid w:val="00395037"/>
    <w:rsid w:val="003950F3"/>
    <w:rsid w:val="00396AAB"/>
    <w:rsid w:val="00396E51"/>
    <w:rsid w:val="00396FEE"/>
    <w:rsid w:val="00397842"/>
    <w:rsid w:val="003A12E4"/>
    <w:rsid w:val="003A1A4E"/>
    <w:rsid w:val="003A2AFB"/>
    <w:rsid w:val="003A3E3B"/>
    <w:rsid w:val="003A437D"/>
    <w:rsid w:val="003A5F6E"/>
    <w:rsid w:val="003A6450"/>
    <w:rsid w:val="003B01D4"/>
    <w:rsid w:val="003B0602"/>
    <w:rsid w:val="003B0826"/>
    <w:rsid w:val="003B3833"/>
    <w:rsid w:val="003B4085"/>
    <w:rsid w:val="003B5B3A"/>
    <w:rsid w:val="003B669E"/>
    <w:rsid w:val="003B6AF8"/>
    <w:rsid w:val="003B74FB"/>
    <w:rsid w:val="003B7912"/>
    <w:rsid w:val="003C17CA"/>
    <w:rsid w:val="003C4418"/>
    <w:rsid w:val="003C5A8E"/>
    <w:rsid w:val="003C6A80"/>
    <w:rsid w:val="003C71BD"/>
    <w:rsid w:val="003D277A"/>
    <w:rsid w:val="003D27DC"/>
    <w:rsid w:val="003D3401"/>
    <w:rsid w:val="003D41D9"/>
    <w:rsid w:val="003D5F36"/>
    <w:rsid w:val="003D7759"/>
    <w:rsid w:val="003D7C66"/>
    <w:rsid w:val="003E15BE"/>
    <w:rsid w:val="003E3AD2"/>
    <w:rsid w:val="003E4703"/>
    <w:rsid w:val="003E4C57"/>
    <w:rsid w:val="003E4E42"/>
    <w:rsid w:val="003E651D"/>
    <w:rsid w:val="003E6A24"/>
    <w:rsid w:val="003E7045"/>
    <w:rsid w:val="003E74A4"/>
    <w:rsid w:val="003F0648"/>
    <w:rsid w:val="003F159A"/>
    <w:rsid w:val="003F23B0"/>
    <w:rsid w:val="003F291D"/>
    <w:rsid w:val="003F2F80"/>
    <w:rsid w:val="003F4406"/>
    <w:rsid w:val="003F4998"/>
    <w:rsid w:val="003F4C38"/>
    <w:rsid w:val="003F602A"/>
    <w:rsid w:val="003F6535"/>
    <w:rsid w:val="003F6A06"/>
    <w:rsid w:val="003F7DFD"/>
    <w:rsid w:val="00403EC1"/>
    <w:rsid w:val="00404981"/>
    <w:rsid w:val="00404EA8"/>
    <w:rsid w:val="004069E3"/>
    <w:rsid w:val="00407CFC"/>
    <w:rsid w:val="00410D4E"/>
    <w:rsid w:val="00411191"/>
    <w:rsid w:val="00412989"/>
    <w:rsid w:val="004131F2"/>
    <w:rsid w:val="00414418"/>
    <w:rsid w:val="004146C9"/>
    <w:rsid w:val="00416765"/>
    <w:rsid w:val="004174E5"/>
    <w:rsid w:val="00420072"/>
    <w:rsid w:val="004202ED"/>
    <w:rsid w:val="00420FDD"/>
    <w:rsid w:val="0042107B"/>
    <w:rsid w:val="0042222F"/>
    <w:rsid w:val="00422524"/>
    <w:rsid w:val="00422662"/>
    <w:rsid w:val="004226D0"/>
    <w:rsid w:val="004229B0"/>
    <w:rsid w:val="00422F89"/>
    <w:rsid w:val="00425388"/>
    <w:rsid w:val="00427DB3"/>
    <w:rsid w:val="0043018B"/>
    <w:rsid w:val="00431FB0"/>
    <w:rsid w:val="00433FEB"/>
    <w:rsid w:val="0043622D"/>
    <w:rsid w:val="00436F7F"/>
    <w:rsid w:val="004373BE"/>
    <w:rsid w:val="00440CF6"/>
    <w:rsid w:val="00442BE6"/>
    <w:rsid w:val="0044452B"/>
    <w:rsid w:val="00445908"/>
    <w:rsid w:val="00446BFE"/>
    <w:rsid w:val="00447F42"/>
    <w:rsid w:val="0045116A"/>
    <w:rsid w:val="00451E60"/>
    <w:rsid w:val="00452C48"/>
    <w:rsid w:val="00452E9D"/>
    <w:rsid w:val="0045304C"/>
    <w:rsid w:val="004530AC"/>
    <w:rsid w:val="00453EB3"/>
    <w:rsid w:val="00454368"/>
    <w:rsid w:val="004547C0"/>
    <w:rsid w:val="00454AE8"/>
    <w:rsid w:val="00454BD6"/>
    <w:rsid w:val="004559D3"/>
    <w:rsid w:val="00456D32"/>
    <w:rsid w:val="0045720E"/>
    <w:rsid w:val="00457853"/>
    <w:rsid w:val="00457902"/>
    <w:rsid w:val="00460B25"/>
    <w:rsid w:val="00461A9D"/>
    <w:rsid w:val="00461AD2"/>
    <w:rsid w:val="00462797"/>
    <w:rsid w:val="00464228"/>
    <w:rsid w:val="00467537"/>
    <w:rsid w:val="0047058E"/>
    <w:rsid w:val="00471026"/>
    <w:rsid w:val="004732C0"/>
    <w:rsid w:val="00473A93"/>
    <w:rsid w:val="00474207"/>
    <w:rsid w:val="00474394"/>
    <w:rsid w:val="004744D3"/>
    <w:rsid w:val="00475915"/>
    <w:rsid w:val="00475EFF"/>
    <w:rsid w:val="00476144"/>
    <w:rsid w:val="004762E5"/>
    <w:rsid w:val="0047786B"/>
    <w:rsid w:val="00481BA5"/>
    <w:rsid w:val="004822A1"/>
    <w:rsid w:val="00482EF4"/>
    <w:rsid w:val="0048343C"/>
    <w:rsid w:val="00483A17"/>
    <w:rsid w:val="00483DD5"/>
    <w:rsid w:val="004845F1"/>
    <w:rsid w:val="00484BC2"/>
    <w:rsid w:val="00486E8C"/>
    <w:rsid w:val="004872E3"/>
    <w:rsid w:val="00487630"/>
    <w:rsid w:val="00487DDF"/>
    <w:rsid w:val="004900C1"/>
    <w:rsid w:val="00490743"/>
    <w:rsid w:val="00491178"/>
    <w:rsid w:val="004914D1"/>
    <w:rsid w:val="00492FC4"/>
    <w:rsid w:val="00493037"/>
    <w:rsid w:val="00493AB4"/>
    <w:rsid w:val="00493F84"/>
    <w:rsid w:val="00494CD3"/>
    <w:rsid w:val="00494FB3"/>
    <w:rsid w:val="004955A5"/>
    <w:rsid w:val="00495EF4"/>
    <w:rsid w:val="00496D19"/>
    <w:rsid w:val="00496DF9"/>
    <w:rsid w:val="00497240"/>
    <w:rsid w:val="004A154E"/>
    <w:rsid w:val="004A15DE"/>
    <w:rsid w:val="004A26BF"/>
    <w:rsid w:val="004A2EFC"/>
    <w:rsid w:val="004A472E"/>
    <w:rsid w:val="004A4B6B"/>
    <w:rsid w:val="004A5A3E"/>
    <w:rsid w:val="004A686A"/>
    <w:rsid w:val="004A6F97"/>
    <w:rsid w:val="004B0361"/>
    <w:rsid w:val="004B0440"/>
    <w:rsid w:val="004B38F9"/>
    <w:rsid w:val="004B3904"/>
    <w:rsid w:val="004B42F1"/>
    <w:rsid w:val="004B6157"/>
    <w:rsid w:val="004B7492"/>
    <w:rsid w:val="004B7C61"/>
    <w:rsid w:val="004C0E63"/>
    <w:rsid w:val="004C3546"/>
    <w:rsid w:val="004C3568"/>
    <w:rsid w:val="004C4638"/>
    <w:rsid w:val="004C60B8"/>
    <w:rsid w:val="004C7DD7"/>
    <w:rsid w:val="004D03ED"/>
    <w:rsid w:val="004D0D5A"/>
    <w:rsid w:val="004D18D0"/>
    <w:rsid w:val="004D27D6"/>
    <w:rsid w:val="004D2F5D"/>
    <w:rsid w:val="004D3829"/>
    <w:rsid w:val="004D5771"/>
    <w:rsid w:val="004D79AD"/>
    <w:rsid w:val="004E3E14"/>
    <w:rsid w:val="004E493E"/>
    <w:rsid w:val="004E6274"/>
    <w:rsid w:val="004E6291"/>
    <w:rsid w:val="004E63CC"/>
    <w:rsid w:val="004F096E"/>
    <w:rsid w:val="004F0BE2"/>
    <w:rsid w:val="004F1E7E"/>
    <w:rsid w:val="004F256B"/>
    <w:rsid w:val="004F72C7"/>
    <w:rsid w:val="004F75A1"/>
    <w:rsid w:val="004F79BD"/>
    <w:rsid w:val="00502E98"/>
    <w:rsid w:val="005031B6"/>
    <w:rsid w:val="00506BC4"/>
    <w:rsid w:val="00507A63"/>
    <w:rsid w:val="00507D05"/>
    <w:rsid w:val="00510FCB"/>
    <w:rsid w:val="005117B4"/>
    <w:rsid w:val="00513602"/>
    <w:rsid w:val="0051471A"/>
    <w:rsid w:val="005157A6"/>
    <w:rsid w:val="005203E9"/>
    <w:rsid w:val="0052067C"/>
    <w:rsid w:val="00522F30"/>
    <w:rsid w:val="0052454A"/>
    <w:rsid w:val="00531479"/>
    <w:rsid w:val="005319CE"/>
    <w:rsid w:val="00532574"/>
    <w:rsid w:val="005335EE"/>
    <w:rsid w:val="005343DE"/>
    <w:rsid w:val="005348EF"/>
    <w:rsid w:val="005351E9"/>
    <w:rsid w:val="005353FE"/>
    <w:rsid w:val="005363D4"/>
    <w:rsid w:val="005374AC"/>
    <w:rsid w:val="00540A7C"/>
    <w:rsid w:val="00543E48"/>
    <w:rsid w:val="005445D6"/>
    <w:rsid w:val="00545090"/>
    <w:rsid w:val="00546C44"/>
    <w:rsid w:val="005510FE"/>
    <w:rsid w:val="00556B35"/>
    <w:rsid w:val="00561EE2"/>
    <w:rsid w:val="005631AD"/>
    <w:rsid w:val="005639EA"/>
    <w:rsid w:val="00564BCE"/>
    <w:rsid w:val="00565842"/>
    <w:rsid w:val="005667D5"/>
    <w:rsid w:val="005722A1"/>
    <w:rsid w:val="00572319"/>
    <w:rsid w:val="00572841"/>
    <w:rsid w:val="00573B43"/>
    <w:rsid w:val="00575350"/>
    <w:rsid w:val="005769CA"/>
    <w:rsid w:val="00580DC4"/>
    <w:rsid w:val="00581C8A"/>
    <w:rsid w:val="0058536F"/>
    <w:rsid w:val="00585433"/>
    <w:rsid w:val="00585F10"/>
    <w:rsid w:val="0058729F"/>
    <w:rsid w:val="005879C7"/>
    <w:rsid w:val="0059107D"/>
    <w:rsid w:val="005910A3"/>
    <w:rsid w:val="00591DD6"/>
    <w:rsid w:val="005925E4"/>
    <w:rsid w:val="00592A83"/>
    <w:rsid w:val="00593B07"/>
    <w:rsid w:val="00593E3E"/>
    <w:rsid w:val="005942EA"/>
    <w:rsid w:val="005943A7"/>
    <w:rsid w:val="00595A57"/>
    <w:rsid w:val="00596832"/>
    <w:rsid w:val="005A1052"/>
    <w:rsid w:val="005A161F"/>
    <w:rsid w:val="005A341D"/>
    <w:rsid w:val="005A3AA3"/>
    <w:rsid w:val="005A3FE0"/>
    <w:rsid w:val="005A5B40"/>
    <w:rsid w:val="005B21D1"/>
    <w:rsid w:val="005B2981"/>
    <w:rsid w:val="005B4679"/>
    <w:rsid w:val="005B4F9B"/>
    <w:rsid w:val="005B51C5"/>
    <w:rsid w:val="005B522F"/>
    <w:rsid w:val="005B57B4"/>
    <w:rsid w:val="005B6FB8"/>
    <w:rsid w:val="005B7710"/>
    <w:rsid w:val="005C10C7"/>
    <w:rsid w:val="005C206D"/>
    <w:rsid w:val="005C2C17"/>
    <w:rsid w:val="005C349D"/>
    <w:rsid w:val="005C4005"/>
    <w:rsid w:val="005C4505"/>
    <w:rsid w:val="005C4BD3"/>
    <w:rsid w:val="005C6FD6"/>
    <w:rsid w:val="005C7A9F"/>
    <w:rsid w:val="005D0AF9"/>
    <w:rsid w:val="005D1E18"/>
    <w:rsid w:val="005D244B"/>
    <w:rsid w:val="005D2B37"/>
    <w:rsid w:val="005D4715"/>
    <w:rsid w:val="005D6F2C"/>
    <w:rsid w:val="005E054E"/>
    <w:rsid w:val="005E0A0B"/>
    <w:rsid w:val="005E1812"/>
    <w:rsid w:val="005E1AF2"/>
    <w:rsid w:val="005E1D7A"/>
    <w:rsid w:val="005E2411"/>
    <w:rsid w:val="005E2CA3"/>
    <w:rsid w:val="005E344F"/>
    <w:rsid w:val="005E3CEF"/>
    <w:rsid w:val="005E4D73"/>
    <w:rsid w:val="005E51D2"/>
    <w:rsid w:val="005E6A91"/>
    <w:rsid w:val="005E725C"/>
    <w:rsid w:val="005F168A"/>
    <w:rsid w:val="005F177B"/>
    <w:rsid w:val="005F1840"/>
    <w:rsid w:val="005F218A"/>
    <w:rsid w:val="005F2846"/>
    <w:rsid w:val="005F28F5"/>
    <w:rsid w:val="005F2F06"/>
    <w:rsid w:val="005F3264"/>
    <w:rsid w:val="005F356A"/>
    <w:rsid w:val="005F42C4"/>
    <w:rsid w:val="005F4B6F"/>
    <w:rsid w:val="005F5193"/>
    <w:rsid w:val="005F5C10"/>
    <w:rsid w:val="005F5C2F"/>
    <w:rsid w:val="005F710E"/>
    <w:rsid w:val="005F7879"/>
    <w:rsid w:val="006007F6"/>
    <w:rsid w:val="00600A18"/>
    <w:rsid w:val="00600B0F"/>
    <w:rsid w:val="00601D94"/>
    <w:rsid w:val="00602D21"/>
    <w:rsid w:val="00603821"/>
    <w:rsid w:val="00604147"/>
    <w:rsid w:val="00604F40"/>
    <w:rsid w:val="00605815"/>
    <w:rsid w:val="00605C82"/>
    <w:rsid w:val="0060617B"/>
    <w:rsid w:val="00607CB0"/>
    <w:rsid w:val="00607E92"/>
    <w:rsid w:val="00610569"/>
    <w:rsid w:val="00611962"/>
    <w:rsid w:val="0061359E"/>
    <w:rsid w:val="006135B6"/>
    <w:rsid w:val="00614A27"/>
    <w:rsid w:val="00615247"/>
    <w:rsid w:val="006155FC"/>
    <w:rsid w:val="00615695"/>
    <w:rsid w:val="006203BD"/>
    <w:rsid w:val="0062059B"/>
    <w:rsid w:val="00622788"/>
    <w:rsid w:val="006229B9"/>
    <w:rsid w:val="006247BA"/>
    <w:rsid w:val="00624C5C"/>
    <w:rsid w:val="00627E76"/>
    <w:rsid w:val="006323A6"/>
    <w:rsid w:val="00632B1F"/>
    <w:rsid w:val="006337BB"/>
    <w:rsid w:val="00635A99"/>
    <w:rsid w:val="00635E2F"/>
    <w:rsid w:val="006364D8"/>
    <w:rsid w:val="00636A86"/>
    <w:rsid w:val="00645987"/>
    <w:rsid w:val="0065046E"/>
    <w:rsid w:val="006504EE"/>
    <w:rsid w:val="00650B00"/>
    <w:rsid w:val="0065259E"/>
    <w:rsid w:val="0065282A"/>
    <w:rsid w:val="00652F48"/>
    <w:rsid w:val="006536A9"/>
    <w:rsid w:val="00657C61"/>
    <w:rsid w:val="00657CB6"/>
    <w:rsid w:val="00657E00"/>
    <w:rsid w:val="006613A9"/>
    <w:rsid w:val="00661CFD"/>
    <w:rsid w:val="006625B4"/>
    <w:rsid w:val="006640FE"/>
    <w:rsid w:val="006643AB"/>
    <w:rsid w:val="00671255"/>
    <w:rsid w:val="00672BEE"/>
    <w:rsid w:val="00674467"/>
    <w:rsid w:val="0067448D"/>
    <w:rsid w:val="00675B9C"/>
    <w:rsid w:val="006762E5"/>
    <w:rsid w:val="006764C8"/>
    <w:rsid w:val="006777A0"/>
    <w:rsid w:val="006813C8"/>
    <w:rsid w:val="00681A3E"/>
    <w:rsid w:val="00682A07"/>
    <w:rsid w:val="00683B97"/>
    <w:rsid w:val="00683CCF"/>
    <w:rsid w:val="00683DC7"/>
    <w:rsid w:val="00683E06"/>
    <w:rsid w:val="006846ED"/>
    <w:rsid w:val="0068568E"/>
    <w:rsid w:val="00685B51"/>
    <w:rsid w:val="00685E07"/>
    <w:rsid w:val="0068730C"/>
    <w:rsid w:val="006878FF"/>
    <w:rsid w:val="0069068B"/>
    <w:rsid w:val="006911B5"/>
    <w:rsid w:val="00692917"/>
    <w:rsid w:val="006931D5"/>
    <w:rsid w:val="00693D37"/>
    <w:rsid w:val="00694103"/>
    <w:rsid w:val="006974FC"/>
    <w:rsid w:val="006A0482"/>
    <w:rsid w:val="006A13BF"/>
    <w:rsid w:val="006A4046"/>
    <w:rsid w:val="006A4DBD"/>
    <w:rsid w:val="006A53F6"/>
    <w:rsid w:val="006A7570"/>
    <w:rsid w:val="006B0DC6"/>
    <w:rsid w:val="006B4198"/>
    <w:rsid w:val="006B432F"/>
    <w:rsid w:val="006B46B6"/>
    <w:rsid w:val="006B47F3"/>
    <w:rsid w:val="006B5B90"/>
    <w:rsid w:val="006B7C24"/>
    <w:rsid w:val="006B7CF9"/>
    <w:rsid w:val="006C0139"/>
    <w:rsid w:val="006C0CFB"/>
    <w:rsid w:val="006C111C"/>
    <w:rsid w:val="006C1AEE"/>
    <w:rsid w:val="006C27E2"/>
    <w:rsid w:val="006C3927"/>
    <w:rsid w:val="006C429F"/>
    <w:rsid w:val="006C51F7"/>
    <w:rsid w:val="006C6452"/>
    <w:rsid w:val="006C6761"/>
    <w:rsid w:val="006D0368"/>
    <w:rsid w:val="006D2333"/>
    <w:rsid w:val="006D2DEC"/>
    <w:rsid w:val="006D30C8"/>
    <w:rsid w:val="006D3DBE"/>
    <w:rsid w:val="006D3E32"/>
    <w:rsid w:val="006D571E"/>
    <w:rsid w:val="006D68A5"/>
    <w:rsid w:val="006D6CC7"/>
    <w:rsid w:val="006D70CD"/>
    <w:rsid w:val="006D7C85"/>
    <w:rsid w:val="006E10B8"/>
    <w:rsid w:val="006E1CA2"/>
    <w:rsid w:val="006E2C81"/>
    <w:rsid w:val="006E343F"/>
    <w:rsid w:val="006E42F5"/>
    <w:rsid w:val="006E4AA9"/>
    <w:rsid w:val="006E53D1"/>
    <w:rsid w:val="006E5935"/>
    <w:rsid w:val="006E6DB3"/>
    <w:rsid w:val="006E7CC1"/>
    <w:rsid w:val="006F0B6B"/>
    <w:rsid w:val="006F10F4"/>
    <w:rsid w:val="006F1E01"/>
    <w:rsid w:val="006F47C8"/>
    <w:rsid w:val="006F4AF5"/>
    <w:rsid w:val="006F51F9"/>
    <w:rsid w:val="006F667E"/>
    <w:rsid w:val="006F715C"/>
    <w:rsid w:val="006F79EB"/>
    <w:rsid w:val="006F7A23"/>
    <w:rsid w:val="0070010D"/>
    <w:rsid w:val="007004DA"/>
    <w:rsid w:val="00701726"/>
    <w:rsid w:val="007031E2"/>
    <w:rsid w:val="00703733"/>
    <w:rsid w:val="00711B43"/>
    <w:rsid w:val="007122CC"/>
    <w:rsid w:val="00716799"/>
    <w:rsid w:val="0072229D"/>
    <w:rsid w:val="00723D28"/>
    <w:rsid w:val="007255B4"/>
    <w:rsid w:val="00726D8A"/>
    <w:rsid w:val="00731AD6"/>
    <w:rsid w:val="00732C39"/>
    <w:rsid w:val="007339FC"/>
    <w:rsid w:val="00733A81"/>
    <w:rsid w:val="00733FC6"/>
    <w:rsid w:val="007346B4"/>
    <w:rsid w:val="007349ED"/>
    <w:rsid w:val="0073548A"/>
    <w:rsid w:val="007375CF"/>
    <w:rsid w:val="00737F14"/>
    <w:rsid w:val="00740BD4"/>
    <w:rsid w:val="00740EC3"/>
    <w:rsid w:val="00742F5B"/>
    <w:rsid w:val="0074328B"/>
    <w:rsid w:val="007443DC"/>
    <w:rsid w:val="007462E5"/>
    <w:rsid w:val="00747678"/>
    <w:rsid w:val="007500A2"/>
    <w:rsid w:val="00751A18"/>
    <w:rsid w:val="00752786"/>
    <w:rsid w:val="0075426C"/>
    <w:rsid w:val="00754B6C"/>
    <w:rsid w:val="00756C59"/>
    <w:rsid w:val="007572B7"/>
    <w:rsid w:val="007609DE"/>
    <w:rsid w:val="00760D7B"/>
    <w:rsid w:val="00762176"/>
    <w:rsid w:val="0076664B"/>
    <w:rsid w:val="00766D48"/>
    <w:rsid w:val="00770CD1"/>
    <w:rsid w:val="00773399"/>
    <w:rsid w:val="00773ADD"/>
    <w:rsid w:val="00773FF2"/>
    <w:rsid w:val="00774FA0"/>
    <w:rsid w:val="00777A11"/>
    <w:rsid w:val="0078013B"/>
    <w:rsid w:val="00780E9B"/>
    <w:rsid w:val="0078322C"/>
    <w:rsid w:val="00784027"/>
    <w:rsid w:val="007848F3"/>
    <w:rsid w:val="00784C7B"/>
    <w:rsid w:val="007857B4"/>
    <w:rsid w:val="007864C1"/>
    <w:rsid w:val="00786718"/>
    <w:rsid w:val="00787356"/>
    <w:rsid w:val="00790889"/>
    <w:rsid w:val="00791CE4"/>
    <w:rsid w:val="00793157"/>
    <w:rsid w:val="00794312"/>
    <w:rsid w:val="0079518B"/>
    <w:rsid w:val="00797D19"/>
    <w:rsid w:val="00797D46"/>
    <w:rsid w:val="007A01CC"/>
    <w:rsid w:val="007A0524"/>
    <w:rsid w:val="007A2597"/>
    <w:rsid w:val="007A25C9"/>
    <w:rsid w:val="007A2D4A"/>
    <w:rsid w:val="007A32BB"/>
    <w:rsid w:val="007A4679"/>
    <w:rsid w:val="007A4C9D"/>
    <w:rsid w:val="007A5DFF"/>
    <w:rsid w:val="007A70B9"/>
    <w:rsid w:val="007B149E"/>
    <w:rsid w:val="007B19B1"/>
    <w:rsid w:val="007B1D16"/>
    <w:rsid w:val="007B262F"/>
    <w:rsid w:val="007B2DB4"/>
    <w:rsid w:val="007B3B56"/>
    <w:rsid w:val="007B403A"/>
    <w:rsid w:val="007B40E7"/>
    <w:rsid w:val="007B4213"/>
    <w:rsid w:val="007B4677"/>
    <w:rsid w:val="007B497F"/>
    <w:rsid w:val="007B4ED1"/>
    <w:rsid w:val="007B5439"/>
    <w:rsid w:val="007B794B"/>
    <w:rsid w:val="007C0DEC"/>
    <w:rsid w:val="007C1ECE"/>
    <w:rsid w:val="007C3820"/>
    <w:rsid w:val="007C3ABE"/>
    <w:rsid w:val="007C4C18"/>
    <w:rsid w:val="007C75FA"/>
    <w:rsid w:val="007D1A32"/>
    <w:rsid w:val="007D3DEB"/>
    <w:rsid w:val="007D3FA4"/>
    <w:rsid w:val="007D4D1B"/>
    <w:rsid w:val="007D5153"/>
    <w:rsid w:val="007D620F"/>
    <w:rsid w:val="007D76C4"/>
    <w:rsid w:val="007E14BD"/>
    <w:rsid w:val="007E1ED2"/>
    <w:rsid w:val="007E2B9A"/>
    <w:rsid w:val="007E31EA"/>
    <w:rsid w:val="007E3B25"/>
    <w:rsid w:val="007E3B7D"/>
    <w:rsid w:val="007E5A22"/>
    <w:rsid w:val="007E7710"/>
    <w:rsid w:val="007F0644"/>
    <w:rsid w:val="007F14ED"/>
    <w:rsid w:val="007F2008"/>
    <w:rsid w:val="007F22AC"/>
    <w:rsid w:val="007F29E1"/>
    <w:rsid w:val="007F3CBE"/>
    <w:rsid w:val="007F42E3"/>
    <w:rsid w:val="007F4388"/>
    <w:rsid w:val="007F4788"/>
    <w:rsid w:val="007F618A"/>
    <w:rsid w:val="00800A8F"/>
    <w:rsid w:val="00801104"/>
    <w:rsid w:val="00801432"/>
    <w:rsid w:val="008018DC"/>
    <w:rsid w:val="00802290"/>
    <w:rsid w:val="00803305"/>
    <w:rsid w:val="0080375B"/>
    <w:rsid w:val="00803FCC"/>
    <w:rsid w:val="008041F5"/>
    <w:rsid w:val="00804F53"/>
    <w:rsid w:val="0081042F"/>
    <w:rsid w:val="008120AF"/>
    <w:rsid w:val="008125B6"/>
    <w:rsid w:val="00812625"/>
    <w:rsid w:val="00813636"/>
    <w:rsid w:val="0081374A"/>
    <w:rsid w:val="008148B1"/>
    <w:rsid w:val="00814DBF"/>
    <w:rsid w:val="008157FF"/>
    <w:rsid w:val="00817759"/>
    <w:rsid w:val="00817C8F"/>
    <w:rsid w:val="00820982"/>
    <w:rsid w:val="00821149"/>
    <w:rsid w:val="008213C2"/>
    <w:rsid w:val="0082170D"/>
    <w:rsid w:val="0082187A"/>
    <w:rsid w:val="00822223"/>
    <w:rsid w:val="00822802"/>
    <w:rsid w:val="008237E2"/>
    <w:rsid w:val="00825521"/>
    <w:rsid w:val="00831989"/>
    <w:rsid w:val="00831EBD"/>
    <w:rsid w:val="00833C1E"/>
    <w:rsid w:val="00834BB3"/>
    <w:rsid w:val="00836232"/>
    <w:rsid w:val="00836BE4"/>
    <w:rsid w:val="008378B4"/>
    <w:rsid w:val="00840A1A"/>
    <w:rsid w:val="00840D02"/>
    <w:rsid w:val="00842048"/>
    <w:rsid w:val="00842B1D"/>
    <w:rsid w:val="008431E0"/>
    <w:rsid w:val="00843A16"/>
    <w:rsid w:val="00844665"/>
    <w:rsid w:val="00845E4B"/>
    <w:rsid w:val="00846735"/>
    <w:rsid w:val="00846837"/>
    <w:rsid w:val="00846E42"/>
    <w:rsid w:val="00850601"/>
    <w:rsid w:val="00852698"/>
    <w:rsid w:val="008527C1"/>
    <w:rsid w:val="00852948"/>
    <w:rsid w:val="00853065"/>
    <w:rsid w:val="00854598"/>
    <w:rsid w:val="00854F40"/>
    <w:rsid w:val="00856BDC"/>
    <w:rsid w:val="00857671"/>
    <w:rsid w:val="00857CBA"/>
    <w:rsid w:val="00857E48"/>
    <w:rsid w:val="00860D09"/>
    <w:rsid w:val="00861C4F"/>
    <w:rsid w:val="008620EA"/>
    <w:rsid w:val="00862D0B"/>
    <w:rsid w:val="00863D30"/>
    <w:rsid w:val="008642DF"/>
    <w:rsid w:val="0086434F"/>
    <w:rsid w:val="00864FC3"/>
    <w:rsid w:val="00865AD8"/>
    <w:rsid w:val="00866CE0"/>
    <w:rsid w:val="00867C0B"/>
    <w:rsid w:val="008721CC"/>
    <w:rsid w:val="00872226"/>
    <w:rsid w:val="0087239F"/>
    <w:rsid w:val="00872B47"/>
    <w:rsid w:val="00874730"/>
    <w:rsid w:val="008751CE"/>
    <w:rsid w:val="00875F84"/>
    <w:rsid w:val="00876213"/>
    <w:rsid w:val="008773C3"/>
    <w:rsid w:val="00877623"/>
    <w:rsid w:val="008824EE"/>
    <w:rsid w:val="00882B7E"/>
    <w:rsid w:val="00882D96"/>
    <w:rsid w:val="00883EFA"/>
    <w:rsid w:val="00885A80"/>
    <w:rsid w:val="008867F6"/>
    <w:rsid w:val="00887818"/>
    <w:rsid w:val="0089163F"/>
    <w:rsid w:val="00892C54"/>
    <w:rsid w:val="008931F9"/>
    <w:rsid w:val="00893260"/>
    <w:rsid w:val="008952E6"/>
    <w:rsid w:val="0089533A"/>
    <w:rsid w:val="00896227"/>
    <w:rsid w:val="008A063A"/>
    <w:rsid w:val="008A0CAF"/>
    <w:rsid w:val="008A146D"/>
    <w:rsid w:val="008A27B5"/>
    <w:rsid w:val="008A37E3"/>
    <w:rsid w:val="008A51E0"/>
    <w:rsid w:val="008A5294"/>
    <w:rsid w:val="008A5B3D"/>
    <w:rsid w:val="008A6398"/>
    <w:rsid w:val="008A6DD0"/>
    <w:rsid w:val="008A73CB"/>
    <w:rsid w:val="008A79AF"/>
    <w:rsid w:val="008A7FE6"/>
    <w:rsid w:val="008B02D1"/>
    <w:rsid w:val="008B14A2"/>
    <w:rsid w:val="008B1A8D"/>
    <w:rsid w:val="008B1C28"/>
    <w:rsid w:val="008B31F8"/>
    <w:rsid w:val="008B3929"/>
    <w:rsid w:val="008B3E7A"/>
    <w:rsid w:val="008B7A52"/>
    <w:rsid w:val="008B7F12"/>
    <w:rsid w:val="008C00EC"/>
    <w:rsid w:val="008C0773"/>
    <w:rsid w:val="008C0CE5"/>
    <w:rsid w:val="008C1BFD"/>
    <w:rsid w:val="008C1F78"/>
    <w:rsid w:val="008C5ABC"/>
    <w:rsid w:val="008C5C88"/>
    <w:rsid w:val="008D095A"/>
    <w:rsid w:val="008D1FCD"/>
    <w:rsid w:val="008D3880"/>
    <w:rsid w:val="008D75EB"/>
    <w:rsid w:val="008E0A3D"/>
    <w:rsid w:val="008E0A75"/>
    <w:rsid w:val="008E0EAF"/>
    <w:rsid w:val="008E1805"/>
    <w:rsid w:val="008E6453"/>
    <w:rsid w:val="008F08E0"/>
    <w:rsid w:val="008F2B22"/>
    <w:rsid w:val="008F4295"/>
    <w:rsid w:val="008F51BE"/>
    <w:rsid w:val="009027ED"/>
    <w:rsid w:val="00903409"/>
    <w:rsid w:val="00903846"/>
    <w:rsid w:val="009045FE"/>
    <w:rsid w:val="0090525F"/>
    <w:rsid w:val="0091175D"/>
    <w:rsid w:val="00911B9C"/>
    <w:rsid w:val="00915D0C"/>
    <w:rsid w:val="00917927"/>
    <w:rsid w:val="009201BE"/>
    <w:rsid w:val="00920B05"/>
    <w:rsid w:val="00924453"/>
    <w:rsid w:val="009254FA"/>
    <w:rsid w:val="00925BAC"/>
    <w:rsid w:val="00927A4E"/>
    <w:rsid w:val="00932EB4"/>
    <w:rsid w:val="009340B2"/>
    <w:rsid w:val="00934C7F"/>
    <w:rsid w:val="00936913"/>
    <w:rsid w:val="009369AB"/>
    <w:rsid w:val="00936BC3"/>
    <w:rsid w:val="009374CE"/>
    <w:rsid w:val="00940371"/>
    <w:rsid w:val="00940671"/>
    <w:rsid w:val="0094076F"/>
    <w:rsid w:val="009408E1"/>
    <w:rsid w:val="00940ECD"/>
    <w:rsid w:val="00941A6A"/>
    <w:rsid w:val="00941C25"/>
    <w:rsid w:val="00941C5A"/>
    <w:rsid w:val="00942B42"/>
    <w:rsid w:val="00942D77"/>
    <w:rsid w:val="0094326B"/>
    <w:rsid w:val="0094415E"/>
    <w:rsid w:val="0094416B"/>
    <w:rsid w:val="00946625"/>
    <w:rsid w:val="00951733"/>
    <w:rsid w:val="009519FC"/>
    <w:rsid w:val="00952317"/>
    <w:rsid w:val="00953A8D"/>
    <w:rsid w:val="009566F0"/>
    <w:rsid w:val="009568B8"/>
    <w:rsid w:val="0095692A"/>
    <w:rsid w:val="00957D8E"/>
    <w:rsid w:val="0096040D"/>
    <w:rsid w:val="009606C6"/>
    <w:rsid w:val="00960AA9"/>
    <w:rsid w:val="00960D9D"/>
    <w:rsid w:val="00961125"/>
    <w:rsid w:val="009622C7"/>
    <w:rsid w:val="009663D4"/>
    <w:rsid w:val="00966527"/>
    <w:rsid w:val="00966B57"/>
    <w:rsid w:val="00970F6A"/>
    <w:rsid w:val="009712C8"/>
    <w:rsid w:val="0097190C"/>
    <w:rsid w:val="009765DD"/>
    <w:rsid w:val="009775E7"/>
    <w:rsid w:val="00977A82"/>
    <w:rsid w:val="0098097B"/>
    <w:rsid w:val="00981906"/>
    <w:rsid w:val="00982E10"/>
    <w:rsid w:val="009834D2"/>
    <w:rsid w:val="00984F4A"/>
    <w:rsid w:val="00985129"/>
    <w:rsid w:val="00985BC6"/>
    <w:rsid w:val="00990CCF"/>
    <w:rsid w:val="009918D7"/>
    <w:rsid w:val="009919C7"/>
    <w:rsid w:val="009932CC"/>
    <w:rsid w:val="00993960"/>
    <w:rsid w:val="0099432E"/>
    <w:rsid w:val="0099443A"/>
    <w:rsid w:val="0099453D"/>
    <w:rsid w:val="009951C5"/>
    <w:rsid w:val="00996D23"/>
    <w:rsid w:val="00997A92"/>
    <w:rsid w:val="009A0A11"/>
    <w:rsid w:val="009A1504"/>
    <w:rsid w:val="009A1864"/>
    <w:rsid w:val="009A1C69"/>
    <w:rsid w:val="009A28D5"/>
    <w:rsid w:val="009A3393"/>
    <w:rsid w:val="009A3B92"/>
    <w:rsid w:val="009A4208"/>
    <w:rsid w:val="009A43A3"/>
    <w:rsid w:val="009A5108"/>
    <w:rsid w:val="009A5FEB"/>
    <w:rsid w:val="009A736F"/>
    <w:rsid w:val="009A7A34"/>
    <w:rsid w:val="009B0288"/>
    <w:rsid w:val="009B077D"/>
    <w:rsid w:val="009B0FA0"/>
    <w:rsid w:val="009B3C83"/>
    <w:rsid w:val="009B5599"/>
    <w:rsid w:val="009B5BD8"/>
    <w:rsid w:val="009C0FD7"/>
    <w:rsid w:val="009C3C8C"/>
    <w:rsid w:val="009C4B4C"/>
    <w:rsid w:val="009C4C54"/>
    <w:rsid w:val="009C4FD2"/>
    <w:rsid w:val="009C7161"/>
    <w:rsid w:val="009C76C1"/>
    <w:rsid w:val="009D05EC"/>
    <w:rsid w:val="009D11D6"/>
    <w:rsid w:val="009D27DF"/>
    <w:rsid w:val="009D3554"/>
    <w:rsid w:val="009D3AF6"/>
    <w:rsid w:val="009D4019"/>
    <w:rsid w:val="009D4303"/>
    <w:rsid w:val="009D628C"/>
    <w:rsid w:val="009E11BA"/>
    <w:rsid w:val="009E141B"/>
    <w:rsid w:val="009E26E1"/>
    <w:rsid w:val="009E2D6C"/>
    <w:rsid w:val="009E3752"/>
    <w:rsid w:val="009E51BF"/>
    <w:rsid w:val="009E660D"/>
    <w:rsid w:val="009F073F"/>
    <w:rsid w:val="009F161D"/>
    <w:rsid w:val="009F50D8"/>
    <w:rsid w:val="009F7E80"/>
    <w:rsid w:val="00A00CF4"/>
    <w:rsid w:val="00A03535"/>
    <w:rsid w:val="00A045A2"/>
    <w:rsid w:val="00A04B6D"/>
    <w:rsid w:val="00A05DEB"/>
    <w:rsid w:val="00A06DD7"/>
    <w:rsid w:val="00A12BCC"/>
    <w:rsid w:val="00A14318"/>
    <w:rsid w:val="00A14B48"/>
    <w:rsid w:val="00A14F4E"/>
    <w:rsid w:val="00A167FB"/>
    <w:rsid w:val="00A174F5"/>
    <w:rsid w:val="00A20E1D"/>
    <w:rsid w:val="00A241E3"/>
    <w:rsid w:val="00A3207E"/>
    <w:rsid w:val="00A32095"/>
    <w:rsid w:val="00A32C7A"/>
    <w:rsid w:val="00A32E70"/>
    <w:rsid w:val="00A33E33"/>
    <w:rsid w:val="00A34D08"/>
    <w:rsid w:val="00A40628"/>
    <w:rsid w:val="00A412B9"/>
    <w:rsid w:val="00A43557"/>
    <w:rsid w:val="00A43DEC"/>
    <w:rsid w:val="00A449D1"/>
    <w:rsid w:val="00A44D85"/>
    <w:rsid w:val="00A45025"/>
    <w:rsid w:val="00A453D5"/>
    <w:rsid w:val="00A45844"/>
    <w:rsid w:val="00A45F57"/>
    <w:rsid w:val="00A51077"/>
    <w:rsid w:val="00A51224"/>
    <w:rsid w:val="00A52E3C"/>
    <w:rsid w:val="00A53A6B"/>
    <w:rsid w:val="00A5433B"/>
    <w:rsid w:val="00A54C60"/>
    <w:rsid w:val="00A54E1A"/>
    <w:rsid w:val="00A55441"/>
    <w:rsid w:val="00A56A48"/>
    <w:rsid w:val="00A56DEC"/>
    <w:rsid w:val="00A57B7B"/>
    <w:rsid w:val="00A60B48"/>
    <w:rsid w:val="00A612FF"/>
    <w:rsid w:val="00A614D0"/>
    <w:rsid w:val="00A62BFB"/>
    <w:rsid w:val="00A63B38"/>
    <w:rsid w:val="00A6462A"/>
    <w:rsid w:val="00A64F43"/>
    <w:rsid w:val="00A65FDE"/>
    <w:rsid w:val="00A6602B"/>
    <w:rsid w:val="00A66E8A"/>
    <w:rsid w:val="00A67D01"/>
    <w:rsid w:val="00A71943"/>
    <w:rsid w:val="00A724AF"/>
    <w:rsid w:val="00A730EF"/>
    <w:rsid w:val="00A7361D"/>
    <w:rsid w:val="00A7456C"/>
    <w:rsid w:val="00A74EF5"/>
    <w:rsid w:val="00A75588"/>
    <w:rsid w:val="00A75E58"/>
    <w:rsid w:val="00A772B5"/>
    <w:rsid w:val="00A778FF"/>
    <w:rsid w:val="00A77D5D"/>
    <w:rsid w:val="00A80635"/>
    <w:rsid w:val="00A81B65"/>
    <w:rsid w:val="00A82118"/>
    <w:rsid w:val="00A82EA9"/>
    <w:rsid w:val="00A87BD4"/>
    <w:rsid w:val="00A91E7F"/>
    <w:rsid w:val="00A9358C"/>
    <w:rsid w:val="00A946C9"/>
    <w:rsid w:val="00A95C14"/>
    <w:rsid w:val="00A95FAA"/>
    <w:rsid w:val="00A9666F"/>
    <w:rsid w:val="00A97BA6"/>
    <w:rsid w:val="00A97C92"/>
    <w:rsid w:val="00AA0797"/>
    <w:rsid w:val="00AA2F4F"/>
    <w:rsid w:val="00AA40B0"/>
    <w:rsid w:val="00AA4BFF"/>
    <w:rsid w:val="00AB0069"/>
    <w:rsid w:val="00AB18A3"/>
    <w:rsid w:val="00AB24E1"/>
    <w:rsid w:val="00AB2AB3"/>
    <w:rsid w:val="00AB3D71"/>
    <w:rsid w:val="00AB5F86"/>
    <w:rsid w:val="00AB6CBA"/>
    <w:rsid w:val="00AB6EAC"/>
    <w:rsid w:val="00AC07A4"/>
    <w:rsid w:val="00AC11BE"/>
    <w:rsid w:val="00AC271E"/>
    <w:rsid w:val="00AC4F8E"/>
    <w:rsid w:val="00AC5B40"/>
    <w:rsid w:val="00AC67A5"/>
    <w:rsid w:val="00AD0EF9"/>
    <w:rsid w:val="00AD1F3F"/>
    <w:rsid w:val="00AD2944"/>
    <w:rsid w:val="00AD35EF"/>
    <w:rsid w:val="00AD4A4D"/>
    <w:rsid w:val="00AD57B1"/>
    <w:rsid w:val="00AD5D15"/>
    <w:rsid w:val="00AD5DE1"/>
    <w:rsid w:val="00AD612A"/>
    <w:rsid w:val="00AD6373"/>
    <w:rsid w:val="00AD7A2D"/>
    <w:rsid w:val="00AE2F42"/>
    <w:rsid w:val="00AE33A9"/>
    <w:rsid w:val="00AE4666"/>
    <w:rsid w:val="00AE504D"/>
    <w:rsid w:val="00AE5255"/>
    <w:rsid w:val="00AF1171"/>
    <w:rsid w:val="00AF140A"/>
    <w:rsid w:val="00AF1F7E"/>
    <w:rsid w:val="00AF2CDB"/>
    <w:rsid w:val="00AF4251"/>
    <w:rsid w:val="00AF4A84"/>
    <w:rsid w:val="00AF4AEB"/>
    <w:rsid w:val="00AF539D"/>
    <w:rsid w:val="00AF59B9"/>
    <w:rsid w:val="00AF5A5E"/>
    <w:rsid w:val="00AF7241"/>
    <w:rsid w:val="00B001E4"/>
    <w:rsid w:val="00B00422"/>
    <w:rsid w:val="00B008CC"/>
    <w:rsid w:val="00B0153A"/>
    <w:rsid w:val="00B03CE1"/>
    <w:rsid w:val="00B03DD7"/>
    <w:rsid w:val="00B045F0"/>
    <w:rsid w:val="00B04889"/>
    <w:rsid w:val="00B04DC4"/>
    <w:rsid w:val="00B05CA8"/>
    <w:rsid w:val="00B06013"/>
    <w:rsid w:val="00B06CAC"/>
    <w:rsid w:val="00B06D32"/>
    <w:rsid w:val="00B07049"/>
    <w:rsid w:val="00B072C6"/>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BE8"/>
    <w:rsid w:val="00B41994"/>
    <w:rsid w:val="00B42655"/>
    <w:rsid w:val="00B44BDA"/>
    <w:rsid w:val="00B4503B"/>
    <w:rsid w:val="00B453F2"/>
    <w:rsid w:val="00B462E6"/>
    <w:rsid w:val="00B46EBD"/>
    <w:rsid w:val="00B51489"/>
    <w:rsid w:val="00B5163B"/>
    <w:rsid w:val="00B51651"/>
    <w:rsid w:val="00B525EE"/>
    <w:rsid w:val="00B54516"/>
    <w:rsid w:val="00B55021"/>
    <w:rsid w:val="00B562C4"/>
    <w:rsid w:val="00B571D5"/>
    <w:rsid w:val="00B57273"/>
    <w:rsid w:val="00B57FCB"/>
    <w:rsid w:val="00B6012E"/>
    <w:rsid w:val="00B6112C"/>
    <w:rsid w:val="00B61C6C"/>
    <w:rsid w:val="00B622E7"/>
    <w:rsid w:val="00B62C96"/>
    <w:rsid w:val="00B6380C"/>
    <w:rsid w:val="00B63F64"/>
    <w:rsid w:val="00B641A3"/>
    <w:rsid w:val="00B6545B"/>
    <w:rsid w:val="00B6556C"/>
    <w:rsid w:val="00B65A4C"/>
    <w:rsid w:val="00B672BA"/>
    <w:rsid w:val="00B6734D"/>
    <w:rsid w:val="00B67AA9"/>
    <w:rsid w:val="00B7112D"/>
    <w:rsid w:val="00B71BD5"/>
    <w:rsid w:val="00B72B76"/>
    <w:rsid w:val="00B72D0A"/>
    <w:rsid w:val="00B72F4B"/>
    <w:rsid w:val="00B73098"/>
    <w:rsid w:val="00B73DAC"/>
    <w:rsid w:val="00B744B2"/>
    <w:rsid w:val="00B7597A"/>
    <w:rsid w:val="00B75E8C"/>
    <w:rsid w:val="00B7603F"/>
    <w:rsid w:val="00B760E4"/>
    <w:rsid w:val="00B76E5E"/>
    <w:rsid w:val="00B77EF4"/>
    <w:rsid w:val="00B815E2"/>
    <w:rsid w:val="00B81C7C"/>
    <w:rsid w:val="00B83F20"/>
    <w:rsid w:val="00B846D4"/>
    <w:rsid w:val="00B84A71"/>
    <w:rsid w:val="00B8544D"/>
    <w:rsid w:val="00B871A9"/>
    <w:rsid w:val="00B878CE"/>
    <w:rsid w:val="00B87B22"/>
    <w:rsid w:val="00B87F9C"/>
    <w:rsid w:val="00B906FF"/>
    <w:rsid w:val="00B90944"/>
    <w:rsid w:val="00B9211C"/>
    <w:rsid w:val="00B92EEC"/>
    <w:rsid w:val="00B950A5"/>
    <w:rsid w:val="00B95986"/>
    <w:rsid w:val="00B970EC"/>
    <w:rsid w:val="00B97541"/>
    <w:rsid w:val="00BA0742"/>
    <w:rsid w:val="00BA1CA0"/>
    <w:rsid w:val="00BA455A"/>
    <w:rsid w:val="00BA5528"/>
    <w:rsid w:val="00BA688E"/>
    <w:rsid w:val="00BB0742"/>
    <w:rsid w:val="00BB1B0D"/>
    <w:rsid w:val="00BB638D"/>
    <w:rsid w:val="00BB6818"/>
    <w:rsid w:val="00BC013C"/>
    <w:rsid w:val="00BC0541"/>
    <w:rsid w:val="00BC0C96"/>
    <w:rsid w:val="00BC328D"/>
    <w:rsid w:val="00BC395B"/>
    <w:rsid w:val="00BC3F67"/>
    <w:rsid w:val="00BC45BA"/>
    <w:rsid w:val="00BC47FD"/>
    <w:rsid w:val="00BC5F4E"/>
    <w:rsid w:val="00BC5FDE"/>
    <w:rsid w:val="00BC7297"/>
    <w:rsid w:val="00BC72EA"/>
    <w:rsid w:val="00BD0240"/>
    <w:rsid w:val="00BD0822"/>
    <w:rsid w:val="00BD1E79"/>
    <w:rsid w:val="00BD2C19"/>
    <w:rsid w:val="00BD4551"/>
    <w:rsid w:val="00BD5E01"/>
    <w:rsid w:val="00BD799F"/>
    <w:rsid w:val="00BE0125"/>
    <w:rsid w:val="00BE0A98"/>
    <w:rsid w:val="00BE0EDD"/>
    <w:rsid w:val="00BE1867"/>
    <w:rsid w:val="00BE300A"/>
    <w:rsid w:val="00BE3D14"/>
    <w:rsid w:val="00BE419C"/>
    <w:rsid w:val="00BE5FB6"/>
    <w:rsid w:val="00BE6A53"/>
    <w:rsid w:val="00BE79DB"/>
    <w:rsid w:val="00BF11D7"/>
    <w:rsid w:val="00BF24C3"/>
    <w:rsid w:val="00BF2FC9"/>
    <w:rsid w:val="00BF467C"/>
    <w:rsid w:val="00BF59B0"/>
    <w:rsid w:val="00BF7D62"/>
    <w:rsid w:val="00C0130E"/>
    <w:rsid w:val="00C0272E"/>
    <w:rsid w:val="00C02B41"/>
    <w:rsid w:val="00C04D36"/>
    <w:rsid w:val="00C04DB4"/>
    <w:rsid w:val="00C052B0"/>
    <w:rsid w:val="00C05EB3"/>
    <w:rsid w:val="00C06FCE"/>
    <w:rsid w:val="00C07C03"/>
    <w:rsid w:val="00C10747"/>
    <w:rsid w:val="00C10EB5"/>
    <w:rsid w:val="00C12025"/>
    <w:rsid w:val="00C133C8"/>
    <w:rsid w:val="00C1447E"/>
    <w:rsid w:val="00C15F7E"/>
    <w:rsid w:val="00C21159"/>
    <w:rsid w:val="00C21650"/>
    <w:rsid w:val="00C24BF8"/>
    <w:rsid w:val="00C265C0"/>
    <w:rsid w:val="00C27482"/>
    <w:rsid w:val="00C27872"/>
    <w:rsid w:val="00C30595"/>
    <w:rsid w:val="00C30AAD"/>
    <w:rsid w:val="00C311B3"/>
    <w:rsid w:val="00C33D9D"/>
    <w:rsid w:val="00C35637"/>
    <w:rsid w:val="00C36AC4"/>
    <w:rsid w:val="00C418FA"/>
    <w:rsid w:val="00C41C87"/>
    <w:rsid w:val="00C44424"/>
    <w:rsid w:val="00C44FA7"/>
    <w:rsid w:val="00C472A4"/>
    <w:rsid w:val="00C514F2"/>
    <w:rsid w:val="00C51D08"/>
    <w:rsid w:val="00C537EB"/>
    <w:rsid w:val="00C55957"/>
    <w:rsid w:val="00C56855"/>
    <w:rsid w:val="00C61A21"/>
    <w:rsid w:val="00C62EDF"/>
    <w:rsid w:val="00C630B4"/>
    <w:rsid w:val="00C63A77"/>
    <w:rsid w:val="00C654F4"/>
    <w:rsid w:val="00C66654"/>
    <w:rsid w:val="00C669A4"/>
    <w:rsid w:val="00C706EC"/>
    <w:rsid w:val="00C71F95"/>
    <w:rsid w:val="00C72C64"/>
    <w:rsid w:val="00C73585"/>
    <w:rsid w:val="00C7376D"/>
    <w:rsid w:val="00C73C0D"/>
    <w:rsid w:val="00C7436B"/>
    <w:rsid w:val="00C7586A"/>
    <w:rsid w:val="00C76480"/>
    <w:rsid w:val="00C77547"/>
    <w:rsid w:val="00C778E6"/>
    <w:rsid w:val="00C81E07"/>
    <w:rsid w:val="00C8388D"/>
    <w:rsid w:val="00C839A9"/>
    <w:rsid w:val="00C83FB4"/>
    <w:rsid w:val="00C849C6"/>
    <w:rsid w:val="00C85D6A"/>
    <w:rsid w:val="00C860BE"/>
    <w:rsid w:val="00C874E9"/>
    <w:rsid w:val="00C9040A"/>
    <w:rsid w:val="00C90AFC"/>
    <w:rsid w:val="00C94693"/>
    <w:rsid w:val="00C94898"/>
    <w:rsid w:val="00C96BAE"/>
    <w:rsid w:val="00CA2D32"/>
    <w:rsid w:val="00CA3FE6"/>
    <w:rsid w:val="00CA6414"/>
    <w:rsid w:val="00CA74DC"/>
    <w:rsid w:val="00CB2AB7"/>
    <w:rsid w:val="00CC0083"/>
    <w:rsid w:val="00CC05E6"/>
    <w:rsid w:val="00CC27F3"/>
    <w:rsid w:val="00CC3194"/>
    <w:rsid w:val="00CC3562"/>
    <w:rsid w:val="00CC4D63"/>
    <w:rsid w:val="00CC5E5B"/>
    <w:rsid w:val="00CC61A5"/>
    <w:rsid w:val="00CC772A"/>
    <w:rsid w:val="00CC7E08"/>
    <w:rsid w:val="00CD14DB"/>
    <w:rsid w:val="00CD1B73"/>
    <w:rsid w:val="00CD38F1"/>
    <w:rsid w:val="00CD6D72"/>
    <w:rsid w:val="00CD7B93"/>
    <w:rsid w:val="00CE0348"/>
    <w:rsid w:val="00CE0FF1"/>
    <w:rsid w:val="00CE2E0F"/>
    <w:rsid w:val="00CE3C2D"/>
    <w:rsid w:val="00CE42F2"/>
    <w:rsid w:val="00CE50EB"/>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74D"/>
    <w:rsid w:val="00CF5A64"/>
    <w:rsid w:val="00CF6622"/>
    <w:rsid w:val="00CF749A"/>
    <w:rsid w:val="00D0089A"/>
    <w:rsid w:val="00D014C7"/>
    <w:rsid w:val="00D01548"/>
    <w:rsid w:val="00D0265E"/>
    <w:rsid w:val="00D04D5F"/>
    <w:rsid w:val="00D04DD6"/>
    <w:rsid w:val="00D04DFA"/>
    <w:rsid w:val="00D0597F"/>
    <w:rsid w:val="00D05CD0"/>
    <w:rsid w:val="00D05F35"/>
    <w:rsid w:val="00D06393"/>
    <w:rsid w:val="00D06E5E"/>
    <w:rsid w:val="00D06F79"/>
    <w:rsid w:val="00D10597"/>
    <w:rsid w:val="00D120A3"/>
    <w:rsid w:val="00D13288"/>
    <w:rsid w:val="00D13AF8"/>
    <w:rsid w:val="00D1501D"/>
    <w:rsid w:val="00D1584B"/>
    <w:rsid w:val="00D20601"/>
    <w:rsid w:val="00D219E9"/>
    <w:rsid w:val="00D2205B"/>
    <w:rsid w:val="00D23418"/>
    <w:rsid w:val="00D24606"/>
    <w:rsid w:val="00D2620A"/>
    <w:rsid w:val="00D3056A"/>
    <w:rsid w:val="00D3064D"/>
    <w:rsid w:val="00D30AED"/>
    <w:rsid w:val="00D30F84"/>
    <w:rsid w:val="00D31091"/>
    <w:rsid w:val="00D32E1F"/>
    <w:rsid w:val="00D33CFE"/>
    <w:rsid w:val="00D33DDE"/>
    <w:rsid w:val="00D34DA4"/>
    <w:rsid w:val="00D35C1D"/>
    <w:rsid w:val="00D3752F"/>
    <w:rsid w:val="00D37AB8"/>
    <w:rsid w:val="00D40DDE"/>
    <w:rsid w:val="00D42D78"/>
    <w:rsid w:val="00D43970"/>
    <w:rsid w:val="00D43CA5"/>
    <w:rsid w:val="00D44CA5"/>
    <w:rsid w:val="00D46E12"/>
    <w:rsid w:val="00D50734"/>
    <w:rsid w:val="00D507C0"/>
    <w:rsid w:val="00D513CC"/>
    <w:rsid w:val="00D5172A"/>
    <w:rsid w:val="00D520BE"/>
    <w:rsid w:val="00D56435"/>
    <w:rsid w:val="00D62043"/>
    <w:rsid w:val="00D62755"/>
    <w:rsid w:val="00D62AA4"/>
    <w:rsid w:val="00D6318F"/>
    <w:rsid w:val="00D6456C"/>
    <w:rsid w:val="00D650BB"/>
    <w:rsid w:val="00D6540A"/>
    <w:rsid w:val="00D674AF"/>
    <w:rsid w:val="00D70107"/>
    <w:rsid w:val="00D70438"/>
    <w:rsid w:val="00D717AD"/>
    <w:rsid w:val="00D720AD"/>
    <w:rsid w:val="00D72D1D"/>
    <w:rsid w:val="00D74A18"/>
    <w:rsid w:val="00D74D3E"/>
    <w:rsid w:val="00D757C6"/>
    <w:rsid w:val="00D75C41"/>
    <w:rsid w:val="00D80529"/>
    <w:rsid w:val="00D80630"/>
    <w:rsid w:val="00D80B8C"/>
    <w:rsid w:val="00D80F78"/>
    <w:rsid w:val="00D818A0"/>
    <w:rsid w:val="00D81AC3"/>
    <w:rsid w:val="00D81C59"/>
    <w:rsid w:val="00D82A5B"/>
    <w:rsid w:val="00D84637"/>
    <w:rsid w:val="00D8473B"/>
    <w:rsid w:val="00D85717"/>
    <w:rsid w:val="00D85780"/>
    <w:rsid w:val="00D925AA"/>
    <w:rsid w:val="00D9283D"/>
    <w:rsid w:val="00D930DD"/>
    <w:rsid w:val="00D9324F"/>
    <w:rsid w:val="00D9341C"/>
    <w:rsid w:val="00D94B7D"/>
    <w:rsid w:val="00DA0109"/>
    <w:rsid w:val="00DA0B1A"/>
    <w:rsid w:val="00DA1560"/>
    <w:rsid w:val="00DA3176"/>
    <w:rsid w:val="00DA38AE"/>
    <w:rsid w:val="00DA4C44"/>
    <w:rsid w:val="00DA4C48"/>
    <w:rsid w:val="00DA4E21"/>
    <w:rsid w:val="00DA4EC0"/>
    <w:rsid w:val="00DA5938"/>
    <w:rsid w:val="00DA71EF"/>
    <w:rsid w:val="00DA7A18"/>
    <w:rsid w:val="00DB1347"/>
    <w:rsid w:val="00DB1DB9"/>
    <w:rsid w:val="00DB28CE"/>
    <w:rsid w:val="00DB29BC"/>
    <w:rsid w:val="00DB2A2A"/>
    <w:rsid w:val="00DB479F"/>
    <w:rsid w:val="00DB555D"/>
    <w:rsid w:val="00DB55B6"/>
    <w:rsid w:val="00DB5EA7"/>
    <w:rsid w:val="00DB5F21"/>
    <w:rsid w:val="00DB6D7C"/>
    <w:rsid w:val="00DB7183"/>
    <w:rsid w:val="00DB770A"/>
    <w:rsid w:val="00DC0291"/>
    <w:rsid w:val="00DC090A"/>
    <w:rsid w:val="00DC0E7E"/>
    <w:rsid w:val="00DC2D72"/>
    <w:rsid w:val="00DC30EA"/>
    <w:rsid w:val="00DC4FE9"/>
    <w:rsid w:val="00DC5918"/>
    <w:rsid w:val="00DC6C8D"/>
    <w:rsid w:val="00DC73A5"/>
    <w:rsid w:val="00DD0236"/>
    <w:rsid w:val="00DD2EC6"/>
    <w:rsid w:val="00DD4100"/>
    <w:rsid w:val="00DD76A4"/>
    <w:rsid w:val="00DD7C65"/>
    <w:rsid w:val="00DE03E4"/>
    <w:rsid w:val="00DE1134"/>
    <w:rsid w:val="00DE1AEB"/>
    <w:rsid w:val="00DE2247"/>
    <w:rsid w:val="00DE2A34"/>
    <w:rsid w:val="00DE37AE"/>
    <w:rsid w:val="00DE4732"/>
    <w:rsid w:val="00DE6668"/>
    <w:rsid w:val="00DE6987"/>
    <w:rsid w:val="00DE7339"/>
    <w:rsid w:val="00DF1246"/>
    <w:rsid w:val="00DF30C0"/>
    <w:rsid w:val="00DF3F4D"/>
    <w:rsid w:val="00E0080A"/>
    <w:rsid w:val="00E00F31"/>
    <w:rsid w:val="00E02242"/>
    <w:rsid w:val="00E0300E"/>
    <w:rsid w:val="00E04AE0"/>
    <w:rsid w:val="00E070D0"/>
    <w:rsid w:val="00E11517"/>
    <w:rsid w:val="00E12834"/>
    <w:rsid w:val="00E13727"/>
    <w:rsid w:val="00E13E5B"/>
    <w:rsid w:val="00E1475A"/>
    <w:rsid w:val="00E15630"/>
    <w:rsid w:val="00E15B47"/>
    <w:rsid w:val="00E17AB3"/>
    <w:rsid w:val="00E20254"/>
    <w:rsid w:val="00E209F0"/>
    <w:rsid w:val="00E219EB"/>
    <w:rsid w:val="00E22C13"/>
    <w:rsid w:val="00E23129"/>
    <w:rsid w:val="00E25045"/>
    <w:rsid w:val="00E2677C"/>
    <w:rsid w:val="00E26A6A"/>
    <w:rsid w:val="00E26D83"/>
    <w:rsid w:val="00E271CD"/>
    <w:rsid w:val="00E27A1E"/>
    <w:rsid w:val="00E306E9"/>
    <w:rsid w:val="00E307DC"/>
    <w:rsid w:val="00E323CF"/>
    <w:rsid w:val="00E334B9"/>
    <w:rsid w:val="00E33905"/>
    <w:rsid w:val="00E342D1"/>
    <w:rsid w:val="00E34B96"/>
    <w:rsid w:val="00E37502"/>
    <w:rsid w:val="00E40127"/>
    <w:rsid w:val="00E4221A"/>
    <w:rsid w:val="00E43074"/>
    <w:rsid w:val="00E431C8"/>
    <w:rsid w:val="00E44103"/>
    <w:rsid w:val="00E44926"/>
    <w:rsid w:val="00E449A6"/>
    <w:rsid w:val="00E44E09"/>
    <w:rsid w:val="00E451C3"/>
    <w:rsid w:val="00E45D53"/>
    <w:rsid w:val="00E4668E"/>
    <w:rsid w:val="00E46AD5"/>
    <w:rsid w:val="00E46DBD"/>
    <w:rsid w:val="00E51708"/>
    <w:rsid w:val="00E51729"/>
    <w:rsid w:val="00E5187B"/>
    <w:rsid w:val="00E51D0A"/>
    <w:rsid w:val="00E53139"/>
    <w:rsid w:val="00E53A8F"/>
    <w:rsid w:val="00E5435E"/>
    <w:rsid w:val="00E5467C"/>
    <w:rsid w:val="00E55A81"/>
    <w:rsid w:val="00E56450"/>
    <w:rsid w:val="00E56DA8"/>
    <w:rsid w:val="00E60ACC"/>
    <w:rsid w:val="00E60C4B"/>
    <w:rsid w:val="00E60E21"/>
    <w:rsid w:val="00E61024"/>
    <w:rsid w:val="00E61F1E"/>
    <w:rsid w:val="00E62B7A"/>
    <w:rsid w:val="00E64416"/>
    <w:rsid w:val="00E6570E"/>
    <w:rsid w:val="00E66638"/>
    <w:rsid w:val="00E6706E"/>
    <w:rsid w:val="00E7211D"/>
    <w:rsid w:val="00E72275"/>
    <w:rsid w:val="00E754C2"/>
    <w:rsid w:val="00E757CA"/>
    <w:rsid w:val="00E75D48"/>
    <w:rsid w:val="00E76750"/>
    <w:rsid w:val="00E772AC"/>
    <w:rsid w:val="00E773CD"/>
    <w:rsid w:val="00E774C9"/>
    <w:rsid w:val="00E77D0C"/>
    <w:rsid w:val="00E80964"/>
    <w:rsid w:val="00E813CC"/>
    <w:rsid w:val="00E83B5D"/>
    <w:rsid w:val="00E83D43"/>
    <w:rsid w:val="00E841A6"/>
    <w:rsid w:val="00E84BCB"/>
    <w:rsid w:val="00E85905"/>
    <w:rsid w:val="00E85D20"/>
    <w:rsid w:val="00E87C0D"/>
    <w:rsid w:val="00E90DC4"/>
    <w:rsid w:val="00E9163F"/>
    <w:rsid w:val="00E91CB7"/>
    <w:rsid w:val="00E955B0"/>
    <w:rsid w:val="00E956E8"/>
    <w:rsid w:val="00EA022D"/>
    <w:rsid w:val="00EA0D10"/>
    <w:rsid w:val="00EA0F2C"/>
    <w:rsid w:val="00EA19CB"/>
    <w:rsid w:val="00EA2C8F"/>
    <w:rsid w:val="00EA4005"/>
    <w:rsid w:val="00EA5045"/>
    <w:rsid w:val="00EA5719"/>
    <w:rsid w:val="00EA5D64"/>
    <w:rsid w:val="00EA613A"/>
    <w:rsid w:val="00EA6A8C"/>
    <w:rsid w:val="00EB01FA"/>
    <w:rsid w:val="00EB2AD1"/>
    <w:rsid w:val="00EB2F9F"/>
    <w:rsid w:val="00EB3067"/>
    <w:rsid w:val="00EB353E"/>
    <w:rsid w:val="00EB3AA1"/>
    <w:rsid w:val="00EB56E0"/>
    <w:rsid w:val="00EB5DDF"/>
    <w:rsid w:val="00EB6E66"/>
    <w:rsid w:val="00EC0129"/>
    <w:rsid w:val="00EC24C4"/>
    <w:rsid w:val="00EC3CEC"/>
    <w:rsid w:val="00EC4625"/>
    <w:rsid w:val="00ED139E"/>
    <w:rsid w:val="00ED1759"/>
    <w:rsid w:val="00ED27A5"/>
    <w:rsid w:val="00ED30FA"/>
    <w:rsid w:val="00ED3ECB"/>
    <w:rsid w:val="00ED445D"/>
    <w:rsid w:val="00ED461C"/>
    <w:rsid w:val="00ED4A17"/>
    <w:rsid w:val="00ED5E2B"/>
    <w:rsid w:val="00EE01C2"/>
    <w:rsid w:val="00EE0425"/>
    <w:rsid w:val="00EE0BC8"/>
    <w:rsid w:val="00EE2FEA"/>
    <w:rsid w:val="00EE37A2"/>
    <w:rsid w:val="00EE3B12"/>
    <w:rsid w:val="00EE5ADB"/>
    <w:rsid w:val="00EE5AF3"/>
    <w:rsid w:val="00EE5E91"/>
    <w:rsid w:val="00EE5F8C"/>
    <w:rsid w:val="00EE70B1"/>
    <w:rsid w:val="00EE73BC"/>
    <w:rsid w:val="00EE7AC8"/>
    <w:rsid w:val="00EF00AA"/>
    <w:rsid w:val="00EF3996"/>
    <w:rsid w:val="00F0026A"/>
    <w:rsid w:val="00F004F9"/>
    <w:rsid w:val="00F01A22"/>
    <w:rsid w:val="00F021E7"/>
    <w:rsid w:val="00F026C1"/>
    <w:rsid w:val="00F02C25"/>
    <w:rsid w:val="00F039D1"/>
    <w:rsid w:val="00F05BEC"/>
    <w:rsid w:val="00F05D0F"/>
    <w:rsid w:val="00F05DB4"/>
    <w:rsid w:val="00F1293B"/>
    <w:rsid w:val="00F13358"/>
    <w:rsid w:val="00F1456D"/>
    <w:rsid w:val="00F14DA0"/>
    <w:rsid w:val="00F15387"/>
    <w:rsid w:val="00F15D8B"/>
    <w:rsid w:val="00F15F46"/>
    <w:rsid w:val="00F17D58"/>
    <w:rsid w:val="00F21C73"/>
    <w:rsid w:val="00F228F5"/>
    <w:rsid w:val="00F23166"/>
    <w:rsid w:val="00F23FD4"/>
    <w:rsid w:val="00F24143"/>
    <w:rsid w:val="00F241BE"/>
    <w:rsid w:val="00F24962"/>
    <w:rsid w:val="00F25038"/>
    <w:rsid w:val="00F2735C"/>
    <w:rsid w:val="00F27D25"/>
    <w:rsid w:val="00F3124A"/>
    <w:rsid w:val="00F31D41"/>
    <w:rsid w:val="00F34539"/>
    <w:rsid w:val="00F35005"/>
    <w:rsid w:val="00F359FB"/>
    <w:rsid w:val="00F364CB"/>
    <w:rsid w:val="00F36E13"/>
    <w:rsid w:val="00F37601"/>
    <w:rsid w:val="00F4058E"/>
    <w:rsid w:val="00F4220F"/>
    <w:rsid w:val="00F423B8"/>
    <w:rsid w:val="00F4387F"/>
    <w:rsid w:val="00F43F58"/>
    <w:rsid w:val="00F44DE7"/>
    <w:rsid w:val="00F45507"/>
    <w:rsid w:val="00F46014"/>
    <w:rsid w:val="00F47670"/>
    <w:rsid w:val="00F51371"/>
    <w:rsid w:val="00F51AF6"/>
    <w:rsid w:val="00F51B99"/>
    <w:rsid w:val="00F5217F"/>
    <w:rsid w:val="00F551E9"/>
    <w:rsid w:val="00F55A95"/>
    <w:rsid w:val="00F56113"/>
    <w:rsid w:val="00F5640F"/>
    <w:rsid w:val="00F56735"/>
    <w:rsid w:val="00F56B3A"/>
    <w:rsid w:val="00F60F94"/>
    <w:rsid w:val="00F615F9"/>
    <w:rsid w:val="00F62055"/>
    <w:rsid w:val="00F620BE"/>
    <w:rsid w:val="00F64DC5"/>
    <w:rsid w:val="00F65660"/>
    <w:rsid w:val="00F6602D"/>
    <w:rsid w:val="00F66501"/>
    <w:rsid w:val="00F73938"/>
    <w:rsid w:val="00F73E87"/>
    <w:rsid w:val="00F74224"/>
    <w:rsid w:val="00F747A9"/>
    <w:rsid w:val="00F75D10"/>
    <w:rsid w:val="00F76696"/>
    <w:rsid w:val="00F77295"/>
    <w:rsid w:val="00F77A84"/>
    <w:rsid w:val="00F80438"/>
    <w:rsid w:val="00F82127"/>
    <w:rsid w:val="00F876DD"/>
    <w:rsid w:val="00F87905"/>
    <w:rsid w:val="00F91A0D"/>
    <w:rsid w:val="00F9229E"/>
    <w:rsid w:val="00F92724"/>
    <w:rsid w:val="00F9294E"/>
    <w:rsid w:val="00F92A12"/>
    <w:rsid w:val="00F942E2"/>
    <w:rsid w:val="00F9523B"/>
    <w:rsid w:val="00F9546E"/>
    <w:rsid w:val="00F9560B"/>
    <w:rsid w:val="00F95755"/>
    <w:rsid w:val="00F96E67"/>
    <w:rsid w:val="00F96E92"/>
    <w:rsid w:val="00FA0700"/>
    <w:rsid w:val="00FA13CB"/>
    <w:rsid w:val="00FA197F"/>
    <w:rsid w:val="00FA28F8"/>
    <w:rsid w:val="00FA2BE9"/>
    <w:rsid w:val="00FA31AE"/>
    <w:rsid w:val="00FA4FCD"/>
    <w:rsid w:val="00FB1C00"/>
    <w:rsid w:val="00FB1DA4"/>
    <w:rsid w:val="00FB2973"/>
    <w:rsid w:val="00FB3534"/>
    <w:rsid w:val="00FB42CF"/>
    <w:rsid w:val="00FB511E"/>
    <w:rsid w:val="00FB6EE5"/>
    <w:rsid w:val="00FB7B5E"/>
    <w:rsid w:val="00FC07DD"/>
    <w:rsid w:val="00FC2B86"/>
    <w:rsid w:val="00FC48B5"/>
    <w:rsid w:val="00FC4CA2"/>
    <w:rsid w:val="00FC5ED8"/>
    <w:rsid w:val="00FC6FF3"/>
    <w:rsid w:val="00FC7629"/>
    <w:rsid w:val="00FC7B2A"/>
    <w:rsid w:val="00FD3797"/>
    <w:rsid w:val="00FD3B87"/>
    <w:rsid w:val="00FD3D67"/>
    <w:rsid w:val="00FD536A"/>
    <w:rsid w:val="00FD74FF"/>
    <w:rsid w:val="00FE0170"/>
    <w:rsid w:val="00FE1CC7"/>
    <w:rsid w:val="00FE3CEC"/>
    <w:rsid w:val="00FE4145"/>
    <w:rsid w:val="00FE5F2D"/>
    <w:rsid w:val="00FE607C"/>
    <w:rsid w:val="00FE6A1F"/>
    <w:rsid w:val="00FE743E"/>
    <w:rsid w:val="00FE7956"/>
    <w:rsid w:val="00FF04FB"/>
    <w:rsid w:val="00FF0810"/>
    <w:rsid w:val="00FF11E6"/>
    <w:rsid w:val="00FF32F3"/>
    <w:rsid w:val="00FF5B06"/>
    <w:rsid w:val="00FF7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colormru v:ext="edit" colors="#5a9a98,#ddcf56,#ad495d,#ab9c8f,#b5d3d2,#7e6d5f,#f26631,#54534a"/>
    </o:shapedefaults>
    <o:shapelayout v:ext="edit">
      <o:idmap v:ext="edit" data="1"/>
    </o:shapelayout>
  </w:shapeDefaults>
  <w:decimalSymbol w:val="."/>
  <w:listSeparator w:val=","/>
  <w15:docId w15:val="{D2497FB6-1A76-4856-9E89-F67B9EC8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rsid w:val="0001356A"/>
    <w:rPr>
      <w:rFonts w:ascii="Georgia" w:hAnsi="Georgia"/>
      <w:sz w:val="19"/>
      <w:szCs w:val="19"/>
      <w:lang w:val="en-AU" w:eastAsia="en-AU" w:bidi="ar-SA"/>
    </w:rPr>
  </w:style>
  <w:style w:type="character" w:customStyle="1" w:styleId="DraftingNote">
    <w:name w:val="Drafting Note"/>
    <w:basedOn w:val="DefaultParagraphFont"/>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basedOn w:val="DefaultParagraphFont"/>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basedOn w:val="DefaultParagraphFont"/>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basedOn w:val="DefaultParagraphFont"/>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basedOn w:val="DefaultParagraphFont"/>
    <w:semiHidden/>
    <w:rsid w:val="00FB1DA4"/>
    <w:rPr>
      <w:rFonts w:ascii="Franklin Gothic Book" w:hAnsi="Franklin Gothic Book"/>
      <w:w w:val="100"/>
      <w:position w:val="6"/>
      <w:sz w:val="12"/>
      <w:szCs w:val="12"/>
      <w:vertAlign w:val="baseline"/>
    </w:rPr>
  </w:style>
  <w:style w:type="paragraph" w:styleId="FootnoteText">
    <w:name w:val="footnote text"/>
    <w:basedOn w:val="BodyText"/>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basedOn w:val="DefaultParagraphFont"/>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basedOn w:val="DefaultParagraphFont"/>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rsid w:val="00C05EB3"/>
    <w:rPr>
      <w:rFonts w:ascii="Franklin Gothic Book" w:hAnsi="Franklin Gothic Book"/>
      <w:sz w:val="17"/>
      <w:szCs w:val="17"/>
      <w:lang w:val="en-AU" w:eastAsia="en-US" w:bidi="ar-SA"/>
    </w:rPr>
  </w:style>
  <w:style w:type="character" w:customStyle="1" w:styleId="NoteCharChar">
    <w:name w:val="Note Char Char"/>
    <w:basedOn w:val="DefaultParagraphFont"/>
    <w:link w:val="Note"/>
    <w:rsid w:val="008D75EB"/>
    <w:rPr>
      <w:rFonts w:ascii="Franklin Gothic Book" w:hAnsi="Franklin Gothic Book"/>
      <w:sz w:val="14"/>
      <w:szCs w:val="14"/>
      <w:lang w:val="en-AU" w:eastAsia="en-US" w:bidi="ar-SA"/>
    </w:rPr>
  </w:style>
  <w:style w:type="character" w:customStyle="1" w:styleId="NoteNumberCharChar">
    <w:name w:val="Note Number Char Char"/>
    <w:basedOn w:val="DefaultParagraphFont"/>
    <w:link w:val="NoteNumber"/>
    <w:rsid w:val="00EE7AC8"/>
    <w:rPr>
      <w:rFonts w:ascii="Franklin Gothic Book" w:hAnsi="Franklin Gothic Book"/>
      <w:sz w:val="14"/>
      <w:szCs w:val="14"/>
      <w:lang w:val="en-AU" w:eastAsia="en-US" w:bidi="ar-SA"/>
    </w:rPr>
  </w:style>
  <w:style w:type="character" w:customStyle="1" w:styleId="TitleChar">
    <w:name w:val="Title Char"/>
    <w:basedOn w:val="DefaultParagraphFont"/>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basedOn w:val="Title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basedOn w:val="Subtitle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basedOn w:val="Date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basedOn w:val="AuthorChar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paragraph" w:styleId="NormalWeb">
    <w:name w:val="Normal (Web)"/>
    <w:basedOn w:val="Normal"/>
    <w:rsid w:val="005E4D73"/>
    <w:pPr>
      <w:spacing w:before="82" w:after="92"/>
    </w:pPr>
    <w:rPr>
      <w:sz w:val="24"/>
    </w:rPr>
  </w:style>
  <w:style w:type="character" w:customStyle="1" w:styleId="BoxTextChar">
    <w:name w:val="Box Text Char"/>
    <w:basedOn w:val="DefaultParagraphFont"/>
    <w:link w:val="BoxText"/>
    <w:rsid w:val="00CA6414"/>
    <w:rPr>
      <w:rFonts w:ascii="Franklin Gothic Book" w:hAnsi="Franklin Gothic Book"/>
      <w:sz w:val="18"/>
      <w:szCs w:val="18"/>
      <w:lang w:val="en-AU" w:eastAsia="en-AU" w:bidi="ar-SA"/>
    </w:rPr>
  </w:style>
  <w:style w:type="paragraph" w:styleId="ListParagraph">
    <w:name w:val="List Paragraph"/>
    <w:basedOn w:val="Normal"/>
    <w:uiPriority w:val="34"/>
    <w:qFormat/>
    <w:rsid w:val="00581C8A"/>
    <w:pPr>
      <w:ind w:left="720"/>
      <w:contextualSpacing/>
    </w:pPr>
  </w:style>
  <w:style w:type="paragraph" w:customStyle="1" w:styleId="H3">
    <w:name w:val="H3"/>
    <w:basedOn w:val="Heading3"/>
    <w:qFormat/>
    <w:rsid w:val="00581C8A"/>
    <w:pPr>
      <w:spacing w:before="80" w:after="80" w:line="280" w:lineRule="atLeast"/>
      <w:jc w:val="both"/>
    </w:pPr>
    <w:rPr>
      <w:rFonts w:ascii="Georgia" w:hAnsi="Georgia"/>
      <w:b/>
      <w:color w:val="000000" w:themeColor="text1"/>
      <w:sz w:val="18"/>
      <w:szCs w:val="18"/>
    </w:rPr>
  </w:style>
  <w:style w:type="paragraph" w:styleId="TOCHeading">
    <w:name w:val="TOC Heading"/>
    <w:basedOn w:val="Heading1"/>
    <w:next w:val="Normal"/>
    <w:uiPriority w:val="39"/>
    <w:unhideWhenUsed/>
    <w:qFormat/>
    <w:rsid w:val="00022CB2"/>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lang w:val="en-US" w:eastAsia="en-US"/>
    </w:rPr>
  </w:style>
  <w:style w:type="paragraph" w:customStyle="1" w:styleId="H3A">
    <w:name w:val="H3A"/>
    <w:basedOn w:val="Normal"/>
    <w:qFormat/>
    <w:rsid w:val="00787356"/>
    <w:pPr>
      <w:spacing w:before="80" w:after="80" w:line="280" w:lineRule="atLeast"/>
    </w:pPr>
    <w:rPr>
      <w:rFonts w:ascii="Georgia" w:hAnsi="Georgia"/>
      <w:b/>
      <w:bCs/>
      <w:sz w:val="16"/>
      <w:szCs w:val="16"/>
    </w:rPr>
  </w:style>
  <w:style w:type="paragraph" w:customStyle="1" w:styleId="FootNote1">
    <w:name w:val="FootNote1"/>
    <w:basedOn w:val="NormalWeb"/>
    <w:qFormat/>
    <w:rsid w:val="00787356"/>
    <w:pPr>
      <w:spacing w:before="0" w:after="0"/>
    </w:pPr>
    <w:rPr>
      <w:rFonts w:ascii="Franklin Gothic Book" w:hAnsi="Franklin Gothic Book"/>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slt\Local%20Settings\Temporary%20Internet%20Files\OLK6C\101109%20T-AnnualProgramPerformanceTemplate-123%20Advisor%20Amendment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29A0-0A2F-4FC6-9CA9-4098BF6C1A8F}"/>
</file>

<file path=customXml/itemProps2.xml><?xml version="1.0" encoding="utf-8"?>
<ds:datastoreItem xmlns:ds="http://schemas.openxmlformats.org/officeDocument/2006/customXml" ds:itemID="{0A7620FD-505E-4B79-A925-E62B59D605E2}"/>
</file>

<file path=customXml/itemProps3.xml><?xml version="1.0" encoding="utf-8"?>
<ds:datastoreItem xmlns:ds="http://schemas.openxmlformats.org/officeDocument/2006/customXml" ds:itemID="{26008594-BD33-493E-AC8C-5D40CE000219}"/>
</file>

<file path=customXml/itemProps4.xml><?xml version="1.0" encoding="utf-8"?>
<ds:datastoreItem xmlns:ds="http://schemas.openxmlformats.org/officeDocument/2006/customXml" ds:itemID="{F5D9C3EE-E884-432A-AEC9-02D1D261E289}"/>
</file>

<file path=customXml/itemProps5.xml><?xml version="1.0" encoding="utf-8"?>
<ds:datastoreItem xmlns:ds="http://schemas.openxmlformats.org/officeDocument/2006/customXml" ds:itemID="{48E7AFC0-AD6F-48DB-A154-11C03B300C44}"/>
</file>

<file path=docProps/app.xml><?xml version="1.0" encoding="utf-8"?>
<Properties xmlns="http://schemas.openxmlformats.org/officeDocument/2006/extended-properties" xmlns:vt="http://schemas.openxmlformats.org/officeDocument/2006/docPropsVTypes">
  <Template>101109 T-AnnualProgramPerformanceTemplate-123 Advisor Amendments (2)</Template>
  <TotalTime>0</TotalTime>
  <Pages>9</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APPR 2009</vt:lpstr>
    </vt:vector>
  </TitlesOfParts>
  <Manager>AusAID ADG OPS</Manager>
  <Company>ByWord Services</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creator>Tamara Khosla</dc:creator>
  <cp:keywords>APPR</cp:keywords>
  <dc:description>Current to January 2011</dc:description>
  <cp:lastModifiedBy>Guest</cp:lastModifiedBy>
  <cp:revision>2</cp:revision>
  <cp:lastPrinted>2011-01-13T05:37:00Z</cp:lastPrinted>
  <dcterms:created xsi:type="dcterms:W3CDTF">2013-07-07T21:24:00Z</dcterms:created>
  <dcterms:modified xsi:type="dcterms:W3CDTF">2013-07-07T21:24:00Z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Managing Programs</vt:lpwstr>
  </property>
  <property fmtid="{D5CDD505-2E9C-101B-9397-08002B2CF9AE}" pid="3" name="Keyword">
    <vt:lpwstr/>
  </property>
  <property fmtid="{D5CDD505-2E9C-101B-9397-08002B2CF9AE}" pid="4" name="Owner">
    <vt:lpwstr/>
  </property>
  <property fmtid="{D5CDD505-2E9C-101B-9397-08002B2CF9AE}" pid="5" name="Doc Number">
    <vt:lpwstr/>
  </property>
  <property fmtid="{D5CDD505-2E9C-101B-9397-08002B2CF9AE}" pid="6" name="ContentType">
    <vt:lpwstr>Document</vt:lpwstr>
  </property>
  <property fmtid="{D5CDD505-2E9C-101B-9397-08002B2CF9AE}" pid="7" name="display_urn:schemas-microsoft-com:office:office#Editor">
    <vt:lpwstr>System Account</vt:lpwstr>
  </property>
  <property fmtid="{D5CDD505-2E9C-101B-9397-08002B2CF9AE}" pid="8" name="xd_Signature">
    <vt:lpwstr/>
  </property>
  <property fmtid="{D5CDD505-2E9C-101B-9397-08002B2CF9AE}" pid="9" name="Order">
    <vt:r8>122100</vt:r8>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_SourceUrl">
    <vt:lpwstr/>
  </property>
  <property fmtid="{D5CDD505-2E9C-101B-9397-08002B2CF9AE}" pid="14" name="ContentTypeId">
    <vt:lpwstr>0x01010050F19AC2165D2E47A5E6B7F563E4CF00</vt:lpwstr>
  </property>
  <property fmtid="{D5CDD505-2E9C-101B-9397-08002B2CF9AE}" pid="15" name="PublishingContact">
    <vt:lpwstr/>
  </property>
  <property fmtid="{D5CDD505-2E9C-101B-9397-08002B2CF9AE}" pid="16" name="WCMSPublicationSubCategory">
    <vt:lpwstr/>
  </property>
  <property fmtid="{D5CDD505-2E9C-101B-9397-08002B2CF9AE}" pid="17" name="WCMSIPSSubCategory">
    <vt:lpwstr/>
  </property>
  <property fmtid="{D5CDD505-2E9C-101B-9397-08002B2CF9AE}" pid="18" name="PublishingRollupImage">
    <vt:lpwstr/>
  </property>
  <property fmtid="{D5CDD505-2E9C-101B-9397-08002B2CF9AE}" pid="19" name="AusAIDAggregationLevel">
    <vt:lpwstr/>
  </property>
  <property fmtid="{D5CDD505-2E9C-101B-9397-08002B2CF9AE}" pid="20" name="WCMSStatus">
    <vt:lpwstr/>
  </property>
  <property fmtid="{D5CDD505-2E9C-101B-9397-08002B2CF9AE}" pid="21" name="PublishingContactEmail">
    <vt:lpwstr/>
  </property>
  <property fmtid="{D5CDD505-2E9C-101B-9397-08002B2CF9AE}" pid="22" name="WCMSPrintedMedia">
    <vt:bool>false</vt:bool>
  </property>
  <property fmtid="{D5CDD505-2E9C-101B-9397-08002B2CF9AE}" pid="23" name="WCMSIPSCategory">
    <vt:lpwstr/>
  </property>
  <property fmtid="{D5CDD505-2E9C-101B-9397-08002B2CF9AE}" pid="24" name="RSS Feed Link">
    <vt:lpwstr/>
  </property>
  <property fmtid="{D5CDD505-2E9C-101B-9397-08002B2CF9AE}" pid="25" name="WCMSDocumentLink">
    <vt:lpwstr/>
  </property>
  <property fmtid="{D5CDD505-2E9C-101B-9397-08002B2CF9AE}" pid="26" name="WCMSReportDisclaimer">
    <vt:bool>false</vt:bool>
  </property>
  <property fmtid="{D5CDD505-2E9C-101B-9397-08002B2CF9AE}" pid="27" name="PublishingVariationRelationshipLinkFieldID">
    <vt:lpwstr/>
  </property>
  <property fmtid="{D5CDD505-2E9C-101B-9397-08002B2CF9AE}" pid="28" name="WCMSPublicationCategory">
    <vt:lpwstr/>
  </property>
  <property fmtid="{D5CDD505-2E9C-101B-9397-08002B2CF9AE}" pid="29" name="WCMSElectronicMedia">
    <vt:bool>false</vt:bool>
  </property>
  <property fmtid="{D5CDD505-2E9C-101B-9397-08002B2CF9AE}" pid="30" name="_SharedFileIndex">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Audience">
    <vt:lpwstr/>
  </property>
  <property fmtid="{D5CDD505-2E9C-101B-9397-08002B2CF9AE}" pid="39" name="WCMSDescription">
    <vt:lpwstr/>
  </property>
  <property fmtid="{D5CDD505-2E9C-101B-9397-08002B2CF9AE}" pid="41" name="WCMSOtherCategory">
    <vt:lpwstr/>
  </property>
  <property fmtid="{D5CDD505-2E9C-101B-9397-08002B2CF9AE}" pid="42" name="AusAIDPageDescriptionMetadata">
    <vt:lpwstr/>
  </property>
  <property fmtid="{D5CDD505-2E9C-101B-9397-08002B2CF9AE}" pid="43" name="WCMSTheme">
    <vt:lpwstr/>
  </property>
  <property fmtid="{D5CDD505-2E9C-101B-9397-08002B2CF9AE}" pid="44" name="WCMSISBNISSN">
    <vt:lpwstr/>
  </property>
  <property fmtid="{D5CDD505-2E9C-101B-9397-08002B2CF9AE}" pid="45" name="PublishingContactPicture">
    <vt:lpwstr/>
  </property>
  <property fmtid="{D5CDD505-2E9C-101B-9397-08002B2CF9AE}" pid="46" name="PublishingVariationGroupID">
    <vt:lpwstr/>
  </property>
  <property fmtid="{D5CDD505-2E9C-101B-9397-08002B2CF9AE}" pid="47" name="AusAIDIdentifierMetadata">
    <vt:lpwstr/>
  </property>
  <property fmtid="{D5CDD505-2E9C-101B-9397-08002B2CF9AE}" pid="48" name="PublishingContactName">
    <vt:lpwstr/>
  </property>
  <property fmtid="{D5CDD505-2E9C-101B-9397-08002B2CF9AE}" pid="49" name="WCMSRegion">
    <vt:lpwstr/>
  </property>
  <property fmtid="{D5CDD505-2E9C-101B-9397-08002B2CF9AE}" pid="50" name="WCMSPublicationAuthor">
    <vt:lpwstr/>
  </property>
  <property fmtid="{D5CDD505-2E9C-101B-9397-08002B2CF9AE}" pid="51" name="Comments">
    <vt:lpwstr/>
  </property>
  <property fmtid="{D5CDD505-2E9C-101B-9397-08002B2CF9AE}" pid="52" name="PublishingPageLayout">
    <vt:lpwstr/>
  </property>
  <property fmtid="{D5CDD505-2E9C-101B-9397-08002B2CF9AE}" pid="53" name="WCMSCountry">
    <vt:lpwstr/>
  </property>
  <property fmtid="{D5CDD505-2E9C-101B-9397-08002B2CF9AE}" pid="54" name="display_urn">
    <vt:lpwstr>System Account</vt:lpwstr>
  </property>
</Properties>
</file>