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57" w:rsidRPr="005F2F2E" w:rsidRDefault="00346BF4" w:rsidP="00BE716C">
      <w:pPr>
        <w:pStyle w:val="Title"/>
        <w:pageBreakBefore w:val="0"/>
        <w:widowControl w:val="0"/>
        <w:tabs>
          <w:tab w:val="right" w:pos="7938"/>
        </w:tabs>
        <w:rPr>
          <w:color w:val="FFFFFF" w:themeColor="background1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-1521460</wp:posOffset>
            </wp:positionV>
            <wp:extent cx="7553325" cy="3076575"/>
            <wp:effectExtent l="0" t="0" r="9525" b="9525"/>
            <wp:wrapNone/>
            <wp:docPr id="5" name="Picture 4" descr="Australian Government Logo. Aus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AID_facsheet_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157" w:rsidRPr="005F2F2E">
        <w:rPr>
          <w:color w:val="FFFFFF" w:themeColor="background1"/>
        </w:rPr>
        <w:t xml:space="preserve">Annual </w:t>
      </w:r>
      <w:r w:rsidR="004A686A" w:rsidRPr="005F2F2E">
        <w:rPr>
          <w:color w:val="FFFFFF" w:themeColor="background1"/>
        </w:rPr>
        <w:t xml:space="preserve">thematic performance report </w:t>
      </w:r>
      <w:r w:rsidR="004B6157" w:rsidRPr="005F2F2E">
        <w:rPr>
          <w:color w:val="FFFFFF" w:themeColor="background1"/>
        </w:rPr>
        <w:t xml:space="preserve">2009: </w:t>
      </w:r>
      <w:r w:rsidR="00976A2C" w:rsidRPr="005F2F2E">
        <w:rPr>
          <w:color w:val="FFFFFF" w:themeColor="background1"/>
        </w:rPr>
        <w:t>Education</w:t>
      </w:r>
    </w:p>
    <w:p w:rsidR="004B6157" w:rsidRPr="005F2F2E" w:rsidRDefault="00976A2C" w:rsidP="0008587A">
      <w:pPr>
        <w:pStyle w:val="Date"/>
        <w:widowControl w:val="0"/>
        <w:spacing w:after="1200"/>
        <w:rPr>
          <w:color w:val="FFFFFF" w:themeColor="background1"/>
        </w:rPr>
      </w:pPr>
      <w:r w:rsidRPr="005F2F2E">
        <w:rPr>
          <w:color w:val="FFFFFF" w:themeColor="background1"/>
        </w:rPr>
        <w:t>December 2010</w:t>
      </w:r>
    </w:p>
    <w:p w:rsidR="005F2F2E" w:rsidRDefault="005F2F2E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0981785" w:history="1">
        <w:r w:rsidRPr="00663C5F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_Toc360981785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F2F2E" w:rsidRDefault="000F17A3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981786" w:history="1">
        <w:r w:rsidR="005F2F2E" w:rsidRPr="00663C5F">
          <w:rPr>
            <w:rStyle w:val="Hyperlink"/>
            <w:noProof/>
          </w:rPr>
          <w:t>Overview of Australia’s Education development assistance in 2009</w:t>
        </w:r>
        <w:r w:rsidR="005F2F2E">
          <w:rPr>
            <w:noProof/>
            <w:webHidden/>
          </w:rPr>
          <w:tab/>
        </w:r>
        <w:r w:rsidR="005F2F2E">
          <w:rPr>
            <w:noProof/>
            <w:webHidden/>
          </w:rPr>
          <w:fldChar w:fldCharType="begin"/>
        </w:r>
        <w:r w:rsidR="005F2F2E">
          <w:rPr>
            <w:noProof/>
            <w:webHidden/>
          </w:rPr>
          <w:instrText xml:space="preserve"> PAGEREF _Toc360981786 \h </w:instrText>
        </w:r>
        <w:r w:rsidR="005F2F2E">
          <w:rPr>
            <w:noProof/>
            <w:webHidden/>
          </w:rPr>
        </w:r>
        <w:r w:rsidR="005F2F2E">
          <w:rPr>
            <w:noProof/>
            <w:webHidden/>
          </w:rPr>
          <w:fldChar w:fldCharType="separate"/>
        </w:r>
        <w:r w:rsidR="005F2F2E">
          <w:rPr>
            <w:noProof/>
            <w:webHidden/>
          </w:rPr>
          <w:t>2</w:t>
        </w:r>
        <w:r w:rsidR="005F2F2E">
          <w:rPr>
            <w:noProof/>
            <w:webHidden/>
          </w:rPr>
          <w:fldChar w:fldCharType="end"/>
        </w:r>
      </w:hyperlink>
    </w:p>
    <w:p w:rsidR="005F2F2E" w:rsidRDefault="000F17A3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981787" w:history="1">
        <w:r w:rsidR="005F2F2E" w:rsidRPr="00663C5F">
          <w:rPr>
            <w:rStyle w:val="Hyperlink"/>
            <w:noProof/>
          </w:rPr>
          <w:t>Major Achievements</w:t>
        </w:r>
        <w:r w:rsidR="005F2F2E">
          <w:rPr>
            <w:noProof/>
            <w:webHidden/>
          </w:rPr>
          <w:tab/>
        </w:r>
        <w:r w:rsidR="005F2F2E">
          <w:rPr>
            <w:noProof/>
            <w:webHidden/>
          </w:rPr>
          <w:fldChar w:fldCharType="begin"/>
        </w:r>
        <w:r w:rsidR="005F2F2E">
          <w:rPr>
            <w:noProof/>
            <w:webHidden/>
          </w:rPr>
          <w:instrText xml:space="preserve"> PAGEREF _Toc360981787 \h </w:instrText>
        </w:r>
        <w:r w:rsidR="005F2F2E">
          <w:rPr>
            <w:noProof/>
            <w:webHidden/>
          </w:rPr>
        </w:r>
        <w:r w:rsidR="005F2F2E">
          <w:rPr>
            <w:noProof/>
            <w:webHidden/>
          </w:rPr>
          <w:fldChar w:fldCharType="separate"/>
        </w:r>
        <w:r w:rsidR="005F2F2E">
          <w:rPr>
            <w:noProof/>
            <w:webHidden/>
          </w:rPr>
          <w:t>3</w:t>
        </w:r>
        <w:r w:rsidR="005F2F2E">
          <w:rPr>
            <w:noProof/>
            <w:webHidden/>
          </w:rPr>
          <w:fldChar w:fldCharType="end"/>
        </w:r>
      </w:hyperlink>
    </w:p>
    <w:p w:rsidR="005F2F2E" w:rsidRDefault="000F17A3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981788" w:history="1">
        <w:r w:rsidR="005F2F2E" w:rsidRPr="00663C5F">
          <w:rPr>
            <w:rStyle w:val="Hyperlink"/>
            <w:noProof/>
          </w:rPr>
          <w:t>Portfolio Review</w:t>
        </w:r>
        <w:r w:rsidR="005F2F2E">
          <w:rPr>
            <w:noProof/>
            <w:webHidden/>
          </w:rPr>
          <w:tab/>
        </w:r>
        <w:r w:rsidR="005F2F2E">
          <w:rPr>
            <w:noProof/>
            <w:webHidden/>
          </w:rPr>
          <w:fldChar w:fldCharType="begin"/>
        </w:r>
        <w:r w:rsidR="005F2F2E">
          <w:rPr>
            <w:noProof/>
            <w:webHidden/>
          </w:rPr>
          <w:instrText xml:space="preserve"> PAGEREF _Toc360981788 \h </w:instrText>
        </w:r>
        <w:r w:rsidR="005F2F2E">
          <w:rPr>
            <w:noProof/>
            <w:webHidden/>
          </w:rPr>
        </w:r>
        <w:r w:rsidR="005F2F2E">
          <w:rPr>
            <w:noProof/>
            <w:webHidden/>
          </w:rPr>
          <w:fldChar w:fldCharType="separate"/>
        </w:r>
        <w:r w:rsidR="005F2F2E">
          <w:rPr>
            <w:noProof/>
            <w:webHidden/>
          </w:rPr>
          <w:t>9</w:t>
        </w:r>
        <w:r w:rsidR="005F2F2E">
          <w:rPr>
            <w:noProof/>
            <w:webHidden/>
          </w:rPr>
          <w:fldChar w:fldCharType="end"/>
        </w:r>
      </w:hyperlink>
    </w:p>
    <w:p w:rsidR="005F2F2E" w:rsidRDefault="000F17A3" w:rsidP="0008587A">
      <w:pPr>
        <w:pStyle w:val="TOC2"/>
        <w:spacing w:after="720"/>
        <w:ind w:right="56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981789" w:history="1">
        <w:r w:rsidR="005F2F2E" w:rsidRPr="00663C5F">
          <w:rPr>
            <w:rStyle w:val="Hyperlink"/>
            <w:noProof/>
          </w:rPr>
          <w:t>Conclusions and recommended actions</w:t>
        </w:r>
        <w:r w:rsidR="005F2F2E">
          <w:rPr>
            <w:noProof/>
            <w:webHidden/>
          </w:rPr>
          <w:tab/>
        </w:r>
        <w:r w:rsidR="005F2F2E">
          <w:rPr>
            <w:noProof/>
            <w:webHidden/>
          </w:rPr>
          <w:fldChar w:fldCharType="begin"/>
        </w:r>
        <w:r w:rsidR="005F2F2E">
          <w:rPr>
            <w:noProof/>
            <w:webHidden/>
          </w:rPr>
          <w:instrText xml:space="preserve"> PAGEREF _Toc360981789 \h </w:instrText>
        </w:r>
        <w:r w:rsidR="005F2F2E">
          <w:rPr>
            <w:noProof/>
            <w:webHidden/>
          </w:rPr>
        </w:r>
        <w:r w:rsidR="005F2F2E">
          <w:rPr>
            <w:noProof/>
            <w:webHidden/>
          </w:rPr>
          <w:fldChar w:fldCharType="separate"/>
        </w:r>
        <w:r w:rsidR="005F2F2E">
          <w:rPr>
            <w:noProof/>
            <w:webHidden/>
          </w:rPr>
          <w:t>9</w:t>
        </w:r>
        <w:r w:rsidR="005F2F2E">
          <w:rPr>
            <w:noProof/>
            <w:webHidden/>
          </w:rPr>
          <w:fldChar w:fldCharType="end"/>
        </w:r>
      </w:hyperlink>
    </w:p>
    <w:p w:rsidR="00AF0CB7" w:rsidRDefault="005F2F2E" w:rsidP="00BE716C">
      <w:pPr>
        <w:pStyle w:val="Heading1"/>
        <w:keepNext w:val="0"/>
        <w:widowControl w:val="0"/>
        <w:numPr>
          <w:ilvl w:val="0"/>
          <w:numId w:val="0"/>
        </w:numPr>
        <w:spacing w:before="0"/>
      </w:pPr>
      <w:r>
        <w:fldChar w:fldCharType="end"/>
      </w:r>
      <w:bookmarkStart w:id="0" w:name="_Toc360981785"/>
    </w:p>
    <w:p w:rsidR="00AF0CB7" w:rsidRDefault="00AF0CB7" w:rsidP="00AF0CB7">
      <w:pPr>
        <w:pStyle w:val="Subtitle"/>
        <w:rPr>
          <w:rFonts w:ascii="Franklin Gothic Demi" w:hAnsi="Franklin Gothic Demi"/>
          <w:color w:val="AD495D"/>
          <w:sz w:val="28"/>
          <w:szCs w:val="28"/>
        </w:rPr>
      </w:pPr>
      <w:r>
        <w:br w:type="page"/>
      </w:r>
    </w:p>
    <w:p w:rsidR="00AF0CB7" w:rsidRDefault="00AF0CB7" w:rsidP="00AF0CB7">
      <w:pPr>
        <w:pStyle w:val="Heading1"/>
        <w:keepNext w:val="0"/>
        <w:widowControl w:val="0"/>
        <w:numPr>
          <w:ilvl w:val="0"/>
          <w:numId w:val="0"/>
        </w:numPr>
        <w:spacing w:before="0" w:after="2760"/>
      </w:pPr>
    </w:p>
    <w:p w:rsidR="00D04DD6" w:rsidRDefault="00D04DD6" w:rsidP="00BE716C">
      <w:pPr>
        <w:pStyle w:val="Heading1"/>
        <w:keepNext w:val="0"/>
        <w:widowControl w:val="0"/>
        <w:numPr>
          <w:ilvl w:val="0"/>
          <w:numId w:val="0"/>
        </w:numPr>
        <w:spacing w:before="0"/>
      </w:pPr>
      <w:r>
        <w:t>Summary</w:t>
      </w:r>
      <w:bookmarkEnd w:id="0"/>
    </w:p>
    <w:p w:rsidR="00A55D2C" w:rsidRDefault="0088238B" w:rsidP="00FF0A46">
      <w:pPr>
        <w:pStyle w:val="BodyText"/>
        <w:widowControl w:val="0"/>
        <w:rPr>
          <w:rFonts w:cs="FranklinGothic-Book"/>
        </w:rPr>
      </w:pPr>
      <w:r w:rsidRPr="0088238B">
        <w:rPr>
          <w:rFonts w:cs="FranklinGothic-Book"/>
        </w:rPr>
        <w:t>This annual thematic performance report for education</w:t>
      </w:r>
      <w:r w:rsidR="009778B5">
        <w:rPr>
          <w:rFonts w:cs="FranklinGothic-Book"/>
        </w:rPr>
        <w:t xml:space="preserve"> </w:t>
      </w:r>
      <w:r w:rsidRPr="0088238B">
        <w:rPr>
          <w:rFonts w:cs="Arial"/>
        </w:rPr>
        <w:t xml:space="preserve">reviews the performance and quality of the education program </w:t>
      </w:r>
      <w:r>
        <w:rPr>
          <w:rFonts w:cs="Arial"/>
        </w:rPr>
        <w:t xml:space="preserve">for the calendar year 2009. </w:t>
      </w:r>
      <w:r w:rsidR="00603181" w:rsidRPr="0088238B">
        <w:rPr>
          <w:rFonts w:cs="FranklinGothic-Book"/>
        </w:rPr>
        <w:t>Education is a flagship of the Australian aid program</w:t>
      </w:r>
      <w:r w:rsidR="008B7F03" w:rsidRPr="0088238B">
        <w:rPr>
          <w:rFonts w:cs="FranklinGothic-Book"/>
        </w:rPr>
        <w:t xml:space="preserve">. </w:t>
      </w:r>
      <w:r w:rsidR="002120C3" w:rsidRPr="0088238B">
        <w:rPr>
          <w:rFonts w:cs="FranklinGothic-Book"/>
        </w:rPr>
        <w:t>Enhanced support for basic</w:t>
      </w:r>
      <w:r w:rsidR="003C35D3" w:rsidRPr="0088238B">
        <w:rPr>
          <w:rFonts w:cs="FranklinGothic-Book"/>
        </w:rPr>
        <w:t xml:space="preserve"> </w:t>
      </w:r>
      <w:r w:rsidR="002120C3" w:rsidRPr="0088238B">
        <w:rPr>
          <w:rFonts w:cs="FranklinGothic-Book"/>
        </w:rPr>
        <w:t xml:space="preserve">and </w:t>
      </w:r>
      <w:r w:rsidR="00603181" w:rsidRPr="0088238B">
        <w:rPr>
          <w:rFonts w:cs="FranklinGothic-Book"/>
        </w:rPr>
        <w:t xml:space="preserve">secondary </w:t>
      </w:r>
      <w:r w:rsidR="002120C3" w:rsidRPr="0088238B">
        <w:rPr>
          <w:rFonts w:cs="FranklinGothic-Book"/>
        </w:rPr>
        <w:t xml:space="preserve">education, technical </w:t>
      </w:r>
      <w:r w:rsidR="00D71DD1">
        <w:rPr>
          <w:rFonts w:cs="FranklinGothic-Book"/>
        </w:rPr>
        <w:t>and</w:t>
      </w:r>
      <w:r w:rsidR="002120C3" w:rsidRPr="0088238B">
        <w:rPr>
          <w:rFonts w:cs="FranklinGothic-Book"/>
        </w:rPr>
        <w:t xml:space="preserve"> </w:t>
      </w:r>
      <w:r w:rsidR="00603181" w:rsidRPr="0088238B">
        <w:rPr>
          <w:rFonts w:cs="FranklinGothic-Book"/>
        </w:rPr>
        <w:t xml:space="preserve">vocational education </w:t>
      </w:r>
      <w:r w:rsidR="00D71DD1">
        <w:rPr>
          <w:rFonts w:cs="FranklinGothic-Book"/>
        </w:rPr>
        <w:t>and</w:t>
      </w:r>
      <w:r w:rsidR="002120C3" w:rsidRPr="0088238B">
        <w:rPr>
          <w:rFonts w:cs="FranklinGothic-Book"/>
        </w:rPr>
        <w:t xml:space="preserve"> training </w:t>
      </w:r>
      <w:r w:rsidR="00603181" w:rsidRPr="0088238B">
        <w:rPr>
          <w:rFonts w:cs="FranklinGothic-Book"/>
        </w:rPr>
        <w:t>and tertiary-leve</w:t>
      </w:r>
      <w:r w:rsidR="002E31FB" w:rsidRPr="0088238B">
        <w:rPr>
          <w:rFonts w:cs="FranklinGothic-Book"/>
        </w:rPr>
        <w:t>l</w:t>
      </w:r>
      <w:r w:rsidR="002E31FB">
        <w:rPr>
          <w:rFonts w:cs="FranklinGothic-Book"/>
        </w:rPr>
        <w:t xml:space="preserve"> scholarships is helping to give</w:t>
      </w:r>
      <w:r w:rsidR="003C35D3">
        <w:rPr>
          <w:rFonts w:cs="FranklinGothic-Book"/>
        </w:rPr>
        <w:t xml:space="preserve"> </w:t>
      </w:r>
      <w:r w:rsidR="00603181" w:rsidRPr="00603181">
        <w:rPr>
          <w:rFonts w:cs="FranklinGothic-Book"/>
        </w:rPr>
        <w:t xml:space="preserve">more children </w:t>
      </w:r>
      <w:r w:rsidR="002E31FB">
        <w:rPr>
          <w:rFonts w:cs="FranklinGothic-Book"/>
        </w:rPr>
        <w:t xml:space="preserve">access </w:t>
      </w:r>
      <w:r w:rsidR="00603181" w:rsidRPr="00603181">
        <w:rPr>
          <w:rFonts w:cs="FranklinGothic-Book"/>
        </w:rPr>
        <w:t xml:space="preserve">to </w:t>
      </w:r>
      <w:r w:rsidR="002E31FB">
        <w:rPr>
          <w:rFonts w:cs="FranklinGothic-Book"/>
        </w:rPr>
        <w:t xml:space="preserve">good quality </w:t>
      </w:r>
      <w:r w:rsidR="00603181" w:rsidRPr="00603181">
        <w:rPr>
          <w:rFonts w:cs="FranklinGothic-Book"/>
        </w:rPr>
        <w:t>school</w:t>
      </w:r>
      <w:r w:rsidR="002E31FB">
        <w:rPr>
          <w:rFonts w:cs="FranklinGothic-Book"/>
        </w:rPr>
        <w:t>s</w:t>
      </w:r>
      <w:r w:rsidR="00603181" w:rsidRPr="00603181">
        <w:rPr>
          <w:rFonts w:cs="FranklinGothic-Book"/>
        </w:rPr>
        <w:t xml:space="preserve">, </w:t>
      </w:r>
      <w:r w:rsidR="002E31FB">
        <w:rPr>
          <w:rFonts w:cs="FranklinGothic-Book"/>
        </w:rPr>
        <w:t xml:space="preserve">to </w:t>
      </w:r>
      <w:r w:rsidR="00603181" w:rsidRPr="00603181">
        <w:rPr>
          <w:rFonts w:cs="FranklinGothic-Book"/>
        </w:rPr>
        <w:t xml:space="preserve">provide </w:t>
      </w:r>
      <w:r w:rsidR="00603181" w:rsidRPr="003C35D3">
        <w:t>pathways</w:t>
      </w:r>
      <w:r w:rsidR="00603181" w:rsidRPr="00603181">
        <w:rPr>
          <w:rFonts w:cs="FranklinGothic-Book"/>
        </w:rPr>
        <w:t xml:space="preserve"> out of poverty and </w:t>
      </w:r>
      <w:r w:rsidR="002E31FB">
        <w:rPr>
          <w:rFonts w:cs="FranklinGothic-Book"/>
        </w:rPr>
        <w:t xml:space="preserve">to </w:t>
      </w:r>
      <w:r w:rsidR="00603181" w:rsidRPr="00603181">
        <w:rPr>
          <w:rFonts w:cs="FranklinGothic-Book"/>
        </w:rPr>
        <w:t>develop leaders</w:t>
      </w:r>
      <w:r w:rsidR="008B7F03">
        <w:rPr>
          <w:rFonts w:cs="FranklinGothic-Book"/>
        </w:rPr>
        <w:t xml:space="preserve">. </w:t>
      </w:r>
      <w:proofErr w:type="spellStart"/>
      <w:r w:rsidR="003C35D3">
        <w:rPr>
          <w:rFonts w:cs="FranklinGothic-Book"/>
        </w:rPr>
        <w:t>AusAID’s</w:t>
      </w:r>
      <w:proofErr w:type="spellEnd"/>
      <w:r w:rsidR="003C35D3">
        <w:rPr>
          <w:rFonts w:cs="FranklinGothic-Book"/>
        </w:rPr>
        <w:t xml:space="preserve"> </w:t>
      </w:r>
      <w:r w:rsidR="00603181" w:rsidRPr="00603181">
        <w:rPr>
          <w:rFonts w:cs="FranklinGothic-Book"/>
        </w:rPr>
        <w:t xml:space="preserve">support has strengthened national education systems, </w:t>
      </w:r>
      <w:r w:rsidR="002E31FB">
        <w:rPr>
          <w:rFonts w:cs="FranklinGothic-Book"/>
        </w:rPr>
        <w:t>expanded school infrastructure</w:t>
      </w:r>
      <w:r w:rsidR="00603181" w:rsidRPr="00603181">
        <w:rPr>
          <w:rFonts w:cs="FranklinGothic-Book"/>
        </w:rPr>
        <w:t xml:space="preserve">, and improved the quality of education provided to children in </w:t>
      </w:r>
      <w:smartTag w:uri="urn:schemas-microsoft-com:office:smarttags" w:element="place">
        <w:r w:rsidR="002D6774">
          <w:rPr>
            <w:rFonts w:cs="FranklinGothic-Book"/>
          </w:rPr>
          <w:t>Asia</w:t>
        </w:r>
      </w:smartTag>
      <w:r w:rsidR="002D6774">
        <w:rPr>
          <w:rFonts w:cs="FranklinGothic-Book"/>
        </w:rPr>
        <w:t xml:space="preserve"> and the Pacific</w:t>
      </w:r>
      <w:r w:rsidR="00664591">
        <w:rPr>
          <w:rFonts w:cs="FranklinGothic-Book"/>
        </w:rPr>
        <w:t xml:space="preserve">. </w:t>
      </w:r>
    </w:p>
    <w:p w:rsidR="00D3064D" w:rsidRPr="00603181" w:rsidRDefault="0088238B" w:rsidP="00FF0A46">
      <w:pPr>
        <w:pStyle w:val="BodyText"/>
        <w:widowControl w:val="0"/>
        <w:rPr>
          <w:rFonts w:cs="FranklinGothic-Book"/>
        </w:rPr>
      </w:pPr>
      <w:r>
        <w:rPr>
          <w:rFonts w:cs="FranklinGothic-Book"/>
        </w:rPr>
        <w:t xml:space="preserve">Improvement in performance requires a continuing focus on developing </w:t>
      </w:r>
      <w:r w:rsidR="002D0BC4">
        <w:rPr>
          <w:rFonts w:cs="FranklinGothic-Book"/>
        </w:rPr>
        <w:t>A</w:t>
      </w:r>
      <w:r>
        <w:rPr>
          <w:rFonts w:cs="FranklinGothic-Book"/>
        </w:rPr>
        <w:t>gency capacities to engage more effectively with partner countries and other development agencies</w:t>
      </w:r>
      <w:r w:rsidR="001721B0">
        <w:rPr>
          <w:rFonts w:cs="FranklinGothic-Book"/>
        </w:rPr>
        <w:t xml:space="preserve">. </w:t>
      </w:r>
      <w:r w:rsidR="004D60FF">
        <w:rPr>
          <w:rFonts w:cs="FranklinGothic-Book"/>
        </w:rPr>
        <w:t>To be effective</w:t>
      </w:r>
      <w:r w:rsidR="00734A4A">
        <w:rPr>
          <w:rFonts w:cs="FranklinGothic-Book"/>
        </w:rPr>
        <w:t xml:space="preserve">, </w:t>
      </w:r>
      <w:r w:rsidR="004D60FF">
        <w:rPr>
          <w:rFonts w:cs="FranklinGothic-Book"/>
        </w:rPr>
        <w:t>we will need to develop a strong</w:t>
      </w:r>
      <w:r w:rsidR="0035553F">
        <w:rPr>
          <w:rFonts w:cs="FranklinGothic-Book"/>
        </w:rPr>
        <w:t>er</w:t>
      </w:r>
      <w:r w:rsidR="004D60FF">
        <w:rPr>
          <w:rFonts w:cs="FranklinGothic-Book"/>
        </w:rPr>
        <w:t xml:space="preserve"> evidence base</w:t>
      </w:r>
      <w:r>
        <w:rPr>
          <w:rFonts w:cs="FranklinGothic-Book"/>
        </w:rPr>
        <w:t xml:space="preserve"> and a better understanding of country contexts and education priorities</w:t>
      </w:r>
      <w:r w:rsidR="00D21EB9">
        <w:rPr>
          <w:rFonts w:cs="FranklinGothic-Book"/>
        </w:rPr>
        <w:t>.</w:t>
      </w:r>
      <w:r w:rsidR="002D3051">
        <w:rPr>
          <w:rFonts w:cs="FranklinGothic-Book"/>
        </w:rPr>
        <w:t xml:space="preserve"> This is recognised </w:t>
      </w:r>
      <w:r w:rsidR="00D40F0E">
        <w:rPr>
          <w:rFonts w:cs="FranklinGothic-Book"/>
        </w:rPr>
        <w:t xml:space="preserve">by </w:t>
      </w:r>
      <w:proofErr w:type="spellStart"/>
      <w:r w:rsidR="00D40F0E">
        <w:rPr>
          <w:rFonts w:cs="FranklinGothic-Book"/>
        </w:rPr>
        <w:t>AusAID</w:t>
      </w:r>
      <w:proofErr w:type="spellEnd"/>
      <w:r w:rsidR="00D40F0E">
        <w:rPr>
          <w:rFonts w:cs="FranklinGothic-Book"/>
        </w:rPr>
        <w:t xml:space="preserve"> </w:t>
      </w:r>
      <w:r w:rsidR="002D3051">
        <w:rPr>
          <w:rFonts w:cs="FranklinGothic-Book"/>
        </w:rPr>
        <w:t>and is being addressed through the development of a</w:t>
      </w:r>
      <w:r w:rsidR="00A55D2C">
        <w:rPr>
          <w:rFonts w:cs="FranklinGothic-Book"/>
        </w:rPr>
        <w:t xml:space="preserve"> results based </w:t>
      </w:r>
      <w:r w:rsidR="002D3051">
        <w:rPr>
          <w:rFonts w:cs="FranklinGothic-Book"/>
        </w:rPr>
        <w:t>education strategy</w:t>
      </w:r>
      <w:r w:rsidR="00A55D2C">
        <w:rPr>
          <w:rFonts w:cs="FranklinGothic-Book"/>
        </w:rPr>
        <w:t xml:space="preserve"> and</w:t>
      </w:r>
      <w:r w:rsidR="005F4A4E">
        <w:rPr>
          <w:rFonts w:cs="FranklinGothic-Book"/>
        </w:rPr>
        <w:t xml:space="preserve"> </w:t>
      </w:r>
      <w:r w:rsidR="00ED0A75">
        <w:rPr>
          <w:rFonts w:cs="FranklinGothic-Book"/>
        </w:rPr>
        <w:t>concurrent</w:t>
      </w:r>
      <w:r w:rsidR="00E50A68">
        <w:rPr>
          <w:rFonts w:cs="FranklinGothic-Book"/>
        </w:rPr>
        <w:t xml:space="preserve"> investments in knowledge and </w:t>
      </w:r>
      <w:r w:rsidR="00C42D93">
        <w:rPr>
          <w:rFonts w:cs="FranklinGothic-Book"/>
        </w:rPr>
        <w:t xml:space="preserve">its </w:t>
      </w:r>
      <w:r w:rsidR="00E50A68">
        <w:rPr>
          <w:rFonts w:cs="FranklinGothic-Book"/>
        </w:rPr>
        <w:t>workforce</w:t>
      </w:r>
      <w:r w:rsidR="002D3051">
        <w:rPr>
          <w:rFonts w:cs="FranklinGothic-Book"/>
        </w:rPr>
        <w:t>.</w:t>
      </w:r>
    </w:p>
    <w:p w:rsidR="00D04DD6" w:rsidRDefault="00D04DD6" w:rsidP="00BE716C">
      <w:pPr>
        <w:pStyle w:val="Heading2"/>
        <w:keepNext w:val="0"/>
        <w:widowControl w:val="0"/>
        <w:spacing w:before="240"/>
      </w:pPr>
      <w:bookmarkStart w:id="1" w:name="_Toc360981786"/>
      <w:r>
        <w:t>Overview of</w:t>
      </w:r>
      <w:r w:rsidR="00141482">
        <w:t xml:space="preserve"> </w:t>
      </w:r>
      <w:smartTag w:uri="urn:schemas-microsoft-com:office:smarttags" w:element="place">
        <w:smartTag w:uri="urn:schemas-microsoft-com:office:smarttags" w:element="country-region">
          <w:r w:rsidR="00141482">
            <w:t>Australia</w:t>
          </w:r>
        </w:smartTag>
      </w:smartTag>
      <w:r w:rsidR="00141482">
        <w:t>’s</w:t>
      </w:r>
      <w:r>
        <w:t xml:space="preserve"> </w:t>
      </w:r>
      <w:r w:rsidR="00742E52">
        <w:t xml:space="preserve">Education </w:t>
      </w:r>
      <w:r w:rsidR="00141482">
        <w:t>development assistance in 2009</w:t>
      </w:r>
      <w:bookmarkEnd w:id="1"/>
    </w:p>
    <w:p w:rsidR="0088238B" w:rsidRDefault="0088238B" w:rsidP="0088238B">
      <w:pPr>
        <w:pStyle w:val="BodyText"/>
      </w:pP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 w:rsidR="003025A1">
        <w:t xml:space="preserve"> is supporting</w:t>
      </w:r>
      <w:r>
        <w:t xml:space="preserve"> countries to achieve their education objectives, including the education </w:t>
      </w:r>
      <w:r w:rsidR="00D21EB9">
        <w:t xml:space="preserve">Millennium </w:t>
      </w:r>
      <w:r>
        <w:t>D</w:t>
      </w:r>
      <w:r w:rsidR="00D21EB9">
        <w:t xml:space="preserve">evelopment </w:t>
      </w:r>
      <w:r>
        <w:t>G</w:t>
      </w:r>
      <w:r w:rsidR="00D21EB9">
        <w:t>oal</w:t>
      </w:r>
      <w:r>
        <w:t xml:space="preserve">s </w:t>
      </w:r>
      <w:r w:rsidR="00D21EB9">
        <w:t xml:space="preserve">(MDG) </w:t>
      </w:r>
      <w:r>
        <w:t>and the E</w:t>
      </w:r>
      <w:r w:rsidR="00D21EB9">
        <w:t xml:space="preserve">ducation </w:t>
      </w:r>
      <w:r w:rsidR="003B5270">
        <w:t>f</w:t>
      </w:r>
      <w:r w:rsidR="00D21EB9">
        <w:t xml:space="preserve">or </w:t>
      </w:r>
      <w:r>
        <w:t>A</w:t>
      </w:r>
      <w:r w:rsidR="00D21EB9">
        <w:t>ll</w:t>
      </w:r>
      <w:r>
        <w:t xml:space="preserve"> goals</w:t>
      </w:r>
      <w:r w:rsidR="002D0BC4">
        <w:t>,</w:t>
      </w:r>
      <w:r w:rsidR="00621BB8">
        <w:rPr>
          <w:rStyle w:val="FootnoteReference"/>
        </w:rPr>
        <w:footnoteReference w:id="2"/>
      </w:r>
      <w:r>
        <w:t xml:space="preserve"> and to develop the higher-order knowledge and skills all countries need for prosperity and stability.</w:t>
      </w:r>
    </w:p>
    <w:p w:rsidR="00D04DD6" w:rsidRPr="00251DDB" w:rsidRDefault="00B24DED" w:rsidP="00BE716C">
      <w:pPr>
        <w:pStyle w:val="BodyText"/>
        <w:widowControl w:val="0"/>
      </w:pPr>
      <w:r>
        <w:t xml:space="preserve">In 2009, </w:t>
      </w:r>
      <w:proofErr w:type="spellStart"/>
      <w:r>
        <w:t>AusAID</w:t>
      </w:r>
      <w:proofErr w:type="spellEnd"/>
      <w:r>
        <w:t xml:space="preserve"> invested $5</w:t>
      </w:r>
      <w:r w:rsidR="00C42D93">
        <w:t>40</w:t>
      </w:r>
      <w:r>
        <w:t>.</w:t>
      </w:r>
      <w:r w:rsidR="00C42D93">
        <w:t>9</w:t>
      </w:r>
      <w:r>
        <w:t xml:space="preserve"> million in education development assistance initiatives</w:t>
      </w:r>
      <w:r w:rsidR="002D0BC4">
        <w:t>.</w:t>
      </w:r>
      <w:r w:rsidR="002A2908">
        <w:rPr>
          <w:rStyle w:val="FootnoteReference"/>
        </w:rPr>
        <w:footnoteReference w:id="3"/>
      </w:r>
      <w:r w:rsidR="008B7F03">
        <w:t xml:space="preserve"> </w:t>
      </w:r>
      <w:r w:rsidR="0063780E">
        <w:t>This represents approximately</w:t>
      </w:r>
      <w:r w:rsidR="008A5644" w:rsidRPr="008A5644">
        <w:t xml:space="preserve"> 14 per cent of total Australian Overseas Development Assistance</w:t>
      </w:r>
      <w:r w:rsidR="008A5644">
        <w:t>.</w:t>
      </w:r>
      <w:r w:rsidR="008A5644" w:rsidRPr="008A5644">
        <w:t xml:space="preserve"> </w:t>
      </w:r>
      <w:r w:rsidRPr="008A5644">
        <w:t>Of this</w:t>
      </w:r>
      <w:r>
        <w:t>, $</w:t>
      </w:r>
      <w:r w:rsidR="00284206">
        <w:t>1</w:t>
      </w:r>
      <w:r w:rsidR="00C42D93">
        <w:t>87</w:t>
      </w:r>
      <w:r>
        <w:t>.</w:t>
      </w:r>
      <w:r w:rsidR="00C42D93">
        <w:t>3</w:t>
      </w:r>
      <w:r>
        <w:t xml:space="preserve"> million </w:t>
      </w:r>
      <w:r w:rsidR="00656506">
        <w:t>(</w:t>
      </w:r>
      <w:r w:rsidR="00284206">
        <w:t>3</w:t>
      </w:r>
      <w:r w:rsidR="00C42D93">
        <w:t>5</w:t>
      </w:r>
      <w:r w:rsidR="00656506">
        <w:t xml:space="preserve"> per cent) </w:t>
      </w:r>
      <w:r>
        <w:t xml:space="preserve">supported basic </w:t>
      </w:r>
      <w:r w:rsidR="00284206">
        <w:t xml:space="preserve">and secondary </w:t>
      </w:r>
      <w:r>
        <w:t>education, including primary education, basic life skills for youth and adults, and early childhood education</w:t>
      </w:r>
      <w:r w:rsidR="008B7F03">
        <w:t xml:space="preserve">. </w:t>
      </w:r>
      <w:r w:rsidR="00820456">
        <w:t xml:space="preserve">To </w:t>
      </w:r>
      <w:r w:rsidR="00957FCE">
        <w:t>enhance</w:t>
      </w:r>
      <w:r w:rsidR="00820456">
        <w:t xml:space="preserve"> </w:t>
      </w:r>
      <w:r w:rsidR="0085559B">
        <w:t>the effectiveness of education and training systems in partner countries</w:t>
      </w:r>
      <w:r w:rsidR="004D1BCF">
        <w:t xml:space="preserve">, </w:t>
      </w:r>
      <w:proofErr w:type="spellStart"/>
      <w:r w:rsidR="004D1BCF">
        <w:t>AusAID</w:t>
      </w:r>
      <w:proofErr w:type="spellEnd"/>
      <w:r w:rsidR="004D1BCF">
        <w:t xml:space="preserve"> directed $1</w:t>
      </w:r>
      <w:r w:rsidR="00C42D93">
        <w:t>16</w:t>
      </w:r>
      <w:r w:rsidR="004D1BCF">
        <w:t>.</w:t>
      </w:r>
      <w:r w:rsidR="00C42D93">
        <w:t>9</w:t>
      </w:r>
      <w:r w:rsidR="0085559B">
        <w:t xml:space="preserve"> million </w:t>
      </w:r>
      <w:r w:rsidR="00656506">
        <w:t>(2</w:t>
      </w:r>
      <w:r w:rsidR="00C42D93">
        <w:t>2</w:t>
      </w:r>
      <w:r w:rsidR="00656506">
        <w:t xml:space="preserve"> per cent) </w:t>
      </w:r>
      <w:r w:rsidR="0085559B">
        <w:t>to education policy and planning initiatives, facilities improvement, and targeted training of key personnel, including teachers</w:t>
      </w:r>
      <w:r w:rsidR="00664591">
        <w:t xml:space="preserve">. </w:t>
      </w:r>
      <w:proofErr w:type="spellStart"/>
      <w:r w:rsidR="006F7410">
        <w:t>AusAID</w:t>
      </w:r>
      <w:proofErr w:type="spellEnd"/>
      <w:r w:rsidR="006F7410">
        <w:t xml:space="preserve"> provided $3</w:t>
      </w:r>
      <w:r w:rsidR="00C42D93">
        <w:t>8</w:t>
      </w:r>
      <w:r w:rsidR="006F7410">
        <w:t>.</w:t>
      </w:r>
      <w:r w:rsidR="00C42D93">
        <w:t>6</w:t>
      </w:r>
      <w:r w:rsidR="006F7410">
        <w:t xml:space="preserve"> million (7 per cent) in support of vocational education priorities. </w:t>
      </w:r>
      <w:r w:rsidR="004D1BCF">
        <w:t>Recognising the interconnections between the different parts of the education sector, $1</w:t>
      </w:r>
      <w:r w:rsidR="00C42D93">
        <w:t>87</w:t>
      </w:r>
      <w:r w:rsidR="004D1BCF">
        <w:t xml:space="preserve"> million </w:t>
      </w:r>
      <w:r w:rsidR="00656506">
        <w:t>(</w:t>
      </w:r>
      <w:r w:rsidR="00C42D93">
        <w:t>35</w:t>
      </w:r>
      <w:r w:rsidR="00656506">
        <w:t xml:space="preserve"> per cent) </w:t>
      </w:r>
      <w:r w:rsidR="004D1BCF">
        <w:t>was invested in multi</w:t>
      </w:r>
      <w:r w:rsidR="003B5270">
        <w:t>-</w:t>
      </w:r>
      <w:r w:rsidR="004D1BCF">
        <w:t>sectoral education and training initiatives, and $</w:t>
      </w:r>
      <w:r w:rsidR="00C42D93">
        <w:t>6</w:t>
      </w:r>
      <w:r w:rsidR="004D1BCF">
        <w:t>.</w:t>
      </w:r>
      <w:r w:rsidR="00C42D93">
        <w:t>2</w:t>
      </w:r>
      <w:r w:rsidR="004D1BCF">
        <w:t xml:space="preserve"> </w:t>
      </w:r>
      <w:r w:rsidR="00D90063">
        <w:t xml:space="preserve">million </w:t>
      </w:r>
      <w:r w:rsidR="00656506">
        <w:t>(</w:t>
      </w:r>
      <w:r w:rsidR="00C42D93">
        <w:t>1</w:t>
      </w:r>
      <w:r w:rsidR="00656506">
        <w:t xml:space="preserve"> per cent) </w:t>
      </w:r>
      <w:r w:rsidR="004D1BCF">
        <w:t xml:space="preserve">supported higher </w:t>
      </w:r>
      <w:r w:rsidR="004D1BCF" w:rsidRPr="00251DDB">
        <w:t xml:space="preserve">education. </w:t>
      </w:r>
      <w:r w:rsidR="00D76080" w:rsidRPr="00251DDB">
        <w:t xml:space="preserve">Chart 1 provides a breakdown of </w:t>
      </w:r>
      <w:proofErr w:type="spellStart"/>
      <w:r w:rsidR="00D76080" w:rsidRPr="00251DDB">
        <w:t>AusAID</w:t>
      </w:r>
      <w:proofErr w:type="spellEnd"/>
      <w:r w:rsidR="00D76080" w:rsidRPr="00251DDB">
        <w:t xml:space="preserve"> education spending.</w:t>
      </w:r>
    </w:p>
    <w:p w:rsidR="00346BF4" w:rsidRDefault="005915E7" w:rsidP="00346BF4">
      <w:pPr>
        <w:pStyle w:val="Caption1"/>
      </w:pPr>
      <w:r>
        <w:lastRenderedPageBreak/>
        <w:t xml:space="preserve">Chart 1: </w:t>
      </w:r>
      <w:proofErr w:type="spellStart"/>
      <w:r>
        <w:t>AusAID</w:t>
      </w:r>
      <w:proofErr w:type="spellEnd"/>
      <w:r>
        <w:t xml:space="preserve"> Education Spending </w:t>
      </w:r>
      <w:r w:rsidR="00F6470B">
        <w:t xml:space="preserve">in </w:t>
      </w:r>
      <w:r>
        <w:t>2009</w:t>
      </w:r>
    </w:p>
    <w:p w:rsidR="00D05599" w:rsidRDefault="00346BF4" w:rsidP="00D05599">
      <w:pPr>
        <w:pStyle w:val="BodyText"/>
        <w:widowControl w:val="0"/>
        <w:jc w:val="center"/>
      </w:pPr>
      <w:r w:rsidRPr="0042625D">
        <w:rPr>
          <w:noProof/>
          <w:lang w:val="en-US" w:eastAsia="en-US"/>
        </w:rPr>
        <w:drawing>
          <wp:inline distT="0" distB="0" distL="0" distR="0">
            <wp:extent cx="4229100" cy="2847975"/>
            <wp:effectExtent l="19050" t="19050" r="19050" b="28575"/>
            <wp:docPr id="4" name="Picture 1" descr="35% Multi - sectoral Education and training.&#10;35% Basic and Secondary &#10;22% Education Policy and Planning&#10;7% Vocational&#10;1% Higher Education " title="Chart 1: AusAID Education Spending in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1" t="5295" r="9026" b="6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47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1BCF" w:rsidRDefault="00AD6D2A" w:rsidP="00234EFF">
      <w:pPr>
        <w:pStyle w:val="BodyText"/>
        <w:widowControl w:val="0"/>
      </w:pPr>
      <w:r w:rsidRPr="003D5CBB">
        <w:t xml:space="preserve">In 2009, </w:t>
      </w:r>
      <w:smartTag w:uri="urn:schemas-microsoft-com:office:smarttags" w:element="country-region">
        <w:smartTag w:uri="urn:schemas-microsoft-com:office:smarttags" w:element="place">
          <w:r w:rsidR="00700F62" w:rsidRPr="00BF024D">
            <w:rPr>
              <w:spacing w:val="-2"/>
            </w:rPr>
            <w:t>Australia</w:t>
          </w:r>
        </w:smartTag>
      </w:smartTag>
      <w:r w:rsidR="00700F62" w:rsidRPr="00BF024D">
        <w:rPr>
          <w:spacing w:val="-2"/>
        </w:rPr>
        <w:t xml:space="preserve"> support</w:t>
      </w:r>
      <w:r w:rsidR="00700F62">
        <w:rPr>
          <w:spacing w:val="-2"/>
        </w:rPr>
        <w:t>ed</w:t>
      </w:r>
      <w:r w:rsidR="00700F62" w:rsidRPr="00BF024D">
        <w:rPr>
          <w:spacing w:val="-2"/>
        </w:rPr>
        <w:t xml:space="preserve"> education development in 2</w:t>
      </w:r>
      <w:r w:rsidR="00700F62">
        <w:rPr>
          <w:spacing w:val="-2"/>
        </w:rPr>
        <w:t>3</w:t>
      </w:r>
      <w:r w:rsidR="00700F62" w:rsidRPr="00BF024D">
        <w:rPr>
          <w:spacing w:val="-2"/>
        </w:rPr>
        <w:t xml:space="preserve"> countries mainly in the Asia Pacific region</w:t>
      </w:r>
      <w:r w:rsidR="008B7F03">
        <w:t xml:space="preserve">. </w:t>
      </w:r>
      <w:smartTag w:uri="urn:schemas-microsoft-com:office:smarttags" w:element="country-region">
        <w:r w:rsidR="00792493">
          <w:t>Australia</w:t>
        </w:r>
      </w:smartTag>
      <w:r w:rsidR="00792493">
        <w:t xml:space="preserve">’s main education programs are in </w:t>
      </w:r>
      <w:smartTag w:uri="urn:schemas-microsoft-com:office:smarttags" w:element="country-region">
        <w:r w:rsidR="00792493">
          <w:t>I</w:t>
        </w:r>
        <w:r w:rsidR="00C34888">
          <w:t>ndonesia</w:t>
        </w:r>
      </w:smartTag>
      <w:r w:rsidR="00C34888">
        <w:t xml:space="preserve">, </w:t>
      </w:r>
      <w:smartTag w:uri="urn:schemas-microsoft-com:office:smarttags" w:element="country-region">
        <w:r w:rsidR="000C72CD">
          <w:t>Papua New Guinea</w:t>
        </w:r>
      </w:smartTag>
      <w:r w:rsidR="000C72CD">
        <w:t xml:space="preserve"> </w:t>
      </w:r>
      <w:r w:rsidR="00C34888">
        <w:t xml:space="preserve">the </w:t>
      </w:r>
      <w:smartTag w:uri="urn:schemas-microsoft-com:office:smarttags" w:element="country-region">
        <w:r w:rsidR="00C34888">
          <w:t>Philippines</w:t>
        </w:r>
      </w:smartTag>
      <w:r w:rsidR="00C34888">
        <w:t xml:space="preserve">, </w:t>
      </w:r>
      <w:r w:rsidR="000C72CD">
        <w:t xml:space="preserve">East Timor, Bangladesh, </w:t>
      </w:r>
      <w:smartTag w:uri="urn:schemas-microsoft-com:office:smarttags" w:element="country-region">
        <w:smartTag w:uri="urn:schemas-microsoft-com:office:smarttags" w:element="place">
          <w:r w:rsidR="003B5270">
            <w:t>Lao</w:t>
          </w:r>
          <w:r w:rsidR="00950910">
            <w:t>s</w:t>
          </w:r>
        </w:smartTag>
      </w:smartTag>
      <w:r w:rsidR="000C72CD">
        <w:t xml:space="preserve"> and the Pacific</w:t>
      </w:r>
      <w:r w:rsidR="00700F62">
        <w:t>.</w:t>
      </w:r>
    </w:p>
    <w:p w:rsidR="00CF1A08" w:rsidRDefault="000F201F" w:rsidP="00B60444">
      <w:pPr>
        <w:pStyle w:val="BodyText"/>
        <w:widowControl w:val="0"/>
      </w:pPr>
      <w:r>
        <w:t>Table 1 (below)</w:t>
      </w:r>
      <w:r w:rsidR="005F065F">
        <w:t xml:space="preserve"> draw</w:t>
      </w:r>
      <w:r w:rsidR="003B5270">
        <w:t>n from Annual Program P</w:t>
      </w:r>
      <w:r w:rsidR="001422CE">
        <w:t>erformance</w:t>
      </w:r>
      <w:r w:rsidR="003B5270">
        <w:t xml:space="preserve"> R</w:t>
      </w:r>
      <w:r w:rsidR="005F065F">
        <w:t>eports</w:t>
      </w:r>
      <w:r w:rsidR="002D0BC4">
        <w:rPr>
          <w:rStyle w:val="FootnoteReference"/>
        </w:rPr>
        <w:footnoteReference w:id="4"/>
      </w:r>
      <w:r w:rsidR="003B5270">
        <w:t xml:space="preserve"> </w:t>
      </w:r>
      <w:r>
        <w:t xml:space="preserve">shows progress in attaining education objectives </w:t>
      </w:r>
      <w:r w:rsidR="005F065F">
        <w:t xml:space="preserve">across a range of countries </w:t>
      </w:r>
      <w:r w:rsidR="00D21EB9">
        <w:t xml:space="preserve">had </w:t>
      </w:r>
      <w:r>
        <w:t xml:space="preserve">either </w:t>
      </w:r>
      <w:r w:rsidR="00D21EB9">
        <w:t xml:space="preserve">improved or been maintained. </w:t>
      </w:r>
      <w:r>
        <w:t>I</w:t>
      </w:r>
      <w:r w:rsidR="00CF1A08">
        <w:t xml:space="preserve">n Table 2 </w:t>
      </w:r>
      <w:r w:rsidR="0063780E">
        <w:t>(</w:t>
      </w:r>
      <w:r w:rsidR="00CF1A08">
        <w:t>below</w:t>
      </w:r>
      <w:r w:rsidR="0063780E">
        <w:t>)</w:t>
      </w:r>
      <w:r w:rsidR="00CF1A08">
        <w:t xml:space="preserve">, education </w:t>
      </w:r>
      <w:r>
        <w:t>program</w:t>
      </w:r>
      <w:r w:rsidR="00CF1A08">
        <w:t xml:space="preserve"> implementa</w:t>
      </w:r>
      <w:r w:rsidR="00B16504">
        <w:t>tion was generally rated highly. Program performance ratings of</w:t>
      </w:r>
      <w:r w:rsidR="00CF1A08">
        <w:t xml:space="preserve"> </w:t>
      </w:r>
      <w:r w:rsidR="001E6069">
        <w:t>Relevance, Gender Equality, Efficiency</w:t>
      </w:r>
      <w:r w:rsidR="003D4332">
        <w:t>, Effectiveness</w:t>
      </w:r>
      <w:r w:rsidR="001E6069">
        <w:t xml:space="preserve"> and Sustainability each </w:t>
      </w:r>
      <w:r w:rsidR="00B16504">
        <w:t>exceeded</w:t>
      </w:r>
      <w:r w:rsidR="003D4332" w:rsidRPr="003D4332">
        <w:t xml:space="preserve"> </w:t>
      </w:r>
      <w:proofErr w:type="spellStart"/>
      <w:r w:rsidR="003D4332" w:rsidRPr="003D4332">
        <w:t>AusAID’s</w:t>
      </w:r>
      <w:proofErr w:type="spellEnd"/>
      <w:r w:rsidR="003D4332" w:rsidRPr="003D4332">
        <w:t xml:space="preserve"> corporate </w:t>
      </w:r>
      <w:r w:rsidR="00B27B28">
        <w:t>performance</w:t>
      </w:r>
      <w:r w:rsidR="003D4332" w:rsidRPr="003D4332">
        <w:t xml:space="preserve"> </w:t>
      </w:r>
      <w:r w:rsidR="00B27B28">
        <w:t>targets</w:t>
      </w:r>
      <w:r w:rsidR="002D0BC4">
        <w:t>.</w:t>
      </w:r>
      <w:r w:rsidR="00B27B28">
        <w:rPr>
          <w:rStyle w:val="FootnoteReference"/>
        </w:rPr>
        <w:footnoteReference w:id="5"/>
      </w:r>
      <w:r w:rsidR="00B27B28">
        <w:t xml:space="preserve"> </w:t>
      </w:r>
      <w:r w:rsidR="009875EE">
        <w:t xml:space="preserve">Monitoring and Evaluation performed less well. This is recognised </w:t>
      </w:r>
      <w:r w:rsidR="00701D3C">
        <w:t xml:space="preserve">by </w:t>
      </w:r>
      <w:proofErr w:type="spellStart"/>
      <w:r w:rsidR="00701D3C">
        <w:t>AusAID</w:t>
      </w:r>
      <w:proofErr w:type="spellEnd"/>
      <w:r w:rsidR="00701D3C">
        <w:t xml:space="preserve"> </w:t>
      </w:r>
      <w:r w:rsidR="009875EE">
        <w:t xml:space="preserve">and a stronger performance framework for the sector </w:t>
      </w:r>
      <w:r w:rsidR="005F4A4E">
        <w:t>is</w:t>
      </w:r>
      <w:r w:rsidR="009875EE">
        <w:t xml:space="preserve"> be</w:t>
      </w:r>
      <w:r w:rsidR="004D60FF">
        <w:t>ing</w:t>
      </w:r>
      <w:r w:rsidR="009875EE">
        <w:t xml:space="preserve"> developed. </w:t>
      </w:r>
      <w:r w:rsidR="000F4D43">
        <w:t>Th</w:t>
      </w:r>
      <w:r>
        <w:t>e high program performance</w:t>
      </w:r>
      <w:r w:rsidR="000F4D43">
        <w:t xml:space="preserve"> represents a significant achievement, </w:t>
      </w:r>
      <w:r w:rsidR="00701D3C">
        <w:t>given</w:t>
      </w:r>
      <w:r w:rsidR="000F4D43">
        <w:t xml:space="preserve"> </w:t>
      </w:r>
      <w:proofErr w:type="spellStart"/>
      <w:r w:rsidR="000F4D43">
        <w:t>AusAID</w:t>
      </w:r>
      <w:proofErr w:type="spellEnd"/>
      <w:r w:rsidR="000F4D43">
        <w:t xml:space="preserve"> managed </w:t>
      </w:r>
      <w:r>
        <w:t>8</w:t>
      </w:r>
      <w:r w:rsidR="000F4D43">
        <w:t>6 separate education sector initiatives in 2009</w:t>
      </w:r>
      <w:r>
        <w:t xml:space="preserve"> </w:t>
      </w:r>
      <w:r w:rsidR="000F4D43">
        <w:t>with a high degree of complexity and diversity across country programs.</w:t>
      </w:r>
      <w:r w:rsidR="00405BD5">
        <w:t xml:space="preserve"> </w:t>
      </w:r>
    </w:p>
    <w:p w:rsidR="00C90DDD" w:rsidRDefault="0014038D" w:rsidP="00B60444">
      <w:pPr>
        <w:pStyle w:val="BodyText"/>
        <w:widowControl w:val="0"/>
      </w:pPr>
      <w:r>
        <w:t>Multilat</w:t>
      </w:r>
      <w:r w:rsidR="00C90DDD">
        <w:t xml:space="preserve">eral organisations remain key partners for </w:t>
      </w:r>
      <w:proofErr w:type="spellStart"/>
      <w:r w:rsidR="00C90DDD">
        <w:t>AusAID’s</w:t>
      </w:r>
      <w:proofErr w:type="spellEnd"/>
      <w:r w:rsidR="00C90DDD">
        <w:t xml:space="preserve"> education programs. Approximately ten per</w:t>
      </w:r>
      <w:r w:rsidR="00C42D93">
        <w:t xml:space="preserve"> </w:t>
      </w:r>
      <w:r w:rsidR="00C90DDD">
        <w:t xml:space="preserve">cent of </w:t>
      </w:r>
      <w:proofErr w:type="spellStart"/>
      <w:r w:rsidR="00C90DDD">
        <w:t>AusAID’s</w:t>
      </w:r>
      <w:proofErr w:type="spellEnd"/>
      <w:r w:rsidR="00C90DDD">
        <w:t xml:space="preserve"> education </w:t>
      </w:r>
      <w:r w:rsidR="005F4A4E">
        <w:t>funding</w:t>
      </w:r>
      <w:r w:rsidR="00C90DDD">
        <w:t xml:space="preserve"> </w:t>
      </w:r>
      <w:r w:rsidR="005F4A4E">
        <w:t>is</w:t>
      </w:r>
      <w:r w:rsidR="00C90DDD">
        <w:t xml:space="preserve"> channelled through multilateral mechanisms. In 2009, </w:t>
      </w:r>
      <w:proofErr w:type="spellStart"/>
      <w:r w:rsidR="00C90DDD">
        <w:t>AusAID</w:t>
      </w:r>
      <w:proofErr w:type="spellEnd"/>
      <w:r w:rsidR="00C90DDD">
        <w:t xml:space="preserve"> provided funding to:</w:t>
      </w:r>
    </w:p>
    <w:p w:rsidR="00C90DDD" w:rsidRDefault="00954C78" w:rsidP="00346BF4">
      <w:pPr>
        <w:pStyle w:val="BodyText"/>
        <w:widowControl w:val="0"/>
        <w:numPr>
          <w:ilvl w:val="0"/>
          <w:numId w:val="44"/>
        </w:numPr>
      </w:pPr>
      <w:r>
        <w:t xml:space="preserve">the </w:t>
      </w:r>
      <w:r w:rsidR="00DA5F98" w:rsidRPr="004D60FF">
        <w:rPr>
          <w:b/>
        </w:rPr>
        <w:t>Education for All Fast Track Initiative</w:t>
      </w:r>
      <w:r w:rsidR="00C90DDD">
        <w:t xml:space="preserve"> ($</w:t>
      </w:r>
      <w:r w:rsidR="009D0E99">
        <w:t>24</w:t>
      </w:r>
      <w:r w:rsidR="00C90DDD">
        <w:t xml:space="preserve"> million</w:t>
      </w:r>
      <w:r w:rsidR="00DA5F98">
        <w:t xml:space="preserve"> in 2009-10</w:t>
      </w:r>
      <w:r w:rsidR="00C90DDD">
        <w:t>)</w:t>
      </w:r>
      <w:r w:rsidR="002D0BC4">
        <w:t>,</w:t>
      </w:r>
      <w:r w:rsidR="00FE375C">
        <w:t xml:space="preserve"> </w:t>
      </w:r>
      <w:r w:rsidR="00FE375C" w:rsidRPr="00022558">
        <w:t>a global partnership</w:t>
      </w:r>
      <w:r w:rsidR="00FE375C">
        <w:t xml:space="preserve"> </w:t>
      </w:r>
      <w:r w:rsidR="00FE375C" w:rsidRPr="00022558">
        <w:t>to accelerate progress towards universal primary education by 2015 (MDG2)</w:t>
      </w:r>
      <w:r w:rsidR="00FE375C">
        <w:t>.</w:t>
      </w:r>
    </w:p>
    <w:p w:rsidR="000C72CD" w:rsidRDefault="00C90DDD" w:rsidP="00346BF4">
      <w:pPr>
        <w:pStyle w:val="BodyText"/>
        <w:widowControl w:val="0"/>
        <w:numPr>
          <w:ilvl w:val="0"/>
          <w:numId w:val="44"/>
        </w:numPr>
      </w:pPr>
      <w:r>
        <w:t>UN agencies including</w:t>
      </w:r>
      <w:r w:rsidR="005F4A4E">
        <w:t xml:space="preserve"> </w:t>
      </w:r>
      <w:r w:rsidR="00EC02A4">
        <w:t xml:space="preserve">the </w:t>
      </w:r>
      <w:r w:rsidRPr="004D60FF">
        <w:rPr>
          <w:b/>
        </w:rPr>
        <w:t>W</w:t>
      </w:r>
      <w:r w:rsidR="00EC02A4">
        <w:rPr>
          <w:b/>
        </w:rPr>
        <w:t xml:space="preserve">orld </w:t>
      </w:r>
      <w:r w:rsidRPr="004D60FF">
        <w:rPr>
          <w:b/>
        </w:rPr>
        <w:t>F</w:t>
      </w:r>
      <w:r w:rsidR="00EC02A4">
        <w:rPr>
          <w:b/>
        </w:rPr>
        <w:t xml:space="preserve">ood </w:t>
      </w:r>
      <w:r w:rsidRPr="004D60FF">
        <w:rPr>
          <w:b/>
        </w:rPr>
        <w:t>P</w:t>
      </w:r>
      <w:r w:rsidR="00EC02A4">
        <w:rPr>
          <w:b/>
        </w:rPr>
        <w:t>rogram</w:t>
      </w:r>
      <w:r>
        <w:t xml:space="preserve"> ($</w:t>
      </w:r>
      <w:r w:rsidR="006F3B03">
        <w:t xml:space="preserve">180 million four year </w:t>
      </w:r>
      <w:r w:rsidR="00703B08">
        <w:t>S</w:t>
      </w:r>
      <w:r w:rsidR="006F3B03">
        <w:t xml:space="preserve">trategic </w:t>
      </w:r>
      <w:r w:rsidR="00703B08">
        <w:t>Partnership A</w:t>
      </w:r>
      <w:r w:rsidR="0064486D">
        <w:t xml:space="preserve">greement </w:t>
      </w:r>
      <w:r w:rsidR="006F3B03">
        <w:t>signed in October 2009</w:t>
      </w:r>
      <w:r>
        <w:t>)</w:t>
      </w:r>
      <w:r w:rsidR="004D60FF">
        <w:t xml:space="preserve"> </w:t>
      </w:r>
      <w:r w:rsidR="00C42D93">
        <w:t xml:space="preserve">with $40 million </w:t>
      </w:r>
      <w:r w:rsidR="004D60FF">
        <w:t xml:space="preserve">for school feeding and </w:t>
      </w:r>
      <w:r w:rsidR="000C72CD" w:rsidRPr="004D60FF">
        <w:rPr>
          <w:b/>
        </w:rPr>
        <w:t>UNICEF</w:t>
      </w:r>
      <w:r w:rsidR="000C72CD">
        <w:t xml:space="preserve"> </w:t>
      </w:r>
      <w:r w:rsidR="005F4A4E">
        <w:t>($</w:t>
      </w:r>
      <w:r w:rsidR="006F3B03">
        <w:t>19.6</w:t>
      </w:r>
      <w:r w:rsidR="005F4A4E">
        <w:t xml:space="preserve"> million in 2009)</w:t>
      </w:r>
      <w:r w:rsidR="004D60FF">
        <w:t xml:space="preserve"> to accelerate progress towards the education MDGs.</w:t>
      </w:r>
    </w:p>
    <w:p w:rsidR="00AE48A9" w:rsidRPr="00AE48A9" w:rsidRDefault="003D2C6F" w:rsidP="00FC09C3">
      <w:pPr>
        <w:spacing w:before="80" w:after="80" w:line="280" w:lineRule="atLeast"/>
        <w:rPr>
          <w:rFonts w:ascii="Georgia" w:hAnsi="Georgia"/>
          <w:iCs/>
          <w:sz w:val="19"/>
          <w:szCs w:val="19"/>
          <w:lang w:val="en"/>
        </w:rPr>
      </w:pPr>
      <w:proofErr w:type="spellStart"/>
      <w:r w:rsidRPr="00FC09C3">
        <w:rPr>
          <w:rFonts w:ascii="Georgia" w:hAnsi="Georgia"/>
          <w:color w:val="000000"/>
          <w:sz w:val="19"/>
          <w:szCs w:val="19"/>
        </w:rPr>
        <w:t>AusAID’s</w:t>
      </w:r>
      <w:proofErr w:type="spellEnd"/>
      <w:r w:rsidRPr="00FC09C3">
        <w:rPr>
          <w:rFonts w:ascii="Georgia" w:hAnsi="Georgia"/>
          <w:color w:val="000000"/>
          <w:sz w:val="19"/>
          <w:szCs w:val="19"/>
        </w:rPr>
        <w:t xml:space="preserve"> </w:t>
      </w:r>
      <w:r w:rsidRPr="000A587C">
        <w:rPr>
          <w:rFonts w:ascii="Georgia" w:hAnsi="Georgia" w:cs="Arial"/>
          <w:b/>
          <w:color w:val="000000"/>
          <w:sz w:val="19"/>
          <w:szCs w:val="19"/>
        </w:rPr>
        <w:t>Education Resource Facility</w:t>
      </w:r>
      <w:r w:rsidRPr="00FC09C3">
        <w:rPr>
          <w:rFonts w:ascii="Georgia" w:hAnsi="Georgia"/>
          <w:color w:val="000000"/>
          <w:sz w:val="19"/>
          <w:szCs w:val="19"/>
        </w:rPr>
        <w:t xml:space="preserve"> (</w:t>
      </w:r>
      <w:r w:rsidR="00AA55D1">
        <w:rPr>
          <w:rFonts w:ascii="Georgia" w:hAnsi="Georgia"/>
          <w:color w:val="000000"/>
          <w:sz w:val="19"/>
          <w:szCs w:val="19"/>
        </w:rPr>
        <w:t>$2.18 million in 2009-10</w:t>
      </w:r>
      <w:r w:rsidRPr="00FC09C3">
        <w:rPr>
          <w:rFonts w:ascii="Georgia" w:hAnsi="Georgia"/>
          <w:color w:val="000000"/>
          <w:sz w:val="19"/>
          <w:szCs w:val="19"/>
        </w:rPr>
        <w:t>)</w:t>
      </w:r>
      <w:r w:rsidR="002D0BC4">
        <w:rPr>
          <w:rFonts w:ascii="Georgia" w:hAnsi="Georgia"/>
          <w:color w:val="000000"/>
          <w:sz w:val="19"/>
          <w:szCs w:val="19"/>
        </w:rPr>
        <w:t>,</w:t>
      </w:r>
      <w:r w:rsidRPr="00FC09C3">
        <w:rPr>
          <w:rFonts w:ascii="Georgia" w:hAnsi="Georgia"/>
          <w:color w:val="000000"/>
          <w:sz w:val="19"/>
          <w:szCs w:val="19"/>
        </w:rPr>
        <w:t xml:space="preserve"> launched in 2009. The facility provide</w:t>
      </w:r>
      <w:r w:rsidR="003E6B90">
        <w:rPr>
          <w:rFonts w:ascii="Georgia" w:hAnsi="Georgia"/>
          <w:color w:val="000000"/>
          <w:sz w:val="19"/>
          <w:szCs w:val="19"/>
        </w:rPr>
        <w:t>s a</w:t>
      </w:r>
      <w:proofErr w:type="spellStart"/>
      <w:r w:rsidRPr="00FC09C3">
        <w:rPr>
          <w:rFonts w:ascii="Georgia" w:hAnsi="Georgia"/>
          <w:iCs/>
          <w:sz w:val="19"/>
          <w:szCs w:val="19"/>
          <w:lang w:val="en"/>
        </w:rPr>
        <w:t>dvisory</w:t>
      </w:r>
      <w:proofErr w:type="spellEnd"/>
      <w:r w:rsidRPr="00FC09C3">
        <w:rPr>
          <w:rFonts w:ascii="Georgia" w:hAnsi="Georgia"/>
          <w:iCs/>
          <w:sz w:val="19"/>
          <w:szCs w:val="19"/>
          <w:lang w:val="en"/>
        </w:rPr>
        <w:t xml:space="preserve"> </w:t>
      </w:r>
      <w:r w:rsidR="003E6B90">
        <w:rPr>
          <w:rFonts w:ascii="Georgia" w:hAnsi="Georgia"/>
          <w:iCs/>
          <w:sz w:val="19"/>
          <w:szCs w:val="19"/>
          <w:lang w:val="en"/>
        </w:rPr>
        <w:t>s</w:t>
      </w:r>
      <w:r w:rsidRPr="00FC09C3">
        <w:rPr>
          <w:rFonts w:ascii="Georgia" w:hAnsi="Georgia"/>
          <w:iCs/>
          <w:sz w:val="19"/>
          <w:szCs w:val="19"/>
          <w:lang w:val="en"/>
        </w:rPr>
        <w:t>upport</w:t>
      </w:r>
      <w:r w:rsidR="008C3BE1">
        <w:rPr>
          <w:rFonts w:ascii="Georgia" w:hAnsi="Georgia"/>
          <w:iCs/>
          <w:sz w:val="19"/>
          <w:szCs w:val="19"/>
          <w:lang w:val="en"/>
        </w:rPr>
        <w:t xml:space="preserve">, </w:t>
      </w:r>
      <w:r w:rsidR="003E6B90">
        <w:rPr>
          <w:rFonts w:ascii="Georgia" w:hAnsi="Georgia"/>
          <w:iCs/>
          <w:sz w:val="19"/>
          <w:szCs w:val="19"/>
          <w:lang w:val="en"/>
        </w:rPr>
        <w:t>r</w:t>
      </w:r>
      <w:r w:rsidRPr="00FC09C3">
        <w:rPr>
          <w:rFonts w:ascii="Georgia" w:hAnsi="Georgia"/>
          <w:iCs/>
          <w:sz w:val="19"/>
          <w:szCs w:val="19"/>
          <w:lang w:val="en"/>
        </w:rPr>
        <w:t xml:space="preserve">esearch </w:t>
      </w:r>
      <w:r w:rsidR="008C3BE1">
        <w:rPr>
          <w:rFonts w:ascii="Georgia" w:hAnsi="Georgia"/>
          <w:iCs/>
          <w:sz w:val="19"/>
          <w:szCs w:val="19"/>
          <w:lang w:val="en"/>
        </w:rPr>
        <w:t xml:space="preserve">services and learning and development support for </w:t>
      </w:r>
      <w:r w:rsidR="008C3BE1">
        <w:rPr>
          <w:rFonts w:ascii="Georgia" w:hAnsi="Georgia"/>
          <w:iCs/>
          <w:sz w:val="19"/>
          <w:szCs w:val="19"/>
          <w:lang w:val="en"/>
        </w:rPr>
        <w:lastRenderedPageBreak/>
        <w:t xml:space="preserve">Education programs at country and global levels. </w:t>
      </w:r>
      <w:r w:rsidR="00AE48A9" w:rsidRPr="00697E9E">
        <w:rPr>
          <w:rFonts w:ascii="Georgia" w:hAnsi="Georgia"/>
          <w:sz w:val="19"/>
          <w:szCs w:val="19"/>
        </w:rPr>
        <w:t>In 2009</w:t>
      </w:r>
      <w:r w:rsidR="00AE48A9">
        <w:rPr>
          <w:rFonts w:ascii="Georgia" w:hAnsi="Georgia"/>
          <w:sz w:val="19"/>
          <w:szCs w:val="19"/>
        </w:rPr>
        <w:t xml:space="preserve">-10, </w:t>
      </w:r>
      <w:proofErr w:type="spellStart"/>
      <w:r w:rsidR="00AE48A9">
        <w:rPr>
          <w:rFonts w:ascii="Georgia" w:hAnsi="Georgia"/>
          <w:iCs/>
          <w:sz w:val="19"/>
          <w:szCs w:val="19"/>
          <w:lang w:val="en"/>
        </w:rPr>
        <w:t>AusAID’s</w:t>
      </w:r>
      <w:proofErr w:type="spellEnd"/>
      <w:r w:rsidR="00AE48A9">
        <w:rPr>
          <w:rFonts w:ascii="Georgia" w:hAnsi="Georgia"/>
          <w:iCs/>
          <w:sz w:val="19"/>
          <w:szCs w:val="19"/>
          <w:lang w:val="en"/>
        </w:rPr>
        <w:t xml:space="preserve"> Education Thematic Group provided over $400,000 for</w:t>
      </w:r>
      <w:r w:rsidR="00AE48A9">
        <w:rPr>
          <w:rFonts w:ascii="Georgia" w:hAnsi="Georgia"/>
          <w:sz w:val="19"/>
          <w:szCs w:val="19"/>
        </w:rPr>
        <w:t xml:space="preserve"> </w:t>
      </w:r>
      <w:r w:rsidR="004D359A">
        <w:rPr>
          <w:rFonts w:ascii="Georgia" w:hAnsi="Georgia"/>
          <w:sz w:val="19"/>
          <w:szCs w:val="19"/>
        </w:rPr>
        <w:t xml:space="preserve">education </w:t>
      </w:r>
      <w:r w:rsidR="00AE48A9">
        <w:rPr>
          <w:rFonts w:ascii="Georgia" w:hAnsi="Georgia"/>
          <w:sz w:val="19"/>
          <w:szCs w:val="19"/>
        </w:rPr>
        <w:t xml:space="preserve">research through the </w:t>
      </w:r>
      <w:r w:rsidR="00AE48A9" w:rsidRPr="00EC3499">
        <w:rPr>
          <w:rFonts w:ascii="Georgia" w:hAnsi="Georgia"/>
          <w:sz w:val="19"/>
          <w:szCs w:val="19"/>
        </w:rPr>
        <w:t>Australian Development Research Awards</w:t>
      </w:r>
      <w:r w:rsidR="00AE48A9">
        <w:rPr>
          <w:rFonts w:ascii="Georgia" w:hAnsi="Georgia"/>
          <w:iCs/>
          <w:sz w:val="19"/>
          <w:szCs w:val="19"/>
          <w:lang w:val="en"/>
        </w:rPr>
        <w:t>.</w:t>
      </w:r>
    </w:p>
    <w:p w:rsidR="00DF1246" w:rsidRDefault="00347DB7" w:rsidP="00C90DDD">
      <w:pPr>
        <w:pStyle w:val="Heading2"/>
        <w:keepNext w:val="0"/>
        <w:widowControl w:val="0"/>
        <w:numPr>
          <w:ilvl w:val="0"/>
          <w:numId w:val="0"/>
        </w:numPr>
      </w:pPr>
      <w:bookmarkStart w:id="2" w:name="_Toc360981787"/>
      <w:r>
        <w:t>Major Achievements</w:t>
      </w:r>
      <w:bookmarkEnd w:id="2"/>
    </w:p>
    <w:p w:rsidR="005F065F" w:rsidRDefault="005F065F" w:rsidP="00BE716C">
      <w:pPr>
        <w:pStyle w:val="BodyText"/>
        <w:widowControl w:val="0"/>
      </w:pPr>
      <w:r>
        <w:t>The major achievements discussed in this section are identified across a range of themes and are drawn from a</w:t>
      </w:r>
      <w:r w:rsidR="003B5270">
        <w:t xml:space="preserve"> variety of sources including A</w:t>
      </w:r>
      <w:r w:rsidR="00EC3499">
        <w:t>nnual Program Performance Re</w:t>
      </w:r>
      <w:r w:rsidR="001422CE">
        <w:t>port</w:t>
      </w:r>
      <w:r w:rsidR="00EC3499">
        <w:t>s</w:t>
      </w:r>
      <w:r>
        <w:t>, Independent Comp</w:t>
      </w:r>
      <w:r w:rsidR="003B5270">
        <w:t>letion Reports</w:t>
      </w:r>
      <w:r w:rsidR="002D0BC4">
        <w:rPr>
          <w:rStyle w:val="FootnoteReference"/>
        </w:rPr>
        <w:footnoteReference w:id="6"/>
      </w:r>
      <w:r w:rsidR="003B5270">
        <w:t xml:space="preserve"> and other sources</w:t>
      </w:r>
      <w:r>
        <w:t xml:space="preserve"> </w:t>
      </w:r>
      <w:r w:rsidR="00D21EB9">
        <w:t xml:space="preserve">including </w:t>
      </w:r>
      <w:smartTag w:uri="urn:schemas-microsoft-com:office:smarttags" w:element="country-region">
        <w:r>
          <w:t>Lao</w:t>
        </w:r>
        <w:r w:rsidR="00CA3A52">
          <w:t>s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 w:rsidR="00CA3A52">
            <w:t>Papua New Guinea</w:t>
          </w:r>
        </w:smartTag>
      </w:smartTag>
      <w:r w:rsidR="00CA3A52">
        <w:t xml:space="preserve"> </w:t>
      </w:r>
      <w:r w:rsidR="00D21EB9">
        <w:t xml:space="preserve">education </w:t>
      </w:r>
      <w:r>
        <w:t>program</w:t>
      </w:r>
      <w:r w:rsidR="00784F38">
        <w:t xml:space="preserve"> review</w:t>
      </w:r>
      <w:r>
        <w:t xml:space="preserve">s. </w:t>
      </w:r>
    </w:p>
    <w:p w:rsidR="00E4520C" w:rsidRDefault="00300745" w:rsidP="00784F38">
      <w:pPr>
        <w:pStyle w:val="BodyText"/>
        <w:widowControl w:val="0"/>
      </w:pPr>
      <w:r>
        <w:t xml:space="preserve">As identified in the </w:t>
      </w:r>
      <w:r w:rsidR="00D20531">
        <w:t xml:space="preserve">2009 </w:t>
      </w:r>
      <w:r w:rsidRPr="00300745">
        <w:t>Annual Revi</w:t>
      </w:r>
      <w:r w:rsidR="003B5270">
        <w:t>ew of Development Effectiveness</w:t>
      </w:r>
      <w:r>
        <w:t>, p</w:t>
      </w:r>
      <w:r w:rsidRPr="00300745">
        <w:t xml:space="preserve">erformance in the education sector </w:t>
      </w:r>
      <w:r>
        <w:t>continues to improve</w:t>
      </w:r>
      <w:r w:rsidRPr="00300745">
        <w:t xml:space="preserve"> at both the</w:t>
      </w:r>
      <w:r w:rsidR="00865157">
        <w:t xml:space="preserve"> program and the activity level</w:t>
      </w:r>
      <w:r w:rsidR="008B7F03">
        <w:t xml:space="preserve">. </w:t>
      </w:r>
      <w:r w:rsidR="00865157" w:rsidRPr="00865157">
        <w:t xml:space="preserve">Compared with the performance of the entire aid program, </w:t>
      </w:r>
      <w:r w:rsidR="003D1DE5">
        <w:t xml:space="preserve">the Review determined that </w:t>
      </w:r>
      <w:r w:rsidR="00865157" w:rsidRPr="00865157">
        <w:t>a higher proportion of education objectives will be fully achieved</w:t>
      </w:r>
      <w:r w:rsidR="008B7F03">
        <w:t xml:space="preserve">. </w:t>
      </w:r>
    </w:p>
    <w:p w:rsidR="00041498" w:rsidRPr="000F704C" w:rsidRDefault="00041498" w:rsidP="00784F38">
      <w:pPr>
        <w:pStyle w:val="BodyText"/>
        <w:widowControl w:val="0"/>
      </w:pPr>
      <w:r w:rsidRPr="000F704C">
        <w:t>Specific achievements include:</w:t>
      </w:r>
    </w:p>
    <w:p w:rsidR="003A6429" w:rsidRDefault="00E4520C" w:rsidP="00BE716C">
      <w:pPr>
        <w:pStyle w:val="BodyText"/>
        <w:widowControl w:val="0"/>
        <w:rPr>
          <w:lang w:val="en-US"/>
        </w:rPr>
      </w:pPr>
      <w:r w:rsidRPr="00BE716C">
        <w:rPr>
          <w:b/>
        </w:rPr>
        <w:t>I</w:t>
      </w:r>
      <w:r w:rsidR="00D40F0E">
        <w:rPr>
          <w:b/>
        </w:rPr>
        <w:t>mproving</w:t>
      </w:r>
      <w:r w:rsidR="00041498">
        <w:rPr>
          <w:b/>
        </w:rPr>
        <w:t xml:space="preserve"> </w:t>
      </w:r>
      <w:r w:rsidR="00D43A5E">
        <w:rPr>
          <w:b/>
        </w:rPr>
        <w:t>education quality</w:t>
      </w:r>
      <w:r w:rsidR="00525D5F">
        <w:t>. K</w:t>
      </w:r>
      <w:r w:rsidR="00041498">
        <w:t>ey</w:t>
      </w:r>
      <w:r w:rsidR="00D43A5E">
        <w:t xml:space="preserve"> </w:t>
      </w:r>
      <w:r w:rsidR="00E50A68">
        <w:t>areas</w:t>
      </w:r>
      <w:r w:rsidR="00B16504">
        <w:t xml:space="preserve"> </w:t>
      </w:r>
      <w:r w:rsidR="00E50A68">
        <w:t xml:space="preserve">of support </w:t>
      </w:r>
      <w:r w:rsidR="00B16504">
        <w:t>includ</w:t>
      </w:r>
      <w:r w:rsidR="00041498">
        <w:t>ed</w:t>
      </w:r>
      <w:r w:rsidR="00B46B5F">
        <w:t xml:space="preserve"> teacher training</w:t>
      </w:r>
      <w:r w:rsidR="001D07E3">
        <w:t>,</w:t>
      </w:r>
      <w:r w:rsidR="00B46B5F">
        <w:t xml:space="preserve"> community engagement </w:t>
      </w:r>
      <w:r w:rsidR="001D07E3">
        <w:t xml:space="preserve">and </w:t>
      </w:r>
      <w:r w:rsidR="00DC3254">
        <w:t>targeted facility</w:t>
      </w:r>
      <w:r w:rsidR="001D07E3">
        <w:t xml:space="preserve"> improvement</w:t>
      </w:r>
      <w:r w:rsidR="00DC3254">
        <w:t>s</w:t>
      </w:r>
      <w:r w:rsidR="008B7F03">
        <w:t xml:space="preserve">. </w:t>
      </w:r>
      <w:r w:rsidR="00B46B5F">
        <w:t xml:space="preserve">In </w:t>
      </w:r>
      <w:smartTag w:uri="urn:schemas-microsoft-com:office:smarttags" w:element="place">
        <w:smartTag w:uri="urn:schemas-microsoft-com:office:smarttags" w:element="country-region">
          <w:r w:rsidR="00B46B5F">
            <w:t>Indonesia</w:t>
          </w:r>
        </w:smartTag>
      </w:smartTag>
      <w:r w:rsidR="00B46B5F">
        <w:t xml:space="preserve">, </w:t>
      </w:r>
      <w:proofErr w:type="spellStart"/>
      <w:r w:rsidR="00B46B5F" w:rsidRPr="00B46B5F">
        <w:t>AusAID</w:t>
      </w:r>
      <w:proofErr w:type="spellEnd"/>
      <w:r w:rsidR="00B46B5F" w:rsidRPr="00B46B5F">
        <w:t xml:space="preserve"> supported </w:t>
      </w:r>
      <w:r w:rsidR="00DA529B">
        <w:t xml:space="preserve">the </w:t>
      </w:r>
      <w:r w:rsidR="00B46B5F" w:rsidRPr="00B46B5F">
        <w:t xml:space="preserve">training </w:t>
      </w:r>
      <w:r w:rsidR="00DA529B">
        <w:t xml:space="preserve">of over 15,000 teachers, </w:t>
      </w:r>
      <w:r w:rsidR="00DA529B" w:rsidRPr="00B46B5F">
        <w:t xml:space="preserve">parents, principals and district education officials </w:t>
      </w:r>
      <w:r w:rsidR="00B46B5F" w:rsidRPr="00B46B5F">
        <w:t>in school-based management</w:t>
      </w:r>
      <w:r w:rsidR="008B7F03">
        <w:t xml:space="preserve">. </w:t>
      </w:r>
      <w:r w:rsidR="003A6429">
        <w:t xml:space="preserve">In </w:t>
      </w:r>
      <w:smartTag w:uri="urn:schemas-microsoft-com:office:smarttags" w:element="place">
        <w:smartTag w:uri="urn:schemas-microsoft-com:office:smarttags" w:element="country-region">
          <w:r w:rsidR="003B5270">
            <w:t>Lao</w:t>
          </w:r>
          <w:r w:rsidR="00950910">
            <w:t>s</w:t>
          </w:r>
        </w:smartTag>
      </w:smartTag>
      <w:r w:rsidR="003A6429">
        <w:t>, a</w:t>
      </w:r>
      <w:r w:rsidR="003A6429" w:rsidRPr="00D14D80">
        <w:t xml:space="preserve"> targeted approach in disadvantaged areas </w:t>
      </w:r>
      <w:r w:rsidR="003D1DE5">
        <w:t>increased</w:t>
      </w:r>
      <w:r w:rsidR="003A6429" w:rsidRPr="00D14D80">
        <w:t xml:space="preserve"> enrolment</w:t>
      </w:r>
      <w:r w:rsidR="003D1DE5">
        <w:t xml:space="preserve">s, </w:t>
      </w:r>
      <w:r w:rsidR="003A6429" w:rsidRPr="00D14D80">
        <w:t>buil</w:t>
      </w:r>
      <w:r w:rsidR="003D1DE5">
        <w:t>t</w:t>
      </w:r>
      <w:r w:rsidR="003A6429" w:rsidRPr="00D14D80">
        <w:t xml:space="preserve"> </w:t>
      </w:r>
      <w:r w:rsidR="003A6429">
        <w:t xml:space="preserve">local </w:t>
      </w:r>
      <w:r w:rsidR="003A6429" w:rsidRPr="00D14D80">
        <w:t>capacity</w:t>
      </w:r>
      <w:r w:rsidR="007875E4">
        <w:t>,</w:t>
      </w:r>
      <w:r w:rsidR="00D43A5E">
        <w:t xml:space="preserve"> </w:t>
      </w:r>
      <w:r w:rsidR="003D1DE5">
        <w:t xml:space="preserve">trained </w:t>
      </w:r>
      <w:r w:rsidR="003A6429" w:rsidRPr="003A6429">
        <w:t>pre-primary teachers</w:t>
      </w:r>
      <w:r w:rsidR="003A6429">
        <w:t xml:space="preserve"> and </w:t>
      </w:r>
      <w:r w:rsidR="003D1DE5">
        <w:t xml:space="preserve">helped </w:t>
      </w:r>
      <w:r w:rsidR="003A6429">
        <w:t>over 300</w:t>
      </w:r>
      <w:r w:rsidR="003A6429" w:rsidRPr="003A6429">
        <w:t>,000 stude</w:t>
      </w:r>
      <w:r w:rsidR="003A6429">
        <w:t xml:space="preserve">nts and their families </w:t>
      </w:r>
      <w:r w:rsidR="003D1DE5">
        <w:t xml:space="preserve">through a </w:t>
      </w:r>
      <w:r w:rsidR="003A6429" w:rsidRPr="003A6429">
        <w:t>school feeding program</w:t>
      </w:r>
      <w:r w:rsidR="008B7F03">
        <w:t xml:space="preserve">. </w:t>
      </w:r>
      <w:r w:rsidR="00DC3254">
        <w:t xml:space="preserve">In </w:t>
      </w:r>
      <w:smartTag w:uri="urn:schemas-microsoft-com:office:smarttags" w:element="place">
        <w:smartTag w:uri="urn:schemas-microsoft-com:office:smarttags" w:element="country-region">
          <w:r w:rsidR="00DC3254">
            <w:t>Papua New Guinea</w:t>
          </w:r>
        </w:smartTag>
      </w:smartTag>
      <w:r w:rsidR="00DC3254">
        <w:t xml:space="preserve">, </w:t>
      </w:r>
      <w:proofErr w:type="spellStart"/>
      <w:r w:rsidR="00DC3254">
        <w:t>AusAID</w:t>
      </w:r>
      <w:proofErr w:type="spellEnd"/>
      <w:r w:rsidR="00DC3254">
        <w:t xml:space="preserve"> supported </w:t>
      </w:r>
      <w:r w:rsidR="00565937">
        <w:t xml:space="preserve">the procurement of 500,000 school textbooks, targeted school building in remote areas, and supported </w:t>
      </w:r>
      <w:r w:rsidR="00565937" w:rsidRPr="00565937">
        <w:t>girls’ education through school grant</w:t>
      </w:r>
      <w:r w:rsidR="00565937">
        <w:t>s</w:t>
      </w:r>
      <w:r w:rsidR="008B7F03">
        <w:t xml:space="preserve">. </w:t>
      </w:r>
      <w:r w:rsidR="00565937">
        <w:t>This contributed to a marked increase in primary net enrolment rates</w:t>
      </w:r>
      <w:r w:rsidR="008B7F03">
        <w:t xml:space="preserve">. </w:t>
      </w:r>
      <w:r w:rsidR="00F27080">
        <w:t xml:space="preserve">In the </w:t>
      </w:r>
      <w:smartTag w:uri="urn:schemas-microsoft-com:office:smarttags" w:element="country-region">
        <w:smartTag w:uri="urn:schemas-microsoft-com:office:smarttags" w:element="place">
          <w:r w:rsidR="00F27080">
            <w:t>Philippines</w:t>
          </w:r>
        </w:smartTag>
      </w:smartTag>
      <w:r w:rsidR="00F27080">
        <w:t xml:space="preserve">, </w:t>
      </w:r>
      <w:proofErr w:type="spellStart"/>
      <w:r w:rsidR="00F27080">
        <w:t>AusAID</w:t>
      </w:r>
      <w:proofErr w:type="spellEnd"/>
      <w:r w:rsidR="00F27080">
        <w:t xml:space="preserve"> </w:t>
      </w:r>
      <w:r w:rsidR="00F27080">
        <w:rPr>
          <w:lang w:val="en-US"/>
        </w:rPr>
        <w:t>s</w:t>
      </w:r>
      <w:r w:rsidR="00F27080" w:rsidRPr="00F27080">
        <w:rPr>
          <w:lang w:val="en-US"/>
        </w:rPr>
        <w:t>upported the developmen</w:t>
      </w:r>
      <w:r w:rsidR="003B5270">
        <w:rPr>
          <w:lang w:val="en-US"/>
        </w:rPr>
        <w:t>t of national competency-based teacher s</w:t>
      </w:r>
      <w:r w:rsidR="00F27080" w:rsidRPr="00F27080">
        <w:rPr>
          <w:lang w:val="en-US"/>
        </w:rPr>
        <w:t>tandards to promote better teaching practices and to allow better targeting of in-service training</w:t>
      </w:r>
      <w:r w:rsidR="008B7F03">
        <w:rPr>
          <w:lang w:val="en-US"/>
        </w:rPr>
        <w:t xml:space="preserve">. </w:t>
      </w:r>
    </w:p>
    <w:p w:rsidR="005E51A7" w:rsidRPr="008C3BE1" w:rsidRDefault="003D1DE5" w:rsidP="008C3BE1">
      <w:pPr>
        <w:pStyle w:val="BodyText"/>
        <w:widowControl w:val="0"/>
      </w:pPr>
      <w:r>
        <w:rPr>
          <w:b/>
        </w:rPr>
        <w:t>Provid</w:t>
      </w:r>
      <w:r w:rsidR="00FC09C3" w:rsidRPr="008C3BE1">
        <w:rPr>
          <w:b/>
        </w:rPr>
        <w:t>ing</w:t>
      </w:r>
      <w:r w:rsidR="00D43A5E" w:rsidRPr="008C3BE1">
        <w:rPr>
          <w:b/>
        </w:rPr>
        <w:t xml:space="preserve"> more children </w:t>
      </w:r>
      <w:r>
        <w:rPr>
          <w:b/>
        </w:rPr>
        <w:t>with</w:t>
      </w:r>
      <w:r w:rsidR="00D43A5E" w:rsidRPr="008C3BE1">
        <w:rPr>
          <w:b/>
        </w:rPr>
        <w:t xml:space="preserve"> opportunit</w:t>
      </w:r>
      <w:r>
        <w:rPr>
          <w:b/>
        </w:rPr>
        <w:t>ies</w:t>
      </w:r>
      <w:r w:rsidR="00D43A5E" w:rsidRPr="008C3BE1">
        <w:rPr>
          <w:b/>
        </w:rPr>
        <w:t xml:space="preserve"> to go to school</w:t>
      </w:r>
      <w:r w:rsidR="0064486D" w:rsidRPr="008C3BE1">
        <w:t>. S</w:t>
      </w:r>
      <w:r w:rsidR="00405BD5" w:rsidRPr="008C3BE1">
        <w:t>upport included</w:t>
      </w:r>
      <w:r w:rsidR="00522031" w:rsidRPr="008C3BE1">
        <w:t xml:space="preserve"> improv</w:t>
      </w:r>
      <w:r w:rsidR="00405BD5" w:rsidRPr="008C3BE1">
        <w:t xml:space="preserve">ed </w:t>
      </w:r>
      <w:r w:rsidR="00522031" w:rsidRPr="008C3BE1">
        <w:t>access to education</w:t>
      </w:r>
      <w:r w:rsidR="00EC02A4" w:rsidRPr="008C3BE1">
        <w:t xml:space="preserve">, </w:t>
      </w:r>
      <w:r w:rsidR="00522031" w:rsidRPr="008C3BE1">
        <w:t xml:space="preserve">access for the disabled and disadvantaged and curricula for indigenous groups. </w:t>
      </w:r>
      <w:r w:rsidR="00A549E2" w:rsidRPr="008C3BE1">
        <w:t>I</w:t>
      </w:r>
      <w:r w:rsidR="004A7325" w:rsidRPr="008C3BE1">
        <w:t xml:space="preserve">n </w:t>
      </w:r>
      <w:smartTag w:uri="urn:schemas-microsoft-com:office:smarttags" w:element="country-region">
        <w:smartTag w:uri="urn:schemas-microsoft-com:office:smarttags" w:element="place">
          <w:r w:rsidR="004A7325" w:rsidRPr="008C3BE1">
            <w:t>Bangladesh</w:t>
          </w:r>
        </w:smartTag>
      </w:smartTag>
      <w:r w:rsidR="00405BD5" w:rsidRPr="008C3BE1">
        <w:t>,</w:t>
      </w:r>
      <w:r w:rsidR="00A549E2" w:rsidRPr="008C3BE1">
        <w:t xml:space="preserve"> </w:t>
      </w:r>
      <w:proofErr w:type="spellStart"/>
      <w:r w:rsidR="00A549E2" w:rsidRPr="008C3BE1">
        <w:t>AusAID</w:t>
      </w:r>
      <w:proofErr w:type="spellEnd"/>
      <w:r w:rsidR="004A7325" w:rsidRPr="008C3BE1">
        <w:t xml:space="preserve"> contributed to improved access to primary and pre-primary education for over 1.5 million children who would otherwise not have access to schooling</w:t>
      </w:r>
      <w:r w:rsidR="008B7F03" w:rsidRPr="008C3BE1">
        <w:t xml:space="preserve">. </w:t>
      </w:r>
      <w:r w:rsidR="00705675" w:rsidRPr="008C3BE1">
        <w:t xml:space="preserve">In </w:t>
      </w:r>
      <w:smartTag w:uri="urn:schemas-microsoft-com:office:smarttags" w:element="country-region">
        <w:r w:rsidR="00705675" w:rsidRPr="008C3BE1">
          <w:t>Kiribati</w:t>
        </w:r>
      </w:smartTag>
      <w:r w:rsidR="00705675" w:rsidRPr="008C3BE1">
        <w:t xml:space="preserve">, </w:t>
      </w:r>
      <w:r w:rsidR="00A549E2" w:rsidRPr="008C3BE1">
        <w:t>assistance</w:t>
      </w:r>
      <w:r w:rsidR="00705675" w:rsidRPr="008C3BE1">
        <w:t xml:space="preserve"> for the School </w:t>
      </w:r>
      <w:r w:rsidR="00D71DD1">
        <w:t>and</w:t>
      </w:r>
      <w:r w:rsidR="00705675" w:rsidRPr="008C3BE1">
        <w:t xml:space="preserve"> Centre for Children with Special Needs (the only institution in </w:t>
      </w:r>
      <w:smartTag w:uri="urn:schemas-microsoft-com:office:smarttags" w:element="place">
        <w:smartTag w:uri="urn:schemas-microsoft-com:office:smarttags" w:element="country-region">
          <w:r w:rsidR="00705675" w:rsidRPr="008C3BE1">
            <w:t>Kiribati</w:t>
          </w:r>
        </w:smartTag>
      </w:smartTag>
      <w:r w:rsidR="00705675" w:rsidRPr="008C3BE1">
        <w:t xml:space="preserve"> that provides for the needs of disabled children and their families) is facilitating better access to education for disabled children</w:t>
      </w:r>
      <w:r w:rsidR="008B7F03" w:rsidRPr="008C3BE1">
        <w:t xml:space="preserve">. </w:t>
      </w:r>
      <w:r w:rsidR="005E51A7" w:rsidRPr="008C3BE1">
        <w:t xml:space="preserve">In </w:t>
      </w:r>
      <w:smartTag w:uri="urn:schemas-microsoft-com:office:smarttags" w:element="country-region">
        <w:smartTag w:uri="urn:schemas-microsoft-com:office:smarttags" w:element="place">
          <w:r w:rsidR="005E51A7" w:rsidRPr="008C3BE1">
            <w:t>Sri Lanka</w:t>
          </w:r>
        </w:smartTag>
      </w:smartTag>
      <w:r w:rsidR="005E51A7" w:rsidRPr="008C3BE1">
        <w:t xml:space="preserve">, </w:t>
      </w:r>
      <w:proofErr w:type="spellStart"/>
      <w:r w:rsidR="005E51A7" w:rsidRPr="008C3BE1">
        <w:t>AusAID</w:t>
      </w:r>
      <w:proofErr w:type="spellEnd"/>
      <w:r w:rsidR="005E51A7" w:rsidRPr="008C3BE1">
        <w:t xml:space="preserve"> supported increased access to basic education for 134,000 disadvantaged or marginalised children in targeted districts</w:t>
      </w:r>
      <w:r w:rsidR="008B7F03" w:rsidRPr="008C3BE1">
        <w:t xml:space="preserve">. </w:t>
      </w:r>
      <w:r w:rsidR="005E51A7" w:rsidRPr="008C3BE1">
        <w:t xml:space="preserve">This included </w:t>
      </w:r>
      <w:r w:rsidR="00C42D93">
        <w:t>assistance</w:t>
      </w:r>
      <w:r w:rsidR="005E51A7" w:rsidRPr="008C3BE1">
        <w:t xml:space="preserve"> for the training of over 2</w:t>
      </w:r>
      <w:r w:rsidR="007875E4" w:rsidRPr="008C3BE1">
        <w:t>,</w:t>
      </w:r>
      <w:r w:rsidR="005E51A7" w:rsidRPr="008C3BE1">
        <w:t>000 school officials and teachers to implement conte</w:t>
      </w:r>
      <w:r w:rsidR="00F405C6" w:rsidRPr="008C3BE1">
        <w:t>mporary approaches to education.</w:t>
      </w:r>
      <w:r w:rsidR="00D43A5E" w:rsidRPr="008C3BE1">
        <w:t xml:space="preserve"> In the </w:t>
      </w:r>
      <w:smartTag w:uri="urn:schemas-microsoft-com:office:smarttags" w:element="country-region">
        <w:smartTag w:uri="urn:schemas-microsoft-com:office:smarttags" w:element="place">
          <w:r w:rsidR="00D43A5E" w:rsidRPr="008C3BE1">
            <w:t>Philippines</w:t>
          </w:r>
        </w:smartTag>
      </w:smartTag>
      <w:r w:rsidR="00D43A5E" w:rsidRPr="008C3BE1">
        <w:t xml:space="preserve">, </w:t>
      </w:r>
      <w:proofErr w:type="spellStart"/>
      <w:r w:rsidR="00D43A5E" w:rsidRPr="008C3BE1">
        <w:t>AusAID</w:t>
      </w:r>
      <w:proofErr w:type="spellEnd"/>
      <w:r w:rsidR="00D43A5E" w:rsidRPr="008C3BE1">
        <w:t xml:space="preserve"> supported the introduction of curricula with indigenous relevance, targeting 185 schools.</w:t>
      </w:r>
      <w:r w:rsidR="003E6B90" w:rsidRPr="008C3BE1">
        <w:t xml:space="preserve"> </w:t>
      </w:r>
    </w:p>
    <w:p w:rsidR="00792493" w:rsidRPr="006F3B03" w:rsidRDefault="00FC09C3" w:rsidP="00BE716C">
      <w:pPr>
        <w:pStyle w:val="BodyText"/>
        <w:widowControl w:val="0"/>
      </w:pPr>
      <w:r>
        <w:rPr>
          <w:b/>
        </w:rPr>
        <w:t>Providing value for money</w:t>
      </w:r>
      <w:r w:rsidR="00EC3499">
        <w:rPr>
          <w:b/>
        </w:rPr>
        <w:t xml:space="preserve">. </w:t>
      </w:r>
      <w:r w:rsidR="00EC3499">
        <w:t>T</w:t>
      </w:r>
      <w:r w:rsidR="00792493" w:rsidRPr="0000206D">
        <w:t xml:space="preserve">he 2009 </w:t>
      </w:r>
      <w:r w:rsidR="00CA3A52">
        <w:t xml:space="preserve">Independent </w:t>
      </w:r>
      <w:r w:rsidR="003B5270">
        <w:t>C</w:t>
      </w:r>
      <w:r w:rsidR="00CA3A52">
        <w:t xml:space="preserve">ompletion </w:t>
      </w:r>
      <w:r w:rsidR="003B5270">
        <w:t>R</w:t>
      </w:r>
      <w:r w:rsidR="00CA3A52">
        <w:t>eport</w:t>
      </w:r>
      <w:r w:rsidR="00792493">
        <w:t xml:space="preserve"> of</w:t>
      </w:r>
      <w:r w:rsidR="00792493" w:rsidRPr="0000206D">
        <w:t xml:space="preserve"> the </w:t>
      </w:r>
      <w:proofErr w:type="spellStart"/>
      <w:r w:rsidR="00792493">
        <w:t>AusAID</w:t>
      </w:r>
      <w:proofErr w:type="spellEnd"/>
      <w:r w:rsidR="00792493">
        <w:t xml:space="preserve">-supported </w:t>
      </w:r>
      <w:r w:rsidR="00792493" w:rsidRPr="0000206D">
        <w:t>Vanuatu Secondary Schools Extension Project found that quality infrastructure was delivered at excellent value for money, with innovative approaches to engaging local contractors and communities in construction</w:t>
      </w:r>
      <w:r w:rsidR="003D1DE5">
        <w:t>.</w:t>
      </w:r>
      <w:r w:rsidR="00792493">
        <w:rPr>
          <w:rStyle w:val="FootnoteReference"/>
        </w:rPr>
        <w:footnoteReference w:id="7"/>
      </w:r>
      <w:r w:rsidR="00792493">
        <w:t xml:space="preserve"> </w:t>
      </w:r>
      <w:smartTag w:uri="urn:schemas-microsoft-com:office:smarttags" w:element="country-region">
        <w:r w:rsidR="00792493" w:rsidRPr="00B46B5F">
          <w:t>Australia</w:t>
        </w:r>
      </w:smartTag>
      <w:r w:rsidR="00792493" w:rsidRPr="00B46B5F">
        <w:t xml:space="preserve"> is the only development partner financing construction of junior secondary schools</w:t>
      </w:r>
      <w:r w:rsidR="00792493">
        <w:t xml:space="preserve"> in </w:t>
      </w:r>
      <w:smartTag w:uri="urn:schemas-microsoft-com:office:smarttags" w:element="country-region">
        <w:smartTag w:uri="urn:schemas-microsoft-com:office:smarttags" w:element="place">
          <w:r w:rsidR="00792493">
            <w:t>Indonesia</w:t>
          </w:r>
        </w:smartTag>
      </w:smartTag>
      <w:r w:rsidR="00792493" w:rsidRPr="00B46B5F">
        <w:t xml:space="preserve">, </w:t>
      </w:r>
      <w:r w:rsidR="00792493">
        <w:t>with over</w:t>
      </w:r>
      <w:r w:rsidR="00792493" w:rsidRPr="00B46B5F">
        <w:t xml:space="preserve"> 2</w:t>
      </w:r>
      <w:r w:rsidR="003455A2">
        <w:t>,</w:t>
      </w:r>
      <w:r w:rsidR="00792493" w:rsidRPr="00B46B5F">
        <w:t xml:space="preserve">000 new junior </w:t>
      </w:r>
      <w:r w:rsidR="00792493" w:rsidRPr="00B46B5F">
        <w:lastRenderedPageBreak/>
        <w:t xml:space="preserve">secondary schools </w:t>
      </w:r>
      <w:r w:rsidR="00792493">
        <w:t xml:space="preserve">constructed or planned </w:t>
      </w:r>
      <w:r w:rsidR="00792493" w:rsidRPr="00B46B5F">
        <w:t>across 197 districts</w:t>
      </w:r>
      <w:r w:rsidR="00792493">
        <w:t xml:space="preserve">. </w:t>
      </w:r>
      <w:proofErr w:type="spellStart"/>
      <w:r w:rsidR="00792493">
        <w:rPr>
          <w:lang w:val="en-US"/>
        </w:rPr>
        <w:t>AusAID</w:t>
      </w:r>
      <w:proofErr w:type="spellEnd"/>
      <w:r w:rsidR="00792493">
        <w:rPr>
          <w:lang w:val="en-US"/>
        </w:rPr>
        <w:t xml:space="preserve"> s</w:t>
      </w:r>
      <w:r w:rsidR="00792493" w:rsidRPr="00BE3520">
        <w:rPr>
          <w:lang w:val="en-US"/>
        </w:rPr>
        <w:t xml:space="preserve">upported the construction of 479 classrooms in the </w:t>
      </w:r>
      <w:smartTag w:uri="urn:schemas-microsoft-com:office:smarttags" w:element="place">
        <w:r w:rsidR="00792493" w:rsidRPr="00BE3520">
          <w:rPr>
            <w:lang w:val="en-US"/>
          </w:rPr>
          <w:t>Southern Philippines</w:t>
        </w:r>
      </w:smartTag>
      <w:r w:rsidR="00792493">
        <w:rPr>
          <w:lang w:val="en-US"/>
        </w:rPr>
        <w:t>.</w:t>
      </w:r>
      <w:r w:rsidR="006F3B03" w:rsidRPr="006F3B03">
        <w:t xml:space="preserve"> </w:t>
      </w:r>
    </w:p>
    <w:p w:rsidR="006F3B03" w:rsidRDefault="003D1DE5" w:rsidP="00BE716C">
      <w:pPr>
        <w:pStyle w:val="BodyText"/>
        <w:widowControl w:val="0"/>
      </w:pPr>
      <w:r>
        <w:rPr>
          <w:b/>
          <w:lang w:val="en-US"/>
        </w:rPr>
        <w:t>S</w:t>
      </w:r>
      <w:proofErr w:type="spellStart"/>
      <w:r w:rsidR="00E4520C" w:rsidRPr="0064486D">
        <w:rPr>
          <w:b/>
        </w:rPr>
        <w:t>upport</w:t>
      </w:r>
      <w:r>
        <w:rPr>
          <w:b/>
        </w:rPr>
        <w:t>ing</w:t>
      </w:r>
      <w:proofErr w:type="spellEnd"/>
      <w:r w:rsidR="00405BD5" w:rsidRPr="0064486D">
        <w:rPr>
          <w:b/>
        </w:rPr>
        <w:t xml:space="preserve"> </w:t>
      </w:r>
      <w:r w:rsidR="00E4520C" w:rsidRPr="00BE716C">
        <w:rPr>
          <w:b/>
        </w:rPr>
        <w:t xml:space="preserve">education </w:t>
      </w:r>
      <w:r w:rsidR="0014038D">
        <w:rPr>
          <w:b/>
        </w:rPr>
        <w:t>governance</w:t>
      </w:r>
      <w:r w:rsidR="00525D5F">
        <w:t>. H</w:t>
      </w:r>
      <w:r w:rsidR="00405BD5">
        <w:t xml:space="preserve">ighlights included </w:t>
      </w:r>
      <w:r w:rsidR="00525D5F">
        <w:t xml:space="preserve">the </w:t>
      </w:r>
      <w:r w:rsidR="00EC3499">
        <w:t xml:space="preserve">provision of </w:t>
      </w:r>
      <w:r w:rsidR="00BE716C" w:rsidRPr="00973743">
        <w:t>Australia</w:t>
      </w:r>
      <w:r w:rsidR="003F4C02">
        <w:t xml:space="preserve">n </w:t>
      </w:r>
      <w:r w:rsidR="00BE716C" w:rsidRPr="00973743">
        <w:t xml:space="preserve">technical advice </w:t>
      </w:r>
      <w:r w:rsidR="00BE716C">
        <w:t>to</w:t>
      </w:r>
      <w:r w:rsidR="00973743">
        <w:t xml:space="preserve"> </w:t>
      </w:r>
      <w:smartTag w:uri="urn:schemas-microsoft-com:office:smarttags" w:element="place">
        <w:smartTag w:uri="urn:schemas-microsoft-com:office:smarttags" w:element="country-region">
          <w:r w:rsidR="00973743">
            <w:t>Indonesia</w:t>
          </w:r>
        </w:smartTag>
      </w:smartTag>
      <w:r w:rsidR="00EC3499">
        <w:t xml:space="preserve"> </w:t>
      </w:r>
      <w:r w:rsidR="00973743" w:rsidRPr="00973743">
        <w:t>to support critical improvements in education quality and governance, including a national approach to quality improvement</w:t>
      </w:r>
      <w:r w:rsidR="008B7F03">
        <w:t xml:space="preserve">. </w:t>
      </w:r>
      <w:r w:rsidR="00973743">
        <w:t xml:space="preserve">Building upon this support, the </w:t>
      </w:r>
      <w:r w:rsidR="00973743" w:rsidRPr="00973743">
        <w:t>G</w:t>
      </w:r>
      <w:r w:rsidR="00973743">
        <w:t xml:space="preserve">overnment </w:t>
      </w:r>
      <w:r w:rsidR="00973743" w:rsidRPr="00973743">
        <w:t>o</w:t>
      </w:r>
      <w:r w:rsidR="00973743">
        <w:t xml:space="preserve">f </w:t>
      </w:r>
      <w:r w:rsidR="00973743" w:rsidRPr="00973743">
        <w:t>I</w:t>
      </w:r>
      <w:r w:rsidR="00973743">
        <w:t>ndonesia</w:t>
      </w:r>
      <w:r w:rsidR="00973743" w:rsidRPr="00973743">
        <w:t xml:space="preserve"> </w:t>
      </w:r>
      <w:r w:rsidR="00973743">
        <w:t>developed a</w:t>
      </w:r>
      <w:r w:rsidR="00973743" w:rsidRPr="00973743">
        <w:t xml:space="preserve"> strategy and targets </w:t>
      </w:r>
      <w:r w:rsidR="003F4C02">
        <w:t>to</w:t>
      </w:r>
      <w:r w:rsidR="00973743" w:rsidRPr="00973743">
        <w:t xml:space="preserve"> strengthen sub-national capacity for education services delivery</w:t>
      </w:r>
      <w:r w:rsidR="008B7F03">
        <w:t xml:space="preserve">. </w:t>
      </w:r>
    </w:p>
    <w:p w:rsidR="0038558C" w:rsidRDefault="00FC09C3" w:rsidP="00BE716C">
      <w:pPr>
        <w:pStyle w:val="BodyText"/>
        <w:widowControl w:val="0"/>
      </w:pPr>
      <w:r>
        <w:rPr>
          <w:b/>
          <w:lang w:val="en-US"/>
        </w:rPr>
        <w:t>Generating work</w:t>
      </w:r>
      <w:r w:rsidR="003D1DE5">
        <w:rPr>
          <w:b/>
          <w:lang w:val="en-US"/>
        </w:rPr>
        <w:t>-</w:t>
      </w:r>
      <w:r>
        <w:rPr>
          <w:b/>
          <w:lang w:val="en-US"/>
        </w:rPr>
        <w:t>ready students</w:t>
      </w:r>
      <w:r>
        <w:rPr>
          <w:b/>
        </w:rPr>
        <w:t>.</w:t>
      </w:r>
      <w:r w:rsidR="00766A7E">
        <w:t xml:space="preserve"> </w:t>
      </w:r>
      <w:proofErr w:type="spellStart"/>
      <w:r w:rsidR="00766A7E">
        <w:t>AusAID’s</w:t>
      </w:r>
      <w:proofErr w:type="spellEnd"/>
      <w:r w:rsidR="00766A7E">
        <w:t xml:space="preserve"> major investment </w:t>
      </w:r>
      <w:r>
        <w:t xml:space="preserve">in </w:t>
      </w:r>
      <w:r w:rsidRPr="00FC09C3">
        <w:t>technical and vocational education and training</w:t>
      </w:r>
      <w:r>
        <w:t xml:space="preserve"> </w:t>
      </w:r>
      <w:r w:rsidR="00766A7E">
        <w:t xml:space="preserve">is in the Pacific through the </w:t>
      </w:r>
      <w:smartTag w:uri="urn:schemas-microsoft-com:office:smarttags" w:element="place">
        <w:smartTag w:uri="urn:schemas-microsoft-com:office:smarttags" w:element="PlaceName">
          <w:r w:rsidR="00766A7E">
            <w:t>Australia</w:t>
          </w:r>
        </w:smartTag>
        <w:r w:rsidR="00766A7E">
          <w:t xml:space="preserve"> </w:t>
        </w:r>
        <w:smartTag w:uri="urn:schemas-microsoft-com:office:smarttags" w:element="PlaceName">
          <w:r w:rsidR="00766A7E">
            <w:t>Pacific</w:t>
          </w:r>
        </w:smartTag>
        <w:r w:rsidR="00766A7E">
          <w:t xml:space="preserve"> </w:t>
        </w:r>
        <w:smartTag w:uri="urn:schemas-microsoft-com:office:smarttags" w:element="PlaceName">
          <w:r w:rsidR="00766A7E">
            <w:t>Technical</w:t>
          </w:r>
        </w:smartTag>
        <w:r w:rsidR="00766A7E">
          <w:t xml:space="preserve"> </w:t>
        </w:r>
        <w:smartTag w:uri="urn:schemas-microsoft-com:office:smarttags" w:element="PlaceType">
          <w:r w:rsidR="00766A7E">
            <w:t>College</w:t>
          </w:r>
        </w:smartTag>
      </w:smartTag>
      <w:r w:rsidR="00766A7E">
        <w:t>. A</w:t>
      </w:r>
      <w:r w:rsidR="00C70E2F" w:rsidRPr="00C70E2F">
        <w:t xml:space="preserve"> mid-term review of the College indicated it is increasing the number of skilled workers across the Pacific</w:t>
      </w:r>
      <w:r w:rsidR="003D1DE5">
        <w:t>.</w:t>
      </w:r>
      <w:r w:rsidR="00C70E2F" w:rsidRPr="00C70E2F">
        <w:rPr>
          <w:vertAlign w:val="superscript"/>
        </w:rPr>
        <w:footnoteReference w:id="8"/>
      </w:r>
      <w:r w:rsidR="008B7F03">
        <w:t xml:space="preserve"> </w:t>
      </w:r>
      <w:r w:rsidR="00CD03CD">
        <w:t>By the end of 2009, nearly 1,000</w:t>
      </w:r>
      <w:r w:rsidR="00CD03CD" w:rsidRPr="00CD03CD">
        <w:t xml:space="preserve"> </w:t>
      </w:r>
      <w:smartTag w:uri="urn:schemas-microsoft-com:office:smarttags" w:element="place">
        <w:smartTag w:uri="urn:schemas-microsoft-com:office:smarttags" w:element="PlaceName">
          <w:r w:rsidR="00CD03CD" w:rsidRPr="00CD03CD">
            <w:t>Australia-Pacific</w:t>
          </w:r>
        </w:smartTag>
        <w:r w:rsidR="00CD03CD" w:rsidRPr="00CD03CD">
          <w:t xml:space="preserve"> </w:t>
        </w:r>
        <w:smartTag w:uri="urn:schemas-microsoft-com:office:smarttags" w:element="PlaceName">
          <w:r w:rsidR="00CD03CD" w:rsidRPr="00CD03CD">
            <w:t>Technical</w:t>
          </w:r>
        </w:smartTag>
        <w:r w:rsidR="00CD03CD" w:rsidRPr="00CD03CD">
          <w:t xml:space="preserve"> </w:t>
        </w:r>
        <w:smartTag w:uri="urn:schemas-microsoft-com:office:smarttags" w:element="PlaceType">
          <w:r w:rsidR="00CD03CD" w:rsidRPr="00CD03CD">
            <w:t>College</w:t>
          </w:r>
        </w:smartTag>
      </w:smartTag>
      <w:r w:rsidR="00CD03CD" w:rsidRPr="00CD03CD">
        <w:t xml:space="preserve"> students </w:t>
      </w:r>
      <w:r w:rsidR="00CD03CD">
        <w:t xml:space="preserve">had </w:t>
      </w:r>
      <w:r w:rsidR="00CD03CD" w:rsidRPr="00CD03CD">
        <w:t>graduated, providing 520 e</w:t>
      </w:r>
      <w:r w:rsidR="00CD03CD">
        <w:t>mployers with trained staff (61 per cent</w:t>
      </w:r>
      <w:r w:rsidR="00CD03CD" w:rsidRPr="00CD03CD">
        <w:t xml:space="preserve"> in the private sector)</w:t>
      </w:r>
      <w:r w:rsidR="008B7F03">
        <w:t xml:space="preserve">. </w:t>
      </w:r>
      <w:r w:rsidR="0038558C">
        <w:t xml:space="preserve">In </w:t>
      </w:r>
      <w:r>
        <w:t xml:space="preserve">East </w:t>
      </w:r>
      <w:r w:rsidR="0038558C">
        <w:t xml:space="preserve">Timor, </w:t>
      </w:r>
      <w:r w:rsidR="0038558C" w:rsidRPr="0038558C">
        <w:t>Australia supported the establishment of a competency-based technical and vocational education and training system</w:t>
      </w:r>
      <w:r w:rsidR="0038558C">
        <w:t>,</w:t>
      </w:r>
      <w:r w:rsidR="0038558C" w:rsidRPr="0038558C">
        <w:t xml:space="preserve"> through development of the National Labour Force Development Institute</w:t>
      </w:r>
      <w:r w:rsidR="008B7F03">
        <w:t xml:space="preserve">. </w:t>
      </w:r>
      <w:r w:rsidR="0038558C">
        <w:t>More than 100</w:t>
      </w:r>
      <w:r w:rsidR="0038558C" w:rsidRPr="0038558C">
        <w:t xml:space="preserve"> youths completed basic training in building and construction skills through the </w:t>
      </w:r>
      <w:proofErr w:type="spellStart"/>
      <w:r w:rsidR="0038558C" w:rsidRPr="0038558C">
        <w:t>AusAID</w:t>
      </w:r>
      <w:proofErr w:type="spellEnd"/>
      <w:r w:rsidR="0038558C" w:rsidRPr="0038558C">
        <w:t xml:space="preserve">-funded Timor </w:t>
      </w:r>
      <w:proofErr w:type="spellStart"/>
      <w:r w:rsidR="0038558C" w:rsidRPr="0038558C">
        <w:t>Leste</w:t>
      </w:r>
      <w:proofErr w:type="spellEnd"/>
      <w:r w:rsidR="0038558C" w:rsidRPr="0038558C">
        <w:t xml:space="preserve"> Basic Skills Training Project</w:t>
      </w:r>
      <w:r w:rsidR="008B7F03">
        <w:t xml:space="preserve">. </w:t>
      </w:r>
      <w:r w:rsidR="004B6E8B" w:rsidRPr="004B6E8B">
        <w:t xml:space="preserve">Through </w:t>
      </w:r>
      <w:proofErr w:type="spellStart"/>
      <w:r w:rsidR="004B6E8B" w:rsidRPr="004B6E8B">
        <w:t>AusAID’s</w:t>
      </w:r>
      <w:proofErr w:type="spellEnd"/>
      <w:r w:rsidR="004B6E8B" w:rsidRPr="004B6E8B">
        <w:t xml:space="preserve"> support for the Vanuatu National Training Council, there are </w:t>
      </w:r>
      <w:r w:rsidR="00B60444">
        <w:t xml:space="preserve">now </w:t>
      </w:r>
      <w:r w:rsidR="004B6E8B" w:rsidRPr="004B6E8B">
        <w:t xml:space="preserve">29 registered training providers in </w:t>
      </w:r>
      <w:smartTag w:uri="urn:schemas-microsoft-com:office:smarttags" w:element="place">
        <w:smartTag w:uri="urn:schemas-microsoft-com:office:smarttags" w:element="country-region">
          <w:r w:rsidR="004B6E8B" w:rsidRPr="004B6E8B">
            <w:t>Vanuatu</w:t>
          </w:r>
        </w:smartTag>
      </w:smartTag>
      <w:r w:rsidR="004B6E8B" w:rsidRPr="004B6E8B">
        <w:t xml:space="preserve"> (none were registered before 2009) providing 95 accredited courses</w:t>
      </w:r>
      <w:r w:rsidR="004B6E8B">
        <w:t>.</w:t>
      </w:r>
    </w:p>
    <w:p w:rsidR="00044BEB" w:rsidRDefault="00525D5F" w:rsidP="00BE716C">
      <w:pPr>
        <w:pStyle w:val="BodyText"/>
        <w:widowControl w:val="0"/>
      </w:pPr>
      <w:r>
        <w:rPr>
          <w:b/>
        </w:rPr>
        <w:t>H</w:t>
      </w:r>
      <w:r w:rsidR="00044BEB" w:rsidRPr="00044BEB">
        <w:rPr>
          <w:b/>
        </w:rPr>
        <w:t>igher education</w:t>
      </w:r>
      <w:r>
        <w:t xml:space="preserve">. </w:t>
      </w:r>
      <w:smartTag w:uri="urn:schemas-microsoft-com:office:smarttags" w:element="country-region">
        <w:r w:rsidR="00044BEB" w:rsidRPr="00201AE8">
          <w:t>Australia</w:t>
        </w:r>
      </w:smartTag>
      <w:r w:rsidR="00044BEB" w:rsidRPr="00201AE8">
        <w:t xml:space="preserve"> is supporting leadership development through the scholarships program</w:t>
      </w:r>
      <w:r w:rsidR="003D1DE5">
        <w:t>,</w:t>
      </w:r>
      <w:r w:rsidR="00044BEB" w:rsidRPr="00201AE8">
        <w:t xml:space="preserve"> higher education</w:t>
      </w:r>
      <w:r w:rsidR="00044BEB">
        <w:t xml:space="preserve"> reform in PNG</w:t>
      </w:r>
      <w:r w:rsidR="00044BEB" w:rsidRPr="00201AE8">
        <w:t xml:space="preserve"> and English language teacher training in the </w:t>
      </w:r>
      <w:smartTag w:uri="urn:schemas-microsoft-com:office:smarttags" w:element="place">
        <w:smartTag w:uri="urn:schemas-microsoft-com:office:smarttags" w:element="PlaceType">
          <w:r w:rsidR="00044BEB" w:rsidRPr="00201AE8">
            <w:t>University</w:t>
          </w:r>
        </w:smartTag>
        <w:r w:rsidR="00044BEB" w:rsidRPr="00201AE8">
          <w:t xml:space="preserve"> of </w:t>
        </w:r>
        <w:smartTag w:uri="urn:schemas-microsoft-com:office:smarttags" w:element="PlaceName">
          <w:r w:rsidR="00741923">
            <w:t xml:space="preserve">East </w:t>
          </w:r>
          <w:r w:rsidR="00044BEB" w:rsidRPr="00201AE8">
            <w:t>Timor</w:t>
          </w:r>
        </w:smartTag>
      </w:smartTag>
      <w:r w:rsidR="00741923">
        <w:t xml:space="preserve">. </w:t>
      </w:r>
      <w:r w:rsidR="00741923" w:rsidRPr="00201AE8">
        <w:t>To date, investment in higher education has not been a priority of the aid program</w:t>
      </w:r>
      <w:r w:rsidR="00741923">
        <w:t>.</w:t>
      </w:r>
    </w:p>
    <w:p w:rsidR="002018D9" w:rsidRDefault="00E4520C" w:rsidP="00BE716C">
      <w:pPr>
        <w:pStyle w:val="BodyText"/>
        <w:widowControl w:val="0"/>
      </w:pPr>
      <w:r w:rsidRPr="00525D5F">
        <w:rPr>
          <w:b/>
        </w:rPr>
        <w:t xml:space="preserve">Australian </w:t>
      </w:r>
      <w:r w:rsidR="002A2908">
        <w:rPr>
          <w:b/>
        </w:rPr>
        <w:t>support</w:t>
      </w:r>
      <w:r w:rsidRPr="00525D5F">
        <w:rPr>
          <w:b/>
        </w:rPr>
        <w:t xml:space="preserve"> in education has moved </w:t>
      </w:r>
      <w:r w:rsidR="004B6E8B" w:rsidRPr="00525D5F">
        <w:rPr>
          <w:b/>
        </w:rPr>
        <w:t>towards</w:t>
      </w:r>
      <w:r w:rsidR="004B6E8B" w:rsidRPr="00BE716C">
        <w:rPr>
          <w:b/>
        </w:rPr>
        <w:t xml:space="preserve"> sector-based programs </w:t>
      </w:r>
      <w:r w:rsidRPr="00BE716C">
        <w:rPr>
          <w:b/>
        </w:rPr>
        <w:t>of support</w:t>
      </w:r>
      <w:r w:rsidR="008B7F03">
        <w:t xml:space="preserve">. </w:t>
      </w:r>
      <w:proofErr w:type="spellStart"/>
      <w:r w:rsidR="00B05428" w:rsidRPr="00B05428">
        <w:t>AusAID</w:t>
      </w:r>
      <w:proofErr w:type="spellEnd"/>
      <w:r w:rsidR="00B05428" w:rsidRPr="00B05428">
        <w:t xml:space="preserve"> programs for basic education in </w:t>
      </w:r>
      <w:smartTag w:uri="urn:schemas-microsoft-com:office:smarttags" w:element="place">
        <w:smartTag w:uri="urn:schemas-microsoft-com:office:smarttags" w:element="country-region">
          <w:r w:rsidR="003B5270">
            <w:t>Lao</w:t>
          </w:r>
          <w:r w:rsidR="00950910">
            <w:t>s</w:t>
          </w:r>
        </w:smartTag>
      </w:smartTag>
      <w:r w:rsidR="00B05428" w:rsidRPr="00B05428">
        <w:t xml:space="preserve"> have been provided in partnership </w:t>
      </w:r>
      <w:r w:rsidR="00B05428">
        <w:t>with a range of multilateral agencies</w:t>
      </w:r>
      <w:r w:rsidR="001D07E3">
        <w:t xml:space="preserve"> with </w:t>
      </w:r>
      <w:proofErr w:type="spellStart"/>
      <w:r w:rsidR="001D07E3">
        <w:t>AusAID</w:t>
      </w:r>
      <w:proofErr w:type="spellEnd"/>
      <w:r w:rsidR="001D07E3">
        <w:t xml:space="preserve"> serving</w:t>
      </w:r>
      <w:r w:rsidR="001D07E3" w:rsidRPr="00D14D80">
        <w:t xml:space="preserve"> as co-chair of the Education Sector Working Group</w:t>
      </w:r>
      <w:r w:rsidR="008B7F03">
        <w:t xml:space="preserve">. </w:t>
      </w:r>
      <w:r w:rsidR="00B05428" w:rsidRPr="00B05428">
        <w:t xml:space="preserve">By extending the coverage and reach of </w:t>
      </w:r>
      <w:r w:rsidR="00F25EFD">
        <w:t xml:space="preserve">education </w:t>
      </w:r>
      <w:r w:rsidR="00B05428" w:rsidRPr="00B05428">
        <w:t>programs</w:t>
      </w:r>
      <w:r w:rsidR="00F25EFD">
        <w:t xml:space="preserve"> in </w:t>
      </w:r>
      <w:smartTag w:uri="urn:schemas-microsoft-com:office:smarttags" w:element="place">
        <w:smartTag w:uri="urn:schemas-microsoft-com:office:smarttags" w:element="country-region">
          <w:r w:rsidR="003B5270">
            <w:t>Lao</w:t>
          </w:r>
          <w:r w:rsidR="00950910">
            <w:t>s</w:t>
          </w:r>
        </w:smartTag>
      </w:smartTag>
      <w:r w:rsidR="00F25EFD">
        <w:t>,</w:t>
      </w:r>
      <w:r w:rsidR="00B05428" w:rsidRPr="00B05428">
        <w:t xml:space="preserve"> more primary school teachers </w:t>
      </w:r>
      <w:r w:rsidR="00766A7E">
        <w:t>were</w:t>
      </w:r>
      <w:r w:rsidR="00B05428" w:rsidRPr="00B05428">
        <w:t xml:space="preserve"> trained, more schools </w:t>
      </w:r>
      <w:r w:rsidR="00766A7E">
        <w:t>were</w:t>
      </w:r>
      <w:r w:rsidR="00B05428" w:rsidRPr="00B05428">
        <w:t xml:space="preserve"> built, more school</w:t>
      </w:r>
      <w:r w:rsidR="00F25EFD">
        <w:t xml:space="preserve"> </w:t>
      </w:r>
      <w:r w:rsidR="00B05428" w:rsidRPr="00B05428">
        <w:t xml:space="preserve">children have been fed, and more communities </w:t>
      </w:r>
      <w:r w:rsidR="00766A7E">
        <w:t>were</w:t>
      </w:r>
      <w:r w:rsidR="00B05428" w:rsidRPr="00B05428">
        <w:t xml:space="preserve"> engaged in the development of their schools</w:t>
      </w:r>
      <w:r w:rsidR="003D1DE5">
        <w:t>.</w:t>
      </w:r>
      <w:r w:rsidR="00B05428">
        <w:rPr>
          <w:rStyle w:val="FootnoteReference"/>
        </w:rPr>
        <w:footnoteReference w:id="9"/>
      </w:r>
      <w:r w:rsidR="008B7F03">
        <w:t xml:space="preserve"> </w:t>
      </w:r>
      <w:r w:rsidR="0037694B" w:rsidRPr="0037694B">
        <w:t>In 2009</w:t>
      </w:r>
      <w:r w:rsidR="0037694B">
        <w:t>,</w:t>
      </w:r>
      <w:r w:rsidR="0037694B" w:rsidRPr="0037694B">
        <w:t xml:space="preserve"> </w:t>
      </w:r>
      <w:proofErr w:type="spellStart"/>
      <w:r w:rsidR="0037694B" w:rsidRPr="0037694B">
        <w:t>AusAID</w:t>
      </w:r>
      <w:proofErr w:type="spellEnd"/>
      <w:r w:rsidR="0037694B">
        <w:t xml:space="preserve"> harmonised its</w:t>
      </w:r>
      <w:r w:rsidR="0037694B" w:rsidRPr="0037694B">
        <w:t xml:space="preserve"> </w:t>
      </w:r>
      <w:r w:rsidR="0037694B">
        <w:t xml:space="preserve">support to </w:t>
      </w:r>
      <w:smartTag w:uri="urn:schemas-microsoft-com:office:smarttags" w:element="country-region">
        <w:smartTag w:uri="urn:schemas-microsoft-com:office:smarttags" w:element="place">
          <w:r w:rsidR="0037694B" w:rsidRPr="0037694B">
            <w:t>Pakistan</w:t>
          </w:r>
        </w:smartTag>
      </w:smartTag>
      <w:r w:rsidR="0037694B" w:rsidRPr="0037694B">
        <w:t xml:space="preserve"> </w:t>
      </w:r>
      <w:r w:rsidR="0037694B">
        <w:t xml:space="preserve">via </w:t>
      </w:r>
      <w:r w:rsidR="0037694B" w:rsidRPr="0037694B">
        <w:t>the ‘One UN’ Education Program</w:t>
      </w:r>
      <w:r w:rsidR="00F25EFD">
        <w:t xml:space="preserve">, </w:t>
      </w:r>
      <w:r w:rsidR="00F25EFD" w:rsidRPr="00F25EFD">
        <w:t>which aimed to deliver effective and coordinated programs at the country level</w:t>
      </w:r>
      <w:r w:rsidR="008B7F03">
        <w:t xml:space="preserve">. </w:t>
      </w:r>
      <w:r w:rsidR="00565937">
        <w:t xml:space="preserve">In </w:t>
      </w:r>
      <w:smartTag w:uri="urn:schemas-microsoft-com:office:smarttags" w:element="place">
        <w:smartTag w:uri="urn:schemas-microsoft-com:office:smarttags" w:element="country-region">
          <w:r w:rsidR="00565937">
            <w:t>Papua New Guinea</w:t>
          </w:r>
        </w:smartTag>
      </w:smartTag>
      <w:r w:rsidR="00565937">
        <w:t xml:space="preserve">, </w:t>
      </w:r>
      <w:proofErr w:type="spellStart"/>
      <w:r w:rsidR="00565937">
        <w:t>AusAID’s</w:t>
      </w:r>
      <w:proofErr w:type="spellEnd"/>
      <w:r w:rsidR="00565937">
        <w:t xml:space="preserve"> support reflected increased decentralisation in </w:t>
      </w:r>
      <w:r w:rsidR="005934A9">
        <w:t xml:space="preserve">the </w:t>
      </w:r>
      <w:r w:rsidR="00565937">
        <w:t>education</w:t>
      </w:r>
      <w:r w:rsidR="005934A9">
        <w:t xml:space="preserve"> sector</w:t>
      </w:r>
      <w:r w:rsidR="00766A7E">
        <w:t xml:space="preserve"> with</w:t>
      </w:r>
      <w:r w:rsidR="008B7F03">
        <w:t xml:space="preserve"> </w:t>
      </w:r>
      <w:r w:rsidR="00766A7E">
        <w:t>s</w:t>
      </w:r>
      <w:r w:rsidR="00565937" w:rsidRPr="00565937">
        <w:t>ub-national management strengthened</w:t>
      </w:r>
      <w:r w:rsidR="00766A7E">
        <w:t xml:space="preserve">. </w:t>
      </w:r>
      <w:r w:rsidR="006F3B03">
        <w:t>Support was provided to</w:t>
      </w:r>
      <w:r w:rsidR="00565937" w:rsidRPr="00565937">
        <w:t xml:space="preserve"> Provincial Education Offices in the areas of planning and management</w:t>
      </w:r>
      <w:r w:rsidR="00C42D93">
        <w:t>,</w:t>
      </w:r>
      <w:r w:rsidR="00565937" w:rsidRPr="00565937">
        <w:t xml:space="preserve"> school-level Boards of Management</w:t>
      </w:r>
      <w:r w:rsidR="005934A9">
        <w:t xml:space="preserve"> and </w:t>
      </w:r>
      <w:r w:rsidR="00565937" w:rsidRPr="00565937">
        <w:t>a national network of District Women’s Facilitators</w:t>
      </w:r>
      <w:r w:rsidR="008B7F03">
        <w:t xml:space="preserve">. </w:t>
      </w:r>
      <w:r w:rsidR="004C315E">
        <w:t xml:space="preserve">In the </w:t>
      </w:r>
      <w:smartTag w:uri="urn:schemas-microsoft-com:office:smarttags" w:element="place">
        <w:smartTag w:uri="urn:schemas-microsoft-com:office:smarttags" w:element="country-region">
          <w:r w:rsidR="004C315E">
            <w:t>Philippines</w:t>
          </w:r>
        </w:smartTag>
      </w:smartTag>
      <w:r w:rsidR="004C315E">
        <w:t xml:space="preserve">, </w:t>
      </w:r>
      <w:proofErr w:type="spellStart"/>
      <w:r w:rsidR="004C315E">
        <w:t>AusAID</w:t>
      </w:r>
      <w:proofErr w:type="spellEnd"/>
      <w:r w:rsidR="004C315E">
        <w:t xml:space="preserve"> </w:t>
      </w:r>
      <w:r w:rsidR="00F25EFD" w:rsidRPr="004C315E">
        <w:rPr>
          <w:lang w:val="en-US"/>
        </w:rPr>
        <w:t>contributed</w:t>
      </w:r>
      <w:r w:rsidR="004C315E" w:rsidRPr="004C315E">
        <w:rPr>
          <w:lang w:val="en-US"/>
        </w:rPr>
        <w:t xml:space="preserve"> to financial reforms and support for systems to improve </w:t>
      </w:r>
      <w:r w:rsidR="004C315E">
        <w:rPr>
          <w:lang w:val="en-US"/>
        </w:rPr>
        <w:t xml:space="preserve">education sector </w:t>
      </w:r>
      <w:r w:rsidR="004C315E" w:rsidRPr="004C315E">
        <w:rPr>
          <w:lang w:val="en-US"/>
        </w:rPr>
        <w:t>management including</w:t>
      </w:r>
      <w:r w:rsidR="004C315E">
        <w:rPr>
          <w:lang w:val="en-US"/>
        </w:rPr>
        <w:t xml:space="preserve"> the</w:t>
      </w:r>
      <w:r w:rsidR="004C315E" w:rsidRPr="004C315E">
        <w:rPr>
          <w:lang w:val="en-US"/>
        </w:rPr>
        <w:t xml:space="preserve"> Quality Assurance Framework</w:t>
      </w:r>
      <w:r w:rsidR="00F25EFD">
        <w:rPr>
          <w:lang w:val="en-US"/>
        </w:rPr>
        <w:t xml:space="preserve"> </w:t>
      </w:r>
      <w:r w:rsidR="004C315E">
        <w:rPr>
          <w:lang w:val="en-US"/>
        </w:rPr>
        <w:t>and</w:t>
      </w:r>
      <w:r w:rsidR="004C315E" w:rsidRPr="004C315E">
        <w:rPr>
          <w:lang w:val="en-US"/>
        </w:rPr>
        <w:t xml:space="preserve"> a system for pro-poor budget allocations to schools</w:t>
      </w:r>
      <w:r w:rsidR="008B7F03">
        <w:rPr>
          <w:lang w:val="en-US"/>
        </w:rPr>
        <w:t xml:space="preserve">. </w:t>
      </w:r>
      <w:r w:rsidR="005108B0">
        <w:rPr>
          <w:lang w:val="en-US"/>
        </w:rPr>
        <w:t xml:space="preserve">In </w:t>
      </w:r>
      <w:smartTag w:uri="urn:schemas-microsoft-com:office:smarttags" w:element="place">
        <w:r w:rsidR="005108B0">
          <w:rPr>
            <w:lang w:val="en-US"/>
          </w:rPr>
          <w:t>Samoa</w:t>
        </w:r>
      </w:smartTag>
      <w:r w:rsidR="005108B0">
        <w:rPr>
          <w:lang w:val="en-US"/>
        </w:rPr>
        <w:t xml:space="preserve">, </w:t>
      </w:r>
      <w:proofErr w:type="spellStart"/>
      <w:r w:rsidR="005108B0" w:rsidRPr="005108B0">
        <w:t>AusAID</w:t>
      </w:r>
      <w:r w:rsidR="005108B0">
        <w:t>’s</w:t>
      </w:r>
      <w:proofErr w:type="spellEnd"/>
      <w:r w:rsidR="005108B0" w:rsidRPr="005108B0">
        <w:t xml:space="preserve"> support </w:t>
      </w:r>
      <w:r w:rsidR="005108B0">
        <w:t xml:space="preserve">for the education sector </w:t>
      </w:r>
      <w:r w:rsidR="005108B0" w:rsidRPr="005108B0">
        <w:t>is aligned with government systems and harm</w:t>
      </w:r>
      <w:r w:rsidR="005108B0">
        <w:t>onised with other development partner</w:t>
      </w:r>
      <w:r w:rsidR="005108B0" w:rsidRPr="005108B0">
        <w:t>s</w:t>
      </w:r>
      <w:r w:rsidR="008B7F03">
        <w:t xml:space="preserve">. </w:t>
      </w:r>
      <w:r w:rsidR="005108B0">
        <w:t xml:space="preserve">A Mid-Term Review of the program partnership found that the </w:t>
      </w:r>
      <w:r w:rsidR="005108B0" w:rsidRPr="005108B0">
        <w:t>Ministry</w:t>
      </w:r>
      <w:r w:rsidR="005108B0">
        <w:t>-led sector reforms had achieved</w:t>
      </w:r>
      <w:r w:rsidR="002018D9">
        <w:t xml:space="preserve"> significant p</w:t>
      </w:r>
      <w:r w:rsidR="002018D9" w:rsidRPr="002018D9">
        <w:t xml:space="preserve">rogress in curriculum </w:t>
      </w:r>
      <w:r w:rsidR="003E392E">
        <w:t>reform</w:t>
      </w:r>
      <w:r w:rsidR="002018D9">
        <w:t>, national assessment, and teacher development</w:t>
      </w:r>
      <w:r w:rsidR="003D1DE5">
        <w:t>.</w:t>
      </w:r>
      <w:r w:rsidR="005E51A7">
        <w:rPr>
          <w:rStyle w:val="FootnoteReference"/>
        </w:rPr>
        <w:footnoteReference w:id="10"/>
      </w:r>
      <w:r w:rsidR="002018D9">
        <w:t xml:space="preserve"> </w:t>
      </w:r>
    </w:p>
    <w:p w:rsidR="003D7A7E" w:rsidRDefault="00BE716C" w:rsidP="00BE716C">
      <w:pPr>
        <w:pStyle w:val="BodyText"/>
        <w:widowControl w:val="0"/>
      </w:pPr>
      <w:proofErr w:type="spellStart"/>
      <w:r w:rsidRPr="00BE716C">
        <w:rPr>
          <w:b/>
        </w:rPr>
        <w:t>AusAID</w:t>
      </w:r>
      <w:proofErr w:type="spellEnd"/>
      <w:r w:rsidRPr="00BE716C">
        <w:rPr>
          <w:b/>
        </w:rPr>
        <w:t xml:space="preserve"> support to multilateral education initiatives</w:t>
      </w:r>
      <w:r w:rsidR="008B7F03">
        <w:t xml:space="preserve">. </w:t>
      </w:r>
      <w:smartTag w:uri="urn:schemas-microsoft-com:office:smarttags" w:element="place">
        <w:smartTag w:uri="urn:schemas-microsoft-com:office:smarttags" w:element="country-region">
          <w:r w:rsidR="00C90DDD" w:rsidRPr="00345B13">
            <w:t>Australia</w:t>
          </w:r>
        </w:smartTag>
      </w:smartTag>
      <w:r w:rsidR="00C90DDD" w:rsidRPr="00345B13">
        <w:t xml:space="preserve"> has committed $50 </w:t>
      </w:r>
      <w:r w:rsidR="00C90DDD" w:rsidRPr="00345B13">
        <w:lastRenderedPageBreak/>
        <w:t>million to the Education for All Fast Track Initiative (FTI) over four years (2007-11</w:t>
      </w:r>
      <w:r w:rsidR="00345B13" w:rsidRPr="00345B13">
        <w:t>). FTI is the only global partnership between donors and low-income countries focused on providing quality education for all.</w:t>
      </w:r>
      <w:r w:rsidR="00345B13" w:rsidRPr="00345B13">
        <w:rPr>
          <w:lang w:val="en-US"/>
        </w:rPr>
        <w:t xml:space="preserve"> The partnership includes </w:t>
      </w:r>
      <w:r w:rsidR="00345B13">
        <w:rPr>
          <w:lang w:val="en-US"/>
        </w:rPr>
        <w:t xml:space="preserve">most </w:t>
      </w:r>
      <w:r w:rsidR="00345B13" w:rsidRPr="00345B13">
        <w:rPr>
          <w:lang w:val="en-US"/>
        </w:rPr>
        <w:t>major education donors</w:t>
      </w:r>
      <w:r w:rsidR="00345B13">
        <w:rPr>
          <w:lang w:val="en-US"/>
        </w:rPr>
        <w:t xml:space="preserve">, with </w:t>
      </w:r>
      <w:r w:rsidR="00345B13" w:rsidRPr="00345B13">
        <w:rPr>
          <w:lang w:val="en-US"/>
        </w:rPr>
        <w:t>over 30 bilateral, regional, and international agencies and development banks</w:t>
      </w:r>
      <w:r w:rsidR="00345B13">
        <w:rPr>
          <w:lang w:val="en-US"/>
        </w:rPr>
        <w:t xml:space="preserve">. </w:t>
      </w:r>
      <w:r w:rsidR="002A2908" w:rsidRPr="00345B13">
        <w:t xml:space="preserve">Assisted by </w:t>
      </w:r>
      <w:r w:rsidR="00C42D93" w:rsidRPr="00345B13">
        <w:t xml:space="preserve">the </w:t>
      </w:r>
      <w:r w:rsidR="00EC3499" w:rsidRPr="00345B13">
        <w:t xml:space="preserve">FTI, </w:t>
      </w:r>
      <w:r w:rsidR="00EC3499" w:rsidRPr="00345B13">
        <w:rPr>
          <w:bCs/>
        </w:rPr>
        <w:t>total primary enrolment grew by 19.3 million between 2000-</w:t>
      </w:r>
      <w:r w:rsidR="002A2908" w:rsidRPr="00345B13">
        <w:rPr>
          <w:bCs/>
        </w:rPr>
        <w:t>20</w:t>
      </w:r>
      <w:r w:rsidR="00EC3499" w:rsidRPr="00345B13">
        <w:rPr>
          <w:bCs/>
        </w:rPr>
        <w:t xml:space="preserve">07. </w:t>
      </w:r>
      <w:r w:rsidR="00EC3499" w:rsidRPr="00345B13">
        <w:t>Enrolment in African countries supported by FTI has increased by 64</w:t>
      </w:r>
      <w:r w:rsidR="003D1DE5">
        <w:t xml:space="preserve"> per cent</w:t>
      </w:r>
      <w:r w:rsidR="00EC3499" w:rsidRPr="00345B13">
        <w:t xml:space="preserve"> (double the increase in non-FTI countries</w:t>
      </w:r>
      <w:r w:rsidR="00EC3499" w:rsidRPr="008C3BE1">
        <w:t>)</w:t>
      </w:r>
      <w:r w:rsidR="00EC3499">
        <w:rPr>
          <w:bCs/>
        </w:rPr>
        <w:t>. G</w:t>
      </w:r>
      <w:r w:rsidR="00EC3499" w:rsidRPr="008C3BE1">
        <w:rPr>
          <w:bCs/>
        </w:rPr>
        <w:t>irls represent 60</w:t>
      </w:r>
      <w:r w:rsidR="009D49F3">
        <w:rPr>
          <w:bCs/>
        </w:rPr>
        <w:t xml:space="preserve"> per cent</w:t>
      </w:r>
      <w:r w:rsidR="00EC3499" w:rsidRPr="008C3BE1">
        <w:rPr>
          <w:bCs/>
        </w:rPr>
        <w:t xml:space="preserve"> of new enrolments and p</w:t>
      </w:r>
      <w:r w:rsidR="00EC3499" w:rsidRPr="008C3BE1">
        <w:t>rimary school gender parity has been achieved in 16 countries.</w:t>
      </w:r>
      <w:r w:rsidR="0076145C">
        <w:t xml:space="preserve"> </w:t>
      </w:r>
      <w:r w:rsidRPr="00022558">
        <w:t xml:space="preserve">In July 2009, </w:t>
      </w:r>
      <w:smartTag w:uri="urn:schemas-microsoft-com:office:smarttags" w:element="country-region">
        <w:smartTag w:uri="urn:schemas-microsoft-com:office:smarttags" w:element="place">
          <w:r w:rsidRPr="00022558">
            <w:t>Australia</w:t>
          </w:r>
        </w:smartTag>
      </w:smartTag>
      <w:r w:rsidRPr="00022558">
        <w:t xml:space="preserve"> was elected as one of six do</w:t>
      </w:r>
      <w:r>
        <w:t>nor country members of the FTI Board of D</w:t>
      </w:r>
      <w:r w:rsidRPr="00022558">
        <w:t>irectors</w:t>
      </w:r>
      <w:r w:rsidR="000F4D43">
        <w:t xml:space="preserve">. </w:t>
      </w:r>
      <w:r w:rsidR="006F3B03">
        <w:t>Prior to our election</w:t>
      </w:r>
      <w:r w:rsidR="0035553F">
        <w:t xml:space="preserve"> to the B</w:t>
      </w:r>
      <w:r w:rsidR="00703B08">
        <w:t>oard</w:t>
      </w:r>
      <w:r w:rsidR="00FE375C">
        <w:t xml:space="preserve">, </w:t>
      </w:r>
      <w:proofErr w:type="spellStart"/>
      <w:r w:rsidR="00C90DDD">
        <w:t>AusAID</w:t>
      </w:r>
      <w:proofErr w:type="spellEnd"/>
      <w:r w:rsidR="00C90DDD">
        <w:t xml:space="preserve"> led a team charged</w:t>
      </w:r>
      <w:r w:rsidR="00703B08">
        <w:t xml:space="preserve"> with reforming</w:t>
      </w:r>
      <w:r w:rsidR="00792493">
        <w:t xml:space="preserve"> </w:t>
      </w:r>
      <w:r w:rsidR="00C90DDD">
        <w:t>FTI’s Education Program Development Fund (EPDF).</w:t>
      </w:r>
      <w:r w:rsidR="00C90DDD" w:rsidRPr="00022558">
        <w:t xml:space="preserve"> </w:t>
      </w:r>
      <w:r w:rsidR="000F4D43">
        <w:t xml:space="preserve">Board membership provided </w:t>
      </w:r>
      <w:smartTag w:uri="urn:schemas-microsoft-com:office:smarttags" w:element="country-region">
        <w:smartTag w:uri="urn:schemas-microsoft-com:office:smarttags" w:element="place">
          <w:r w:rsidR="000F4D43">
            <w:t>Australia</w:t>
          </w:r>
        </w:smartTag>
      </w:smartTag>
      <w:r w:rsidR="000F4D43">
        <w:t xml:space="preserve"> with greater leverage to influence FTI policy directions, including an increased focus on education challenges in the Pacific region</w:t>
      </w:r>
      <w:r w:rsidRPr="00022558">
        <w:t>.</w:t>
      </w:r>
      <w:r w:rsidR="005A0EE7">
        <w:t xml:space="preserve"> </w:t>
      </w:r>
      <w:proofErr w:type="spellStart"/>
      <w:r w:rsidR="003D7A7E" w:rsidRPr="003D7A7E">
        <w:t>AusAID’s</w:t>
      </w:r>
      <w:proofErr w:type="spellEnd"/>
      <w:r w:rsidR="003D7A7E" w:rsidRPr="003D7A7E">
        <w:t xml:space="preserve"> engagement with the FTI </w:t>
      </w:r>
      <w:r w:rsidR="003D7A7E">
        <w:t xml:space="preserve">at the global level allows the Education </w:t>
      </w:r>
      <w:r w:rsidR="003D7A7E" w:rsidRPr="003D7A7E">
        <w:t>T</w:t>
      </w:r>
      <w:r w:rsidR="003D7A7E">
        <w:t xml:space="preserve">hematic </w:t>
      </w:r>
      <w:r w:rsidR="003D7A7E" w:rsidRPr="003D7A7E">
        <w:t>G</w:t>
      </w:r>
      <w:r w:rsidR="003D7A7E">
        <w:t>roup</w:t>
      </w:r>
      <w:r w:rsidR="003D7A7E" w:rsidRPr="003D7A7E">
        <w:t xml:space="preserve"> to better support posts to e</w:t>
      </w:r>
      <w:r w:rsidR="001721B0">
        <w:t xml:space="preserve">ngage with the FTI in country. </w:t>
      </w:r>
      <w:r w:rsidR="003D7A7E" w:rsidRPr="003D7A7E">
        <w:t xml:space="preserve">So far </w:t>
      </w:r>
      <w:smartTag w:uri="urn:schemas-microsoft-com:office:smarttags" w:element="country-region">
        <w:r w:rsidR="003D7A7E" w:rsidRPr="003D7A7E">
          <w:t>Lao</w:t>
        </w:r>
        <w:r w:rsidR="00950910">
          <w:t>s</w:t>
        </w:r>
      </w:smartTag>
      <w:r w:rsidR="003D7A7E" w:rsidRPr="003D7A7E">
        <w:t xml:space="preserve">, </w:t>
      </w:r>
      <w:smartTag w:uri="urn:schemas-microsoft-com:office:smarttags" w:element="country-region">
        <w:r w:rsidR="003D7A7E" w:rsidRPr="003D7A7E">
          <w:t>Nepal</w:t>
        </w:r>
      </w:smartTag>
      <w:r w:rsidR="003D7A7E" w:rsidRPr="003D7A7E">
        <w:t xml:space="preserve"> and PNG have undertaken FTI processes, and others, including </w:t>
      </w:r>
      <w:smartTag w:uri="urn:schemas-microsoft-com:office:smarttags" w:element="place">
        <w:smartTag w:uri="urn:schemas-microsoft-com:office:smarttags" w:element="PlaceName">
          <w:r w:rsidR="003D7A7E" w:rsidRPr="003D7A7E">
            <w:t>Pacific</w:t>
          </w:r>
        </w:smartTag>
        <w:r w:rsidR="003D7A7E" w:rsidRPr="003D7A7E">
          <w:t xml:space="preserve"> </w:t>
        </w:r>
        <w:smartTag w:uri="urn:schemas-microsoft-com:office:smarttags" w:element="PlaceType">
          <w:r w:rsidR="003D7A7E" w:rsidRPr="003D7A7E">
            <w:t>Island</w:t>
          </w:r>
        </w:smartTag>
      </w:smartTag>
      <w:r w:rsidR="003D7A7E" w:rsidRPr="003D7A7E">
        <w:t xml:space="preserve"> countrie</w:t>
      </w:r>
      <w:r w:rsidR="001721B0">
        <w:t xml:space="preserve">s, have demonstrated interest. </w:t>
      </w:r>
      <w:smartTag w:uri="urn:schemas-microsoft-com:office:smarttags" w:element="country-region">
        <w:r w:rsidR="0076145C">
          <w:t>Australia</w:t>
        </w:r>
      </w:smartTag>
      <w:r w:rsidR="0076145C">
        <w:t xml:space="preserve"> was able to use its role on the Board to enable continued eligibility to FTI support for East Timor and other </w:t>
      </w:r>
      <w:smartTag w:uri="urn:schemas-microsoft-com:office:smarttags" w:element="place">
        <w:smartTag w:uri="urn:schemas-microsoft-com:office:smarttags" w:element="PlaceName">
          <w:r w:rsidR="0076145C">
            <w:t>Pacific</w:t>
          </w:r>
        </w:smartTag>
        <w:r w:rsidR="0076145C">
          <w:t xml:space="preserve"> </w:t>
        </w:r>
        <w:smartTag w:uri="urn:schemas-microsoft-com:office:smarttags" w:element="PlaceType">
          <w:r w:rsidR="0076145C">
            <w:t>Island</w:t>
          </w:r>
        </w:smartTag>
      </w:smartTag>
      <w:r w:rsidR="0076145C">
        <w:t xml:space="preserve"> countries and to help promote disability in FTI’s work. </w:t>
      </w:r>
      <w:r w:rsidR="003D7A7E">
        <w:t>Australia</w:t>
      </w:r>
      <w:r w:rsidR="00703B08">
        <w:t xml:space="preserve"> will continue to engage actively in the reform of FTI</w:t>
      </w:r>
      <w:r w:rsidR="00D21EB9">
        <w:t xml:space="preserve"> which came </w:t>
      </w:r>
      <w:r w:rsidR="003D7A7E">
        <w:t xml:space="preserve">out of the </w:t>
      </w:r>
      <w:proofErr w:type="spellStart"/>
      <w:r w:rsidR="003D7A7E">
        <w:t>mid term</w:t>
      </w:r>
      <w:proofErr w:type="spellEnd"/>
      <w:r w:rsidR="003D7A7E">
        <w:t xml:space="preserve"> review in 2009. </w:t>
      </w:r>
    </w:p>
    <w:p w:rsidR="00BE716C" w:rsidRDefault="005A0EE7" w:rsidP="00BE716C">
      <w:pPr>
        <w:pStyle w:val="BodyText"/>
        <w:widowControl w:val="0"/>
      </w:pPr>
      <w:r w:rsidRPr="005A0EE7">
        <w:t>In October 2009</w:t>
      </w:r>
      <w:r>
        <w:t>,</w:t>
      </w:r>
      <w:r w:rsidRPr="005A0EE7">
        <w:t xml:space="preserve"> </w:t>
      </w:r>
      <w:smartTag w:uri="urn:schemas-microsoft-com:office:smarttags" w:element="place">
        <w:smartTag w:uri="urn:schemas-microsoft-com:office:smarttags" w:element="country-region">
          <w:r w:rsidRPr="005A0EE7">
            <w:t>Australia</w:t>
          </w:r>
        </w:smartTag>
      </w:smartTag>
      <w:r w:rsidRPr="005A0EE7">
        <w:t xml:space="preserve"> signed a $180</w:t>
      </w:r>
      <w:r w:rsidR="008C0B3B">
        <w:t xml:space="preserve"> </w:t>
      </w:r>
      <w:r w:rsidRPr="005A0EE7">
        <w:t xml:space="preserve">million four-year </w:t>
      </w:r>
      <w:r w:rsidRPr="005513F4">
        <w:t xml:space="preserve">Strategic Partnership Agreement with </w:t>
      </w:r>
      <w:r w:rsidR="00525D5F" w:rsidRPr="005513F4">
        <w:t xml:space="preserve">the </w:t>
      </w:r>
      <w:r w:rsidR="00EC02A4" w:rsidRPr="005513F4">
        <w:t>W</w:t>
      </w:r>
      <w:r w:rsidR="00525D5F" w:rsidRPr="005513F4">
        <w:t xml:space="preserve">orld </w:t>
      </w:r>
      <w:r w:rsidR="00EC02A4" w:rsidRPr="005513F4">
        <w:t>F</w:t>
      </w:r>
      <w:r w:rsidR="00525D5F" w:rsidRPr="005513F4">
        <w:t xml:space="preserve">ood </w:t>
      </w:r>
      <w:r w:rsidR="00EC02A4" w:rsidRPr="005513F4">
        <w:t>P</w:t>
      </w:r>
      <w:r w:rsidR="00525D5F" w:rsidRPr="005513F4">
        <w:t>rogram</w:t>
      </w:r>
      <w:r w:rsidRPr="005A0EE7">
        <w:t xml:space="preserve">. This includes $40 million for dedicated school feeding programs in Asia, Africa and </w:t>
      </w:r>
      <w:smartTag w:uri="urn:schemas-microsoft-com:office:smarttags" w:element="place">
        <w:r w:rsidRPr="005A0EE7">
          <w:t>Latin America</w:t>
        </w:r>
      </w:smartTag>
      <w:r w:rsidRPr="005A0EE7">
        <w:t xml:space="preserve"> to reduce the number of school children who suffer hunger, and </w:t>
      </w:r>
      <w:r>
        <w:t>to</w:t>
      </w:r>
      <w:r w:rsidRPr="005A0EE7">
        <w:t xml:space="preserve"> improve school attendance and education results.</w:t>
      </w:r>
    </w:p>
    <w:p w:rsidR="00703B08" w:rsidRPr="00CD0EFB" w:rsidRDefault="00703B08" w:rsidP="00703B08">
      <w:pPr>
        <w:spacing w:before="80" w:after="80" w:line="280" w:lineRule="atLeast"/>
        <w:rPr>
          <w:rFonts w:ascii="Georgia" w:hAnsi="Georgia"/>
          <w:sz w:val="19"/>
          <w:szCs w:val="19"/>
        </w:rPr>
      </w:pPr>
      <w:r w:rsidRPr="00CD0EFB">
        <w:rPr>
          <w:rFonts w:ascii="Georgia" w:hAnsi="Georgia"/>
          <w:b/>
          <w:sz w:val="19"/>
          <w:szCs w:val="19"/>
        </w:rPr>
        <w:t>Scholarships in the</w:t>
      </w:r>
      <w:r>
        <w:rPr>
          <w:rFonts w:ascii="Georgia" w:hAnsi="Georgia"/>
          <w:b/>
          <w:sz w:val="19"/>
          <w:szCs w:val="19"/>
        </w:rPr>
        <w:t xml:space="preserve"> education s</w:t>
      </w:r>
      <w:r w:rsidRPr="00CD0EFB">
        <w:rPr>
          <w:rFonts w:ascii="Georgia" w:hAnsi="Georgia"/>
          <w:b/>
          <w:sz w:val="19"/>
          <w:szCs w:val="19"/>
        </w:rPr>
        <w:t>ector</w:t>
      </w:r>
      <w:r w:rsidR="003D1DE5">
        <w:rPr>
          <w:rFonts w:ascii="Georgia" w:hAnsi="Georgia"/>
          <w:b/>
          <w:sz w:val="19"/>
          <w:szCs w:val="19"/>
        </w:rPr>
        <w:t>.</w:t>
      </w:r>
      <w:r w:rsidR="00044BEB">
        <w:rPr>
          <w:rStyle w:val="FootnoteReference"/>
          <w:b/>
        </w:rPr>
        <w:footnoteReference w:id="11"/>
      </w:r>
      <w:r w:rsidRPr="00CD0EFB">
        <w:rPr>
          <w:rFonts w:ascii="Georgia" w:hAnsi="Georgia"/>
          <w:sz w:val="19"/>
          <w:szCs w:val="19"/>
        </w:rPr>
        <w:t xml:space="preserve"> Scholarships are an important tool for building leadership and developing the skills needed to achieve development outcomes. In 2009, 7</w:t>
      </w:r>
      <w:r w:rsidR="004976EE">
        <w:rPr>
          <w:rFonts w:ascii="Georgia" w:hAnsi="Georgia"/>
          <w:sz w:val="19"/>
          <w:szCs w:val="19"/>
        </w:rPr>
        <w:t>5</w:t>
      </w:r>
      <w:r w:rsidRPr="00CD0EFB">
        <w:rPr>
          <w:rFonts w:ascii="Georgia" w:hAnsi="Georgia"/>
          <w:sz w:val="19"/>
          <w:szCs w:val="19"/>
        </w:rPr>
        <w:t xml:space="preserve"> scholarships were provided for students to study education. This represents some 6</w:t>
      </w:r>
      <w:r w:rsidR="009D49F3" w:rsidRPr="009D49F3">
        <w:rPr>
          <w:rFonts w:ascii="Georgia" w:hAnsi="Georgia"/>
          <w:sz w:val="19"/>
          <w:szCs w:val="19"/>
        </w:rPr>
        <w:t xml:space="preserve"> </w:t>
      </w:r>
      <w:r w:rsidR="009D49F3">
        <w:rPr>
          <w:rFonts w:ascii="Georgia" w:hAnsi="Georgia"/>
          <w:sz w:val="19"/>
          <w:szCs w:val="19"/>
        </w:rPr>
        <w:t>per cent</w:t>
      </w:r>
      <w:r w:rsidRPr="00CD0EFB">
        <w:rPr>
          <w:rFonts w:ascii="Georgia" w:hAnsi="Georgia"/>
          <w:sz w:val="19"/>
          <w:szCs w:val="19"/>
        </w:rPr>
        <w:t xml:space="preserve"> of all long term scholarships awarded for 2009. Fields of study included </w:t>
      </w:r>
      <w:r>
        <w:rPr>
          <w:rFonts w:ascii="Georgia" w:hAnsi="Georgia"/>
          <w:sz w:val="19"/>
          <w:szCs w:val="19"/>
        </w:rPr>
        <w:t>e</w:t>
      </w:r>
      <w:r w:rsidRPr="00CD0EFB">
        <w:rPr>
          <w:rFonts w:ascii="Georgia" w:hAnsi="Georgia" w:cs="Arial"/>
          <w:sz w:val="19"/>
          <w:szCs w:val="19"/>
        </w:rPr>
        <w:t xml:space="preserve">ducation policy </w:t>
      </w:r>
      <w:r>
        <w:rPr>
          <w:rFonts w:ascii="Georgia" w:hAnsi="Georgia" w:cs="Arial"/>
          <w:sz w:val="19"/>
          <w:szCs w:val="19"/>
        </w:rPr>
        <w:t>and administrative management, early childhood education, p</w:t>
      </w:r>
      <w:r w:rsidRPr="00CD0EFB">
        <w:rPr>
          <w:rFonts w:ascii="Georgia" w:hAnsi="Georgia" w:cs="Arial"/>
          <w:sz w:val="19"/>
          <w:szCs w:val="19"/>
        </w:rPr>
        <w:t>rimar</w:t>
      </w:r>
      <w:r>
        <w:rPr>
          <w:rFonts w:ascii="Georgia" w:hAnsi="Georgia" w:cs="Arial"/>
          <w:sz w:val="19"/>
          <w:szCs w:val="19"/>
        </w:rPr>
        <w:t>y education, higher education, vocational training and t</w:t>
      </w:r>
      <w:r w:rsidRPr="00CD0EFB">
        <w:rPr>
          <w:rFonts w:ascii="Georgia" w:hAnsi="Georgia" w:cs="Arial"/>
          <w:sz w:val="19"/>
          <w:szCs w:val="19"/>
        </w:rPr>
        <w:t xml:space="preserve">eacher training. </w:t>
      </w:r>
    </w:p>
    <w:p w:rsidR="0076145C" w:rsidRDefault="00FE2C7C" w:rsidP="00697E9E">
      <w:pPr>
        <w:spacing w:before="80" w:after="80" w:line="280" w:lineRule="atLeast"/>
        <w:rPr>
          <w:rFonts w:ascii="Georgia" w:hAnsi="Georgia"/>
          <w:sz w:val="19"/>
          <w:szCs w:val="19"/>
        </w:rPr>
      </w:pPr>
      <w:r>
        <w:rPr>
          <w:rFonts w:ascii="Georgia" w:hAnsi="Georgia" w:cs="Arial"/>
          <w:b/>
          <w:color w:val="000000"/>
          <w:sz w:val="19"/>
          <w:szCs w:val="19"/>
        </w:rPr>
        <w:t xml:space="preserve">Improving </w:t>
      </w:r>
      <w:r w:rsidR="008C3BE1">
        <w:rPr>
          <w:rFonts w:ascii="Georgia" w:hAnsi="Georgia" w:cs="Arial"/>
          <w:b/>
          <w:color w:val="000000"/>
          <w:sz w:val="19"/>
          <w:szCs w:val="19"/>
        </w:rPr>
        <w:t>knowledge</w:t>
      </w:r>
      <w:r>
        <w:rPr>
          <w:rFonts w:ascii="Georgia" w:hAnsi="Georgia" w:cs="Arial"/>
          <w:b/>
          <w:color w:val="000000"/>
          <w:sz w:val="19"/>
          <w:szCs w:val="19"/>
        </w:rPr>
        <w:t>.</w:t>
      </w:r>
      <w:r w:rsidR="00EF6CD0">
        <w:rPr>
          <w:rFonts w:ascii="Georgia" w:hAnsi="Georgia" w:cs="Arial"/>
          <w:b/>
          <w:color w:val="000000"/>
          <w:sz w:val="19"/>
          <w:szCs w:val="19"/>
        </w:rPr>
        <w:t xml:space="preserve"> </w:t>
      </w:r>
      <w:r w:rsidR="00697E9E" w:rsidRPr="00697E9E">
        <w:rPr>
          <w:rFonts w:ascii="Georgia" w:hAnsi="Georgia"/>
          <w:sz w:val="19"/>
          <w:szCs w:val="19"/>
        </w:rPr>
        <w:t xml:space="preserve">In 2009, </w:t>
      </w:r>
      <w:proofErr w:type="spellStart"/>
      <w:r w:rsidR="00697E9E" w:rsidRPr="00697E9E">
        <w:rPr>
          <w:rFonts w:ascii="Georgia" w:hAnsi="Georgia"/>
          <w:sz w:val="19"/>
          <w:szCs w:val="19"/>
        </w:rPr>
        <w:t>AusAID’s</w:t>
      </w:r>
      <w:proofErr w:type="spellEnd"/>
      <w:r w:rsidR="00697E9E" w:rsidRPr="00697E9E">
        <w:rPr>
          <w:rFonts w:ascii="Georgia" w:hAnsi="Georgia"/>
          <w:sz w:val="19"/>
          <w:szCs w:val="19"/>
        </w:rPr>
        <w:t xml:space="preserve"> Education Thematic Group supported three </w:t>
      </w:r>
      <w:r w:rsidR="00697E9E" w:rsidRPr="00EC3499">
        <w:rPr>
          <w:rFonts w:ascii="Georgia" w:hAnsi="Georgia"/>
          <w:sz w:val="19"/>
          <w:szCs w:val="19"/>
        </w:rPr>
        <w:t>Australian Development Research Awards</w:t>
      </w:r>
      <w:r w:rsidR="00697E9E" w:rsidRPr="00697E9E">
        <w:rPr>
          <w:rFonts w:ascii="Georgia" w:hAnsi="Georgia"/>
          <w:sz w:val="19"/>
          <w:szCs w:val="19"/>
        </w:rPr>
        <w:t xml:space="preserve">: </w:t>
      </w:r>
      <w:r w:rsidR="00525D5F">
        <w:rPr>
          <w:rFonts w:ascii="Georgia" w:hAnsi="Georgia"/>
          <w:sz w:val="19"/>
          <w:szCs w:val="19"/>
        </w:rPr>
        <w:t>(</w:t>
      </w:r>
      <w:proofErr w:type="spellStart"/>
      <w:r w:rsidR="00525D5F">
        <w:rPr>
          <w:rFonts w:ascii="Georgia" w:hAnsi="Georgia"/>
          <w:sz w:val="19"/>
          <w:szCs w:val="19"/>
        </w:rPr>
        <w:t>i</w:t>
      </w:r>
      <w:proofErr w:type="spellEnd"/>
      <w:r w:rsidR="00525D5F">
        <w:rPr>
          <w:rFonts w:ascii="Georgia" w:hAnsi="Georgia"/>
          <w:sz w:val="19"/>
          <w:szCs w:val="19"/>
        </w:rPr>
        <w:t xml:space="preserve">) </w:t>
      </w:r>
      <w:r w:rsidR="00697E9E" w:rsidRPr="00697E9E">
        <w:rPr>
          <w:rFonts w:ascii="Georgia" w:hAnsi="Georgia"/>
          <w:sz w:val="19"/>
          <w:szCs w:val="19"/>
        </w:rPr>
        <w:t xml:space="preserve">an evaluation of the impact of an early childhood education and development initiative across Indonesia; </w:t>
      </w:r>
      <w:r w:rsidR="00525D5F">
        <w:rPr>
          <w:rFonts w:ascii="Georgia" w:hAnsi="Georgia"/>
          <w:sz w:val="19"/>
          <w:szCs w:val="19"/>
        </w:rPr>
        <w:t xml:space="preserve">(ii) </w:t>
      </w:r>
      <w:r w:rsidR="00EC3499">
        <w:rPr>
          <w:rFonts w:ascii="Georgia" w:hAnsi="Georgia"/>
          <w:sz w:val="19"/>
          <w:szCs w:val="19"/>
        </w:rPr>
        <w:t xml:space="preserve">a case study of </w:t>
      </w:r>
      <w:r w:rsidR="00697E9E" w:rsidRPr="00697E9E">
        <w:rPr>
          <w:rFonts w:ascii="Georgia" w:hAnsi="Georgia"/>
          <w:sz w:val="19"/>
          <w:szCs w:val="19"/>
        </w:rPr>
        <w:t>education, creative industries</w:t>
      </w:r>
      <w:r w:rsidR="00EC3499">
        <w:rPr>
          <w:rFonts w:ascii="Georgia" w:hAnsi="Georgia"/>
          <w:sz w:val="19"/>
          <w:szCs w:val="19"/>
        </w:rPr>
        <w:t xml:space="preserve"> and </w:t>
      </w:r>
      <w:r w:rsidR="00697E9E" w:rsidRPr="00697E9E">
        <w:rPr>
          <w:rFonts w:ascii="Georgia" w:hAnsi="Georgia"/>
          <w:sz w:val="19"/>
          <w:szCs w:val="19"/>
        </w:rPr>
        <w:t xml:space="preserve">development </w:t>
      </w:r>
      <w:r w:rsidR="00EC3499">
        <w:rPr>
          <w:rFonts w:ascii="Georgia" w:hAnsi="Georgia"/>
          <w:sz w:val="19"/>
          <w:szCs w:val="19"/>
        </w:rPr>
        <w:t>in</w:t>
      </w:r>
      <w:r w:rsidR="00697E9E" w:rsidRPr="00697E9E">
        <w:rPr>
          <w:rFonts w:ascii="Georgia" w:hAnsi="Georgia"/>
          <w:sz w:val="19"/>
          <w:szCs w:val="19"/>
        </w:rPr>
        <w:t xml:space="preserve"> East Timor; and </w:t>
      </w:r>
      <w:r w:rsidR="00525D5F">
        <w:rPr>
          <w:rFonts w:ascii="Georgia" w:hAnsi="Georgia"/>
          <w:sz w:val="19"/>
          <w:szCs w:val="19"/>
        </w:rPr>
        <w:t xml:space="preserve">(iii) a study to </w:t>
      </w:r>
      <w:r w:rsidR="00697E9E" w:rsidRPr="00697E9E">
        <w:rPr>
          <w:rFonts w:ascii="Georgia" w:hAnsi="Georgia"/>
          <w:sz w:val="19"/>
          <w:szCs w:val="19"/>
        </w:rPr>
        <w:t>identify strategies to sustain professional learning communities for teachers in remote primary schools in Papua New Guinea</w:t>
      </w:r>
      <w:r w:rsidR="00525D5F">
        <w:rPr>
          <w:rFonts w:ascii="Georgia" w:hAnsi="Georgia"/>
          <w:sz w:val="19"/>
          <w:szCs w:val="19"/>
        </w:rPr>
        <w:t>.</w:t>
      </w:r>
    </w:p>
    <w:p w:rsidR="00156A18" w:rsidRDefault="00156A18" w:rsidP="008D5349">
      <w:pPr>
        <w:pStyle w:val="Caption"/>
        <w:keepLines/>
        <w:widowControl w:val="0"/>
      </w:pPr>
      <w:r>
        <w:lastRenderedPageBreak/>
        <w:t xml:space="preserve">Table </w:t>
      </w:r>
      <w:r w:rsidR="000F17A3">
        <w:fldChar w:fldCharType="begin"/>
      </w:r>
      <w:r w:rsidR="000F17A3">
        <w:instrText xml:space="preserve"> SEQ Table \* MERGEFORMAT </w:instrText>
      </w:r>
      <w:r w:rsidR="000F17A3">
        <w:fldChar w:fldCharType="separate"/>
      </w:r>
      <w:r w:rsidR="00AC5F60">
        <w:rPr>
          <w:noProof/>
        </w:rPr>
        <w:t>1</w:t>
      </w:r>
      <w:r w:rsidR="000F17A3">
        <w:rPr>
          <w:noProof/>
        </w:rPr>
        <w:fldChar w:fldCharType="end"/>
      </w:r>
      <w:r>
        <w:t xml:space="preserve">: Ratings of the program’s progress in 2009 towards </w:t>
      </w:r>
      <w:proofErr w:type="spellStart"/>
      <w:r w:rsidR="00347DB7">
        <w:t>AusAID</w:t>
      </w:r>
      <w:proofErr w:type="spellEnd"/>
      <w:r w:rsidR="00347DB7">
        <w:t xml:space="preserve"> </w:t>
      </w:r>
      <w:r w:rsidR="00742E52">
        <w:t xml:space="preserve">Education </w:t>
      </w:r>
      <w:r w:rsidR="00347DB7">
        <w:t>Objectives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678"/>
        <w:gridCol w:w="982"/>
        <w:gridCol w:w="1002"/>
        <w:gridCol w:w="851"/>
        <w:gridCol w:w="1275"/>
      </w:tblGrid>
      <w:tr w:rsidR="00230CDB" w:rsidRPr="005B4EE1" w:rsidTr="00346BF4">
        <w:trPr>
          <w:cantSplit/>
          <w:trHeight w:val="270"/>
          <w:tblHeader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B4EE1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lastRenderedPageBreak/>
              <w:t xml:space="preserve">APPR </w:t>
            </w:r>
          </w:p>
          <w:p w:rsidR="005B4EE1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Region or</w:t>
            </w:r>
          </w:p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 xml:space="preserve"> Country 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Objective</w:t>
            </w:r>
            <w:r w:rsidR="006F62FE">
              <w:rPr>
                <w:rStyle w:val="FootnoteReference"/>
                <w:bCs/>
                <w:color w:val="000000"/>
              </w:rPr>
              <w:footnoteReference w:id="12"/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 xml:space="preserve">Rating in </w:t>
            </w:r>
            <w:r w:rsidR="005B4EE1"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20</w:t>
            </w: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07/08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 xml:space="preserve">Rating in </w:t>
            </w:r>
            <w:r w:rsidR="005B4EE1"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20</w:t>
            </w: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08/09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Rating in 2009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bCs/>
                <w:color w:val="000000"/>
                <w:sz w:val="17"/>
                <w:szCs w:val="17"/>
              </w:rPr>
              <w:t>Change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27ED2">
                <w:rPr>
                  <w:rFonts w:ascii="Franklin Gothic Book" w:hAnsi="Franklin Gothic Book"/>
                  <w:bCs/>
                  <w:color w:val="000000"/>
                  <w:sz w:val="17"/>
                  <w:szCs w:val="17"/>
                </w:rPr>
                <w:t>Africa</w:t>
              </w:r>
            </w:smartTag>
            <w:r w:rsidRPr="00927ED2"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  <w:t xml:space="preserve"> Regional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  <w:lang w:bidi="en-US"/>
              </w:rPr>
              <w:t xml:space="preserve">To build relationships between </w:t>
            </w:r>
            <w:smartTag w:uri="urn:schemas-microsoft-com:office:smarttags" w:element="country-region">
              <w:r w:rsidRPr="00927ED2">
                <w:rPr>
                  <w:rFonts w:ascii="Franklin Gothic Book" w:hAnsi="Franklin Gothic Book"/>
                  <w:color w:val="000000"/>
                  <w:sz w:val="17"/>
                  <w:szCs w:val="17"/>
                  <w:lang w:bidi="en-US"/>
                </w:rPr>
                <w:t>Australia</w:t>
              </w:r>
            </w:smartTag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  <w:lang w:bidi="en-US"/>
              </w:rPr>
              <w:t xml:space="preserve"> and Africa that will strengthen </w:t>
            </w:r>
            <w:smartTag w:uri="urn:schemas-microsoft-com:office:smarttags" w:element="place">
              <w:r w:rsidRPr="00927ED2">
                <w:rPr>
                  <w:rFonts w:ascii="Franklin Gothic Book" w:hAnsi="Franklin Gothic Book"/>
                  <w:color w:val="000000"/>
                  <w:sz w:val="17"/>
                  <w:szCs w:val="17"/>
                  <w:lang w:bidi="en-US"/>
                </w:rPr>
                <w:t>Africa</w:t>
              </w:r>
            </w:smartTag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  <w:lang w:bidi="en-US"/>
              </w:rPr>
              <w:t>’s human resource capacity (“The Australia Awards for Africa Program and the Australia Africa Partnerships Facility will be the main programs through which this objective will be met”)</w:t>
            </w:r>
          </w:p>
        </w:tc>
        <w:tc>
          <w:tcPr>
            <w:tcW w:w="9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  <w:r w:rsidRPr="00927ED2">
              <w:rPr>
                <w:rFonts w:ascii="Franklin Gothic Medium" w:hAnsi="Franklin Gothic Medium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Indonesia</w:t>
                </w:r>
              </w:smartTag>
            </w:smartTag>
            <w:r w:rsidRPr="006F62FE">
              <w:rPr>
                <w:rStyle w:val="FootnoteReference"/>
                <w:bCs/>
                <w:color w:val="000000"/>
              </w:rPr>
              <w:footnoteReference w:id="13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Improving Basic Education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i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i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</w:t>
            </w:r>
            <w:proofErr w:type="spellEnd"/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. Access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22"/>
                <w:szCs w:val="22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ii. Governance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22"/>
                <w:szCs w:val="22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iii. Quality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22"/>
                <w:szCs w:val="22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i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i/>
                <w:color w:val="000000"/>
                <w:sz w:val="17"/>
                <w:szCs w:val="17"/>
              </w:rPr>
              <w:t>2009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Access to quality research and analysis informing policy decisions and policy implementation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proofErr w:type="spellStart"/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GoI</w:t>
            </w:r>
            <w:proofErr w:type="spellEnd"/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 xml:space="preserve"> projected infrastructure requirements met for Junior Secondary Schools for districts with low GET nationwide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A national system delivering strengthened sub-national capacity for education system management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Improved human resource development coordination and people-to-people links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CA3A5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CA3A52"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Kiribati</w:t>
                </w:r>
              </w:smartTag>
            </w:smartTag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Improved standards in Basic Education, in terms of both access and quality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5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3B5270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Lao</w:t>
                </w:r>
                <w:r w:rsidR="00950910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s</w:t>
                </w:r>
              </w:smartTag>
            </w:smartTag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Mitigation of key constraints to equitable access to quality basic education in targeted poor geographic areas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5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Better government and donor resource management through implementation of 10 year education sector framework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  <w:t>Pacific Regional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Enhanced service delivery (including education)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33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Pakistan</w:t>
                </w:r>
              </w:smartTag>
            </w:smartTag>
          </w:p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 basic education through enhancing the overall quality of basic educational services, expanding access for underserved and disadvantaged groups and strengthening educational governance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jc w:val="center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5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Papua New Guinea</w:t>
                </w:r>
              </w:smartTag>
            </w:smartTag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Significant, measurable progress towards the achievement of universal basic education by 2015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Improved</w:t>
            </w:r>
          </w:p>
        </w:tc>
      </w:tr>
      <w:tr w:rsidR="00230CDB" w:rsidRPr="00230CDB" w:rsidTr="00346BF4">
        <w:trPr>
          <w:cantSplit/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Philippines</w:t>
                </w:r>
              </w:smartTag>
            </w:smartTag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The Dept. of Ed better able to manage its resources to support schools and teachers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Improved education opportunities for boys and girls including Muslim and indigenous groups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 xml:space="preserve">Green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Improved</w:t>
            </w:r>
          </w:p>
        </w:tc>
      </w:tr>
      <w:tr w:rsidR="00230CDB" w:rsidRPr="00230CDB" w:rsidTr="00346BF4">
        <w:trPr>
          <w:cantSplit/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5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27ED2">
                <w:rPr>
                  <w:rFonts w:ascii="Franklin Gothic Book" w:hAnsi="Franklin Gothic Book"/>
                  <w:bCs/>
                  <w:color w:val="000000"/>
                  <w:sz w:val="17"/>
                  <w:szCs w:val="17"/>
                </w:rPr>
                <w:t>Samoa</w:t>
              </w:r>
            </w:smartTag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Improved education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Improved</w:t>
            </w:r>
            <w:r w:rsidRPr="00FE2ECC">
              <w:rPr>
                <w:rStyle w:val="FootnoteReference"/>
                <w:rFonts w:ascii="Franklin Gothic Medium" w:hAnsi="Franklin Gothic Medium"/>
                <w:color w:val="000000"/>
              </w:rPr>
              <w:footnoteReference w:id="14"/>
            </w:r>
          </w:p>
        </w:tc>
      </w:tr>
      <w:tr w:rsidR="00230CDB" w:rsidRPr="00230CDB" w:rsidTr="00346BF4">
        <w:trPr>
          <w:cantSplit/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53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Solomon Islands</w:t>
                </w:r>
              </w:smartTag>
            </w:smartTag>
          </w:p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 xml:space="preserve">Improved Service Delivery: Improve progress towards the MDG targets </w:t>
            </w:r>
          </w:p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  <w:t>Timor-Leste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Strengthen Basic Education Service Delivery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27ED2">
                <w:rPr>
                  <w:rFonts w:ascii="Franklin Gothic Book" w:hAnsi="Franklin Gothic Book"/>
                  <w:bCs/>
                  <w:color w:val="000000"/>
                  <w:sz w:val="17"/>
                  <w:szCs w:val="17"/>
                </w:rPr>
                <w:t>South Asia</w:t>
              </w:r>
            </w:smartTag>
            <w:r w:rsidRPr="00927ED2"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  <w:t xml:space="preserve"> Regional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To promote good governance and contribute to improvements in basic service delivery (with a focus on health, education and natural resource management at the state and community level)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</w:p>
        </w:tc>
      </w:tr>
      <w:tr w:rsidR="00230CDB" w:rsidRPr="00230CDB" w:rsidTr="00346BF4">
        <w:trPr>
          <w:cantSplit/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Tonga</w:t>
                </w:r>
              </w:smartTag>
            </w:smartTag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Develop infrastructure to improve the everyday lives of people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Amber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 xml:space="preserve">Amber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  <w:tr w:rsidR="00230CDB" w:rsidRPr="00230CDB" w:rsidTr="00346BF4">
        <w:trPr>
          <w:cantSplit/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Improved technical and vocational skills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jc w:val="center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0F201F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>
              <w:rPr>
                <w:rFonts w:ascii="Franklin Gothic Medium" w:hAnsi="Franklin Gothic Medium"/>
                <w:color w:val="000000"/>
                <w:sz w:val="17"/>
                <w:szCs w:val="17"/>
              </w:rPr>
              <w:t>-</w:t>
            </w:r>
          </w:p>
        </w:tc>
      </w:tr>
      <w:tr w:rsidR="00230CDB" w:rsidRPr="00230CDB" w:rsidTr="00346BF4">
        <w:trPr>
          <w:cantSplit/>
          <w:trHeight w:val="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</w:p>
        </w:tc>
      </w:tr>
      <w:tr w:rsidR="00230CDB" w:rsidRPr="00230CDB" w:rsidTr="00346BF4">
        <w:trPr>
          <w:cantSplit/>
          <w:trHeight w:val="570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jc w:val="center"/>
              <w:rPr>
                <w:rFonts w:ascii="Franklin Gothic Book" w:hAnsi="Franklin Gothic Book"/>
                <w:bCs/>
                <w:color w:val="000000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27ED2">
                  <w:rPr>
                    <w:rFonts w:ascii="Franklin Gothic Book" w:hAnsi="Franklin Gothic Book"/>
                    <w:bCs/>
                    <w:color w:val="000000"/>
                    <w:sz w:val="17"/>
                    <w:szCs w:val="17"/>
                  </w:rPr>
                  <w:t>Vanuatu</w:t>
                </w:r>
              </w:smartTag>
            </w:smartTag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Book" w:hAnsi="Franklin Gothic Book"/>
                <w:color w:val="000000"/>
                <w:sz w:val="17"/>
                <w:szCs w:val="17"/>
              </w:rPr>
            </w:pPr>
            <w:r w:rsidRPr="00927ED2">
              <w:rPr>
                <w:rFonts w:ascii="Franklin Gothic Book" w:hAnsi="Franklin Gothic Book"/>
                <w:color w:val="000000"/>
                <w:sz w:val="17"/>
                <w:szCs w:val="17"/>
              </w:rPr>
              <w:t>Improved Education: support increased access and quality of education for all boys and girls and equip them with relevant skills and knowledge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FF00"/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FF00"/>
            <w:vAlign w:val="bottom"/>
          </w:tcPr>
          <w:p w:rsidR="00230CDB" w:rsidRPr="00A1744F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</w:rPr>
            </w:pPr>
            <w:r w:rsidRPr="00A1744F">
              <w:rPr>
                <w:rFonts w:ascii="Franklin Gothic Medium" w:hAnsi="Franklin Gothic Medium"/>
                <w:color w:val="000000"/>
                <w:sz w:val="17"/>
                <w:szCs w:val="17"/>
              </w:rPr>
              <w:t>Green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30CDB" w:rsidRPr="00927ED2" w:rsidRDefault="00230CDB" w:rsidP="008D5349">
            <w:pPr>
              <w:keepNext/>
              <w:keepLines/>
              <w:widowControl w:val="0"/>
              <w:rPr>
                <w:rFonts w:ascii="Franklin Gothic Medium" w:hAnsi="Franklin Gothic Medium"/>
                <w:color w:val="000000"/>
                <w:sz w:val="17"/>
                <w:szCs w:val="17"/>
                <w:highlight w:val="yellow"/>
              </w:rPr>
            </w:pPr>
            <w:r w:rsidRPr="00927ED2">
              <w:rPr>
                <w:rFonts w:ascii="Franklin Gothic Medium" w:hAnsi="Franklin Gothic Medium"/>
                <w:color w:val="000000"/>
                <w:sz w:val="17"/>
                <w:szCs w:val="17"/>
              </w:rPr>
              <w:t>Unchanged</w:t>
            </w:r>
          </w:p>
        </w:tc>
      </w:tr>
    </w:tbl>
    <w:p w:rsidR="00156A18" w:rsidRDefault="00156A18" w:rsidP="008D5349">
      <w:pPr>
        <w:pStyle w:val="Note"/>
        <w:keepNext/>
        <w:widowControl w:val="0"/>
      </w:pPr>
      <w:r w:rsidRPr="00D33DDE">
        <w:t xml:space="preserve">Note: </w:t>
      </w:r>
    </w:p>
    <w:p w:rsidR="00FE607C" w:rsidRPr="006D2818" w:rsidRDefault="00CF4B15" w:rsidP="008D5349">
      <w:pPr>
        <w:pStyle w:val="Note"/>
        <w:keepNext/>
        <w:widowControl w:val="0"/>
        <w:spacing w:before="0"/>
      </w:pPr>
      <w:r>
        <w:rPr>
          <w:noProof/>
          <w:color w:val="FF9900"/>
          <w:sz w:val="18"/>
          <w:szCs w:val="18"/>
          <w:lang w:val="en-US"/>
        </w:rPr>
        <mc:AlternateContent>
          <mc:Choice Requires="wps">
            <w:drawing>
              <wp:inline distT="0" distB="0" distL="0" distR="0">
                <wp:extent cx="108000" cy="108000"/>
                <wp:effectExtent l="0" t="0" r="6350" b="6350"/>
                <wp:docPr id="7" name="Rectangle 7" descr="Gre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DB38F" id="Rectangle 7" o:spid="_x0000_s1026" alt="Green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" fillcolor="#92d050" stroked="f" strokeweight="1pt">
                <w10:wrap anchorx="page"/>
                <w10:anchorlock/>
              </v:rect>
            </w:pict>
          </mc:Fallback>
        </mc:AlternateContent>
      </w:r>
      <w:r w:rsidR="00346BF4">
        <w:rPr>
          <w:color w:val="99CC00"/>
          <w:sz w:val="18"/>
          <w:szCs w:val="18"/>
        </w:rPr>
        <w:t xml:space="preserve"> </w:t>
      </w:r>
      <w:r>
        <w:rPr>
          <w:color w:val="99CC00"/>
          <w:sz w:val="18"/>
          <w:szCs w:val="18"/>
        </w:rPr>
        <w:tab/>
      </w:r>
      <w:r w:rsidR="00FE607C" w:rsidRPr="00346BF4">
        <w:rPr>
          <w:rFonts w:ascii="Arial Unicode MS" w:eastAsia="Arial Unicode MS" w:hAnsi="Arial Unicode MS" w:cs="Arial Unicode MS"/>
        </w:rPr>
        <w:t>The</w:t>
      </w:r>
      <w:r w:rsidR="00FE607C" w:rsidRPr="006D2818">
        <w:t xml:space="preserve"> objective will be fully achieved within the timeframe of the strategy.</w:t>
      </w:r>
    </w:p>
    <w:p w:rsidR="00FE607C" w:rsidRPr="006D2818" w:rsidRDefault="00CF4B15" w:rsidP="008D5349">
      <w:pPr>
        <w:pStyle w:val="Note"/>
        <w:keepNext/>
        <w:widowControl w:val="0"/>
        <w:spacing w:before="0"/>
      </w:pPr>
      <w:r>
        <w:rPr>
          <w:noProof/>
          <w:color w:val="FF9900"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4081844D" wp14:editId="43BD64A0">
                <wp:extent cx="108000" cy="108000"/>
                <wp:effectExtent l="0" t="0" r="6350" b="6350"/>
                <wp:docPr id="8" name="Rectangle 8" descr="Am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84E00" id="Rectangle 8" o:spid="_x0000_s1026" alt="Amber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" fillcolor="#ed7d31 [3205]" stroked="f" strokeweight="1pt">
                <w10:wrap anchorx="page"/>
                <w10:anchorlock/>
              </v:rect>
            </w:pict>
          </mc:Fallback>
        </mc:AlternateContent>
      </w:r>
      <w:r>
        <w:rPr>
          <w:color w:val="FF9900"/>
          <w:sz w:val="18"/>
          <w:szCs w:val="18"/>
        </w:rPr>
        <w:tab/>
      </w:r>
      <w:r w:rsidR="00346BF4">
        <w:rPr>
          <w:rFonts w:ascii="Arial Unicode MS" w:eastAsia="Arial Unicode MS" w:hAnsi="Arial Unicode MS" w:cs="Arial Unicode MS"/>
        </w:rPr>
        <w:t xml:space="preserve"> </w:t>
      </w:r>
      <w:r w:rsidR="00FE607C" w:rsidRPr="006D2818">
        <w:t>The objective will be partly achieved within the timeframe of the strategy.</w:t>
      </w:r>
    </w:p>
    <w:p w:rsidR="00FE607C" w:rsidRPr="006D2818" w:rsidRDefault="00CF4B15" w:rsidP="008D5349">
      <w:pPr>
        <w:pStyle w:val="Note"/>
        <w:keepNext/>
        <w:widowControl w:val="0"/>
        <w:spacing w:before="0"/>
      </w:pPr>
      <w:r>
        <w:rPr>
          <w:noProof/>
          <w:color w:val="FF9900"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7727A536" wp14:editId="46FA0F6A">
                <wp:extent cx="108000" cy="108000"/>
                <wp:effectExtent l="0" t="0" r="6350" b="6350"/>
                <wp:docPr id="9" name="Rectangle 9" descr="R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0D758" id="Rectangle 9" o:spid="_x0000_s1026" alt="Red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" fillcolor="red" stroked="f" strokeweight="1pt">
                <w10:wrap anchorx="page"/>
                <w10:anchorlock/>
              </v:rect>
            </w:pict>
          </mc:Fallback>
        </mc:AlternateContent>
      </w:r>
      <w:r>
        <w:rPr>
          <w:color w:val="FF0000"/>
          <w:sz w:val="18"/>
          <w:szCs w:val="18"/>
        </w:rPr>
        <w:tab/>
      </w:r>
      <w:r w:rsidR="00346BF4">
        <w:rPr>
          <w:rFonts w:ascii="Arial Unicode MS" w:eastAsia="Arial Unicode MS" w:hAnsi="Arial Unicode MS" w:cs="Arial Unicode MS"/>
        </w:rPr>
        <w:t>(</w:t>
      </w:r>
      <w:proofErr w:type="gramStart"/>
      <w:r w:rsidR="00346BF4">
        <w:rPr>
          <w:rFonts w:ascii="Arial Unicode MS" w:eastAsia="Arial Unicode MS" w:hAnsi="Arial Unicode MS" w:cs="Arial Unicode MS"/>
        </w:rPr>
        <w:t>red</w:t>
      </w:r>
      <w:proofErr w:type="gramEnd"/>
      <w:r w:rsidR="00346BF4">
        <w:rPr>
          <w:rFonts w:ascii="Arial Unicode MS" w:eastAsia="Arial Unicode MS" w:hAnsi="Arial Unicode MS" w:cs="Arial Unicode MS"/>
        </w:rPr>
        <w:t xml:space="preserve">) </w:t>
      </w:r>
      <w:r w:rsidR="00FE607C" w:rsidRPr="006D2818">
        <w:t>The objective is unlikely to be achieved within the timeframe of the strategy.</w:t>
      </w:r>
    </w:p>
    <w:p w:rsidR="009A5FEB" w:rsidRPr="00BB6A35" w:rsidRDefault="002B0EB5" w:rsidP="00075ECC">
      <w:pPr>
        <w:pStyle w:val="Heading2"/>
      </w:pPr>
      <w:bookmarkStart w:id="3" w:name="_Toc360981788"/>
      <w:r>
        <w:t>Portfolio Review</w:t>
      </w:r>
      <w:bookmarkEnd w:id="3"/>
    </w:p>
    <w:p w:rsidR="00565842" w:rsidRDefault="00565842" w:rsidP="00BE716C">
      <w:pPr>
        <w:pStyle w:val="Caption"/>
        <w:keepNext w:val="0"/>
        <w:widowControl w:val="0"/>
      </w:pPr>
      <w:r>
        <w:t xml:space="preserve">Table </w:t>
      </w:r>
      <w:r w:rsidR="000F17A3">
        <w:fldChar w:fldCharType="begin"/>
      </w:r>
      <w:r w:rsidR="000F17A3">
        <w:instrText xml:space="preserve"> SEQ Table \* MERGEFORMAT </w:instrText>
      </w:r>
      <w:r w:rsidR="000F17A3">
        <w:fldChar w:fldCharType="separate"/>
      </w:r>
      <w:r w:rsidR="00AC5F60">
        <w:rPr>
          <w:noProof/>
        </w:rPr>
        <w:t>2</w:t>
      </w:r>
      <w:r w:rsidR="000F17A3">
        <w:rPr>
          <w:noProof/>
        </w:rPr>
        <w:fldChar w:fldCharType="end"/>
      </w:r>
      <w:r>
        <w:t xml:space="preserve">: </w:t>
      </w:r>
      <w:r w:rsidR="006A4DBD">
        <w:t xml:space="preserve">Quality at </w:t>
      </w:r>
      <w:r w:rsidR="006A4DBD" w:rsidRPr="007D3DEB">
        <w:t>Implementation</w:t>
      </w:r>
      <w:r w:rsidR="006A4DBD">
        <w:t xml:space="preserve"> Reports – Rating of Objectives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675"/>
        <w:gridCol w:w="476"/>
        <w:gridCol w:w="676"/>
        <w:gridCol w:w="476"/>
        <w:gridCol w:w="676"/>
        <w:gridCol w:w="476"/>
        <w:gridCol w:w="676"/>
        <w:gridCol w:w="476"/>
        <w:gridCol w:w="676"/>
        <w:gridCol w:w="476"/>
        <w:gridCol w:w="676"/>
        <w:gridCol w:w="476"/>
      </w:tblGrid>
      <w:tr w:rsidR="00876213" w:rsidRPr="00F214AC" w:rsidTr="00346BF4">
        <w:trPr>
          <w:cantSplit/>
          <w:tblHeader/>
        </w:trPr>
        <w:tc>
          <w:tcPr>
            <w:tcW w:w="1208" w:type="dxa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Relevance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Effectiveness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Efficiency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M&amp;E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Sustainability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Gender Equality</w:t>
            </w:r>
          </w:p>
        </w:tc>
      </w:tr>
      <w:tr w:rsidR="00207D0F" w:rsidRPr="00F214AC" w:rsidTr="00346BF4">
        <w:trPr>
          <w:cantSplit/>
          <w:tblHeader/>
        </w:trPr>
        <w:tc>
          <w:tcPr>
            <w:tcW w:w="1208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Number</w:t>
            </w:r>
          </w:p>
        </w:tc>
        <w:tc>
          <w:tcPr>
            <w:tcW w:w="382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%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Number</w:t>
            </w: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Number</w:t>
            </w: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Number</w:t>
            </w: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%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Number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Number</w:t>
            </w: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E1F04E"/>
          </w:tcPr>
          <w:p w:rsidR="00876213" w:rsidRPr="00F214AC" w:rsidRDefault="00876213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  <w:tcBorders>
              <w:top w:val="nil"/>
            </w:tcBorders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Very high quality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22%</w:t>
            </w:r>
          </w:p>
        </w:tc>
        <w:tc>
          <w:tcPr>
            <w:tcW w:w="777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8</w:t>
            </w:r>
          </w:p>
        </w:tc>
        <w:tc>
          <w:tcPr>
            <w:tcW w:w="387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11%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3%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7</w:t>
            </w: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9%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Good quality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40</w:t>
            </w:r>
          </w:p>
        </w:tc>
        <w:tc>
          <w:tcPr>
            <w:tcW w:w="382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53%</w:t>
            </w:r>
          </w:p>
        </w:tc>
        <w:tc>
          <w:tcPr>
            <w:tcW w:w="777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28</w:t>
            </w:r>
          </w:p>
        </w:tc>
        <w:tc>
          <w:tcPr>
            <w:tcW w:w="387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37%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34</w:t>
            </w:r>
          </w:p>
        </w:tc>
        <w:tc>
          <w:tcPr>
            <w:tcW w:w="379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45%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18</w:t>
            </w:r>
          </w:p>
        </w:tc>
        <w:tc>
          <w:tcPr>
            <w:tcW w:w="377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24%</w:t>
            </w:r>
          </w:p>
        </w:tc>
        <w:tc>
          <w:tcPr>
            <w:tcW w:w="780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19</w:t>
            </w:r>
          </w:p>
        </w:tc>
        <w:tc>
          <w:tcPr>
            <w:tcW w:w="391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25%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30</w:t>
            </w:r>
          </w:p>
        </w:tc>
        <w:tc>
          <w:tcPr>
            <w:tcW w:w="369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39%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  <w:tcBorders>
              <w:bottom w:val="nil"/>
            </w:tcBorders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Adequate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16</w:t>
            </w:r>
          </w:p>
        </w:tc>
        <w:tc>
          <w:tcPr>
            <w:tcW w:w="382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21%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24</w:t>
            </w:r>
          </w:p>
        </w:tc>
        <w:tc>
          <w:tcPr>
            <w:tcW w:w="387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32%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30</w:t>
            </w:r>
          </w:p>
        </w:tc>
        <w:tc>
          <w:tcPr>
            <w:tcW w:w="379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39%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45%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45</w:t>
            </w:r>
          </w:p>
        </w:tc>
        <w:tc>
          <w:tcPr>
            <w:tcW w:w="391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59%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32</w:t>
            </w:r>
          </w:p>
        </w:tc>
        <w:tc>
          <w:tcPr>
            <w:tcW w:w="369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42%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  <w:tcBorders>
              <w:top w:val="nil"/>
              <w:bottom w:val="nil"/>
            </w:tcBorders>
            <w:shd w:val="clear" w:color="auto" w:fill="99CC00"/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Sub-total Satisfactory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73</w:t>
            </w:r>
          </w:p>
        </w:tc>
        <w:tc>
          <w:tcPr>
            <w:tcW w:w="382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96%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79%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66</w:t>
            </w: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87%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68%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84%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69</w:t>
            </w: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91%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  <w:tcBorders>
              <w:top w:val="nil"/>
            </w:tcBorders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Less than adequate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4%</w:t>
            </w:r>
          </w:p>
        </w:tc>
        <w:tc>
          <w:tcPr>
            <w:tcW w:w="777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15</w:t>
            </w:r>
          </w:p>
        </w:tc>
        <w:tc>
          <w:tcPr>
            <w:tcW w:w="387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20%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13%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24%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11</w:t>
            </w:r>
          </w:p>
        </w:tc>
        <w:tc>
          <w:tcPr>
            <w:tcW w:w="391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14%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7%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Poor quality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82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7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</w:t>
            </w:r>
          </w:p>
        </w:tc>
        <w:tc>
          <w:tcPr>
            <w:tcW w:w="387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1%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79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5</w:t>
            </w:r>
          </w:p>
        </w:tc>
        <w:tc>
          <w:tcPr>
            <w:tcW w:w="377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7%</w:t>
            </w:r>
          </w:p>
        </w:tc>
        <w:tc>
          <w:tcPr>
            <w:tcW w:w="780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1%</w:t>
            </w:r>
          </w:p>
        </w:tc>
        <w:tc>
          <w:tcPr>
            <w:tcW w:w="776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2</w:t>
            </w:r>
          </w:p>
        </w:tc>
        <w:tc>
          <w:tcPr>
            <w:tcW w:w="369" w:type="dxa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3%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  <w:tcBorders>
              <w:bottom w:val="nil"/>
            </w:tcBorders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Very poor quality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1%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</w:t>
            </w:r>
          </w:p>
        </w:tc>
        <w:tc>
          <w:tcPr>
            <w:tcW w:w="369" w:type="dxa"/>
            <w:tcBorders>
              <w:bottom w:val="nil"/>
            </w:tcBorders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sz w:val="16"/>
                <w:szCs w:val="16"/>
              </w:rPr>
              <w:t>0%</w:t>
            </w:r>
          </w:p>
        </w:tc>
      </w:tr>
      <w:tr w:rsidR="0096101D" w:rsidRPr="00F214AC" w:rsidTr="00346BF4">
        <w:trPr>
          <w:cantSplit/>
        </w:trPr>
        <w:tc>
          <w:tcPr>
            <w:tcW w:w="1208" w:type="dxa"/>
            <w:tcBorders>
              <w:top w:val="nil"/>
              <w:bottom w:val="single" w:sz="4" w:space="0" w:color="auto"/>
            </w:tcBorders>
            <w:shd w:val="clear" w:color="auto" w:fill="99CC00"/>
          </w:tcPr>
          <w:p w:rsidR="0096101D" w:rsidRPr="00F214AC" w:rsidRDefault="0096101D" w:rsidP="00F214AC">
            <w:pPr>
              <w:pStyle w:val="TableTextColumnHeading"/>
              <w:keepLines w:val="0"/>
              <w:widowControl w:val="0"/>
              <w:rPr>
                <w:sz w:val="16"/>
                <w:szCs w:val="16"/>
              </w:rPr>
            </w:pPr>
            <w:r w:rsidRPr="00F214AC">
              <w:rPr>
                <w:sz w:val="16"/>
                <w:szCs w:val="16"/>
              </w:rPr>
              <w:t>Sub-total Unsatisfactory</w:t>
            </w: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4%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7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21%</w:t>
            </w: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13%</w:t>
            </w: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377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32%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91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16%</w:t>
            </w: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  <w:shd w:val="clear" w:color="auto" w:fill="99CC00"/>
            <w:vAlign w:val="center"/>
          </w:tcPr>
          <w:p w:rsidR="0096101D" w:rsidRPr="00F214AC" w:rsidRDefault="0096101D" w:rsidP="004073EC">
            <w:pPr>
              <w:widowControl w:val="0"/>
              <w:jc w:val="center"/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</w:pPr>
            <w:r w:rsidRPr="00F214AC">
              <w:rPr>
                <w:rFonts w:ascii="Franklin Gothic Medium" w:hAnsi="Franklin Gothic Medium" w:cs="Arial"/>
                <w:bCs/>
                <w:iCs/>
                <w:sz w:val="16"/>
                <w:szCs w:val="16"/>
              </w:rPr>
              <w:t>9%</w:t>
            </w:r>
          </w:p>
        </w:tc>
      </w:tr>
    </w:tbl>
    <w:p w:rsidR="009A5FEB" w:rsidRDefault="006A4DBD" w:rsidP="00BE716C">
      <w:pPr>
        <w:pStyle w:val="Heading2"/>
        <w:keepNext w:val="0"/>
        <w:widowControl w:val="0"/>
      </w:pPr>
      <w:bookmarkStart w:id="4" w:name="_Toc360981789"/>
      <w:r>
        <w:t>Conclusions and recommended actions</w:t>
      </w:r>
      <w:bookmarkEnd w:id="4"/>
    </w:p>
    <w:p w:rsidR="004C01F8" w:rsidRDefault="004C01F8" w:rsidP="00BE716C">
      <w:pPr>
        <w:pStyle w:val="BodyText"/>
        <w:widowControl w:val="0"/>
      </w:pPr>
      <w:proofErr w:type="spellStart"/>
      <w:r>
        <w:t>AusAID’s</w:t>
      </w:r>
      <w:proofErr w:type="spellEnd"/>
      <w:r>
        <w:t xml:space="preserve"> </w:t>
      </w:r>
      <w:r w:rsidR="00792493">
        <w:t>achievements in</w:t>
      </w:r>
      <w:r w:rsidR="0035553F">
        <w:t xml:space="preserve"> education in 2009 provide</w:t>
      </w:r>
      <w:r w:rsidR="0064486D">
        <w:t xml:space="preserve"> further</w:t>
      </w:r>
      <w:r>
        <w:t xml:space="preserve"> illustration that it is in </w:t>
      </w:r>
      <w:smartTag w:uri="urn:schemas-microsoft-com:office:smarttags" w:element="country-region">
        <w:r>
          <w:t>Australia</w:t>
        </w:r>
      </w:smartTag>
      <w:r>
        <w:t xml:space="preserve">’s national interest to invest in education in </w:t>
      </w:r>
      <w:smartTag w:uri="urn:schemas-microsoft-com:office:smarttags" w:element="place">
        <w:r>
          <w:t>Asia</w:t>
        </w:r>
      </w:smartTag>
      <w:r>
        <w:t xml:space="preserve"> and the Pacific and beyond. Education is central to growth and prosperity, critical to achieving all MDGs (particularly </w:t>
      </w:r>
      <w:r>
        <w:lastRenderedPageBreak/>
        <w:t>gender equality and maternal and child health) and provides the knowledge and skills all countries need to innovate and manage their changing environments</w:t>
      </w:r>
      <w:r w:rsidR="00C42D93">
        <w:t>.</w:t>
      </w:r>
    </w:p>
    <w:p w:rsidR="00C760D3" w:rsidRPr="00075ECC" w:rsidRDefault="00C760D3" w:rsidP="00BE716C">
      <w:pPr>
        <w:pStyle w:val="BodyText"/>
        <w:widowControl w:val="0"/>
      </w:pPr>
      <w:r w:rsidRPr="00075ECC">
        <w:t xml:space="preserve">In </w:t>
      </w:r>
      <w:r w:rsidR="00990BE4" w:rsidRPr="00075ECC">
        <w:t>increasing education assistance</w:t>
      </w:r>
      <w:r w:rsidRPr="00075ECC">
        <w:t xml:space="preserve">, </w:t>
      </w:r>
      <w:r w:rsidR="004C01F8" w:rsidRPr="00075ECC">
        <w:t>several</w:t>
      </w:r>
      <w:r w:rsidRPr="00075ECC">
        <w:t xml:space="preserve"> challenges have been identified</w:t>
      </w:r>
      <w:r w:rsidR="003325E6" w:rsidRPr="00075ECC">
        <w:t>.</w:t>
      </w:r>
      <w:r w:rsidRPr="00075ECC">
        <w:t xml:space="preserve"> </w:t>
      </w:r>
      <w:r w:rsidR="003D1DE5">
        <w:t>These include:</w:t>
      </w:r>
    </w:p>
    <w:p w:rsidR="00C760D3" w:rsidRDefault="001C34BE" w:rsidP="00BE716C">
      <w:pPr>
        <w:pStyle w:val="BodyText"/>
        <w:widowControl w:val="0"/>
      </w:pPr>
      <w:r>
        <w:rPr>
          <w:b/>
        </w:rPr>
        <w:t>Work in f</w:t>
      </w:r>
      <w:r w:rsidR="00CD7626" w:rsidRPr="0044692E">
        <w:rPr>
          <w:b/>
        </w:rPr>
        <w:t xml:space="preserve">ragile </w:t>
      </w:r>
      <w:r>
        <w:rPr>
          <w:b/>
        </w:rPr>
        <w:t>environment</w:t>
      </w:r>
      <w:r w:rsidR="00AE48A9">
        <w:rPr>
          <w:b/>
        </w:rPr>
        <w:t>s</w:t>
      </w:r>
      <w:r w:rsidR="00CD7626">
        <w:t xml:space="preserve">. </w:t>
      </w:r>
      <w:r w:rsidR="00680E1B">
        <w:t xml:space="preserve">Among bilateral development partners, </w:t>
      </w:r>
      <w:smartTag w:uri="urn:schemas-microsoft-com:office:smarttags" w:element="country-region">
        <w:r w:rsidR="00680E1B" w:rsidRPr="00680E1B">
          <w:t>Australia</w:t>
        </w:r>
      </w:smartTag>
      <w:r w:rsidR="00680E1B" w:rsidRPr="00680E1B">
        <w:t xml:space="preserve"> is unique in that half of its entire aid program is delivered in fragile environments in the Pacific</w:t>
      </w:r>
      <w:r w:rsidR="00680E1B">
        <w:t xml:space="preserve"> and </w:t>
      </w:r>
      <w:smartTag w:uri="urn:schemas-microsoft-com:office:smarttags" w:element="place">
        <w:r w:rsidR="00680E1B">
          <w:t>Asia</w:t>
        </w:r>
      </w:smartTag>
      <w:r w:rsidR="00680E1B">
        <w:rPr>
          <w:rStyle w:val="FootnoteReference"/>
        </w:rPr>
        <w:footnoteReference w:id="15"/>
      </w:r>
      <w:r w:rsidR="00664591">
        <w:t xml:space="preserve">. </w:t>
      </w:r>
      <w:r w:rsidR="00227767">
        <w:t xml:space="preserve">The 2009 </w:t>
      </w:r>
      <w:r>
        <w:t>A</w:t>
      </w:r>
      <w:r w:rsidR="00075ECC">
        <w:t xml:space="preserve">nnual </w:t>
      </w:r>
      <w:r>
        <w:t>P</w:t>
      </w:r>
      <w:r w:rsidR="00075ECC">
        <w:t xml:space="preserve">rogram </w:t>
      </w:r>
      <w:r>
        <w:t>P</w:t>
      </w:r>
      <w:r w:rsidR="00075ECC">
        <w:t xml:space="preserve">erformance </w:t>
      </w:r>
      <w:r>
        <w:t>R</w:t>
      </w:r>
      <w:r w:rsidR="00075ECC">
        <w:t>eport</w:t>
      </w:r>
      <w:r>
        <w:t>s</w:t>
      </w:r>
      <w:r w:rsidR="00227767">
        <w:t xml:space="preserve"> identified fiduciary, security, political, reputational, and institutional capacity risks in </w:t>
      </w:r>
      <w:smartTag w:uri="urn:schemas-microsoft-com:office:smarttags" w:element="country-region">
        <w:smartTag w:uri="urn:schemas-microsoft-com:office:smarttags" w:element="place">
          <w:r w:rsidR="00227767">
            <w:t>Australia</w:t>
          </w:r>
        </w:smartTag>
      </w:smartTag>
      <w:r w:rsidR="00227767">
        <w:t xml:space="preserve">’s education sector partnerships. To mitigate these risks, </w:t>
      </w:r>
      <w:proofErr w:type="spellStart"/>
      <w:r w:rsidR="003C7EF2">
        <w:t>AusAID</w:t>
      </w:r>
      <w:proofErr w:type="spellEnd"/>
      <w:r w:rsidR="003C7EF2">
        <w:t xml:space="preserve"> supports education sector capacity building and institutional strengthening at the national and sub-national levels, with a focus on accountability, transparency and management for results</w:t>
      </w:r>
      <w:r w:rsidR="00664591">
        <w:t xml:space="preserve">. </w:t>
      </w:r>
    </w:p>
    <w:p w:rsidR="00C760D3" w:rsidRDefault="003C7EF2" w:rsidP="00BE716C">
      <w:pPr>
        <w:pStyle w:val="BodyText"/>
        <w:widowControl w:val="0"/>
      </w:pPr>
      <w:r w:rsidRPr="003C7EF2">
        <w:rPr>
          <w:b/>
        </w:rPr>
        <w:t>Support</w:t>
      </w:r>
      <w:r w:rsidR="003D1DE5">
        <w:rPr>
          <w:b/>
        </w:rPr>
        <w:t xml:space="preserve"> for</w:t>
      </w:r>
      <w:r w:rsidRPr="003C7EF2">
        <w:rPr>
          <w:b/>
        </w:rPr>
        <w:t xml:space="preserve"> education quality</w:t>
      </w:r>
      <w:r>
        <w:t>. While there has been considerable progress towards equitable access to education</w:t>
      </w:r>
      <w:r w:rsidR="003325E6">
        <w:t xml:space="preserve"> in recent years</w:t>
      </w:r>
      <w:r>
        <w:t xml:space="preserve">, </w:t>
      </w:r>
      <w:r w:rsidR="00C82092">
        <w:t xml:space="preserve">supporting quality learning outcomes remains a challenge. The 2009 </w:t>
      </w:r>
      <w:r w:rsidR="00075ECC">
        <w:t>Annual Program Performance Reports</w:t>
      </w:r>
      <w:r w:rsidR="00C82092">
        <w:t xml:space="preserve"> noted that in many partner countries, primary level drop-out</w:t>
      </w:r>
      <w:r w:rsidR="003D1DE5">
        <w:t xml:space="preserve"> rates</w:t>
      </w:r>
      <w:r w:rsidR="00C82092">
        <w:t xml:space="preserve"> remain high and student performance on standardised literacy and numeracy tests remain</w:t>
      </w:r>
      <w:r w:rsidR="003D1DE5">
        <w:t>s</w:t>
      </w:r>
      <w:r w:rsidR="00C82092">
        <w:t xml:space="preserve"> poor. In response, </w:t>
      </w:r>
      <w:proofErr w:type="spellStart"/>
      <w:r w:rsidR="00C82092">
        <w:t>AusAID</w:t>
      </w:r>
      <w:proofErr w:type="spellEnd"/>
      <w:r w:rsidR="00C82092">
        <w:t xml:space="preserve"> is </w:t>
      </w:r>
      <w:r w:rsidR="007313C4">
        <w:t xml:space="preserve">increasing its </w:t>
      </w:r>
      <w:r w:rsidR="00C82092">
        <w:t>support</w:t>
      </w:r>
      <w:r w:rsidR="007313C4">
        <w:t xml:space="preserve"> for</w:t>
      </w:r>
      <w:r w:rsidR="00C82092">
        <w:t xml:space="preserve"> whole of sector</w:t>
      </w:r>
      <w:r w:rsidR="00DD56DF">
        <w:t xml:space="preserve"> approaches</w:t>
      </w:r>
      <w:r w:rsidR="00C82092">
        <w:t xml:space="preserve">, </w:t>
      </w:r>
      <w:r w:rsidR="00DD56DF">
        <w:t>which bring together</w:t>
      </w:r>
      <w:r w:rsidR="00C82092">
        <w:t xml:space="preserve"> teacher training, curriculum reform, learning materials, school infrastructure and community involvement </w:t>
      </w:r>
      <w:r w:rsidR="00DD56DF">
        <w:t xml:space="preserve">initiatives </w:t>
      </w:r>
      <w:r w:rsidR="007313C4">
        <w:t xml:space="preserve">to raise overall educational standards. </w:t>
      </w:r>
      <w:proofErr w:type="spellStart"/>
      <w:r w:rsidR="007313C4">
        <w:t>AusAID</w:t>
      </w:r>
      <w:proofErr w:type="spellEnd"/>
      <w:r w:rsidR="007313C4">
        <w:t xml:space="preserve"> recognises that improving education quality standards requires a long-term commitment</w:t>
      </w:r>
      <w:r w:rsidR="00664591">
        <w:t xml:space="preserve">. </w:t>
      </w:r>
      <w:r w:rsidR="007313C4">
        <w:t xml:space="preserve"> </w:t>
      </w:r>
    </w:p>
    <w:p w:rsidR="00B42B80" w:rsidRDefault="00B42B80" w:rsidP="00BE716C">
      <w:pPr>
        <w:pStyle w:val="BodyText"/>
        <w:widowControl w:val="0"/>
      </w:pPr>
      <w:r w:rsidRPr="0084097E">
        <w:rPr>
          <w:b/>
        </w:rPr>
        <w:t xml:space="preserve">Development </w:t>
      </w:r>
      <w:r w:rsidR="00FE375C">
        <w:rPr>
          <w:b/>
        </w:rPr>
        <w:t xml:space="preserve"> </w:t>
      </w:r>
      <w:r w:rsidRPr="0084097E">
        <w:rPr>
          <w:b/>
        </w:rPr>
        <w:t>partnerships</w:t>
      </w:r>
      <w:r>
        <w:t xml:space="preserve">. </w:t>
      </w:r>
      <w:r w:rsidR="0084097E">
        <w:t xml:space="preserve">In most partner countries, improving aid effectiveness in the education sector is a key priority. The 2009 APPRs noted the challenges and the opportunities associated with increased reliance on partner government systems and joint programming with bilateral and multilateral organisations. </w:t>
      </w:r>
      <w:r w:rsidR="00550C4E">
        <w:t xml:space="preserve">In a number of partner countries, </w:t>
      </w:r>
      <w:proofErr w:type="spellStart"/>
      <w:r w:rsidR="00550C4E">
        <w:t>AusAID</w:t>
      </w:r>
      <w:proofErr w:type="spellEnd"/>
      <w:r w:rsidR="00550C4E">
        <w:t xml:space="preserve"> has taken a leadership role</w:t>
      </w:r>
      <w:r w:rsidR="00D818EF">
        <w:t xml:space="preserve"> among development partners, seeking ways of increasing national ownership, expanding alignment with local systems, and maintaining a focus on educational results</w:t>
      </w:r>
      <w:r w:rsidR="00664591">
        <w:t xml:space="preserve">. </w:t>
      </w:r>
    </w:p>
    <w:sectPr w:rsidR="00B42B80" w:rsidSect="00E77D0C">
      <w:headerReference w:type="even" r:id="rId14"/>
      <w:footerReference w:type="even" r:id="rId15"/>
      <w:footerReference w:type="default" r:id="rId16"/>
      <w:footerReference w:type="first" r:id="rId17"/>
      <w:pgSz w:w="11907" w:h="16840" w:code="9"/>
      <w:pgMar w:top="2381" w:right="2155" w:bottom="851" w:left="1814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A3" w:rsidRDefault="000F17A3">
      <w:r>
        <w:separator/>
      </w:r>
    </w:p>
    <w:p w:rsidR="000F17A3" w:rsidRDefault="000F17A3"/>
  </w:endnote>
  <w:endnote w:type="continuationSeparator" w:id="0">
    <w:p w:rsidR="000F17A3" w:rsidRDefault="000F17A3">
      <w:r>
        <w:continuationSeparator/>
      </w:r>
    </w:p>
    <w:p w:rsidR="000F17A3" w:rsidRDefault="000F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03">
    <w:altName w:val="Times New Roman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60" w:rsidRPr="00AD612A" w:rsidRDefault="00346BF4">
    <w:pPr>
      <w:pStyle w:val="Footer"/>
    </w:pPr>
    <w:r>
      <w:rPr>
        <w:noProof/>
        <w:color w:val="54534A"/>
        <w:lang w:val="en-US" w:eastAsia="en-U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8821420</wp:posOffset>
          </wp:positionV>
          <wp:extent cx="396240" cy="1508125"/>
          <wp:effectExtent l="0" t="0" r="3810" b="0"/>
          <wp:wrapNone/>
          <wp:docPr id="1" name="Picture 1" descr="AusAID_MDG_2_factshee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AID_MDG_2_factsheet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F60" w:rsidRPr="007C1ECE">
      <w:tab/>
    </w:r>
    <w:r w:rsidR="00AC5F60">
      <w:tab/>
    </w:r>
    <w:r w:rsidR="00AC5F60">
      <w:tab/>
    </w:r>
    <w:r w:rsidR="00AC5F60">
      <w:rPr>
        <w:rStyle w:val="PageNumber"/>
      </w:rPr>
      <w:fldChar w:fldCharType="begin"/>
    </w:r>
    <w:r w:rsidR="00AC5F60">
      <w:rPr>
        <w:rStyle w:val="PageNumber"/>
      </w:rPr>
      <w:instrText xml:space="preserve"> PAGE </w:instrText>
    </w:r>
    <w:r w:rsidR="00AC5F60">
      <w:rPr>
        <w:rStyle w:val="PageNumber"/>
      </w:rPr>
      <w:fldChar w:fldCharType="separate"/>
    </w:r>
    <w:r w:rsidR="00AC5F60">
      <w:rPr>
        <w:rStyle w:val="PageNumber"/>
        <w:noProof/>
      </w:rPr>
      <w:t>2</w:t>
    </w:r>
    <w:r w:rsidR="00AC5F6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60" w:rsidRPr="004A4B6B" w:rsidRDefault="00346BF4" w:rsidP="001260C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3" name="Picture 3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F60">
      <w:tab/>
    </w:r>
    <w:r w:rsidR="00AC5F60">
      <w:fldChar w:fldCharType="begin"/>
    </w:r>
    <w:r w:rsidR="00AC5F60">
      <w:instrText xml:space="preserve"> STYLEREF  Title </w:instrText>
    </w:r>
    <w:r w:rsidR="00AC5F60">
      <w:fldChar w:fldCharType="separate"/>
    </w:r>
    <w:r w:rsidR="00CF4B15">
      <w:rPr>
        <w:noProof/>
      </w:rPr>
      <w:t>Annual thematic performance report 2009: Education</w:t>
    </w:r>
    <w:r w:rsidR="00AC5F60">
      <w:fldChar w:fldCharType="end"/>
    </w:r>
    <w:r w:rsidR="00AC5F60">
      <w:rPr>
        <w:rStyle w:val="PageNumber"/>
      </w:rPr>
      <w:tab/>
    </w:r>
    <w:r w:rsidR="00AC5F60">
      <w:rPr>
        <w:rStyle w:val="PageNumber"/>
      </w:rPr>
      <w:tab/>
    </w:r>
    <w:r w:rsidR="00AC5F60" w:rsidRPr="004A26C9">
      <w:rPr>
        <w:rStyle w:val="PageNumber"/>
      </w:rPr>
      <w:fldChar w:fldCharType="begin"/>
    </w:r>
    <w:r w:rsidR="00AC5F60" w:rsidRPr="004A26C9">
      <w:rPr>
        <w:rStyle w:val="PageNumber"/>
      </w:rPr>
      <w:instrText xml:space="preserve"> PAGE </w:instrText>
    </w:r>
    <w:r w:rsidR="00AC5F60" w:rsidRPr="004A26C9">
      <w:rPr>
        <w:rStyle w:val="PageNumber"/>
      </w:rPr>
      <w:fldChar w:fldCharType="separate"/>
    </w:r>
    <w:r w:rsidR="00CF4B15">
      <w:rPr>
        <w:rStyle w:val="PageNumber"/>
        <w:noProof/>
      </w:rPr>
      <w:t>10</w:t>
    </w:r>
    <w:r w:rsidR="00AC5F60" w:rsidRPr="004A26C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60" w:rsidRDefault="00AC5F60">
    <w:pPr>
      <w:pStyle w:val="Foot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4B1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A3" w:rsidRDefault="000F17A3" w:rsidP="00D62AA4">
      <w:pPr>
        <w:spacing w:before="60" w:after="40" w:line="180" w:lineRule="exact"/>
      </w:pPr>
      <w:r>
        <w:continuationSeparator/>
      </w:r>
    </w:p>
  </w:footnote>
  <w:footnote w:type="continuationSeparator" w:id="0">
    <w:p w:rsidR="000F17A3" w:rsidRDefault="000F17A3">
      <w:r>
        <w:continuationSeparator/>
      </w:r>
    </w:p>
    <w:p w:rsidR="000F17A3" w:rsidRDefault="000F17A3"/>
  </w:footnote>
  <w:footnote w:type="continuationNotice" w:id="1">
    <w:p w:rsidR="000F17A3" w:rsidRDefault="000F17A3"/>
    <w:p w:rsidR="000F17A3" w:rsidRDefault="000F17A3"/>
  </w:footnote>
  <w:footnote w:id="2">
    <w:p w:rsidR="00AC5F60" w:rsidRPr="003D2C6F" w:rsidRDefault="00AC5F60" w:rsidP="00A174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MDG 2 – to achieve universal primary education, MDG 3 – to </w:t>
      </w:r>
      <w:r w:rsidRPr="003D2C6F">
        <w:t>promote</w:t>
      </w:r>
      <w:r>
        <w:t xml:space="preserve"> gender equality.   </w:t>
      </w:r>
      <w:r w:rsidRPr="003D2C6F">
        <w:t xml:space="preserve">The Education for All (EFA) movement is a global commitment to provide quality basic education for all children, youth and adults. The </w:t>
      </w:r>
      <w:r>
        <w:t>six</w:t>
      </w:r>
      <w:r w:rsidRPr="003D2C6F">
        <w:t xml:space="preserve"> goals of EFA are to expand early childhood education, </w:t>
      </w:r>
      <w:r>
        <w:t xml:space="preserve">access to </w:t>
      </w:r>
      <w:r w:rsidRPr="003D2C6F">
        <w:t>primary education for all, promote learning and life skills, increase adult literacy by 50 per cent, achieve gender equality by 2015, and improve the quality of education.</w:t>
      </w:r>
    </w:p>
  </w:footnote>
  <w:footnote w:id="3">
    <w:p w:rsidR="00AC5F60" w:rsidRDefault="00AC5F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This includes support for scholarships</w:t>
      </w:r>
    </w:p>
  </w:footnote>
  <w:footnote w:id="4">
    <w:p w:rsidR="00AC5F60" w:rsidRDefault="00AC5F60">
      <w:pPr>
        <w:pStyle w:val="FootnoteText"/>
      </w:pPr>
      <w:r>
        <w:rPr>
          <w:rStyle w:val="FootnoteReference"/>
        </w:rPr>
        <w:footnoteRef/>
      </w:r>
      <w:r>
        <w:t xml:space="preserve"> The Annual Program Performance Reports (APPRs) are prepared by </w:t>
      </w:r>
      <w:proofErr w:type="spellStart"/>
      <w:r>
        <w:t>AusAID</w:t>
      </w:r>
      <w:proofErr w:type="spellEnd"/>
      <w:r>
        <w:t xml:space="preserve"> each year for each country or regional program. The reports include a summarised assessment of all </w:t>
      </w:r>
      <w:proofErr w:type="spellStart"/>
      <w:r>
        <w:t>AusAID</w:t>
      </w:r>
      <w:proofErr w:type="spellEnd"/>
      <w:r>
        <w:t xml:space="preserve"> initiatives and this provides much of the information presented in the Annual Thematic Performance Reports.</w:t>
      </w:r>
    </w:p>
  </w:footnote>
  <w:footnote w:id="5">
    <w:p w:rsidR="00AC5F60" w:rsidRDefault="00AC5F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 w:rsidRPr="00B27B28">
        <w:t>AusAID’s</w:t>
      </w:r>
      <w:proofErr w:type="spellEnd"/>
      <w:r w:rsidRPr="00B27B28">
        <w:t xml:space="preserve"> corporate requirement </w:t>
      </w:r>
      <w:r>
        <w:t>is that</w:t>
      </w:r>
      <w:r w:rsidRPr="00B27B28">
        <w:t xml:space="preserve"> 75</w:t>
      </w:r>
      <w:r>
        <w:t xml:space="preserve"> </w:t>
      </w:r>
      <w:r w:rsidRPr="00B27B28">
        <w:t>per cent</w:t>
      </w:r>
      <w:r>
        <w:t xml:space="preserve"> of activities make</w:t>
      </w:r>
      <w:r w:rsidRPr="00B27B28">
        <w:t xml:space="preserve"> satisfactory progress toward their objectives</w:t>
      </w:r>
      <w:r>
        <w:t xml:space="preserve">. </w:t>
      </w:r>
      <w:proofErr w:type="spellStart"/>
      <w:r>
        <w:t>AusAID</w:t>
      </w:r>
      <w:proofErr w:type="spellEnd"/>
      <w:r>
        <w:t xml:space="preserve">, </w:t>
      </w:r>
      <w:proofErr w:type="gramStart"/>
      <w:r w:rsidRPr="00D20531">
        <w:rPr>
          <w:i/>
        </w:rPr>
        <w:t>Improving</w:t>
      </w:r>
      <w:proofErr w:type="gramEnd"/>
      <w:r w:rsidRPr="00D20531">
        <w:rPr>
          <w:i/>
        </w:rPr>
        <w:t xml:space="preserve"> basic services for the poor: Annual Review of Development Effectiveness 2009</w:t>
      </w:r>
      <w:r>
        <w:t xml:space="preserve">, </w:t>
      </w:r>
      <w:r w:rsidRPr="00FA43FD">
        <w:rPr>
          <w:spacing w:val="-2"/>
          <w:szCs w:val="15"/>
        </w:rPr>
        <w:t xml:space="preserve">Australian Agency for International Development, </w:t>
      </w:r>
      <w:smartTag w:uri="urn:schemas-microsoft-com:office:smarttags" w:element="place">
        <w:smartTag w:uri="urn:schemas-microsoft-com:office:smarttags" w:element="City">
          <w:r w:rsidRPr="00FA43FD">
            <w:rPr>
              <w:spacing w:val="-2"/>
              <w:szCs w:val="15"/>
            </w:rPr>
            <w:t>Canberra</w:t>
          </w:r>
        </w:smartTag>
      </w:smartTag>
      <w:r>
        <w:rPr>
          <w:spacing w:val="-2"/>
          <w:szCs w:val="15"/>
        </w:rPr>
        <w:t>, November 2010, p. 14.</w:t>
      </w:r>
    </w:p>
  </w:footnote>
  <w:footnote w:id="6">
    <w:p w:rsidR="00AC5F60" w:rsidRDefault="00AC5F60">
      <w:pPr>
        <w:pStyle w:val="FootnoteText"/>
      </w:pPr>
      <w:r>
        <w:rPr>
          <w:rStyle w:val="FootnoteReference"/>
        </w:rPr>
        <w:footnoteRef/>
      </w:r>
      <w:r>
        <w:t xml:space="preserve"> Every major </w:t>
      </w:r>
      <w:proofErr w:type="spellStart"/>
      <w:r>
        <w:t>AusAID</w:t>
      </w:r>
      <w:proofErr w:type="spellEnd"/>
      <w:r>
        <w:t xml:space="preserve"> initiative is expected to be subjected to independent assessment upon completion in order to determine what has been achieved and to extract lessons learned from the initiative.</w:t>
      </w:r>
    </w:p>
  </w:footnote>
  <w:footnote w:id="7">
    <w:p w:rsidR="00AC5F60" w:rsidRDefault="00AC5F60" w:rsidP="007924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 Week</w:t>
      </w:r>
      <w:r w:rsidRPr="00C20939">
        <w:t xml:space="preserve">, </w:t>
      </w:r>
      <w:r>
        <w:t xml:space="preserve">M </w:t>
      </w:r>
      <w:proofErr w:type="spellStart"/>
      <w:r>
        <w:t>Balan</w:t>
      </w:r>
      <w:proofErr w:type="spellEnd"/>
      <w:r>
        <w:t xml:space="preserve"> &amp; </w:t>
      </w:r>
      <w:proofErr w:type="gramStart"/>
      <w:r>
        <w:t>A</w:t>
      </w:r>
      <w:proofErr w:type="gramEnd"/>
      <w:r>
        <w:t xml:space="preserve"> </w:t>
      </w:r>
      <w:proofErr w:type="spellStart"/>
      <w:r>
        <w:t>Nako</w:t>
      </w:r>
      <w:proofErr w:type="spellEnd"/>
      <w:r>
        <w:t xml:space="preserve">, </w:t>
      </w:r>
      <w:r w:rsidRPr="00C20939">
        <w:rPr>
          <w:bCs/>
          <w:i/>
        </w:rPr>
        <w:t>Vanuatu Secondary School Extension Project Phase II: Independent Completion Report</w:t>
      </w:r>
      <w:r w:rsidRPr="00C20939">
        <w:rPr>
          <w:bCs/>
        </w:rPr>
        <w:t xml:space="preserve">, </w:t>
      </w:r>
      <w:r w:rsidRPr="00C20939">
        <w:t>prepared</w:t>
      </w:r>
      <w:r>
        <w:t xml:space="preserve"> for the Australian Agency for International Development, June 2009. </w:t>
      </w:r>
    </w:p>
  </w:footnote>
  <w:footnote w:id="8">
    <w:p w:rsidR="00AC5F60" w:rsidRDefault="00AC5F60" w:rsidP="00C70E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K </w:t>
      </w:r>
      <w:r w:rsidRPr="00132F38">
        <w:t>Schofield</w:t>
      </w:r>
      <w:r>
        <w:t>,</w:t>
      </w:r>
      <w:r w:rsidRPr="00132F38">
        <w:t xml:space="preserve"> </w:t>
      </w:r>
      <w:r>
        <w:t xml:space="preserve">Hong </w:t>
      </w:r>
      <w:r w:rsidRPr="00132F38">
        <w:t>Tan</w:t>
      </w:r>
      <w:r>
        <w:t>,</w:t>
      </w:r>
      <w:r w:rsidRPr="00132F38">
        <w:t xml:space="preserve"> </w:t>
      </w:r>
      <w:r>
        <w:t xml:space="preserve">C </w:t>
      </w:r>
      <w:r w:rsidRPr="00132F38">
        <w:t xml:space="preserve">Bryant </w:t>
      </w:r>
      <w:r>
        <w:t xml:space="preserve">&amp; J </w:t>
      </w:r>
      <w:proofErr w:type="spellStart"/>
      <w:r w:rsidRPr="00132F38">
        <w:t>Catchlove</w:t>
      </w:r>
      <w:proofErr w:type="spellEnd"/>
      <w:r>
        <w:t>,</w:t>
      </w:r>
      <w:r w:rsidRPr="00132F38">
        <w:t xml:space="preserve"> </w:t>
      </w:r>
      <w:smartTag w:uri="urn:schemas-microsoft-com:office:smarttags" w:element="place">
        <w:smartTag w:uri="urn:schemas-microsoft-com:office:smarttags" w:element="PlaceName">
          <w:r w:rsidRPr="00132F38">
            <w:rPr>
              <w:i/>
            </w:rPr>
            <w:t>Australia-Pacific</w:t>
          </w:r>
        </w:smartTag>
        <w:r w:rsidRPr="00132F38">
          <w:rPr>
            <w:i/>
          </w:rPr>
          <w:t xml:space="preserve"> </w:t>
        </w:r>
        <w:smartTag w:uri="urn:schemas-microsoft-com:office:smarttags" w:element="PlaceName">
          <w:r w:rsidRPr="00132F38">
            <w:rPr>
              <w:i/>
            </w:rPr>
            <w:t>Technical</w:t>
          </w:r>
        </w:smartTag>
        <w:r w:rsidRPr="00132F38">
          <w:rPr>
            <w:i/>
          </w:rPr>
          <w:t xml:space="preserve"> </w:t>
        </w:r>
        <w:smartTag w:uri="urn:schemas-microsoft-com:office:smarttags" w:element="PlaceType">
          <w:r w:rsidRPr="00132F38">
            <w:rPr>
              <w:i/>
            </w:rPr>
            <w:t>College</w:t>
          </w:r>
        </w:smartTag>
      </w:smartTag>
      <w:r w:rsidRPr="00132F38">
        <w:rPr>
          <w:i/>
        </w:rPr>
        <w:t xml:space="preserve"> mid-term review</w:t>
      </w:r>
      <w:r>
        <w:t>, prepared for the Australian Agency for International Development, June 2009.</w:t>
      </w:r>
    </w:p>
  </w:footnote>
  <w:footnote w:id="9">
    <w:p w:rsidR="00AC5F60" w:rsidRDefault="00AC5F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M Baird, </w:t>
      </w:r>
      <w:r>
        <w:rPr>
          <w:i/>
        </w:rPr>
        <w:t>Service delivery for the poor: L</w:t>
      </w:r>
      <w:r w:rsidRPr="00BC6134">
        <w:rPr>
          <w:i/>
        </w:rPr>
        <w:t>essons from recent evaluations of Australian aid</w:t>
      </w:r>
      <w:r>
        <w:t>,</w:t>
      </w:r>
      <w:r w:rsidRPr="00E47148">
        <w:t xml:space="preserve"> Office of Development E</w:t>
      </w:r>
      <w:r>
        <w:t xml:space="preserve">ffectiveness, </w:t>
      </w:r>
      <w:proofErr w:type="spellStart"/>
      <w:r>
        <w:t>AusAID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Canberra</w:t>
          </w:r>
        </w:smartTag>
      </w:smartTag>
      <w:r>
        <w:t>, November 2009.</w:t>
      </w:r>
    </w:p>
  </w:footnote>
  <w:footnote w:id="10">
    <w:p w:rsidR="00AC5F60" w:rsidRPr="008D5349" w:rsidRDefault="00AC5F60" w:rsidP="008D53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D5349">
        <w:rPr>
          <w:lang w:val="en-US"/>
        </w:rPr>
        <w:t xml:space="preserve">MESC, </w:t>
      </w:r>
      <w:smartTag w:uri="urn:schemas-microsoft-com:office:smarttags" w:element="place">
        <w:r w:rsidRPr="008D5349">
          <w:rPr>
            <w:lang w:val="en-US"/>
          </w:rPr>
          <w:t>Samoa</w:t>
        </w:r>
      </w:smartTag>
      <w:r w:rsidRPr="008D5349">
        <w:rPr>
          <w:lang w:val="en-US"/>
        </w:rPr>
        <w:t xml:space="preserve"> Education Sector Program II: Mid</w:t>
      </w:r>
      <w:r>
        <w:rPr>
          <w:lang w:val="en-US"/>
        </w:rPr>
        <w:t>-</w:t>
      </w:r>
      <w:r w:rsidRPr="008D5349">
        <w:rPr>
          <w:lang w:val="en-US"/>
        </w:rPr>
        <w:t>Term Review Report, Ministry of Education, Sport and Culture, June 2010.</w:t>
      </w:r>
    </w:p>
  </w:footnote>
  <w:footnote w:id="11">
    <w:p w:rsidR="00AC5F60" w:rsidRPr="008D5349" w:rsidRDefault="00AC5F60" w:rsidP="008D5349">
      <w:pPr>
        <w:pStyle w:val="FootnoteText"/>
        <w:rPr>
          <w:lang w:val="en-US"/>
        </w:rPr>
      </w:pPr>
      <w:r w:rsidRPr="008D5349">
        <w:rPr>
          <w:lang w:val="en-US"/>
        </w:rPr>
        <w:footnoteRef/>
      </w:r>
      <w:r w:rsidRPr="008D5349">
        <w:rPr>
          <w:lang w:val="en-US"/>
        </w:rPr>
        <w:t xml:space="preserve"> </w:t>
      </w:r>
      <w:r w:rsidRPr="008D5349">
        <w:rPr>
          <w:lang w:val="en-US"/>
        </w:rPr>
        <w:tab/>
        <w:t>Reporting on the overarching scholarships program will be through a separate Scholarships ATPR.</w:t>
      </w:r>
    </w:p>
  </w:footnote>
  <w:footnote w:id="12">
    <w:p w:rsidR="00AC5F60" w:rsidRDefault="00AC5F60" w:rsidP="00C70E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F62FE">
        <w:rPr>
          <w:lang w:val="en-US"/>
        </w:rPr>
        <w:t xml:space="preserve">Note the Objective wording has changed </w:t>
      </w:r>
      <w:r>
        <w:rPr>
          <w:lang w:val="en-US"/>
        </w:rPr>
        <w:t xml:space="preserve">over time for many country programs. </w:t>
      </w:r>
      <w:r w:rsidRPr="006F62FE">
        <w:rPr>
          <w:lang w:val="en-US"/>
        </w:rPr>
        <w:t>The wording of Objectives provided in the 2009 APPRs has been used</w:t>
      </w:r>
      <w:r>
        <w:rPr>
          <w:lang w:val="en-US"/>
        </w:rPr>
        <w:t xml:space="preserve">. </w:t>
      </w:r>
      <w:r w:rsidRPr="006F62FE">
        <w:rPr>
          <w:lang w:val="en-US"/>
        </w:rPr>
        <w:t>This APPR wording change may affect comparability with 2007 and 2008 ratings</w:t>
      </w:r>
      <w:r>
        <w:rPr>
          <w:lang w:val="en-US"/>
        </w:rPr>
        <w:t>.</w:t>
      </w:r>
    </w:p>
  </w:footnote>
  <w:footnote w:id="13">
    <w:p w:rsidR="00AC5F60" w:rsidRPr="00F0464F" w:rsidRDefault="00AC5F60" w:rsidP="00C70E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Objective wording is substantially different in 2009, representing a series break. 2008 Objectives are left in place for comparison, and 2009 Objective wording has been added as new rows. </w:t>
      </w:r>
    </w:p>
  </w:footnote>
  <w:footnote w:id="14">
    <w:p w:rsidR="00AC5F60" w:rsidRPr="00751A30" w:rsidRDefault="00AC5F60" w:rsidP="00FE2ECC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  <w:t>The Samoa APPR showed a Green rating for ‘Improved Education’, and stated ‘Unchanged’ ‘</w:t>
      </w:r>
      <w:r w:rsidRPr="00751A30">
        <w:t>Relative to previous rating</w:t>
      </w:r>
      <w:r>
        <w:t xml:space="preserve">’. The information provided in the preparation of the ATPR showed an Amber rating in the 2008 APPR. </w:t>
      </w:r>
    </w:p>
  </w:footnote>
  <w:footnote w:id="15">
    <w:p w:rsidR="00AC5F60" w:rsidRDefault="00AC5F60" w:rsidP="00680E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OECD DAC,</w:t>
      </w:r>
      <w:r w:rsidRPr="00680E1B">
        <w:t xml:space="preserve"> </w:t>
      </w:r>
      <w:smartTag w:uri="urn:schemas-microsoft-com:office:smarttags" w:element="place">
        <w:smartTag w:uri="urn:schemas-microsoft-com:office:smarttags" w:element="country-region">
          <w:r w:rsidRPr="00680E1B">
            <w:rPr>
              <w:bCs/>
              <w:i/>
            </w:rPr>
            <w:t>Australia</w:t>
          </w:r>
        </w:smartTag>
      </w:smartTag>
      <w:r w:rsidRPr="00680E1B">
        <w:rPr>
          <w:b/>
          <w:bCs/>
          <w:i/>
        </w:rPr>
        <w:t xml:space="preserve">: </w:t>
      </w:r>
      <w:r w:rsidRPr="00680E1B">
        <w:rPr>
          <w:i/>
        </w:rPr>
        <w:t>Development Assistance Committee Peer Review</w:t>
      </w:r>
      <w:r>
        <w:t>, Organisation for Economic Cooperation a</w:t>
      </w:r>
      <w:r w:rsidRPr="00680E1B">
        <w:t>nd Development</w:t>
      </w:r>
      <w:r>
        <w:t>, 20</w:t>
      </w:r>
      <w:bookmarkStart w:id="5" w:name="_GoBack"/>
      <w:bookmarkEnd w:id="5"/>
      <w:r>
        <w:t>09, p.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60" w:rsidRDefault="00346BF4" w:rsidP="00B7603F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Picture 2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3BE"/>
    <w:multiLevelType w:val="hybridMultilevel"/>
    <w:tmpl w:val="755E14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10FD4"/>
    <w:multiLevelType w:val="hybridMultilevel"/>
    <w:tmpl w:val="F83CDA08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3" w:hAnsi="font303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B7DD8"/>
    <w:multiLevelType w:val="hybridMultilevel"/>
    <w:tmpl w:val="3EA6F6DE"/>
    <w:lvl w:ilvl="0" w:tplc="0DBE8B5C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E656F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784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2D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02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8A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61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2E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E0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3C07"/>
    <w:multiLevelType w:val="hybridMultilevel"/>
    <w:tmpl w:val="1556F3E6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3" w:hAnsi="font303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7">
    <w:nsid w:val="27965914"/>
    <w:multiLevelType w:val="multilevel"/>
    <w:tmpl w:val="E6A83EB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spacing w:val="0"/>
        <w:w w:val="100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 w:val="0"/>
        <w:i w:val="0"/>
        <w:color w:val="auto"/>
        <w:spacing w:val="0"/>
        <w:w w:val="100"/>
        <w:position w:val="0"/>
        <w:sz w:val="44"/>
        <w:szCs w:val="44"/>
      </w:rPr>
    </w:lvl>
  </w:abstractNum>
  <w:abstractNum w:abstractNumId="8">
    <w:nsid w:val="2EE375D4"/>
    <w:multiLevelType w:val="hybridMultilevel"/>
    <w:tmpl w:val="343EB0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E532F"/>
    <w:multiLevelType w:val="hybridMultilevel"/>
    <w:tmpl w:val="E6A84908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3" w:hAnsi="font303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33F6B"/>
    <w:multiLevelType w:val="hybridMultilevel"/>
    <w:tmpl w:val="53929CB2"/>
    <w:lvl w:ilvl="0" w:tplc="18248C88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BE8A4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6D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0B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2B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C8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60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E5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B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D1AD3"/>
    <w:multiLevelType w:val="hybridMultilevel"/>
    <w:tmpl w:val="7C4040D6"/>
    <w:lvl w:ilvl="0" w:tplc="F9B6527C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D675F2"/>
    <w:multiLevelType w:val="multilevel"/>
    <w:tmpl w:val="3F368AC4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Franklin Gothic Medium" w:hAnsi="Franklin Gothic Medium" w:hint="default"/>
        <w:b w:val="0"/>
        <w:i w:val="0"/>
        <w:color w:val="auto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4">
    <w:nsid w:val="3C5971EF"/>
    <w:multiLevelType w:val="hybridMultilevel"/>
    <w:tmpl w:val="3FBEC564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3" w:hAnsi="font303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D579B"/>
    <w:multiLevelType w:val="hybridMultilevel"/>
    <w:tmpl w:val="36F2514A"/>
    <w:lvl w:ilvl="0" w:tplc="7DC68792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7B9EC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9AF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0F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EC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2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8F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29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2B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57801"/>
    <w:multiLevelType w:val="hybridMultilevel"/>
    <w:tmpl w:val="321C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B7D2A"/>
    <w:multiLevelType w:val="hybridMultilevel"/>
    <w:tmpl w:val="2486A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CB3D8B"/>
    <w:multiLevelType w:val="multilevel"/>
    <w:tmpl w:val="A7E0EF7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0049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  <w:cap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9">
    <w:nsid w:val="52B943C2"/>
    <w:multiLevelType w:val="hybridMultilevel"/>
    <w:tmpl w:val="5A18D8E8"/>
    <w:lvl w:ilvl="0" w:tplc="F036122A">
      <w:start w:val="1"/>
      <w:numFmt w:val="bullet"/>
      <w:pStyle w:val="Ratingamber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FF99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A5214"/>
    <w:multiLevelType w:val="hybridMultilevel"/>
    <w:tmpl w:val="0B5AC610"/>
    <w:lvl w:ilvl="0" w:tplc="A07A1412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5872A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9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C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4C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2E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1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D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FE61E0"/>
    <w:multiLevelType w:val="hybridMultilevel"/>
    <w:tmpl w:val="CD8C01E8"/>
    <w:lvl w:ilvl="0" w:tplc="7466E0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8553B"/>
    <w:multiLevelType w:val="multilevel"/>
    <w:tmpl w:val="28627A8E"/>
    <w:lvl w:ilvl="0">
      <w:start w:val="1"/>
      <w:numFmt w:val="decimal"/>
      <w:lvlText w:val="%1"/>
      <w:lvlJc w:val="right"/>
      <w:pPr>
        <w:tabs>
          <w:tab w:val="num" w:pos="0"/>
        </w:tabs>
        <w:ind w:left="0" w:hanging="454"/>
      </w:pPr>
      <w:rPr>
        <w:rFonts w:hint="default"/>
        <w:b w:val="0"/>
        <w:i w:val="0"/>
        <w:color w:val="54534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lvlText w:val=""/>
      <w:lvlJc w:val="left"/>
      <w:pPr>
        <w:tabs>
          <w:tab w:val="num" w:pos="454"/>
        </w:tabs>
        <w:ind w:left="454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54"/>
        </w:tabs>
        <w:ind w:left="454" w:firstLine="0"/>
      </w:pPr>
      <w:rPr>
        <w:rFonts w:hint="default"/>
      </w:rPr>
    </w:lvl>
  </w:abstractNum>
  <w:abstractNum w:abstractNumId="24">
    <w:nsid w:val="63EC277D"/>
    <w:multiLevelType w:val="hybridMultilevel"/>
    <w:tmpl w:val="5622DCD2"/>
    <w:lvl w:ilvl="0" w:tplc="639A99AA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Garamond" w:hAnsi="Garamon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F264CF"/>
    <w:multiLevelType w:val="multilevel"/>
    <w:tmpl w:val="DD5A44F4"/>
    <w:lvl w:ilvl="0">
      <w:start w:val="1"/>
      <w:numFmt w:val="none"/>
      <w:pStyle w:val="Heading1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pStyle w:val="Heading2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6C55035"/>
    <w:multiLevelType w:val="hybridMultilevel"/>
    <w:tmpl w:val="A0C89EE8"/>
    <w:lvl w:ilvl="0" w:tplc="F280E2B4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1239B"/>
    <w:multiLevelType w:val="multilevel"/>
    <w:tmpl w:val="7ACC421A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8BB2AC9"/>
    <w:multiLevelType w:val="multilevel"/>
    <w:tmpl w:val="C36C7DC8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0049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9">
    <w:nsid w:val="6CA95AF5"/>
    <w:multiLevelType w:val="multilevel"/>
    <w:tmpl w:val="AA96A81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30">
    <w:nsid w:val="6CF363E8"/>
    <w:multiLevelType w:val="hybridMultilevel"/>
    <w:tmpl w:val="663688F2"/>
    <w:lvl w:ilvl="0" w:tplc="AEC43794">
      <w:start w:val="1"/>
      <w:numFmt w:val="bullet"/>
      <w:pStyle w:val="Ratinggreen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99CC00"/>
        <w:spacing w:val="0"/>
        <w:position w:val="-2"/>
        <w:sz w:val="28"/>
        <w:szCs w:val="28"/>
      </w:rPr>
    </w:lvl>
    <w:lvl w:ilvl="1" w:tplc="8F94A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D44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04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EE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2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82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7C3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536210"/>
    <w:multiLevelType w:val="multilevel"/>
    <w:tmpl w:val="DD688AB0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7C3D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E1124E"/>
    <w:multiLevelType w:val="hybridMultilevel"/>
    <w:tmpl w:val="6D42E656"/>
    <w:lvl w:ilvl="0" w:tplc="02A4C866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A528B"/>
    <w:multiLevelType w:val="hybridMultilevel"/>
    <w:tmpl w:val="4ADC517C"/>
    <w:lvl w:ilvl="0" w:tplc="379850EC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plc="F1D88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08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A8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64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CA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4D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86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124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0"/>
  </w:num>
  <w:num w:numId="5">
    <w:abstractNumId w:val="15"/>
  </w:num>
  <w:num w:numId="6">
    <w:abstractNumId w:val="10"/>
  </w:num>
  <w:num w:numId="7">
    <w:abstractNumId w:val="25"/>
  </w:num>
  <w:num w:numId="8">
    <w:abstractNumId w:val="23"/>
  </w:num>
  <w:num w:numId="9">
    <w:abstractNumId w:val="26"/>
  </w:num>
  <w:num w:numId="10">
    <w:abstractNumId w:val="2"/>
  </w:num>
  <w:num w:numId="11">
    <w:abstractNumId w:val="19"/>
  </w:num>
  <w:num w:numId="12">
    <w:abstractNumId w:val="30"/>
  </w:num>
  <w:num w:numId="13">
    <w:abstractNumId w:val="6"/>
  </w:num>
  <w:num w:numId="14">
    <w:abstractNumId w:val="4"/>
  </w:num>
  <w:num w:numId="15">
    <w:abstractNumId w:val="32"/>
  </w:num>
  <w:num w:numId="16">
    <w:abstractNumId w:val="33"/>
  </w:num>
  <w:num w:numId="17">
    <w:abstractNumId w:val="33"/>
  </w:num>
  <w:num w:numId="18">
    <w:abstractNumId w:val="29"/>
  </w:num>
  <w:num w:numId="19">
    <w:abstractNumId w:val="31"/>
  </w:num>
  <w:num w:numId="20">
    <w:abstractNumId w:val="14"/>
  </w:num>
  <w:num w:numId="21">
    <w:abstractNumId w:val="5"/>
  </w:num>
  <w:num w:numId="22">
    <w:abstractNumId w:val="9"/>
  </w:num>
  <w:num w:numId="23">
    <w:abstractNumId w:val="1"/>
  </w:num>
  <w:num w:numId="24">
    <w:abstractNumId w:val="2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0"/>
  </w:num>
  <w:num w:numId="41">
    <w:abstractNumId w:val="17"/>
  </w:num>
  <w:num w:numId="42">
    <w:abstractNumId w:val="12"/>
  </w:num>
  <w:num w:numId="43">
    <w:abstractNumId w:val="16"/>
  </w:num>
  <w:num w:numId="4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5a9a98,#ddcf56,#ad495d,#ab9c8f,#b5d3d2,#7e6d5f,#f26631,#54534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206D"/>
    <w:rsid w:val="00002939"/>
    <w:rsid w:val="00004368"/>
    <w:rsid w:val="00011550"/>
    <w:rsid w:val="0001170C"/>
    <w:rsid w:val="000129D7"/>
    <w:rsid w:val="00013347"/>
    <w:rsid w:val="0001356A"/>
    <w:rsid w:val="00014038"/>
    <w:rsid w:val="0001508D"/>
    <w:rsid w:val="00015DBC"/>
    <w:rsid w:val="00016771"/>
    <w:rsid w:val="00016CBA"/>
    <w:rsid w:val="00017D33"/>
    <w:rsid w:val="00017E33"/>
    <w:rsid w:val="000211DA"/>
    <w:rsid w:val="0002235F"/>
    <w:rsid w:val="00022558"/>
    <w:rsid w:val="00022D41"/>
    <w:rsid w:val="00024373"/>
    <w:rsid w:val="000257E7"/>
    <w:rsid w:val="00030588"/>
    <w:rsid w:val="0003385B"/>
    <w:rsid w:val="00034B41"/>
    <w:rsid w:val="00034E45"/>
    <w:rsid w:val="00035E2A"/>
    <w:rsid w:val="00037673"/>
    <w:rsid w:val="00041428"/>
    <w:rsid w:val="00041498"/>
    <w:rsid w:val="00041661"/>
    <w:rsid w:val="000433AB"/>
    <w:rsid w:val="00044BEB"/>
    <w:rsid w:val="00044EDD"/>
    <w:rsid w:val="000452A6"/>
    <w:rsid w:val="0004636D"/>
    <w:rsid w:val="00046974"/>
    <w:rsid w:val="00047AF2"/>
    <w:rsid w:val="00047F46"/>
    <w:rsid w:val="000513B2"/>
    <w:rsid w:val="00051BF2"/>
    <w:rsid w:val="00053BB3"/>
    <w:rsid w:val="00053D8A"/>
    <w:rsid w:val="00060A32"/>
    <w:rsid w:val="00061389"/>
    <w:rsid w:val="00063C90"/>
    <w:rsid w:val="0006469D"/>
    <w:rsid w:val="000655EB"/>
    <w:rsid w:val="00065C12"/>
    <w:rsid w:val="00067F6E"/>
    <w:rsid w:val="00070BAE"/>
    <w:rsid w:val="00070F05"/>
    <w:rsid w:val="00071179"/>
    <w:rsid w:val="000722A1"/>
    <w:rsid w:val="000734C2"/>
    <w:rsid w:val="00074C9B"/>
    <w:rsid w:val="00075C1B"/>
    <w:rsid w:val="00075E37"/>
    <w:rsid w:val="00075ECC"/>
    <w:rsid w:val="00075F52"/>
    <w:rsid w:val="00076234"/>
    <w:rsid w:val="000765D3"/>
    <w:rsid w:val="000766F0"/>
    <w:rsid w:val="00076703"/>
    <w:rsid w:val="000805B2"/>
    <w:rsid w:val="00082E97"/>
    <w:rsid w:val="000833A0"/>
    <w:rsid w:val="00085585"/>
    <w:rsid w:val="0008587A"/>
    <w:rsid w:val="00085E50"/>
    <w:rsid w:val="00086164"/>
    <w:rsid w:val="000863C3"/>
    <w:rsid w:val="00090C8C"/>
    <w:rsid w:val="00092F37"/>
    <w:rsid w:val="00097A76"/>
    <w:rsid w:val="000A0794"/>
    <w:rsid w:val="000A31A1"/>
    <w:rsid w:val="000A3437"/>
    <w:rsid w:val="000A3691"/>
    <w:rsid w:val="000A4433"/>
    <w:rsid w:val="000A587C"/>
    <w:rsid w:val="000A5BCC"/>
    <w:rsid w:val="000A7400"/>
    <w:rsid w:val="000A7708"/>
    <w:rsid w:val="000A7AD4"/>
    <w:rsid w:val="000B0232"/>
    <w:rsid w:val="000B108C"/>
    <w:rsid w:val="000B13AB"/>
    <w:rsid w:val="000B146D"/>
    <w:rsid w:val="000B4054"/>
    <w:rsid w:val="000B56CF"/>
    <w:rsid w:val="000B5B55"/>
    <w:rsid w:val="000B6330"/>
    <w:rsid w:val="000B6BA2"/>
    <w:rsid w:val="000B7FF7"/>
    <w:rsid w:val="000C0125"/>
    <w:rsid w:val="000C0807"/>
    <w:rsid w:val="000C0D83"/>
    <w:rsid w:val="000C1444"/>
    <w:rsid w:val="000C45A2"/>
    <w:rsid w:val="000C6046"/>
    <w:rsid w:val="000C72CD"/>
    <w:rsid w:val="000D074E"/>
    <w:rsid w:val="000D32D5"/>
    <w:rsid w:val="000D444F"/>
    <w:rsid w:val="000D47A5"/>
    <w:rsid w:val="000E0333"/>
    <w:rsid w:val="000E2E8A"/>
    <w:rsid w:val="000E595E"/>
    <w:rsid w:val="000E5C21"/>
    <w:rsid w:val="000F17A3"/>
    <w:rsid w:val="000F201F"/>
    <w:rsid w:val="000F4D43"/>
    <w:rsid w:val="000F704C"/>
    <w:rsid w:val="000F706A"/>
    <w:rsid w:val="000F7DB9"/>
    <w:rsid w:val="000F7EBB"/>
    <w:rsid w:val="0010001A"/>
    <w:rsid w:val="001020A5"/>
    <w:rsid w:val="00104AE6"/>
    <w:rsid w:val="00104CCC"/>
    <w:rsid w:val="001104EF"/>
    <w:rsid w:val="00115A8C"/>
    <w:rsid w:val="00115D91"/>
    <w:rsid w:val="001204E2"/>
    <w:rsid w:val="001205B0"/>
    <w:rsid w:val="001250BF"/>
    <w:rsid w:val="001260C2"/>
    <w:rsid w:val="00127B7F"/>
    <w:rsid w:val="00132E41"/>
    <w:rsid w:val="00135A4C"/>
    <w:rsid w:val="001360A4"/>
    <w:rsid w:val="00136E47"/>
    <w:rsid w:val="00136FF9"/>
    <w:rsid w:val="00137BA1"/>
    <w:rsid w:val="0014038D"/>
    <w:rsid w:val="0014049B"/>
    <w:rsid w:val="00141482"/>
    <w:rsid w:val="00141818"/>
    <w:rsid w:val="001422CE"/>
    <w:rsid w:val="0014252B"/>
    <w:rsid w:val="0014282B"/>
    <w:rsid w:val="00142A4D"/>
    <w:rsid w:val="00142E47"/>
    <w:rsid w:val="00143525"/>
    <w:rsid w:val="001436A7"/>
    <w:rsid w:val="00144611"/>
    <w:rsid w:val="00144B1B"/>
    <w:rsid w:val="0014787F"/>
    <w:rsid w:val="00147947"/>
    <w:rsid w:val="00152D98"/>
    <w:rsid w:val="001564B4"/>
    <w:rsid w:val="00156521"/>
    <w:rsid w:val="00156A18"/>
    <w:rsid w:val="001601F7"/>
    <w:rsid w:val="0016033F"/>
    <w:rsid w:val="0016217F"/>
    <w:rsid w:val="001644AA"/>
    <w:rsid w:val="00164CE8"/>
    <w:rsid w:val="00165C4D"/>
    <w:rsid w:val="00166BE1"/>
    <w:rsid w:val="001702D7"/>
    <w:rsid w:val="001707ED"/>
    <w:rsid w:val="00170B04"/>
    <w:rsid w:val="00172093"/>
    <w:rsid w:val="001721B0"/>
    <w:rsid w:val="0017313D"/>
    <w:rsid w:val="001756DD"/>
    <w:rsid w:val="00175CFE"/>
    <w:rsid w:val="00176846"/>
    <w:rsid w:val="00176CB6"/>
    <w:rsid w:val="001772C7"/>
    <w:rsid w:val="00177AE1"/>
    <w:rsid w:val="00180E63"/>
    <w:rsid w:val="00180EC6"/>
    <w:rsid w:val="00182E7D"/>
    <w:rsid w:val="001840DC"/>
    <w:rsid w:val="00184C6E"/>
    <w:rsid w:val="00187D56"/>
    <w:rsid w:val="00190A25"/>
    <w:rsid w:val="00190D87"/>
    <w:rsid w:val="00193384"/>
    <w:rsid w:val="001957F2"/>
    <w:rsid w:val="0019627A"/>
    <w:rsid w:val="00197485"/>
    <w:rsid w:val="001A0653"/>
    <w:rsid w:val="001A157D"/>
    <w:rsid w:val="001A2FC9"/>
    <w:rsid w:val="001A4314"/>
    <w:rsid w:val="001A4CB0"/>
    <w:rsid w:val="001A4F3D"/>
    <w:rsid w:val="001A4F75"/>
    <w:rsid w:val="001A64D6"/>
    <w:rsid w:val="001A676A"/>
    <w:rsid w:val="001A76CD"/>
    <w:rsid w:val="001A7A00"/>
    <w:rsid w:val="001B0BC3"/>
    <w:rsid w:val="001B11EB"/>
    <w:rsid w:val="001B1559"/>
    <w:rsid w:val="001B3A25"/>
    <w:rsid w:val="001B40B6"/>
    <w:rsid w:val="001B7441"/>
    <w:rsid w:val="001B7D36"/>
    <w:rsid w:val="001C1650"/>
    <w:rsid w:val="001C18A5"/>
    <w:rsid w:val="001C27DD"/>
    <w:rsid w:val="001C34BE"/>
    <w:rsid w:val="001C54D5"/>
    <w:rsid w:val="001C557B"/>
    <w:rsid w:val="001C68A6"/>
    <w:rsid w:val="001C6E03"/>
    <w:rsid w:val="001C6E25"/>
    <w:rsid w:val="001C7FAB"/>
    <w:rsid w:val="001D07E3"/>
    <w:rsid w:val="001D0D54"/>
    <w:rsid w:val="001D0D75"/>
    <w:rsid w:val="001D21D0"/>
    <w:rsid w:val="001D24B1"/>
    <w:rsid w:val="001D2D04"/>
    <w:rsid w:val="001D5233"/>
    <w:rsid w:val="001D65A4"/>
    <w:rsid w:val="001E521E"/>
    <w:rsid w:val="001E5458"/>
    <w:rsid w:val="001E6069"/>
    <w:rsid w:val="001E61C0"/>
    <w:rsid w:val="001E6427"/>
    <w:rsid w:val="001E77A7"/>
    <w:rsid w:val="001E7C2A"/>
    <w:rsid w:val="001F0E53"/>
    <w:rsid w:val="001F0E62"/>
    <w:rsid w:val="001F1365"/>
    <w:rsid w:val="001F353B"/>
    <w:rsid w:val="001F39C9"/>
    <w:rsid w:val="001F4CD3"/>
    <w:rsid w:val="001F4E51"/>
    <w:rsid w:val="001F5AA9"/>
    <w:rsid w:val="002018D9"/>
    <w:rsid w:val="0020245F"/>
    <w:rsid w:val="002028B6"/>
    <w:rsid w:val="00203160"/>
    <w:rsid w:val="0020410B"/>
    <w:rsid w:val="00205AA6"/>
    <w:rsid w:val="00207D0F"/>
    <w:rsid w:val="0021017E"/>
    <w:rsid w:val="002120C3"/>
    <w:rsid w:val="00212975"/>
    <w:rsid w:val="00213176"/>
    <w:rsid w:val="00214C9D"/>
    <w:rsid w:val="002178C9"/>
    <w:rsid w:val="00222F3B"/>
    <w:rsid w:val="00226029"/>
    <w:rsid w:val="00226880"/>
    <w:rsid w:val="0022688E"/>
    <w:rsid w:val="002274D0"/>
    <w:rsid w:val="00227767"/>
    <w:rsid w:val="00227783"/>
    <w:rsid w:val="00227D6B"/>
    <w:rsid w:val="00230BD1"/>
    <w:rsid w:val="00230CDB"/>
    <w:rsid w:val="00230F10"/>
    <w:rsid w:val="00231CB6"/>
    <w:rsid w:val="00232097"/>
    <w:rsid w:val="00233570"/>
    <w:rsid w:val="00233D7A"/>
    <w:rsid w:val="00234583"/>
    <w:rsid w:val="00234D37"/>
    <w:rsid w:val="00234EFF"/>
    <w:rsid w:val="00236C53"/>
    <w:rsid w:val="00237451"/>
    <w:rsid w:val="0024071E"/>
    <w:rsid w:val="00240A07"/>
    <w:rsid w:val="00243468"/>
    <w:rsid w:val="0024348E"/>
    <w:rsid w:val="00244F96"/>
    <w:rsid w:val="002452D0"/>
    <w:rsid w:val="0024542D"/>
    <w:rsid w:val="0024630C"/>
    <w:rsid w:val="00247D70"/>
    <w:rsid w:val="00247F6A"/>
    <w:rsid w:val="002505BE"/>
    <w:rsid w:val="00250D70"/>
    <w:rsid w:val="002515F6"/>
    <w:rsid w:val="0025173D"/>
    <w:rsid w:val="00251DDB"/>
    <w:rsid w:val="00253146"/>
    <w:rsid w:val="00253B3E"/>
    <w:rsid w:val="00254E43"/>
    <w:rsid w:val="00254E51"/>
    <w:rsid w:val="00257199"/>
    <w:rsid w:val="002600C7"/>
    <w:rsid w:val="00260CE2"/>
    <w:rsid w:val="0026347A"/>
    <w:rsid w:val="00263B78"/>
    <w:rsid w:val="002648D3"/>
    <w:rsid w:val="00266A89"/>
    <w:rsid w:val="00266B56"/>
    <w:rsid w:val="00266C05"/>
    <w:rsid w:val="002702DD"/>
    <w:rsid w:val="002709AA"/>
    <w:rsid w:val="00270DE4"/>
    <w:rsid w:val="00272699"/>
    <w:rsid w:val="0027286A"/>
    <w:rsid w:val="0027351E"/>
    <w:rsid w:val="0027441E"/>
    <w:rsid w:val="0027483C"/>
    <w:rsid w:val="00280FAA"/>
    <w:rsid w:val="00281D52"/>
    <w:rsid w:val="002820D7"/>
    <w:rsid w:val="00284206"/>
    <w:rsid w:val="00285919"/>
    <w:rsid w:val="00286E03"/>
    <w:rsid w:val="00287F57"/>
    <w:rsid w:val="00291B3A"/>
    <w:rsid w:val="00292656"/>
    <w:rsid w:val="00292C3C"/>
    <w:rsid w:val="00294AA6"/>
    <w:rsid w:val="00294D4C"/>
    <w:rsid w:val="00296270"/>
    <w:rsid w:val="00297DF9"/>
    <w:rsid w:val="002A1D2F"/>
    <w:rsid w:val="002A1DE3"/>
    <w:rsid w:val="002A2305"/>
    <w:rsid w:val="002A2908"/>
    <w:rsid w:val="002A477C"/>
    <w:rsid w:val="002A4BB1"/>
    <w:rsid w:val="002A561C"/>
    <w:rsid w:val="002A6CE4"/>
    <w:rsid w:val="002B02EA"/>
    <w:rsid w:val="002B0EB5"/>
    <w:rsid w:val="002B1624"/>
    <w:rsid w:val="002B1C3F"/>
    <w:rsid w:val="002B1D0E"/>
    <w:rsid w:val="002B2514"/>
    <w:rsid w:val="002B3053"/>
    <w:rsid w:val="002B33AD"/>
    <w:rsid w:val="002B3E15"/>
    <w:rsid w:val="002B4651"/>
    <w:rsid w:val="002B61A8"/>
    <w:rsid w:val="002B7D4C"/>
    <w:rsid w:val="002C018F"/>
    <w:rsid w:val="002C0F44"/>
    <w:rsid w:val="002C159E"/>
    <w:rsid w:val="002C23D1"/>
    <w:rsid w:val="002C257C"/>
    <w:rsid w:val="002C5AF0"/>
    <w:rsid w:val="002C7822"/>
    <w:rsid w:val="002C79E4"/>
    <w:rsid w:val="002C7EED"/>
    <w:rsid w:val="002D0BC4"/>
    <w:rsid w:val="002D3051"/>
    <w:rsid w:val="002D468F"/>
    <w:rsid w:val="002D5DED"/>
    <w:rsid w:val="002D657C"/>
    <w:rsid w:val="002D6774"/>
    <w:rsid w:val="002D6E19"/>
    <w:rsid w:val="002D7A0A"/>
    <w:rsid w:val="002E000E"/>
    <w:rsid w:val="002E0115"/>
    <w:rsid w:val="002E1AC2"/>
    <w:rsid w:val="002E27D8"/>
    <w:rsid w:val="002E2CDD"/>
    <w:rsid w:val="002E31FB"/>
    <w:rsid w:val="002E499B"/>
    <w:rsid w:val="002E626C"/>
    <w:rsid w:val="002E7F6A"/>
    <w:rsid w:val="002F056E"/>
    <w:rsid w:val="002F1AB4"/>
    <w:rsid w:val="002F3393"/>
    <w:rsid w:val="002F36D2"/>
    <w:rsid w:val="002F3C1A"/>
    <w:rsid w:val="002F3E97"/>
    <w:rsid w:val="002F4300"/>
    <w:rsid w:val="002F489A"/>
    <w:rsid w:val="00300745"/>
    <w:rsid w:val="003023FD"/>
    <w:rsid w:val="003025A1"/>
    <w:rsid w:val="00302E4D"/>
    <w:rsid w:val="0030414F"/>
    <w:rsid w:val="0030433E"/>
    <w:rsid w:val="00305213"/>
    <w:rsid w:val="00305565"/>
    <w:rsid w:val="00310C02"/>
    <w:rsid w:val="0031131B"/>
    <w:rsid w:val="00312B95"/>
    <w:rsid w:val="00312E50"/>
    <w:rsid w:val="003147DD"/>
    <w:rsid w:val="00315D84"/>
    <w:rsid w:val="00316AAC"/>
    <w:rsid w:val="00321C81"/>
    <w:rsid w:val="00321D7A"/>
    <w:rsid w:val="00322444"/>
    <w:rsid w:val="003225AB"/>
    <w:rsid w:val="00323965"/>
    <w:rsid w:val="003278D6"/>
    <w:rsid w:val="00330A76"/>
    <w:rsid w:val="00330D74"/>
    <w:rsid w:val="003325E6"/>
    <w:rsid w:val="003328E2"/>
    <w:rsid w:val="00332945"/>
    <w:rsid w:val="00333127"/>
    <w:rsid w:val="003341A9"/>
    <w:rsid w:val="003343E3"/>
    <w:rsid w:val="00334B60"/>
    <w:rsid w:val="003360B5"/>
    <w:rsid w:val="003368B5"/>
    <w:rsid w:val="003369D5"/>
    <w:rsid w:val="00336FAC"/>
    <w:rsid w:val="003379F3"/>
    <w:rsid w:val="00337AAE"/>
    <w:rsid w:val="00337ABD"/>
    <w:rsid w:val="003405D1"/>
    <w:rsid w:val="00341566"/>
    <w:rsid w:val="00341E07"/>
    <w:rsid w:val="00342A5A"/>
    <w:rsid w:val="003455A2"/>
    <w:rsid w:val="00345B13"/>
    <w:rsid w:val="00345C2F"/>
    <w:rsid w:val="00346BF4"/>
    <w:rsid w:val="0034794C"/>
    <w:rsid w:val="00347D10"/>
    <w:rsid w:val="00347DB7"/>
    <w:rsid w:val="00347E04"/>
    <w:rsid w:val="0035098F"/>
    <w:rsid w:val="003522B0"/>
    <w:rsid w:val="00352A66"/>
    <w:rsid w:val="00354CF6"/>
    <w:rsid w:val="0035553F"/>
    <w:rsid w:val="003557A9"/>
    <w:rsid w:val="0035655A"/>
    <w:rsid w:val="00357879"/>
    <w:rsid w:val="00360C27"/>
    <w:rsid w:val="0036152B"/>
    <w:rsid w:val="00361A07"/>
    <w:rsid w:val="00362300"/>
    <w:rsid w:val="00362945"/>
    <w:rsid w:val="00363DA6"/>
    <w:rsid w:val="003643A3"/>
    <w:rsid w:val="00364555"/>
    <w:rsid w:val="0036493C"/>
    <w:rsid w:val="00365BED"/>
    <w:rsid w:val="00365ECE"/>
    <w:rsid w:val="00366135"/>
    <w:rsid w:val="00366EAE"/>
    <w:rsid w:val="0037000D"/>
    <w:rsid w:val="00372980"/>
    <w:rsid w:val="00372C90"/>
    <w:rsid w:val="003731A3"/>
    <w:rsid w:val="00373509"/>
    <w:rsid w:val="00373545"/>
    <w:rsid w:val="00373D61"/>
    <w:rsid w:val="0037694B"/>
    <w:rsid w:val="003813B0"/>
    <w:rsid w:val="00381894"/>
    <w:rsid w:val="00382BC2"/>
    <w:rsid w:val="003852FD"/>
    <w:rsid w:val="0038558C"/>
    <w:rsid w:val="003864C0"/>
    <w:rsid w:val="00386714"/>
    <w:rsid w:val="00386BBA"/>
    <w:rsid w:val="00386D59"/>
    <w:rsid w:val="003870E2"/>
    <w:rsid w:val="003908F2"/>
    <w:rsid w:val="0039171C"/>
    <w:rsid w:val="00393C49"/>
    <w:rsid w:val="00395037"/>
    <w:rsid w:val="003950F3"/>
    <w:rsid w:val="00396AAB"/>
    <w:rsid w:val="00396E51"/>
    <w:rsid w:val="00396FEE"/>
    <w:rsid w:val="00397842"/>
    <w:rsid w:val="003A12E4"/>
    <w:rsid w:val="003A1A4E"/>
    <w:rsid w:val="003A2AFB"/>
    <w:rsid w:val="003A3E3B"/>
    <w:rsid w:val="003A437D"/>
    <w:rsid w:val="003A5F6E"/>
    <w:rsid w:val="003A62CA"/>
    <w:rsid w:val="003A6429"/>
    <w:rsid w:val="003B01D4"/>
    <w:rsid w:val="003B0602"/>
    <w:rsid w:val="003B3833"/>
    <w:rsid w:val="003B5270"/>
    <w:rsid w:val="003B5B3A"/>
    <w:rsid w:val="003B5C38"/>
    <w:rsid w:val="003B669E"/>
    <w:rsid w:val="003B6AF8"/>
    <w:rsid w:val="003C35D3"/>
    <w:rsid w:val="003C4418"/>
    <w:rsid w:val="003C7EF2"/>
    <w:rsid w:val="003D1DE5"/>
    <w:rsid w:val="003D277A"/>
    <w:rsid w:val="003D2C6F"/>
    <w:rsid w:val="003D3401"/>
    <w:rsid w:val="003D41D9"/>
    <w:rsid w:val="003D4332"/>
    <w:rsid w:val="003D5CBB"/>
    <w:rsid w:val="003D7A7E"/>
    <w:rsid w:val="003D7C66"/>
    <w:rsid w:val="003E15BE"/>
    <w:rsid w:val="003E392E"/>
    <w:rsid w:val="003E4703"/>
    <w:rsid w:val="003E4C57"/>
    <w:rsid w:val="003E4E42"/>
    <w:rsid w:val="003E6A24"/>
    <w:rsid w:val="003E6B90"/>
    <w:rsid w:val="003E74A4"/>
    <w:rsid w:val="003F0648"/>
    <w:rsid w:val="003F159A"/>
    <w:rsid w:val="003F23B0"/>
    <w:rsid w:val="003F291D"/>
    <w:rsid w:val="003F2F80"/>
    <w:rsid w:val="003F4406"/>
    <w:rsid w:val="003F4998"/>
    <w:rsid w:val="003F4C02"/>
    <w:rsid w:val="003F6535"/>
    <w:rsid w:val="003F7DFD"/>
    <w:rsid w:val="00403EC1"/>
    <w:rsid w:val="00404981"/>
    <w:rsid w:val="00404EA8"/>
    <w:rsid w:val="00405134"/>
    <w:rsid w:val="00405BD5"/>
    <w:rsid w:val="004069E3"/>
    <w:rsid w:val="00406FA6"/>
    <w:rsid w:val="004073EC"/>
    <w:rsid w:val="00407CFC"/>
    <w:rsid w:val="00410D4E"/>
    <w:rsid w:val="00411191"/>
    <w:rsid w:val="00412989"/>
    <w:rsid w:val="00412B9E"/>
    <w:rsid w:val="004131F2"/>
    <w:rsid w:val="004134FA"/>
    <w:rsid w:val="00414418"/>
    <w:rsid w:val="004146C9"/>
    <w:rsid w:val="0041622F"/>
    <w:rsid w:val="00416765"/>
    <w:rsid w:val="004174E5"/>
    <w:rsid w:val="00420072"/>
    <w:rsid w:val="004202ED"/>
    <w:rsid w:val="0042107B"/>
    <w:rsid w:val="0042222F"/>
    <w:rsid w:val="00422524"/>
    <w:rsid w:val="00422662"/>
    <w:rsid w:val="004226D0"/>
    <w:rsid w:val="004229B0"/>
    <w:rsid w:val="00425388"/>
    <w:rsid w:val="00427DB3"/>
    <w:rsid w:val="0043018B"/>
    <w:rsid w:val="004332D9"/>
    <w:rsid w:val="00433FEB"/>
    <w:rsid w:val="0043622D"/>
    <w:rsid w:val="004373BE"/>
    <w:rsid w:val="00442399"/>
    <w:rsid w:val="00442BE6"/>
    <w:rsid w:val="0044452B"/>
    <w:rsid w:val="00445908"/>
    <w:rsid w:val="0044692E"/>
    <w:rsid w:val="00446BFE"/>
    <w:rsid w:val="00447F42"/>
    <w:rsid w:val="0045116A"/>
    <w:rsid w:val="00451E60"/>
    <w:rsid w:val="00452C48"/>
    <w:rsid w:val="00452E9D"/>
    <w:rsid w:val="0045304C"/>
    <w:rsid w:val="004530AC"/>
    <w:rsid w:val="00453EB3"/>
    <w:rsid w:val="00454368"/>
    <w:rsid w:val="004547C0"/>
    <w:rsid w:val="00454AE8"/>
    <w:rsid w:val="00454DB0"/>
    <w:rsid w:val="004559D3"/>
    <w:rsid w:val="00456D32"/>
    <w:rsid w:val="0045720E"/>
    <w:rsid w:val="00457853"/>
    <w:rsid w:val="00457902"/>
    <w:rsid w:val="00460B25"/>
    <w:rsid w:val="00461AD2"/>
    <w:rsid w:val="00462797"/>
    <w:rsid w:val="00462A6C"/>
    <w:rsid w:val="004641E7"/>
    <w:rsid w:val="00464228"/>
    <w:rsid w:val="00467537"/>
    <w:rsid w:val="0047058E"/>
    <w:rsid w:val="00471026"/>
    <w:rsid w:val="004732C0"/>
    <w:rsid w:val="00473A93"/>
    <w:rsid w:val="00474207"/>
    <w:rsid w:val="00474394"/>
    <w:rsid w:val="004744D3"/>
    <w:rsid w:val="00474DA3"/>
    <w:rsid w:val="00475EFF"/>
    <w:rsid w:val="00476144"/>
    <w:rsid w:val="0047786B"/>
    <w:rsid w:val="004822A1"/>
    <w:rsid w:val="00482A81"/>
    <w:rsid w:val="00482EF4"/>
    <w:rsid w:val="0048343C"/>
    <w:rsid w:val="00483A17"/>
    <w:rsid w:val="00483DD5"/>
    <w:rsid w:val="004845F1"/>
    <w:rsid w:val="00484BC2"/>
    <w:rsid w:val="00486E8C"/>
    <w:rsid w:val="004872E3"/>
    <w:rsid w:val="00487630"/>
    <w:rsid w:val="00490045"/>
    <w:rsid w:val="004900C1"/>
    <w:rsid w:val="00490743"/>
    <w:rsid w:val="00491178"/>
    <w:rsid w:val="004914D1"/>
    <w:rsid w:val="00492FC4"/>
    <w:rsid w:val="00493037"/>
    <w:rsid w:val="00494CD3"/>
    <w:rsid w:val="00494FB3"/>
    <w:rsid w:val="004955A5"/>
    <w:rsid w:val="00495EF4"/>
    <w:rsid w:val="00496D19"/>
    <w:rsid w:val="00496DF9"/>
    <w:rsid w:val="00497240"/>
    <w:rsid w:val="004976EE"/>
    <w:rsid w:val="004A154E"/>
    <w:rsid w:val="004A15DE"/>
    <w:rsid w:val="004A2EFC"/>
    <w:rsid w:val="004A472E"/>
    <w:rsid w:val="004A4B6B"/>
    <w:rsid w:val="004A686A"/>
    <w:rsid w:val="004A7325"/>
    <w:rsid w:val="004B0361"/>
    <w:rsid w:val="004B3904"/>
    <w:rsid w:val="004B42F1"/>
    <w:rsid w:val="004B6157"/>
    <w:rsid w:val="004B6E8B"/>
    <w:rsid w:val="004B7492"/>
    <w:rsid w:val="004B7C61"/>
    <w:rsid w:val="004C01F8"/>
    <w:rsid w:val="004C0E63"/>
    <w:rsid w:val="004C315E"/>
    <w:rsid w:val="004C3546"/>
    <w:rsid w:val="004C3568"/>
    <w:rsid w:val="004C4638"/>
    <w:rsid w:val="004C60B8"/>
    <w:rsid w:val="004C7DD7"/>
    <w:rsid w:val="004D18D0"/>
    <w:rsid w:val="004D1BCF"/>
    <w:rsid w:val="004D27D6"/>
    <w:rsid w:val="004D2F40"/>
    <w:rsid w:val="004D2F5D"/>
    <w:rsid w:val="004D359A"/>
    <w:rsid w:val="004D5771"/>
    <w:rsid w:val="004D60FF"/>
    <w:rsid w:val="004D79AD"/>
    <w:rsid w:val="004E493E"/>
    <w:rsid w:val="004E6274"/>
    <w:rsid w:val="004E63CC"/>
    <w:rsid w:val="004F096E"/>
    <w:rsid w:val="004F0BE2"/>
    <w:rsid w:val="004F256B"/>
    <w:rsid w:val="004F72C7"/>
    <w:rsid w:val="004F75A1"/>
    <w:rsid w:val="004F79BD"/>
    <w:rsid w:val="00502E98"/>
    <w:rsid w:val="005031B6"/>
    <w:rsid w:val="00506BC4"/>
    <w:rsid w:val="00507A63"/>
    <w:rsid w:val="00507D05"/>
    <w:rsid w:val="005108B0"/>
    <w:rsid w:val="00510FCB"/>
    <w:rsid w:val="005117B4"/>
    <w:rsid w:val="00513602"/>
    <w:rsid w:val="005157A6"/>
    <w:rsid w:val="0052067C"/>
    <w:rsid w:val="00522031"/>
    <w:rsid w:val="00522F30"/>
    <w:rsid w:val="00524E0B"/>
    <w:rsid w:val="00525D5F"/>
    <w:rsid w:val="00531479"/>
    <w:rsid w:val="005335EE"/>
    <w:rsid w:val="005343DE"/>
    <w:rsid w:val="005348EF"/>
    <w:rsid w:val="005351E9"/>
    <w:rsid w:val="005353FE"/>
    <w:rsid w:val="005363D4"/>
    <w:rsid w:val="005374AC"/>
    <w:rsid w:val="00543451"/>
    <w:rsid w:val="005445D6"/>
    <w:rsid w:val="00545090"/>
    <w:rsid w:val="00546C44"/>
    <w:rsid w:val="00550C4E"/>
    <w:rsid w:val="005510FE"/>
    <w:rsid w:val="005513F4"/>
    <w:rsid w:val="00556157"/>
    <w:rsid w:val="00556B35"/>
    <w:rsid w:val="00561EE2"/>
    <w:rsid w:val="005631AD"/>
    <w:rsid w:val="005639EA"/>
    <w:rsid w:val="00564BCE"/>
    <w:rsid w:val="00565842"/>
    <w:rsid w:val="00565937"/>
    <w:rsid w:val="005667D5"/>
    <w:rsid w:val="005722A1"/>
    <w:rsid w:val="00572319"/>
    <w:rsid w:val="00572841"/>
    <w:rsid w:val="00573B43"/>
    <w:rsid w:val="00575350"/>
    <w:rsid w:val="005758ED"/>
    <w:rsid w:val="00580DC4"/>
    <w:rsid w:val="00581C15"/>
    <w:rsid w:val="0058536F"/>
    <w:rsid w:val="00585433"/>
    <w:rsid w:val="00585F10"/>
    <w:rsid w:val="0058729F"/>
    <w:rsid w:val="005878C7"/>
    <w:rsid w:val="005879C7"/>
    <w:rsid w:val="0059107D"/>
    <w:rsid w:val="005910A3"/>
    <w:rsid w:val="005915E7"/>
    <w:rsid w:val="00591DD6"/>
    <w:rsid w:val="005925E4"/>
    <w:rsid w:val="00592A83"/>
    <w:rsid w:val="005934A9"/>
    <w:rsid w:val="00593B07"/>
    <w:rsid w:val="00593E3E"/>
    <w:rsid w:val="005942EA"/>
    <w:rsid w:val="005943A7"/>
    <w:rsid w:val="00596832"/>
    <w:rsid w:val="005A0EE7"/>
    <w:rsid w:val="005A1052"/>
    <w:rsid w:val="005A341D"/>
    <w:rsid w:val="005A3AA3"/>
    <w:rsid w:val="005A3FE0"/>
    <w:rsid w:val="005B2981"/>
    <w:rsid w:val="005B4EE1"/>
    <w:rsid w:val="005B522F"/>
    <w:rsid w:val="005B5333"/>
    <w:rsid w:val="005B7710"/>
    <w:rsid w:val="005C10C7"/>
    <w:rsid w:val="005C206D"/>
    <w:rsid w:val="005C2C17"/>
    <w:rsid w:val="005C349D"/>
    <w:rsid w:val="005C4005"/>
    <w:rsid w:val="005C4BD3"/>
    <w:rsid w:val="005C6FD6"/>
    <w:rsid w:val="005C7A9F"/>
    <w:rsid w:val="005D0AF9"/>
    <w:rsid w:val="005D1E18"/>
    <w:rsid w:val="005D244B"/>
    <w:rsid w:val="005D2B37"/>
    <w:rsid w:val="005D4715"/>
    <w:rsid w:val="005D4EDF"/>
    <w:rsid w:val="005D6F2C"/>
    <w:rsid w:val="005E0A0B"/>
    <w:rsid w:val="005E1812"/>
    <w:rsid w:val="005E1AF2"/>
    <w:rsid w:val="005E1D7A"/>
    <w:rsid w:val="005E2411"/>
    <w:rsid w:val="005E344F"/>
    <w:rsid w:val="005E3CEF"/>
    <w:rsid w:val="005E51A7"/>
    <w:rsid w:val="005E51D2"/>
    <w:rsid w:val="005E6A91"/>
    <w:rsid w:val="005E725C"/>
    <w:rsid w:val="005F065F"/>
    <w:rsid w:val="005F168A"/>
    <w:rsid w:val="005F177B"/>
    <w:rsid w:val="005F1840"/>
    <w:rsid w:val="005F218A"/>
    <w:rsid w:val="005F2846"/>
    <w:rsid w:val="005F2F06"/>
    <w:rsid w:val="005F2F2E"/>
    <w:rsid w:val="005F356A"/>
    <w:rsid w:val="005F445E"/>
    <w:rsid w:val="005F4A4E"/>
    <w:rsid w:val="005F5193"/>
    <w:rsid w:val="005F5C10"/>
    <w:rsid w:val="005F5C2F"/>
    <w:rsid w:val="005F710E"/>
    <w:rsid w:val="005F7879"/>
    <w:rsid w:val="006007F6"/>
    <w:rsid w:val="00600A18"/>
    <w:rsid w:val="00600B0F"/>
    <w:rsid w:val="00601D94"/>
    <w:rsid w:val="00601F21"/>
    <w:rsid w:val="00601FEC"/>
    <w:rsid w:val="00602D21"/>
    <w:rsid w:val="00603181"/>
    <w:rsid w:val="00604147"/>
    <w:rsid w:val="00605815"/>
    <w:rsid w:val="00605C82"/>
    <w:rsid w:val="0060617B"/>
    <w:rsid w:val="00607E92"/>
    <w:rsid w:val="0061359E"/>
    <w:rsid w:val="00614A27"/>
    <w:rsid w:val="00615247"/>
    <w:rsid w:val="006155FC"/>
    <w:rsid w:val="00615695"/>
    <w:rsid w:val="006168CF"/>
    <w:rsid w:val="006203BD"/>
    <w:rsid w:val="0062059B"/>
    <w:rsid w:val="00621BB8"/>
    <w:rsid w:val="006247BA"/>
    <w:rsid w:val="00624C5C"/>
    <w:rsid w:val="00624D76"/>
    <w:rsid w:val="00627E76"/>
    <w:rsid w:val="006323A6"/>
    <w:rsid w:val="00632B1F"/>
    <w:rsid w:val="00634D51"/>
    <w:rsid w:val="00635A99"/>
    <w:rsid w:val="00636A86"/>
    <w:rsid w:val="00637426"/>
    <w:rsid w:val="0063780E"/>
    <w:rsid w:val="0064486D"/>
    <w:rsid w:val="00645987"/>
    <w:rsid w:val="0065046E"/>
    <w:rsid w:val="006504EE"/>
    <w:rsid w:val="00650B00"/>
    <w:rsid w:val="00650CB8"/>
    <w:rsid w:val="0065259E"/>
    <w:rsid w:val="0065282A"/>
    <w:rsid w:val="00652F48"/>
    <w:rsid w:val="006536A9"/>
    <w:rsid w:val="00656506"/>
    <w:rsid w:val="00657C61"/>
    <w:rsid w:val="00657CB6"/>
    <w:rsid w:val="00657E00"/>
    <w:rsid w:val="006613A9"/>
    <w:rsid w:val="006625B4"/>
    <w:rsid w:val="006640FE"/>
    <w:rsid w:val="00664591"/>
    <w:rsid w:val="0066791B"/>
    <w:rsid w:val="00671255"/>
    <w:rsid w:val="0067130C"/>
    <w:rsid w:val="00672BEE"/>
    <w:rsid w:val="00673A96"/>
    <w:rsid w:val="00674467"/>
    <w:rsid w:val="0067448D"/>
    <w:rsid w:val="006762E5"/>
    <w:rsid w:val="006764C8"/>
    <w:rsid w:val="006777A0"/>
    <w:rsid w:val="00680E1B"/>
    <w:rsid w:val="006813C8"/>
    <w:rsid w:val="00681A3E"/>
    <w:rsid w:val="00682A07"/>
    <w:rsid w:val="00683B97"/>
    <w:rsid w:val="00683CCF"/>
    <w:rsid w:val="00683DC7"/>
    <w:rsid w:val="00683E06"/>
    <w:rsid w:val="006846ED"/>
    <w:rsid w:val="0068568E"/>
    <w:rsid w:val="00685B51"/>
    <w:rsid w:val="00685E07"/>
    <w:rsid w:val="0069068B"/>
    <w:rsid w:val="006931D5"/>
    <w:rsid w:val="00694103"/>
    <w:rsid w:val="006974FC"/>
    <w:rsid w:val="00697E9E"/>
    <w:rsid w:val="006A0482"/>
    <w:rsid w:val="006A13BF"/>
    <w:rsid w:val="006A2113"/>
    <w:rsid w:val="006A4046"/>
    <w:rsid w:val="006A4DBD"/>
    <w:rsid w:val="006A53F6"/>
    <w:rsid w:val="006A6258"/>
    <w:rsid w:val="006B432F"/>
    <w:rsid w:val="006B7C24"/>
    <w:rsid w:val="006B7CF9"/>
    <w:rsid w:val="006C0139"/>
    <w:rsid w:val="006C0CFB"/>
    <w:rsid w:val="006C111C"/>
    <w:rsid w:val="006C1AEE"/>
    <w:rsid w:val="006C27E2"/>
    <w:rsid w:val="006C342A"/>
    <w:rsid w:val="006C3927"/>
    <w:rsid w:val="006C51F7"/>
    <w:rsid w:val="006C6452"/>
    <w:rsid w:val="006C6761"/>
    <w:rsid w:val="006D0368"/>
    <w:rsid w:val="006D2333"/>
    <w:rsid w:val="006D2DEC"/>
    <w:rsid w:val="006D3DBE"/>
    <w:rsid w:val="006D3E32"/>
    <w:rsid w:val="006D571E"/>
    <w:rsid w:val="006D6CC7"/>
    <w:rsid w:val="006D70CD"/>
    <w:rsid w:val="006D7C85"/>
    <w:rsid w:val="006E1CA2"/>
    <w:rsid w:val="006E2C81"/>
    <w:rsid w:val="006E343F"/>
    <w:rsid w:val="006E42F5"/>
    <w:rsid w:val="006E4AA9"/>
    <w:rsid w:val="006E53D1"/>
    <w:rsid w:val="006E6DB3"/>
    <w:rsid w:val="006E7CC1"/>
    <w:rsid w:val="006F0B6B"/>
    <w:rsid w:val="006F1E01"/>
    <w:rsid w:val="006F3B03"/>
    <w:rsid w:val="006F47C8"/>
    <w:rsid w:val="006F4AF5"/>
    <w:rsid w:val="006F51F9"/>
    <w:rsid w:val="006F62FE"/>
    <w:rsid w:val="006F6B93"/>
    <w:rsid w:val="006F715C"/>
    <w:rsid w:val="006F7410"/>
    <w:rsid w:val="006F7A23"/>
    <w:rsid w:val="0070010D"/>
    <w:rsid w:val="007004DA"/>
    <w:rsid w:val="00700F62"/>
    <w:rsid w:val="00701726"/>
    <w:rsid w:val="00701D3C"/>
    <w:rsid w:val="00702AD3"/>
    <w:rsid w:val="007031E2"/>
    <w:rsid w:val="00703733"/>
    <w:rsid w:val="00703B08"/>
    <w:rsid w:val="00705675"/>
    <w:rsid w:val="00711B43"/>
    <w:rsid w:val="007122CC"/>
    <w:rsid w:val="007126EE"/>
    <w:rsid w:val="007137D6"/>
    <w:rsid w:val="00716799"/>
    <w:rsid w:val="0072229D"/>
    <w:rsid w:val="00725FC4"/>
    <w:rsid w:val="00730FC6"/>
    <w:rsid w:val="007313C4"/>
    <w:rsid w:val="007339FC"/>
    <w:rsid w:val="00733A81"/>
    <w:rsid w:val="007349ED"/>
    <w:rsid w:val="00734A4A"/>
    <w:rsid w:val="0073548A"/>
    <w:rsid w:val="007375CF"/>
    <w:rsid w:val="00737F14"/>
    <w:rsid w:val="00740BD4"/>
    <w:rsid w:val="00741923"/>
    <w:rsid w:val="00742E52"/>
    <w:rsid w:val="00742F5B"/>
    <w:rsid w:val="0074328B"/>
    <w:rsid w:val="007462E5"/>
    <w:rsid w:val="007500A2"/>
    <w:rsid w:val="00751A18"/>
    <w:rsid w:val="0075426C"/>
    <w:rsid w:val="00754B6C"/>
    <w:rsid w:val="007609DE"/>
    <w:rsid w:val="00760D7B"/>
    <w:rsid w:val="0076145C"/>
    <w:rsid w:val="00762176"/>
    <w:rsid w:val="00762AF4"/>
    <w:rsid w:val="0076664B"/>
    <w:rsid w:val="00766781"/>
    <w:rsid w:val="00766A7E"/>
    <w:rsid w:val="00766D48"/>
    <w:rsid w:val="00770CD1"/>
    <w:rsid w:val="007723C3"/>
    <w:rsid w:val="00773ADD"/>
    <w:rsid w:val="00774FA0"/>
    <w:rsid w:val="007773B9"/>
    <w:rsid w:val="00777A11"/>
    <w:rsid w:val="0078013B"/>
    <w:rsid w:val="00780E9B"/>
    <w:rsid w:val="00784027"/>
    <w:rsid w:val="007848F3"/>
    <w:rsid w:val="00784C7B"/>
    <w:rsid w:val="00784F38"/>
    <w:rsid w:val="007857B4"/>
    <w:rsid w:val="007864C1"/>
    <w:rsid w:val="00786718"/>
    <w:rsid w:val="007875E4"/>
    <w:rsid w:val="00791CE4"/>
    <w:rsid w:val="00792493"/>
    <w:rsid w:val="00794312"/>
    <w:rsid w:val="0079518B"/>
    <w:rsid w:val="00797D46"/>
    <w:rsid w:val="007A01CC"/>
    <w:rsid w:val="007A0524"/>
    <w:rsid w:val="007A2597"/>
    <w:rsid w:val="007A25C9"/>
    <w:rsid w:val="007A2D4A"/>
    <w:rsid w:val="007A32BB"/>
    <w:rsid w:val="007A42BE"/>
    <w:rsid w:val="007A4679"/>
    <w:rsid w:val="007A4C9D"/>
    <w:rsid w:val="007A5DFF"/>
    <w:rsid w:val="007B0260"/>
    <w:rsid w:val="007B0CF8"/>
    <w:rsid w:val="007B149E"/>
    <w:rsid w:val="007B19B1"/>
    <w:rsid w:val="007B1D16"/>
    <w:rsid w:val="007B2DB4"/>
    <w:rsid w:val="007B3B56"/>
    <w:rsid w:val="007B3D7C"/>
    <w:rsid w:val="007B403A"/>
    <w:rsid w:val="007B4213"/>
    <w:rsid w:val="007B4677"/>
    <w:rsid w:val="007B497F"/>
    <w:rsid w:val="007B4ED1"/>
    <w:rsid w:val="007B556F"/>
    <w:rsid w:val="007B794B"/>
    <w:rsid w:val="007C0DEC"/>
    <w:rsid w:val="007C1ECE"/>
    <w:rsid w:val="007C3820"/>
    <w:rsid w:val="007C4054"/>
    <w:rsid w:val="007C4C18"/>
    <w:rsid w:val="007D1A32"/>
    <w:rsid w:val="007D3DEB"/>
    <w:rsid w:val="007D3FA4"/>
    <w:rsid w:val="007D5153"/>
    <w:rsid w:val="007D620F"/>
    <w:rsid w:val="007E14BD"/>
    <w:rsid w:val="007E31EA"/>
    <w:rsid w:val="007E3B25"/>
    <w:rsid w:val="007E3B7D"/>
    <w:rsid w:val="007E5A22"/>
    <w:rsid w:val="007E5D80"/>
    <w:rsid w:val="007E7710"/>
    <w:rsid w:val="007F2008"/>
    <w:rsid w:val="007F22AC"/>
    <w:rsid w:val="007F29E1"/>
    <w:rsid w:val="007F42E3"/>
    <w:rsid w:val="007F4388"/>
    <w:rsid w:val="007F4788"/>
    <w:rsid w:val="007F618A"/>
    <w:rsid w:val="00801104"/>
    <w:rsid w:val="00801432"/>
    <w:rsid w:val="00802290"/>
    <w:rsid w:val="00803305"/>
    <w:rsid w:val="0080375B"/>
    <w:rsid w:val="00803FCC"/>
    <w:rsid w:val="008041F5"/>
    <w:rsid w:val="00804F53"/>
    <w:rsid w:val="0080700F"/>
    <w:rsid w:val="0081042F"/>
    <w:rsid w:val="008120AF"/>
    <w:rsid w:val="008125B6"/>
    <w:rsid w:val="00812625"/>
    <w:rsid w:val="00813636"/>
    <w:rsid w:val="00814DBF"/>
    <w:rsid w:val="00817759"/>
    <w:rsid w:val="00817C8F"/>
    <w:rsid w:val="00820456"/>
    <w:rsid w:val="00820982"/>
    <w:rsid w:val="008213C2"/>
    <w:rsid w:val="0082170D"/>
    <w:rsid w:val="0082187A"/>
    <w:rsid w:val="00822223"/>
    <w:rsid w:val="00822802"/>
    <w:rsid w:val="00825521"/>
    <w:rsid w:val="00831989"/>
    <w:rsid w:val="00831EBD"/>
    <w:rsid w:val="00834BB3"/>
    <w:rsid w:val="00836BE4"/>
    <w:rsid w:val="008378B4"/>
    <w:rsid w:val="0084097E"/>
    <w:rsid w:val="00840A1A"/>
    <w:rsid w:val="00840D02"/>
    <w:rsid w:val="008431E0"/>
    <w:rsid w:val="00843A16"/>
    <w:rsid w:val="00844665"/>
    <w:rsid w:val="00845E4B"/>
    <w:rsid w:val="00846735"/>
    <w:rsid w:val="00846837"/>
    <w:rsid w:val="00846E42"/>
    <w:rsid w:val="00850601"/>
    <w:rsid w:val="00852698"/>
    <w:rsid w:val="008527C1"/>
    <w:rsid w:val="00852948"/>
    <w:rsid w:val="00853065"/>
    <w:rsid w:val="00854598"/>
    <w:rsid w:val="0085559B"/>
    <w:rsid w:val="00856BDC"/>
    <w:rsid w:val="00857CBA"/>
    <w:rsid w:val="00861C4F"/>
    <w:rsid w:val="00862D0B"/>
    <w:rsid w:val="00863D30"/>
    <w:rsid w:val="008642DF"/>
    <w:rsid w:val="0086434F"/>
    <w:rsid w:val="00864FC3"/>
    <w:rsid w:val="008650CE"/>
    <w:rsid w:val="00865157"/>
    <w:rsid w:val="00865AD8"/>
    <w:rsid w:val="00866CE0"/>
    <w:rsid w:val="008673F5"/>
    <w:rsid w:val="008721CC"/>
    <w:rsid w:val="00872226"/>
    <w:rsid w:val="0087239F"/>
    <w:rsid w:val="00872B47"/>
    <w:rsid w:val="00874730"/>
    <w:rsid w:val="008751CE"/>
    <w:rsid w:val="00875F84"/>
    <w:rsid w:val="00876213"/>
    <w:rsid w:val="008773C3"/>
    <w:rsid w:val="00877623"/>
    <w:rsid w:val="0088238B"/>
    <w:rsid w:val="008824EE"/>
    <w:rsid w:val="00882B7E"/>
    <w:rsid w:val="00882D96"/>
    <w:rsid w:val="00883EFA"/>
    <w:rsid w:val="00885A80"/>
    <w:rsid w:val="008867F6"/>
    <w:rsid w:val="00887818"/>
    <w:rsid w:val="00892C54"/>
    <w:rsid w:val="00893260"/>
    <w:rsid w:val="008952E6"/>
    <w:rsid w:val="0089533A"/>
    <w:rsid w:val="00896227"/>
    <w:rsid w:val="008A063A"/>
    <w:rsid w:val="008A0CAF"/>
    <w:rsid w:val="008A146D"/>
    <w:rsid w:val="008A37E3"/>
    <w:rsid w:val="008A5294"/>
    <w:rsid w:val="008A5644"/>
    <w:rsid w:val="008A6398"/>
    <w:rsid w:val="008A73CB"/>
    <w:rsid w:val="008A79AF"/>
    <w:rsid w:val="008A7FE6"/>
    <w:rsid w:val="008B02D1"/>
    <w:rsid w:val="008B14A2"/>
    <w:rsid w:val="008B1A8D"/>
    <w:rsid w:val="008B1C28"/>
    <w:rsid w:val="008B31F8"/>
    <w:rsid w:val="008B7A52"/>
    <w:rsid w:val="008B7F03"/>
    <w:rsid w:val="008B7F12"/>
    <w:rsid w:val="008C00EC"/>
    <w:rsid w:val="008C0773"/>
    <w:rsid w:val="008C0B3B"/>
    <w:rsid w:val="008C0CE5"/>
    <w:rsid w:val="008C1F78"/>
    <w:rsid w:val="008C3BE1"/>
    <w:rsid w:val="008C5ABC"/>
    <w:rsid w:val="008C5C88"/>
    <w:rsid w:val="008C74CE"/>
    <w:rsid w:val="008D095A"/>
    <w:rsid w:val="008D1FCD"/>
    <w:rsid w:val="008D5349"/>
    <w:rsid w:val="008D75EB"/>
    <w:rsid w:val="008E0A3D"/>
    <w:rsid w:val="008E0A75"/>
    <w:rsid w:val="008E0EAF"/>
    <w:rsid w:val="008E1805"/>
    <w:rsid w:val="008E5847"/>
    <w:rsid w:val="008E6453"/>
    <w:rsid w:val="008F51BE"/>
    <w:rsid w:val="009027ED"/>
    <w:rsid w:val="00903409"/>
    <w:rsid w:val="00903846"/>
    <w:rsid w:val="0090504A"/>
    <w:rsid w:val="0090525F"/>
    <w:rsid w:val="00911B9C"/>
    <w:rsid w:val="00915D0C"/>
    <w:rsid w:val="00917927"/>
    <w:rsid w:val="009201BE"/>
    <w:rsid w:val="00920B05"/>
    <w:rsid w:val="00924453"/>
    <w:rsid w:val="009254FA"/>
    <w:rsid w:val="00925BAC"/>
    <w:rsid w:val="00927A4E"/>
    <w:rsid w:val="00927ED2"/>
    <w:rsid w:val="00932EB4"/>
    <w:rsid w:val="009340B2"/>
    <w:rsid w:val="00934C7F"/>
    <w:rsid w:val="0093622D"/>
    <w:rsid w:val="009369AB"/>
    <w:rsid w:val="00936BC3"/>
    <w:rsid w:val="009374CE"/>
    <w:rsid w:val="00940371"/>
    <w:rsid w:val="00940671"/>
    <w:rsid w:val="0094076F"/>
    <w:rsid w:val="00940ECD"/>
    <w:rsid w:val="00941A6A"/>
    <w:rsid w:val="00941C25"/>
    <w:rsid w:val="00942B42"/>
    <w:rsid w:val="00942D77"/>
    <w:rsid w:val="0094326B"/>
    <w:rsid w:val="0094415E"/>
    <w:rsid w:val="0094416B"/>
    <w:rsid w:val="00946625"/>
    <w:rsid w:val="00950910"/>
    <w:rsid w:val="00951733"/>
    <w:rsid w:val="009519FC"/>
    <w:rsid w:val="00952317"/>
    <w:rsid w:val="00953A8D"/>
    <w:rsid w:val="00954C78"/>
    <w:rsid w:val="0095692A"/>
    <w:rsid w:val="00956F13"/>
    <w:rsid w:val="00957D8E"/>
    <w:rsid w:val="00957FCE"/>
    <w:rsid w:val="0096040D"/>
    <w:rsid w:val="009606C6"/>
    <w:rsid w:val="00960731"/>
    <w:rsid w:val="00960AA9"/>
    <w:rsid w:val="00960D9D"/>
    <w:rsid w:val="0096101D"/>
    <w:rsid w:val="009622C7"/>
    <w:rsid w:val="00964F18"/>
    <w:rsid w:val="009663D4"/>
    <w:rsid w:val="00967152"/>
    <w:rsid w:val="00970F6A"/>
    <w:rsid w:val="009712C8"/>
    <w:rsid w:val="0097190C"/>
    <w:rsid w:val="00971C6B"/>
    <w:rsid w:val="00973743"/>
    <w:rsid w:val="00975D11"/>
    <w:rsid w:val="009765DD"/>
    <w:rsid w:val="00976A2C"/>
    <w:rsid w:val="009775E7"/>
    <w:rsid w:val="009778B5"/>
    <w:rsid w:val="0098097B"/>
    <w:rsid w:val="00981906"/>
    <w:rsid w:val="00982E10"/>
    <w:rsid w:val="00985129"/>
    <w:rsid w:val="00985BC6"/>
    <w:rsid w:val="009875EE"/>
    <w:rsid w:val="00990BE4"/>
    <w:rsid w:val="00990CCF"/>
    <w:rsid w:val="009918D7"/>
    <w:rsid w:val="009919C7"/>
    <w:rsid w:val="009932CC"/>
    <w:rsid w:val="009942EA"/>
    <w:rsid w:val="0099432E"/>
    <w:rsid w:val="0099453D"/>
    <w:rsid w:val="009951C5"/>
    <w:rsid w:val="00996D23"/>
    <w:rsid w:val="00997A92"/>
    <w:rsid w:val="009A0A11"/>
    <w:rsid w:val="009A1504"/>
    <w:rsid w:val="009A1864"/>
    <w:rsid w:val="009A1C69"/>
    <w:rsid w:val="009A28D5"/>
    <w:rsid w:val="009A3393"/>
    <w:rsid w:val="009A43A3"/>
    <w:rsid w:val="009A5FEB"/>
    <w:rsid w:val="009A7A34"/>
    <w:rsid w:val="009B0288"/>
    <w:rsid w:val="009B077D"/>
    <w:rsid w:val="009B0FA0"/>
    <w:rsid w:val="009B1D8F"/>
    <w:rsid w:val="009B516E"/>
    <w:rsid w:val="009B5599"/>
    <w:rsid w:val="009B5BD8"/>
    <w:rsid w:val="009B7F5C"/>
    <w:rsid w:val="009C0FD7"/>
    <w:rsid w:val="009C3C8C"/>
    <w:rsid w:val="009C4B4C"/>
    <w:rsid w:val="009C4C54"/>
    <w:rsid w:val="009C4FD2"/>
    <w:rsid w:val="009C7161"/>
    <w:rsid w:val="009C76C1"/>
    <w:rsid w:val="009D05EC"/>
    <w:rsid w:val="009D0E99"/>
    <w:rsid w:val="009D11D6"/>
    <w:rsid w:val="009D3AF6"/>
    <w:rsid w:val="009D4019"/>
    <w:rsid w:val="009D49F3"/>
    <w:rsid w:val="009D628C"/>
    <w:rsid w:val="009E11BA"/>
    <w:rsid w:val="009E141B"/>
    <w:rsid w:val="009E1A95"/>
    <w:rsid w:val="009E2D6C"/>
    <w:rsid w:val="009E660D"/>
    <w:rsid w:val="009E68A3"/>
    <w:rsid w:val="009F1EAB"/>
    <w:rsid w:val="009F50D8"/>
    <w:rsid w:val="009F7E80"/>
    <w:rsid w:val="00A00EE9"/>
    <w:rsid w:val="00A0126C"/>
    <w:rsid w:val="00A01E41"/>
    <w:rsid w:val="00A03535"/>
    <w:rsid w:val="00A045A2"/>
    <w:rsid w:val="00A04B6D"/>
    <w:rsid w:val="00A060E3"/>
    <w:rsid w:val="00A06DD7"/>
    <w:rsid w:val="00A12BCC"/>
    <w:rsid w:val="00A14318"/>
    <w:rsid w:val="00A14C10"/>
    <w:rsid w:val="00A14F4E"/>
    <w:rsid w:val="00A167FB"/>
    <w:rsid w:val="00A1744F"/>
    <w:rsid w:val="00A174F5"/>
    <w:rsid w:val="00A20E1D"/>
    <w:rsid w:val="00A241E3"/>
    <w:rsid w:val="00A32095"/>
    <w:rsid w:val="00A32C7A"/>
    <w:rsid w:val="00A32E70"/>
    <w:rsid w:val="00A33E33"/>
    <w:rsid w:val="00A34D08"/>
    <w:rsid w:val="00A43557"/>
    <w:rsid w:val="00A44D85"/>
    <w:rsid w:val="00A45025"/>
    <w:rsid w:val="00A45844"/>
    <w:rsid w:val="00A51077"/>
    <w:rsid w:val="00A51224"/>
    <w:rsid w:val="00A53A6B"/>
    <w:rsid w:val="00A5433B"/>
    <w:rsid w:val="00A549E2"/>
    <w:rsid w:val="00A54C60"/>
    <w:rsid w:val="00A54E1A"/>
    <w:rsid w:val="00A55441"/>
    <w:rsid w:val="00A55D2C"/>
    <w:rsid w:val="00A56A48"/>
    <w:rsid w:val="00A56DEC"/>
    <w:rsid w:val="00A57B7B"/>
    <w:rsid w:val="00A60B48"/>
    <w:rsid w:val="00A612FF"/>
    <w:rsid w:val="00A614D0"/>
    <w:rsid w:val="00A62BFB"/>
    <w:rsid w:val="00A6462A"/>
    <w:rsid w:val="00A65FDE"/>
    <w:rsid w:val="00A6602B"/>
    <w:rsid w:val="00A66E8A"/>
    <w:rsid w:val="00A67550"/>
    <w:rsid w:val="00A71943"/>
    <w:rsid w:val="00A730EF"/>
    <w:rsid w:val="00A7361D"/>
    <w:rsid w:val="00A7456C"/>
    <w:rsid w:val="00A75588"/>
    <w:rsid w:val="00A772B5"/>
    <w:rsid w:val="00A778FF"/>
    <w:rsid w:val="00A77D5D"/>
    <w:rsid w:val="00A80635"/>
    <w:rsid w:val="00A82118"/>
    <w:rsid w:val="00A82EA9"/>
    <w:rsid w:val="00A87BD4"/>
    <w:rsid w:val="00A9013E"/>
    <w:rsid w:val="00A91E7F"/>
    <w:rsid w:val="00A95C14"/>
    <w:rsid w:val="00A95FAA"/>
    <w:rsid w:val="00A9666F"/>
    <w:rsid w:val="00A97BA6"/>
    <w:rsid w:val="00A97C92"/>
    <w:rsid w:val="00AA0797"/>
    <w:rsid w:val="00AA2F4F"/>
    <w:rsid w:val="00AA4BFF"/>
    <w:rsid w:val="00AA55D1"/>
    <w:rsid w:val="00AB0069"/>
    <w:rsid w:val="00AB18A3"/>
    <w:rsid w:val="00AB24E1"/>
    <w:rsid w:val="00AB2AB3"/>
    <w:rsid w:val="00AB3D71"/>
    <w:rsid w:val="00AB6EAC"/>
    <w:rsid w:val="00AC07A4"/>
    <w:rsid w:val="00AC271E"/>
    <w:rsid w:val="00AC5F60"/>
    <w:rsid w:val="00AC67A5"/>
    <w:rsid w:val="00AD0EF9"/>
    <w:rsid w:val="00AD1A16"/>
    <w:rsid w:val="00AD1F3F"/>
    <w:rsid w:val="00AD2944"/>
    <w:rsid w:val="00AD35EF"/>
    <w:rsid w:val="00AD4A4D"/>
    <w:rsid w:val="00AD57B1"/>
    <w:rsid w:val="00AD612A"/>
    <w:rsid w:val="00AD6D2A"/>
    <w:rsid w:val="00AD7A2D"/>
    <w:rsid w:val="00AE2F42"/>
    <w:rsid w:val="00AE33A9"/>
    <w:rsid w:val="00AE406F"/>
    <w:rsid w:val="00AE4666"/>
    <w:rsid w:val="00AE48A9"/>
    <w:rsid w:val="00AE5255"/>
    <w:rsid w:val="00AF0CB7"/>
    <w:rsid w:val="00AF140A"/>
    <w:rsid w:val="00AF1F7E"/>
    <w:rsid w:val="00AF2CDB"/>
    <w:rsid w:val="00AF4251"/>
    <w:rsid w:val="00AF4AEB"/>
    <w:rsid w:val="00AF539D"/>
    <w:rsid w:val="00AF59B9"/>
    <w:rsid w:val="00AF5A5E"/>
    <w:rsid w:val="00AF7241"/>
    <w:rsid w:val="00B001E4"/>
    <w:rsid w:val="00B0153A"/>
    <w:rsid w:val="00B03CE1"/>
    <w:rsid w:val="00B045F0"/>
    <w:rsid w:val="00B04889"/>
    <w:rsid w:val="00B04DC4"/>
    <w:rsid w:val="00B05428"/>
    <w:rsid w:val="00B05CA8"/>
    <w:rsid w:val="00B06013"/>
    <w:rsid w:val="00B06CAC"/>
    <w:rsid w:val="00B07049"/>
    <w:rsid w:val="00B1380A"/>
    <w:rsid w:val="00B13902"/>
    <w:rsid w:val="00B13FA7"/>
    <w:rsid w:val="00B14244"/>
    <w:rsid w:val="00B1460E"/>
    <w:rsid w:val="00B1506B"/>
    <w:rsid w:val="00B16504"/>
    <w:rsid w:val="00B238AA"/>
    <w:rsid w:val="00B24B2E"/>
    <w:rsid w:val="00B24BF6"/>
    <w:rsid w:val="00B24DB2"/>
    <w:rsid w:val="00B24DED"/>
    <w:rsid w:val="00B251E2"/>
    <w:rsid w:val="00B25570"/>
    <w:rsid w:val="00B2579E"/>
    <w:rsid w:val="00B25DA5"/>
    <w:rsid w:val="00B260DF"/>
    <w:rsid w:val="00B27B28"/>
    <w:rsid w:val="00B31660"/>
    <w:rsid w:val="00B3394C"/>
    <w:rsid w:val="00B33AC0"/>
    <w:rsid w:val="00B34081"/>
    <w:rsid w:val="00B35386"/>
    <w:rsid w:val="00B356C3"/>
    <w:rsid w:val="00B35BF4"/>
    <w:rsid w:val="00B362C6"/>
    <w:rsid w:val="00B37E3B"/>
    <w:rsid w:val="00B40BE8"/>
    <w:rsid w:val="00B41994"/>
    <w:rsid w:val="00B42655"/>
    <w:rsid w:val="00B42B80"/>
    <w:rsid w:val="00B44BDA"/>
    <w:rsid w:val="00B4503B"/>
    <w:rsid w:val="00B453F2"/>
    <w:rsid w:val="00B462E6"/>
    <w:rsid w:val="00B46B5F"/>
    <w:rsid w:val="00B46EBD"/>
    <w:rsid w:val="00B50468"/>
    <w:rsid w:val="00B51489"/>
    <w:rsid w:val="00B5163B"/>
    <w:rsid w:val="00B51651"/>
    <w:rsid w:val="00B525EE"/>
    <w:rsid w:val="00B55021"/>
    <w:rsid w:val="00B562C4"/>
    <w:rsid w:val="00B571D5"/>
    <w:rsid w:val="00B57273"/>
    <w:rsid w:val="00B6012E"/>
    <w:rsid w:val="00B60444"/>
    <w:rsid w:val="00B6112C"/>
    <w:rsid w:val="00B61C6C"/>
    <w:rsid w:val="00B622E7"/>
    <w:rsid w:val="00B62C96"/>
    <w:rsid w:val="00B6380C"/>
    <w:rsid w:val="00B63F64"/>
    <w:rsid w:val="00B641A3"/>
    <w:rsid w:val="00B6545B"/>
    <w:rsid w:val="00B6556C"/>
    <w:rsid w:val="00B6734D"/>
    <w:rsid w:val="00B67AA9"/>
    <w:rsid w:val="00B72B76"/>
    <w:rsid w:val="00B72F4B"/>
    <w:rsid w:val="00B73DAC"/>
    <w:rsid w:val="00B744B2"/>
    <w:rsid w:val="00B7597A"/>
    <w:rsid w:val="00B75E8C"/>
    <w:rsid w:val="00B7603F"/>
    <w:rsid w:val="00B76E5E"/>
    <w:rsid w:val="00B77EF4"/>
    <w:rsid w:val="00B815E2"/>
    <w:rsid w:val="00B846D4"/>
    <w:rsid w:val="00B84A71"/>
    <w:rsid w:val="00B8544D"/>
    <w:rsid w:val="00B871A9"/>
    <w:rsid w:val="00B878CE"/>
    <w:rsid w:val="00B87B22"/>
    <w:rsid w:val="00B87F9C"/>
    <w:rsid w:val="00B906FF"/>
    <w:rsid w:val="00B9070B"/>
    <w:rsid w:val="00B9211C"/>
    <w:rsid w:val="00B92EEC"/>
    <w:rsid w:val="00B950A5"/>
    <w:rsid w:val="00B97541"/>
    <w:rsid w:val="00BA1CA0"/>
    <w:rsid w:val="00BA455A"/>
    <w:rsid w:val="00BA5528"/>
    <w:rsid w:val="00BA688E"/>
    <w:rsid w:val="00BB0742"/>
    <w:rsid w:val="00BB1B0D"/>
    <w:rsid w:val="00BB6818"/>
    <w:rsid w:val="00BC013C"/>
    <w:rsid w:val="00BC0541"/>
    <w:rsid w:val="00BC0C96"/>
    <w:rsid w:val="00BC328D"/>
    <w:rsid w:val="00BC395B"/>
    <w:rsid w:val="00BC3F67"/>
    <w:rsid w:val="00BC45BA"/>
    <w:rsid w:val="00BC5F4E"/>
    <w:rsid w:val="00BC5FDE"/>
    <w:rsid w:val="00BC7297"/>
    <w:rsid w:val="00BC72EA"/>
    <w:rsid w:val="00BD0240"/>
    <w:rsid w:val="00BD0822"/>
    <w:rsid w:val="00BD1E79"/>
    <w:rsid w:val="00BD2C19"/>
    <w:rsid w:val="00BD5E01"/>
    <w:rsid w:val="00BD799F"/>
    <w:rsid w:val="00BE0125"/>
    <w:rsid w:val="00BE0A98"/>
    <w:rsid w:val="00BE1867"/>
    <w:rsid w:val="00BE3520"/>
    <w:rsid w:val="00BE5FB6"/>
    <w:rsid w:val="00BE716C"/>
    <w:rsid w:val="00BE79DB"/>
    <w:rsid w:val="00BF059B"/>
    <w:rsid w:val="00BF11D7"/>
    <w:rsid w:val="00BF467C"/>
    <w:rsid w:val="00BF59B0"/>
    <w:rsid w:val="00BF7D62"/>
    <w:rsid w:val="00C0130E"/>
    <w:rsid w:val="00C0272E"/>
    <w:rsid w:val="00C02B41"/>
    <w:rsid w:val="00C04D36"/>
    <w:rsid w:val="00C04DB4"/>
    <w:rsid w:val="00C05EB3"/>
    <w:rsid w:val="00C06FCE"/>
    <w:rsid w:val="00C07C03"/>
    <w:rsid w:val="00C10747"/>
    <w:rsid w:val="00C10EB5"/>
    <w:rsid w:val="00C12025"/>
    <w:rsid w:val="00C133C8"/>
    <w:rsid w:val="00C14055"/>
    <w:rsid w:val="00C1447E"/>
    <w:rsid w:val="00C15F7E"/>
    <w:rsid w:val="00C20939"/>
    <w:rsid w:val="00C21159"/>
    <w:rsid w:val="00C21650"/>
    <w:rsid w:val="00C24BF8"/>
    <w:rsid w:val="00C265C0"/>
    <w:rsid w:val="00C27482"/>
    <w:rsid w:val="00C27872"/>
    <w:rsid w:val="00C30595"/>
    <w:rsid w:val="00C30AAD"/>
    <w:rsid w:val="00C311B3"/>
    <w:rsid w:val="00C33D9D"/>
    <w:rsid w:val="00C34888"/>
    <w:rsid w:val="00C35637"/>
    <w:rsid w:val="00C36AC4"/>
    <w:rsid w:val="00C418FA"/>
    <w:rsid w:val="00C42D93"/>
    <w:rsid w:val="00C44424"/>
    <w:rsid w:val="00C44FA7"/>
    <w:rsid w:val="00C472A4"/>
    <w:rsid w:val="00C478A8"/>
    <w:rsid w:val="00C502AC"/>
    <w:rsid w:val="00C537EB"/>
    <w:rsid w:val="00C61127"/>
    <w:rsid w:val="00C61A21"/>
    <w:rsid w:val="00C62EDF"/>
    <w:rsid w:val="00C630B4"/>
    <w:rsid w:val="00C654F4"/>
    <w:rsid w:val="00C66654"/>
    <w:rsid w:val="00C706EC"/>
    <w:rsid w:val="00C70E2F"/>
    <w:rsid w:val="00C71F95"/>
    <w:rsid w:val="00C72C64"/>
    <w:rsid w:val="00C73585"/>
    <w:rsid w:val="00C73C0D"/>
    <w:rsid w:val="00C7436B"/>
    <w:rsid w:val="00C7586A"/>
    <w:rsid w:val="00C760D3"/>
    <w:rsid w:val="00C76480"/>
    <w:rsid w:val="00C77547"/>
    <w:rsid w:val="00C778E6"/>
    <w:rsid w:val="00C81E07"/>
    <w:rsid w:val="00C82092"/>
    <w:rsid w:val="00C8371D"/>
    <w:rsid w:val="00C8388D"/>
    <w:rsid w:val="00C839A9"/>
    <w:rsid w:val="00C83FB4"/>
    <w:rsid w:val="00C849C6"/>
    <w:rsid w:val="00C85D6A"/>
    <w:rsid w:val="00C874E9"/>
    <w:rsid w:val="00C9040A"/>
    <w:rsid w:val="00C90AFC"/>
    <w:rsid w:val="00C90DDD"/>
    <w:rsid w:val="00C92144"/>
    <w:rsid w:val="00C94693"/>
    <w:rsid w:val="00C94898"/>
    <w:rsid w:val="00CA2D32"/>
    <w:rsid w:val="00CA3A52"/>
    <w:rsid w:val="00CA3FE6"/>
    <w:rsid w:val="00CA6414"/>
    <w:rsid w:val="00CA6DDC"/>
    <w:rsid w:val="00CA74DC"/>
    <w:rsid w:val="00CA7C04"/>
    <w:rsid w:val="00CB2AB7"/>
    <w:rsid w:val="00CC0083"/>
    <w:rsid w:val="00CC27F3"/>
    <w:rsid w:val="00CC3194"/>
    <w:rsid w:val="00CC3562"/>
    <w:rsid w:val="00CC4D63"/>
    <w:rsid w:val="00CC5E5B"/>
    <w:rsid w:val="00CC61A5"/>
    <w:rsid w:val="00CC772A"/>
    <w:rsid w:val="00CC7E08"/>
    <w:rsid w:val="00CD03CD"/>
    <w:rsid w:val="00CD0EFB"/>
    <w:rsid w:val="00CD0F3E"/>
    <w:rsid w:val="00CD14DB"/>
    <w:rsid w:val="00CD4B00"/>
    <w:rsid w:val="00CD6D72"/>
    <w:rsid w:val="00CD7626"/>
    <w:rsid w:val="00CD7B93"/>
    <w:rsid w:val="00CE0348"/>
    <w:rsid w:val="00CE0B9F"/>
    <w:rsid w:val="00CE2E0F"/>
    <w:rsid w:val="00CE5FE4"/>
    <w:rsid w:val="00CE6283"/>
    <w:rsid w:val="00CE67AA"/>
    <w:rsid w:val="00CE6B88"/>
    <w:rsid w:val="00CE6F33"/>
    <w:rsid w:val="00CE73B5"/>
    <w:rsid w:val="00CE791D"/>
    <w:rsid w:val="00CE79D7"/>
    <w:rsid w:val="00CE7CE3"/>
    <w:rsid w:val="00CF1A08"/>
    <w:rsid w:val="00CF2071"/>
    <w:rsid w:val="00CF244E"/>
    <w:rsid w:val="00CF278D"/>
    <w:rsid w:val="00CF2FE9"/>
    <w:rsid w:val="00CF37C7"/>
    <w:rsid w:val="00CF3CF8"/>
    <w:rsid w:val="00CF474D"/>
    <w:rsid w:val="00CF4B15"/>
    <w:rsid w:val="00CF5A64"/>
    <w:rsid w:val="00CF6622"/>
    <w:rsid w:val="00CF749A"/>
    <w:rsid w:val="00D0089A"/>
    <w:rsid w:val="00D014C7"/>
    <w:rsid w:val="00D01548"/>
    <w:rsid w:val="00D04D5F"/>
    <w:rsid w:val="00D04DD6"/>
    <w:rsid w:val="00D04DFA"/>
    <w:rsid w:val="00D05599"/>
    <w:rsid w:val="00D0597F"/>
    <w:rsid w:val="00D05F35"/>
    <w:rsid w:val="00D06393"/>
    <w:rsid w:val="00D06E5E"/>
    <w:rsid w:val="00D06F79"/>
    <w:rsid w:val="00D10597"/>
    <w:rsid w:val="00D115DD"/>
    <w:rsid w:val="00D120A3"/>
    <w:rsid w:val="00D13288"/>
    <w:rsid w:val="00D13AF8"/>
    <w:rsid w:val="00D1584B"/>
    <w:rsid w:val="00D20531"/>
    <w:rsid w:val="00D20601"/>
    <w:rsid w:val="00D219E9"/>
    <w:rsid w:val="00D21EB9"/>
    <w:rsid w:val="00D2205B"/>
    <w:rsid w:val="00D23418"/>
    <w:rsid w:val="00D24606"/>
    <w:rsid w:val="00D25CFC"/>
    <w:rsid w:val="00D2620A"/>
    <w:rsid w:val="00D3056A"/>
    <w:rsid w:val="00D3064D"/>
    <w:rsid w:val="00D30AED"/>
    <w:rsid w:val="00D30F84"/>
    <w:rsid w:val="00D31091"/>
    <w:rsid w:val="00D33CFE"/>
    <w:rsid w:val="00D33DDE"/>
    <w:rsid w:val="00D34DA4"/>
    <w:rsid w:val="00D35C1D"/>
    <w:rsid w:val="00D3752F"/>
    <w:rsid w:val="00D40DDE"/>
    <w:rsid w:val="00D40F0E"/>
    <w:rsid w:val="00D42D78"/>
    <w:rsid w:val="00D43970"/>
    <w:rsid w:val="00D43A5E"/>
    <w:rsid w:val="00D43CA5"/>
    <w:rsid w:val="00D44CA5"/>
    <w:rsid w:val="00D46E12"/>
    <w:rsid w:val="00D50734"/>
    <w:rsid w:val="00D507C0"/>
    <w:rsid w:val="00D513CC"/>
    <w:rsid w:val="00D5172A"/>
    <w:rsid w:val="00D56435"/>
    <w:rsid w:val="00D61754"/>
    <w:rsid w:val="00D62755"/>
    <w:rsid w:val="00D62AA4"/>
    <w:rsid w:val="00D6318F"/>
    <w:rsid w:val="00D650BB"/>
    <w:rsid w:val="00D6540A"/>
    <w:rsid w:val="00D674AF"/>
    <w:rsid w:val="00D70107"/>
    <w:rsid w:val="00D70438"/>
    <w:rsid w:val="00D71663"/>
    <w:rsid w:val="00D717AD"/>
    <w:rsid w:val="00D71DD1"/>
    <w:rsid w:val="00D720AD"/>
    <w:rsid w:val="00D72D1D"/>
    <w:rsid w:val="00D74A18"/>
    <w:rsid w:val="00D74D3E"/>
    <w:rsid w:val="00D757C6"/>
    <w:rsid w:val="00D75C41"/>
    <w:rsid w:val="00D76080"/>
    <w:rsid w:val="00D7752D"/>
    <w:rsid w:val="00D80529"/>
    <w:rsid w:val="00D80F78"/>
    <w:rsid w:val="00D818EF"/>
    <w:rsid w:val="00D81AC3"/>
    <w:rsid w:val="00D81C59"/>
    <w:rsid w:val="00D82A5B"/>
    <w:rsid w:val="00D84637"/>
    <w:rsid w:val="00D8473B"/>
    <w:rsid w:val="00D85780"/>
    <w:rsid w:val="00D90063"/>
    <w:rsid w:val="00D925AA"/>
    <w:rsid w:val="00D92754"/>
    <w:rsid w:val="00D9283D"/>
    <w:rsid w:val="00D930DD"/>
    <w:rsid w:val="00D9341C"/>
    <w:rsid w:val="00D94A0C"/>
    <w:rsid w:val="00D94B7D"/>
    <w:rsid w:val="00DA0109"/>
    <w:rsid w:val="00DA0B1A"/>
    <w:rsid w:val="00DA1560"/>
    <w:rsid w:val="00DA2C5D"/>
    <w:rsid w:val="00DA3176"/>
    <w:rsid w:val="00DA4C44"/>
    <w:rsid w:val="00DA4C48"/>
    <w:rsid w:val="00DA4E21"/>
    <w:rsid w:val="00DA529B"/>
    <w:rsid w:val="00DA5F98"/>
    <w:rsid w:val="00DA71EF"/>
    <w:rsid w:val="00DA7A18"/>
    <w:rsid w:val="00DB1347"/>
    <w:rsid w:val="00DB28CE"/>
    <w:rsid w:val="00DB29BC"/>
    <w:rsid w:val="00DB2A2A"/>
    <w:rsid w:val="00DB479F"/>
    <w:rsid w:val="00DB47DF"/>
    <w:rsid w:val="00DB55B6"/>
    <w:rsid w:val="00DB5EA7"/>
    <w:rsid w:val="00DB5F21"/>
    <w:rsid w:val="00DB6D7C"/>
    <w:rsid w:val="00DB7183"/>
    <w:rsid w:val="00DC090A"/>
    <w:rsid w:val="00DC0E7E"/>
    <w:rsid w:val="00DC10E0"/>
    <w:rsid w:val="00DC2D72"/>
    <w:rsid w:val="00DC30EA"/>
    <w:rsid w:val="00DC3254"/>
    <w:rsid w:val="00DC4FE9"/>
    <w:rsid w:val="00DC5918"/>
    <w:rsid w:val="00DC6C8D"/>
    <w:rsid w:val="00DC73A5"/>
    <w:rsid w:val="00DD0236"/>
    <w:rsid w:val="00DD4100"/>
    <w:rsid w:val="00DD56DF"/>
    <w:rsid w:val="00DD76A4"/>
    <w:rsid w:val="00DD7C65"/>
    <w:rsid w:val="00DE03E4"/>
    <w:rsid w:val="00DE1134"/>
    <w:rsid w:val="00DE1AEB"/>
    <w:rsid w:val="00DE2247"/>
    <w:rsid w:val="00DE2A34"/>
    <w:rsid w:val="00DE37AE"/>
    <w:rsid w:val="00DE4732"/>
    <w:rsid w:val="00DE6668"/>
    <w:rsid w:val="00DE6987"/>
    <w:rsid w:val="00DE7339"/>
    <w:rsid w:val="00DF1246"/>
    <w:rsid w:val="00DF30C0"/>
    <w:rsid w:val="00DF55DA"/>
    <w:rsid w:val="00E0080A"/>
    <w:rsid w:val="00E00F31"/>
    <w:rsid w:val="00E01BFD"/>
    <w:rsid w:val="00E02242"/>
    <w:rsid w:val="00E0300E"/>
    <w:rsid w:val="00E04AE0"/>
    <w:rsid w:val="00E070D0"/>
    <w:rsid w:val="00E11517"/>
    <w:rsid w:val="00E12834"/>
    <w:rsid w:val="00E13727"/>
    <w:rsid w:val="00E15630"/>
    <w:rsid w:val="00E16AD4"/>
    <w:rsid w:val="00E17AB3"/>
    <w:rsid w:val="00E20254"/>
    <w:rsid w:val="00E209F0"/>
    <w:rsid w:val="00E21669"/>
    <w:rsid w:val="00E219EB"/>
    <w:rsid w:val="00E22C13"/>
    <w:rsid w:val="00E23129"/>
    <w:rsid w:val="00E24FAA"/>
    <w:rsid w:val="00E25045"/>
    <w:rsid w:val="00E256FA"/>
    <w:rsid w:val="00E2677C"/>
    <w:rsid w:val="00E26D83"/>
    <w:rsid w:val="00E271CD"/>
    <w:rsid w:val="00E27A1E"/>
    <w:rsid w:val="00E306E9"/>
    <w:rsid w:val="00E307DC"/>
    <w:rsid w:val="00E323CF"/>
    <w:rsid w:val="00E334B9"/>
    <w:rsid w:val="00E33905"/>
    <w:rsid w:val="00E342D1"/>
    <w:rsid w:val="00E34B96"/>
    <w:rsid w:val="00E37502"/>
    <w:rsid w:val="00E40127"/>
    <w:rsid w:val="00E43074"/>
    <w:rsid w:val="00E431C8"/>
    <w:rsid w:val="00E44926"/>
    <w:rsid w:val="00E44E09"/>
    <w:rsid w:val="00E4520C"/>
    <w:rsid w:val="00E45D53"/>
    <w:rsid w:val="00E46AD5"/>
    <w:rsid w:val="00E46DBD"/>
    <w:rsid w:val="00E50A68"/>
    <w:rsid w:val="00E51708"/>
    <w:rsid w:val="00E51729"/>
    <w:rsid w:val="00E51D0A"/>
    <w:rsid w:val="00E53139"/>
    <w:rsid w:val="00E53A8F"/>
    <w:rsid w:val="00E5435E"/>
    <w:rsid w:val="00E55A81"/>
    <w:rsid w:val="00E56450"/>
    <w:rsid w:val="00E56DA8"/>
    <w:rsid w:val="00E60ACC"/>
    <w:rsid w:val="00E60C4B"/>
    <w:rsid w:val="00E60E21"/>
    <w:rsid w:val="00E6570E"/>
    <w:rsid w:val="00E66638"/>
    <w:rsid w:val="00E6706E"/>
    <w:rsid w:val="00E7211D"/>
    <w:rsid w:val="00E754C2"/>
    <w:rsid w:val="00E757CA"/>
    <w:rsid w:val="00E75D48"/>
    <w:rsid w:val="00E76750"/>
    <w:rsid w:val="00E773CD"/>
    <w:rsid w:val="00E774C9"/>
    <w:rsid w:val="00E77D0C"/>
    <w:rsid w:val="00E80964"/>
    <w:rsid w:val="00E83D43"/>
    <w:rsid w:val="00E841A6"/>
    <w:rsid w:val="00E84BCB"/>
    <w:rsid w:val="00E85905"/>
    <w:rsid w:val="00E85D20"/>
    <w:rsid w:val="00E87C0D"/>
    <w:rsid w:val="00E90DC4"/>
    <w:rsid w:val="00E9163F"/>
    <w:rsid w:val="00E91CB7"/>
    <w:rsid w:val="00E955B0"/>
    <w:rsid w:val="00E956E8"/>
    <w:rsid w:val="00EA022D"/>
    <w:rsid w:val="00EA0D10"/>
    <w:rsid w:val="00EA0F2C"/>
    <w:rsid w:val="00EA19CB"/>
    <w:rsid w:val="00EA2C8F"/>
    <w:rsid w:val="00EA5045"/>
    <w:rsid w:val="00EA5D64"/>
    <w:rsid w:val="00EA613A"/>
    <w:rsid w:val="00EA6A8C"/>
    <w:rsid w:val="00EB2AD1"/>
    <w:rsid w:val="00EB2F9F"/>
    <w:rsid w:val="00EB3067"/>
    <w:rsid w:val="00EB353E"/>
    <w:rsid w:val="00EB3AA1"/>
    <w:rsid w:val="00EB56E0"/>
    <w:rsid w:val="00EB5DDF"/>
    <w:rsid w:val="00EB6E66"/>
    <w:rsid w:val="00EC0129"/>
    <w:rsid w:val="00EC02A4"/>
    <w:rsid w:val="00EC3499"/>
    <w:rsid w:val="00EC3CEC"/>
    <w:rsid w:val="00EC4625"/>
    <w:rsid w:val="00EC5AED"/>
    <w:rsid w:val="00ED0A75"/>
    <w:rsid w:val="00ED139E"/>
    <w:rsid w:val="00ED1759"/>
    <w:rsid w:val="00ED27A5"/>
    <w:rsid w:val="00ED3ECB"/>
    <w:rsid w:val="00ED445D"/>
    <w:rsid w:val="00ED461C"/>
    <w:rsid w:val="00ED5E2B"/>
    <w:rsid w:val="00EE01C2"/>
    <w:rsid w:val="00EE2FEA"/>
    <w:rsid w:val="00EE37A2"/>
    <w:rsid w:val="00EE3B12"/>
    <w:rsid w:val="00EE4DB5"/>
    <w:rsid w:val="00EE5AF3"/>
    <w:rsid w:val="00EE5E91"/>
    <w:rsid w:val="00EE5F8C"/>
    <w:rsid w:val="00EE6F1F"/>
    <w:rsid w:val="00EE73BC"/>
    <w:rsid w:val="00EE7AC8"/>
    <w:rsid w:val="00EF00AA"/>
    <w:rsid w:val="00EF039B"/>
    <w:rsid w:val="00EF3996"/>
    <w:rsid w:val="00EF5EAA"/>
    <w:rsid w:val="00EF6CD0"/>
    <w:rsid w:val="00EF7D97"/>
    <w:rsid w:val="00F0026A"/>
    <w:rsid w:val="00F021E7"/>
    <w:rsid w:val="00F026C1"/>
    <w:rsid w:val="00F039D1"/>
    <w:rsid w:val="00F05BEC"/>
    <w:rsid w:val="00F05D0F"/>
    <w:rsid w:val="00F05DB4"/>
    <w:rsid w:val="00F13358"/>
    <w:rsid w:val="00F1456D"/>
    <w:rsid w:val="00F14DA0"/>
    <w:rsid w:val="00F15387"/>
    <w:rsid w:val="00F15D8B"/>
    <w:rsid w:val="00F15F46"/>
    <w:rsid w:val="00F17D58"/>
    <w:rsid w:val="00F214AC"/>
    <w:rsid w:val="00F2268F"/>
    <w:rsid w:val="00F228F5"/>
    <w:rsid w:val="00F23FD4"/>
    <w:rsid w:val="00F24143"/>
    <w:rsid w:val="00F241BE"/>
    <w:rsid w:val="00F24962"/>
    <w:rsid w:val="00F25038"/>
    <w:rsid w:val="00F25EFD"/>
    <w:rsid w:val="00F27080"/>
    <w:rsid w:val="00F2735C"/>
    <w:rsid w:val="00F3124A"/>
    <w:rsid w:val="00F31D41"/>
    <w:rsid w:val="00F34539"/>
    <w:rsid w:val="00F35005"/>
    <w:rsid w:val="00F359FB"/>
    <w:rsid w:val="00F364CB"/>
    <w:rsid w:val="00F36E13"/>
    <w:rsid w:val="00F37601"/>
    <w:rsid w:val="00F4058E"/>
    <w:rsid w:val="00F405C6"/>
    <w:rsid w:val="00F4220F"/>
    <w:rsid w:val="00F423B8"/>
    <w:rsid w:val="00F43F58"/>
    <w:rsid w:val="00F45507"/>
    <w:rsid w:val="00F46014"/>
    <w:rsid w:val="00F47670"/>
    <w:rsid w:val="00F51371"/>
    <w:rsid w:val="00F51AF6"/>
    <w:rsid w:val="00F551E9"/>
    <w:rsid w:val="00F55A95"/>
    <w:rsid w:val="00F56113"/>
    <w:rsid w:val="00F5640F"/>
    <w:rsid w:val="00F56735"/>
    <w:rsid w:val="00F56B3A"/>
    <w:rsid w:val="00F60F94"/>
    <w:rsid w:val="00F615F9"/>
    <w:rsid w:val="00F62055"/>
    <w:rsid w:val="00F620BE"/>
    <w:rsid w:val="00F6470B"/>
    <w:rsid w:val="00F64DC5"/>
    <w:rsid w:val="00F73938"/>
    <w:rsid w:val="00F73E87"/>
    <w:rsid w:val="00F74224"/>
    <w:rsid w:val="00F747A9"/>
    <w:rsid w:val="00F76696"/>
    <w:rsid w:val="00F77295"/>
    <w:rsid w:val="00F77A84"/>
    <w:rsid w:val="00F80438"/>
    <w:rsid w:val="00F8155B"/>
    <w:rsid w:val="00F87905"/>
    <w:rsid w:val="00F91A0D"/>
    <w:rsid w:val="00F9229E"/>
    <w:rsid w:val="00F92724"/>
    <w:rsid w:val="00F92A12"/>
    <w:rsid w:val="00F942E2"/>
    <w:rsid w:val="00F9523B"/>
    <w:rsid w:val="00F9546E"/>
    <w:rsid w:val="00F9560B"/>
    <w:rsid w:val="00F95755"/>
    <w:rsid w:val="00F96E67"/>
    <w:rsid w:val="00F96E92"/>
    <w:rsid w:val="00FA0700"/>
    <w:rsid w:val="00FA13CB"/>
    <w:rsid w:val="00FA2BE9"/>
    <w:rsid w:val="00FA31AE"/>
    <w:rsid w:val="00FA4FCD"/>
    <w:rsid w:val="00FB1DA4"/>
    <w:rsid w:val="00FB2973"/>
    <w:rsid w:val="00FB42CF"/>
    <w:rsid w:val="00FB511E"/>
    <w:rsid w:val="00FB7B5E"/>
    <w:rsid w:val="00FC07DD"/>
    <w:rsid w:val="00FC09C3"/>
    <w:rsid w:val="00FC2B86"/>
    <w:rsid w:val="00FC39FE"/>
    <w:rsid w:val="00FC3F98"/>
    <w:rsid w:val="00FC48B5"/>
    <w:rsid w:val="00FC4CA2"/>
    <w:rsid w:val="00FC6FF3"/>
    <w:rsid w:val="00FC7629"/>
    <w:rsid w:val="00FC7B2A"/>
    <w:rsid w:val="00FD3D67"/>
    <w:rsid w:val="00FD536A"/>
    <w:rsid w:val="00FD74FF"/>
    <w:rsid w:val="00FE2C7C"/>
    <w:rsid w:val="00FE2ECC"/>
    <w:rsid w:val="00FE375C"/>
    <w:rsid w:val="00FE3CEC"/>
    <w:rsid w:val="00FE4145"/>
    <w:rsid w:val="00FE5F2D"/>
    <w:rsid w:val="00FE607C"/>
    <w:rsid w:val="00FE62B2"/>
    <w:rsid w:val="00FE6A1F"/>
    <w:rsid w:val="00FE743E"/>
    <w:rsid w:val="00FF0472"/>
    <w:rsid w:val="00FF04FB"/>
    <w:rsid w:val="00FF0810"/>
    <w:rsid w:val="00FF0A46"/>
    <w:rsid w:val="00FF11E6"/>
    <w:rsid w:val="00FF32F3"/>
    <w:rsid w:val="00FF5B06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5a9a98,#ddcf56,#ad495d,#ab9c8f,#b5d3d2,#7e6d5f,#f26631,#54534a"/>
    </o:shapedefaults>
    <o:shapelayout v:ext="edit">
      <o:idmap v:ext="edit" data="1"/>
    </o:shapelayout>
  </w:shapeDefaults>
  <w:decimalSymbol w:val="."/>
  <w:listSeparator w:val=","/>
  <w15:chartTrackingRefBased/>
  <w15:docId w15:val="{622554C0-2058-41E0-9B4D-3F753C1C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Normal"/>
    <w:next w:val="BodyText"/>
    <w:qFormat/>
    <w:rsid w:val="00A612FF"/>
    <w:pPr>
      <w:keepNext/>
      <w:numPr>
        <w:numId w:val="7"/>
      </w:numPr>
      <w:spacing w:before="460" w:after="100" w:line="320" w:lineRule="atLeast"/>
      <w:ind w:left="0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Heading2">
    <w:name w:val="heading 2"/>
    <w:basedOn w:val="Heading1"/>
    <w:next w:val="BodyText"/>
    <w:qFormat/>
    <w:rsid w:val="00A66E8A"/>
    <w:pPr>
      <w:numPr>
        <w:ilvl w:val="1"/>
      </w:numPr>
      <w:spacing w:before="380" w:after="0" w:line="280" w:lineRule="atLeast"/>
      <w:ind w:left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basedOn w:val="DefaultParagraphFont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24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1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7"/>
      </w:numPr>
    </w:pPr>
  </w:style>
  <w:style w:type="paragraph" w:styleId="ListBullet2">
    <w:name w:val="List Bullet 2"/>
    <w:basedOn w:val="ListBullet"/>
    <w:rsid w:val="00D42D78"/>
    <w:pPr>
      <w:numPr>
        <w:numId w:val="13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4"/>
      </w:numPr>
    </w:pPr>
  </w:style>
  <w:style w:type="paragraph" w:styleId="ListNumber2">
    <w:name w:val="List Number 2"/>
    <w:basedOn w:val="ListNumber"/>
    <w:rsid w:val="00D42D78"/>
    <w:pPr>
      <w:numPr>
        <w:numId w:val="15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2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basedOn w:val="DefaultParagraphFont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basedOn w:val="DefaultParagraphFont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basedOn w:val="DefaultParagraphFont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9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semiHidden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basedOn w:val="DefaultParagraphFont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basedOn w:val="DefaultParagraphFont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link w:val="FootnoteTextChar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basedOn w:val="DefaultParagraphFont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10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8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basedOn w:val="DefaultParagraphFont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basedOn w:val="DefaultParagraphFont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basedOn w:val="DefaultParagraphFont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basedOn w:val="DefaultParagraphFont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basedOn w:val="DefaultParagraphFont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basedOn w:val="Title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basedOn w:val="Subtitle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basedOn w:val="Date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basedOn w:val="AuthorChar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0CDB"/>
    <w:rPr>
      <w:rFonts w:ascii="Franklin Gothic Book" w:hAnsi="Franklin Gothic Book"/>
      <w:sz w:val="14"/>
      <w:szCs w:val="14"/>
    </w:rPr>
  </w:style>
  <w:style w:type="character" w:customStyle="1" w:styleId="BoxTextChar">
    <w:name w:val="Box Text Char"/>
    <w:basedOn w:val="DefaultParagraphFont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paragraph" w:customStyle="1" w:styleId="Caption1">
    <w:name w:val="Caption1"/>
    <w:basedOn w:val="Caption"/>
    <w:qFormat/>
    <w:rsid w:val="00346BF4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slt\Local%20Settings\Temporary%20Internet%20Files\OLK6C\101109%20T-AnnualProgramPerformanceTemplate-123%20Advisor%20Amendment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729623-181D-4ABD-BE0D-E71B05CB2E7C}"/>
</file>

<file path=customXml/itemProps2.xml><?xml version="1.0" encoding="utf-8"?>
<ds:datastoreItem xmlns:ds="http://schemas.openxmlformats.org/officeDocument/2006/customXml" ds:itemID="{9060B2FE-4067-4A66-9F37-A82932A6C7E6}"/>
</file>

<file path=customXml/itemProps3.xml><?xml version="1.0" encoding="utf-8"?>
<ds:datastoreItem xmlns:ds="http://schemas.openxmlformats.org/officeDocument/2006/customXml" ds:itemID="{A4D6D7B8-068A-4EC9-945C-38921F46B88E}"/>
</file>

<file path=customXml/itemProps4.xml><?xml version="1.0" encoding="utf-8"?>
<ds:datastoreItem xmlns:ds="http://schemas.openxmlformats.org/officeDocument/2006/customXml" ds:itemID="{27836D49-A7D8-4BE7-BE55-48FD8350087F}"/>
</file>

<file path=customXml/itemProps5.xml><?xml version="1.0" encoding="utf-8"?>
<ds:datastoreItem xmlns:ds="http://schemas.openxmlformats.org/officeDocument/2006/customXml" ds:itemID="{AE09963E-BD2C-44AB-8F8E-4D76BB8BE7A1}"/>
</file>

<file path=docProps/app.xml><?xml version="1.0" encoding="utf-8"?>
<Properties xmlns="http://schemas.openxmlformats.org/officeDocument/2006/extended-properties" xmlns:vt="http://schemas.openxmlformats.org/officeDocument/2006/docPropsVTypes">
  <Template>101109 T-AnnualProgramPerformanceTemplate-123 Advisor Amendments (2)</Template>
  <TotalTime>35</TotalTime>
  <Pages>10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 2009</vt:lpstr>
    </vt:vector>
  </TitlesOfParts>
  <Manager>AusAID ADG OPS</Manager>
  <Company>ByWord Services</Company>
  <LinksUpToDate>false</LinksUpToDate>
  <CharactersWithSpaces>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 2009</dc:title>
  <dc:subject/>
  <dc:creator>Tamara Khosla</dc:creator>
  <cp:keywords>APPR</cp:keywords>
  <dc:description>Current to January 2011</dc:description>
  <cp:lastModifiedBy>Guest</cp:lastModifiedBy>
  <cp:revision>6</cp:revision>
  <cp:lastPrinted>2011-01-27T11:34:00Z</cp:lastPrinted>
  <dcterms:created xsi:type="dcterms:W3CDTF">2013-07-07T12:13:00Z</dcterms:created>
  <dcterms:modified xsi:type="dcterms:W3CDTF">2013-07-09T20:59:00Z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Managing Programs</vt:lpwstr>
  </property>
  <property fmtid="{D5CDD505-2E9C-101B-9397-08002B2CF9AE}" pid="3" name="Keyword">
    <vt:lpwstr/>
  </property>
  <property fmtid="{D5CDD505-2E9C-101B-9397-08002B2CF9AE}" pid="4" name="Owner">
    <vt:lpwstr/>
  </property>
  <property fmtid="{D5CDD505-2E9C-101B-9397-08002B2CF9AE}" pid="5" name="Doc Number">
    <vt:lpwstr/>
  </property>
  <property fmtid="{D5CDD505-2E9C-101B-9397-08002B2CF9AE}" pid="6" name="ContentType">
    <vt:lpwstr>Document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xd_Signature">
    <vt:lpwstr/>
  </property>
  <property fmtid="{D5CDD505-2E9C-101B-9397-08002B2CF9AE}" pid="9" name="Order">
    <vt:r8>122000</vt:r8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ntentTypeId">
    <vt:lpwstr>0x01010050F19AC2165D2E47A5E6B7F563E4CF00</vt:lpwstr>
  </property>
  <property fmtid="{D5CDD505-2E9C-101B-9397-08002B2CF9AE}" pid="16" name="PublishingContact">
    <vt:lpwstr/>
  </property>
  <property fmtid="{D5CDD505-2E9C-101B-9397-08002B2CF9AE}" pid="17" name="WCMSPublicationSubCategory">
    <vt:lpwstr/>
  </property>
  <property fmtid="{D5CDD505-2E9C-101B-9397-08002B2CF9AE}" pid="18" name="WCMSIPSSubCategory">
    <vt:lpwstr/>
  </property>
  <property fmtid="{D5CDD505-2E9C-101B-9397-08002B2CF9AE}" pid="19" name="PublishingRollupImage">
    <vt:lpwstr/>
  </property>
  <property fmtid="{D5CDD505-2E9C-101B-9397-08002B2CF9AE}" pid="20" name="AusAIDAggregationLevel">
    <vt:lpwstr/>
  </property>
  <property fmtid="{D5CDD505-2E9C-101B-9397-08002B2CF9AE}" pid="21" name="WCMSStatus">
    <vt:lpwstr/>
  </property>
  <property fmtid="{D5CDD505-2E9C-101B-9397-08002B2CF9AE}" pid="22" name="PublishingContactEmail">
    <vt:lpwstr/>
  </property>
  <property fmtid="{D5CDD505-2E9C-101B-9397-08002B2CF9AE}" pid="23" name="WCMSPrintedMedia">
    <vt:bool>false</vt:bool>
  </property>
  <property fmtid="{D5CDD505-2E9C-101B-9397-08002B2CF9AE}" pid="24" name="WCMSIPSCategory">
    <vt:lpwstr/>
  </property>
  <property fmtid="{D5CDD505-2E9C-101B-9397-08002B2CF9AE}" pid="25" name="RSS Feed Link">
    <vt:lpwstr/>
  </property>
  <property fmtid="{D5CDD505-2E9C-101B-9397-08002B2CF9AE}" pid="26" name="WCMSDocumentLink">
    <vt:lpwstr/>
  </property>
  <property fmtid="{D5CDD505-2E9C-101B-9397-08002B2CF9AE}" pid="27" name="WCMSReportDisclaimer">
    <vt:bool>false</vt:bool>
  </property>
  <property fmtid="{D5CDD505-2E9C-101B-9397-08002B2CF9AE}" pid="28" name="PublishingVariationRelationshipLinkFieldID">
    <vt:lpwstr/>
  </property>
  <property fmtid="{D5CDD505-2E9C-101B-9397-08002B2CF9AE}" pid="29" name="WCMSPublicationCategory">
    <vt:lpwstr/>
  </property>
  <property fmtid="{D5CDD505-2E9C-101B-9397-08002B2CF9AE}" pid="30" name="WCMSElectronicMedia">
    <vt:bool>false</vt:bool>
  </property>
  <property fmtid="{D5CDD505-2E9C-101B-9397-08002B2CF9AE}" pid="31" name="WCMSSourceId">
    <vt:lpwstr/>
  </property>
  <property fmtid="{D5CDD505-2E9C-101B-9397-08002B2CF9AE}" pid="32" name="WCMSLatest">
    <vt:bool>false</vt:bool>
  </property>
  <property fmtid="{D5CDD505-2E9C-101B-9397-08002B2CF9AE}" pid="33" name="WCMSPublicationFormat">
    <vt:lpwstr/>
  </property>
  <property fmtid="{D5CDD505-2E9C-101B-9397-08002B2CF9AE}" pid="34" name="AusAIDPageSubjectMetadata">
    <vt:lpwstr/>
  </property>
  <property fmtid="{D5CDD505-2E9C-101B-9397-08002B2CF9AE}" pid="35" name="AusAIDCategoryMetadata">
    <vt:lpwstr/>
  </property>
  <property fmtid="{D5CDD505-2E9C-101B-9397-08002B2CF9AE}" pid="36" name="AusAIDDocumentTypeMetaData">
    <vt:lpwstr/>
  </property>
  <property fmtid="{D5CDD505-2E9C-101B-9397-08002B2CF9AE}" pid="37" name="WCMSLanguage">
    <vt:lpwstr/>
  </property>
  <property fmtid="{D5CDD505-2E9C-101B-9397-08002B2CF9AE}" pid="38" name="Audience">
    <vt:lpwstr/>
  </property>
  <property fmtid="{D5CDD505-2E9C-101B-9397-08002B2CF9AE}" pid="39" name="WCMSDescription">
    <vt:lpwstr/>
  </property>
  <property fmtid="{D5CDD505-2E9C-101B-9397-08002B2CF9AE}" pid="41" name="WCMSOtherCategory">
    <vt:lpwstr/>
  </property>
  <property fmtid="{D5CDD505-2E9C-101B-9397-08002B2CF9AE}" pid="42" name="AusAIDPageDescriptionMetadata">
    <vt:lpwstr/>
  </property>
  <property fmtid="{D5CDD505-2E9C-101B-9397-08002B2CF9AE}" pid="43" name="WCMSTheme">
    <vt:lpwstr/>
  </property>
  <property fmtid="{D5CDD505-2E9C-101B-9397-08002B2CF9AE}" pid="44" name="WCMSISBNISSN">
    <vt:lpwstr/>
  </property>
  <property fmtid="{D5CDD505-2E9C-101B-9397-08002B2CF9AE}" pid="45" name="PublishingContactPicture">
    <vt:lpwstr/>
  </property>
  <property fmtid="{D5CDD505-2E9C-101B-9397-08002B2CF9AE}" pid="46" name="PublishingVariationGroupID">
    <vt:lpwstr/>
  </property>
  <property fmtid="{D5CDD505-2E9C-101B-9397-08002B2CF9AE}" pid="47" name="AusAIDIdentifierMetadata">
    <vt:lpwstr/>
  </property>
  <property fmtid="{D5CDD505-2E9C-101B-9397-08002B2CF9AE}" pid="48" name="PublishingContactName">
    <vt:lpwstr/>
  </property>
  <property fmtid="{D5CDD505-2E9C-101B-9397-08002B2CF9AE}" pid="49" name="WCMSRegion">
    <vt:lpwstr/>
  </property>
  <property fmtid="{D5CDD505-2E9C-101B-9397-08002B2CF9AE}" pid="50" name="WCMSPublicationAuthor">
    <vt:lpwstr/>
  </property>
  <property fmtid="{D5CDD505-2E9C-101B-9397-08002B2CF9AE}" pid="51" name="Comments">
    <vt:lpwstr/>
  </property>
  <property fmtid="{D5CDD505-2E9C-101B-9397-08002B2CF9AE}" pid="52" name="PublishingPageLayout">
    <vt:lpwstr/>
  </property>
  <property fmtid="{D5CDD505-2E9C-101B-9397-08002B2CF9AE}" pid="53" name="WCMSCountry">
    <vt:lpwstr/>
  </property>
  <property fmtid="{D5CDD505-2E9C-101B-9397-08002B2CF9AE}" pid="54" name="display_urn">
    <vt:lpwstr>System Account</vt:lpwstr>
  </property>
</Properties>
</file>