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2FFF" w14:textId="77777777" w:rsidR="00091AE2" w:rsidRDefault="00091AE2" w:rsidP="00FA24DE"/>
    <w:p w14:paraId="7D93AEB1" w14:textId="77777777" w:rsidR="00091AE2" w:rsidRDefault="00091AE2" w:rsidP="00FA24DE"/>
    <w:p w14:paraId="25DF71F1" w14:textId="77777777" w:rsidR="00A046C3" w:rsidRDefault="00A046C3" w:rsidP="00FA24DE"/>
    <w:p w14:paraId="7850D432" w14:textId="77777777" w:rsidR="00DB4C79" w:rsidRDefault="00DB4C79" w:rsidP="00FA24DE"/>
    <w:p w14:paraId="6AF4237F" w14:textId="0040FA76" w:rsidR="00091AE2" w:rsidRPr="002D1E12" w:rsidRDefault="00091AE2" w:rsidP="00CC5BD4">
      <w:pPr>
        <w:pStyle w:val="Heading1"/>
        <w:jc w:val="center"/>
        <w:rPr>
          <w:color w:val="AD1E23"/>
        </w:rPr>
      </w:pPr>
      <w:bookmarkStart w:id="0" w:name="_Toc216098971"/>
      <w:r w:rsidRPr="002D1E12">
        <w:rPr>
          <w:color w:val="AD1E23"/>
        </w:rPr>
        <w:t xml:space="preserve">Australian Support for Pacific HIV Action (ASPHA) </w:t>
      </w:r>
      <w:r w:rsidRPr="002D1E12">
        <w:rPr>
          <w:color w:val="AD1E23"/>
        </w:rPr>
        <w:br/>
        <w:t xml:space="preserve">Call for Proposals </w:t>
      </w:r>
      <w:r w:rsidRPr="002D1E12">
        <w:rPr>
          <w:color w:val="AD1E23"/>
        </w:rPr>
        <w:br/>
        <w:t>Guidelines, Eligibility and Selection Criteria</w:t>
      </w:r>
      <w:bookmarkEnd w:id="0"/>
    </w:p>
    <w:p w14:paraId="48D2124C" w14:textId="77777777" w:rsidR="00091AE2" w:rsidRPr="00091AE2" w:rsidRDefault="00091AE2" w:rsidP="00FA24DE">
      <w:pPr>
        <w:rPr>
          <w:lang w:val="en-AU" w:bidi="ar-SA"/>
        </w:rPr>
      </w:pPr>
    </w:p>
    <w:p w14:paraId="36DD9C47" w14:textId="77777777" w:rsidR="00091AE2" w:rsidRDefault="00091AE2" w:rsidP="00FA24DE">
      <w:pPr>
        <w:rPr>
          <w:lang w:val="en-AU" w:bidi="ar-SA"/>
        </w:rPr>
      </w:pPr>
    </w:p>
    <w:p w14:paraId="2DC829D8" w14:textId="77777777" w:rsidR="00CE4568" w:rsidRDefault="00CE4568" w:rsidP="002D1E12">
      <w:pPr>
        <w:shd w:val="clear" w:color="auto" w:fill="153D63" w:themeFill="text2" w:themeFillTint="E6"/>
        <w:jc w:val="center"/>
        <w:rPr>
          <w:lang w:val="en-AU" w:bidi="ar-SA"/>
        </w:rPr>
      </w:pPr>
    </w:p>
    <w:p w14:paraId="08C9FD15" w14:textId="6E28C987" w:rsidR="00091AE2" w:rsidRPr="0080697F" w:rsidRDefault="00091AE2" w:rsidP="002D1E12">
      <w:pPr>
        <w:shd w:val="clear" w:color="auto" w:fill="153D63" w:themeFill="text2" w:themeFillTint="E6"/>
        <w:jc w:val="center"/>
        <w:rPr>
          <w:b/>
          <w:bCs/>
          <w:color w:val="FFFFFF" w:themeColor="background1"/>
          <w:lang w:val="en-AU" w:bidi="ar-SA"/>
        </w:rPr>
      </w:pPr>
      <w:r w:rsidRPr="0080697F">
        <w:rPr>
          <w:b/>
          <w:bCs/>
          <w:color w:val="FFFFFF" w:themeColor="background1"/>
          <w:lang w:val="en-AU" w:bidi="ar-SA"/>
        </w:rPr>
        <w:t>Instructions for Organisations:</w:t>
      </w:r>
    </w:p>
    <w:p w14:paraId="02DD2250" w14:textId="77777777" w:rsidR="00ED64BE" w:rsidRPr="0080697F" w:rsidRDefault="00ED64BE" w:rsidP="002D1E12">
      <w:pPr>
        <w:shd w:val="clear" w:color="auto" w:fill="153D63" w:themeFill="text2" w:themeFillTint="E6"/>
        <w:jc w:val="center"/>
        <w:rPr>
          <w:color w:val="FFFFFF" w:themeColor="background1"/>
          <w:lang w:val="en-AU" w:bidi="ar-SA"/>
        </w:rPr>
      </w:pPr>
    </w:p>
    <w:p w14:paraId="34F4995D" w14:textId="4A70EF63" w:rsidR="00091AE2" w:rsidRDefault="00091AE2" w:rsidP="002D1E12">
      <w:pPr>
        <w:shd w:val="clear" w:color="auto" w:fill="153D63" w:themeFill="text2" w:themeFillTint="E6"/>
        <w:jc w:val="center"/>
        <w:rPr>
          <w:color w:val="FFFFFF" w:themeColor="background1"/>
          <w:lang w:val="en-AU" w:bidi="ar-SA"/>
        </w:rPr>
      </w:pPr>
      <w:r w:rsidRPr="0080697F">
        <w:rPr>
          <w:color w:val="FFFFFF" w:themeColor="background1"/>
          <w:lang w:val="en-AU" w:bidi="ar-SA"/>
        </w:rPr>
        <w:t>Please read this document</w:t>
      </w:r>
      <w:r w:rsidR="00ED64BE" w:rsidRPr="0080697F">
        <w:rPr>
          <w:color w:val="FFFFFF" w:themeColor="background1"/>
          <w:lang w:val="en-AU" w:bidi="ar-SA"/>
        </w:rPr>
        <w:t>,</w:t>
      </w:r>
      <w:r w:rsidRPr="0080697F">
        <w:rPr>
          <w:color w:val="FFFFFF" w:themeColor="background1"/>
          <w:lang w:val="en-AU" w:bidi="ar-SA"/>
        </w:rPr>
        <w:t xml:space="preserve"> ASPHA – Call for Proposals Guidelines, Eligibility and Selection Criteria </w:t>
      </w:r>
      <w:r w:rsidR="00ED64BE" w:rsidRPr="0080697F">
        <w:rPr>
          <w:color w:val="FFFFFF" w:themeColor="background1"/>
          <w:lang w:val="en-AU" w:bidi="ar-SA"/>
        </w:rPr>
        <w:t xml:space="preserve">(the Guidelines), </w:t>
      </w:r>
      <w:r w:rsidRPr="0080697F">
        <w:rPr>
          <w:color w:val="FFFFFF" w:themeColor="background1"/>
          <w:lang w:val="en-AU" w:bidi="ar-SA"/>
        </w:rPr>
        <w:t>before completing the Invitation to Submit an Activity Proposal.</w:t>
      </w:r>
    </w:p>
    <w:p w14:paraId="22301105" w14:textId="77777777" w:rsidR="002D1E12" w:rsidRPr="0080697F" w:rsidRDefault="002D1E12" w:rsidP="002D1E12">
      <w:pPr>
        <w:shd w:val="clear" w:color="auto" w:fill="153D63" w:themeFill="text2" w:themeFillTint="E6"/>
        <w:jc w:val="center"/>
        <w:rPr>
          <w:color w:val="FFFFFF" w:themeColor="background1"/>
          <w:lang w:val="en-AU" w:bidi="ar-SA"/>
        </w:rPr>
      </w:pPr>
    </w:p>
    <w:p w14:paraId="3A8C5644" w14:textId="77777777" w:rsidR="00091AE2" w:rsidRPr="002E6CB2" w:rsidRDefault="00091AE2" w:rsidP="00FA24DE">
      <w:pPr>
        <w:rPr>
          <w:lang w:val="en-AU" w:bidi="ar-SA"/>
        </w:rPr>
      </w:pPr>
    </w:p>
    <w:p w14:paraId="34D65355" w14:textId="77777777" w:rsidR="00091AE2" w:rsidRDefault="00091AE2" w:rsidP="00FA24DE">
      <w:pPr>
        <w:rPr>
          <w:lang w:val="en-AU" w:bidi="ar-SA"/>
        </w:rPr>
      </w:pPr>
    </w:p>
    <w:sdt>
      <w:sdtPr>
        <w:rPr>
          <w:rFonts w:asciiTheme="minorHAnsi" w:eastAsiaTheme="minorHAnsi" w:hAnsiTheme="minorHAnsi" w:cstheme="minorBidi"/>
          <w:color w:val="auto"/>
          <w:kern w:val="2"/>
          <w:sz w:val="24"/>
          <w:lang w:val="en-GB" w:bidi="th-TH"/>
          <w14:ligatures w14:val="standardContextual"/>
        </w:rPr>
        <w:id w:val="-1445534519"/>
        <w:docPartObj>
          <w:docPartGallery w:val="Table of Contents"/>
          <w:docPartUnique/>
        </w:docPartObj>
      </w:sdtPr>
      <w:sdtEndPr>
        <w:rPr>
          <w:b/>
          <w:bCs/>
          <w:noProof/>
        </w:rPr>
      </w:sdtEndPr>
      <w:sdtContent>
        <w:p w14:paraId="43E9DC73" w14:textId="67AEC03B" w:rsidR="00C30323" w:rsidRPr="009143AB" w:rsidRDefault="00C30323" w:rsidP="009143AB">
          <w:pPr>
            <w:pStyle w:val="TOCHeading"/>
          </w:pPr>
          <w:r>
            <w:t>Contents</w:t>
          </w:r>
          <w:r>
            <w:fldChar w:fldCharType="begin"/>
          </w:r>
          <w:r>
            <w:instrText xml:space="preserve"> TOC \o "1-2" \h \z \u </w:instrText>
          </w:r>
          <w:r>
            <w:fldChar w:fldCharType="separate"/>
          </w:r>
        </w:p>
        <w:p w14:paraId="7DBAEDFB" w14:textId="23115E0D" w:rsidR="00C30323" w:rsidRDefault="00C30323">
          <w:pPr>
            <w:pStyle w:val="TOC2"/>
            <w:tabs>
              <w:tab w:val="left" w:pos="720"/>
              <w:tab w:val="right" w:leader="dot" w:pos="9016"/>
            </w:tabs>
            <w:rPr>
              <w:rFonts w:eastAsiaTheme="minorEastAsia" w:cstheme="minorBidi"/>
              <w:noProof/>
              <w:szCs w:val="24"/>
              <w:lang w:val="en-AU" w:eastAsia="en-AU" w:bidi="ar-SA"/>
            </w:rPr>
          </w:pPr>
          <w:hyperlink w:anchor="_Toc216098972" w:history="1">
            <w:r w:rsidRPr="009040C7">
              <w:rPr>
                <w:rStyle w:val="Hyperlink"/>
                <w:noProof/>
              </w:rPr>
              <w:t>1.</w:t>
            </w:r>
            <w:r>
              <w:rPr>
                <w:rFonts w:eastAsiaTheme="minorEastAsia" w:cstheme="minorBidi"/>
                <w:noProof/>
                <w:szCs w:val="24"/>
                <w:lang w:val="en-AU" w:eastAsia="en-AU" w:bidi="ar-SA"/>
              </w:rPr>
              <w:tab/>
            </w:r>
            <w:r w:rsidRPr="009040C7">
              <w:rPr>
                <w:rStyle w:val="Hyperlink"/>
                <w:noProof/>
              </w:rPr>
              <w:t>Background</w:t>
            </w:r>
            <w:r>
              <w:rPr>
                <w:noProof/>
                <w:webHidden/>
              </w:rPr>
              <w:tab/>
            </w:r>
            <w:r>
              <w:rPr>
                <w:noProof/>
                <w:webHidden/>
              </w:rPr>
              <w:fldChar w:fldCharType="begin"/>
            </w:r>
            <w:r>
              <w:rPr>
                <w:noProof/>
                <w:webHidden/>
              </w:rPr>
              <w:instrText xml:space="preserve"> PAGEREF _Toc216098972 \h </w:instrText>
            </w:r>
            <w:r>
              <w:rPr>
                <w:noProof/>
                <w:webHidden/>
              </w:rPr>
            </w:r>
            <w:r>
              <w:rPr>
                <w:noProof/>
                <w:webHidden/>
              </w:rPr>
              <w:fldChar w:fldCharType="separate"/>
            </w:r>
            <w:r w:rsidR="00C343FF">
              <w:rPr>
                <w:noProof/>
                <w:webHidden/>
              </w:rPr>
              <w:t>2</w:t>
            </w:r>
            <w:r>
              <w:rPr>
                <w:noProof/>
                <w:webHidden/>
              </w:rPr>
              <w:fldChar w:fldCharType="end"/>
            </w:r>
          </w:hyperlink>
        </w:p>
        <w:p w14:paraId="0748BDF5" w14:textId="340F86B9" w:rsidR="00C30323" w:rsidRDefault="00C30323">
          <w:pPr>
            <w:pStyle w:val="TOC2"/>
            <w:tabs>
              <w:tab w:val="left" w:pos="720"/>
              <w:tab w:val="right" w:leader="dot" w:pos="9016"/>
            </w:tabs>
            <w:rPr>
              <w:rFonts w:eastAsiaTheme="minorEastAsia" w:cstheme="minorBidi"/>
              <w:noProof/>
              <w:szCs w:val="24"/>
              <w:lang w:val="en-AU" w:eastAsia="en-AU" w:bidi="ar-SA"/>
            </w:rPr>
          </w:pPr>
          <w:hyperlink w:anchor="_Toc216098973" w:history="1">
            <w:r w:rsidRPr="009040C7">
              <w:rPr>
                <w:rStyle w:val="Hyperlink"/>
                <w:noProof/>
              </w:rPr>
              <w:t>2.</w:t>
            </w:r>
            <w:r>
              <w:rPr>
                <w:rFonts w:eastAsiaTheme="minorEastAsia" w:cstheme="minorBidi"/>
                <w:noProof/>
                <w:szCs w:val="24"/>
                <w:lang w:val="en-AU" w:eastAsia="en-AU" w:bidi="ar-SA"/>
              </w:rPr>
              <w:tab/>
            </w:r>
            <w:r w:rsidRPr="009040C7">
              <w:rPr>
                <w:rStyle w:val="Hyperlink"/>
                <w:noProof/>
              </w:rPr>
              <w:t>Eligibility</w:t>
            </w:r>
            <w:r>
              <w:rPr>
                <w:noProof/>
                <w:webHidden/>
              </w:rPr>
              <w:tab/>
            </w:r>
            <w:r>
              <w:rPr>
                <w:noProof/>
                <w:webHidden/>
              </w:rPr>
              <w:fldChar w:fldCharType="begin"/>
            </w:r>
            <w:r>
              <w:rPr>
                <w:noProof/>
                <w:webHidden/>
              </w:rPr>
              <w:instrText xml:space="preserve"> PAGEREF _Toc216098973 \h </w:instrText>
            </w:r>
            <w:r>
              <w:rPr>
                <w:noProof/>
                <w:webHidden/>
              </w:rPr>
            </w:r>
            <w:r>
              <w:rPr>
                <w:noProof/>
                <w:webHidden/>
              </w:rPr>
              <w:fldChar w:fldCharType="separate"/>
            </w:r>
            <w:r w:rsidR="00C343FF">
              <w:rPr>
                <w:noProof/>
                <w:webHidden/>
              </w:rPr>
              <w:t>3</w:t>
            </w:r>
            <w:r>
              <w:rPr>
                <w:noProof/>
                <w:webHidden/>
              </w:rPr>
              <w:fldChar w:fldCharType="end"/>
            </w:r>
          </w:hyperlink>
        </w:p>
        <w:p w14:paraId="0CAC1894" w14:textId="4CAB52D4" w:rsidR="00C30323" w:rsidRDefault="00C30323">
          <w:pPr>
            <w:pStyle w:val="TOC2"/>
            <w:tabs>
              <w:tab w:val="left" w:pos="720"/>
              <w:tab w:val="right" w:leader="dot" w:pos="9016"/>
            </w:tabs>
            <w:rPr>
              <w:rFonts w:eastAsiaTheme="minorEastAsia" w:cstheme="minorBidi"/>
              <w:noProof/>
              <w:szCs w:val="24"/>
              <w:lang w:val="en-AU" w:eastAsia="en-AU" w:bidi="ar-SA"/>
            </w:rPr>
          </w:pPr>
          <w:hyperlink w:anchor="_Toc216098974" w:history="1">
            <w:r w:rsidRPr="009040C7">
              <w:rPr>
                <w:rStyle w:val="Hyperlink"/>
                <w:noProof/>
              </w:rPr>
              <w:t>3.</w:t>
            </w:r>
            <w:r>
              <w:rPr>
                <w:rFonts w:eastAsiaTheme="minorEastAsia" w:cstheme="minorBidi"/>
                <w:noProof/>
                <w:szCs w:val="24"/>
                <w:lang w:val="en-AU" w:eastAsia="en-AU" w:bidi="ar-SA"/>
              </w:rPr>
              <w:tab/>
            </w:r>
            <w:r w:rsidRPr="009040C7">
              <w:rPr>
                <w:rStyle w:val="Hyperlink"/>
                <w:noProof/>
              </w:rPr>
              <w:t>Agreement length and budget</w:t>
            </w:r>
            <w:r>
              <w:rPr>
                <w:noProof/>
                <w:webHidden/>
              </w:rPr>
              <w:tab/>
            </w:r>
            <w:r>
              <w:rPr>
                <w:noProof/>
                <w:webHidden/>
              </w:rPr>
              <w:fldChar w:fldCharType="begin"/>
            </w:r>
            <w:r>
              <w:rPr>
                <w:noProof/>
                <w:webHidden/>
              </w:rPr>
              <w:instrText xml:space="preserve"> PAGEREF _Toc216098974 \h </w:instrText>
            </w:r>
            <w:r>
              <w:rPr>
                <w:noProof/>
                <w:webHidden/>
              </w:rPr>
            </w:r>
            <w:r>
              <w:rPr>
                <w:noProof/>
                <w:webHidden/>
              </w:rPr>
              <w:fldChar w:fldCharType="separate"/>
            </w:r>
            <w:r w:rsidR="00C343FF">
              <w:rPr>
                <w:noProof/>
                <w:webHidden/>
              </w:rPr>
              <w:t>4</w:t>
            </w:r>
            <w:r>
              <w:rPr>
                <w:noProof/>
                <w:webHidden/>
              </w:rPr>
              <w:fldChar w:fldCharType="end"/>
            </w:r>
          </w:hyperlink>
        </w:p>
        <w:p w14:paraId="41379E90" w14:textId="747A3B86" w:rsidR="00C30323" w:rsidRDefault="00C30323">
          <w:pPr>
            <w:pStyle w:val="TOC2"/>
            <w:tabs>
              <w:tab w:val="left" w:pos="720"/>
              <w:tab w:val="right" w:leader="dot" w:pos="9016"/>
            </w:tabs>
            <w:rPr>
              <w:rFonts w:eastAsiaTheme="minorEastAsia" w:cstheme="minorBidi"/>
              <w:noProof/>
              <w:szCs w:val="24"/>
              <w:lang w:val="en-AU" w:eastAsia="en-AU" w:bidi="ar-SA"/>
            </w:rPr>
          </w:pPr>
          <w:hyperlink w:anchor="_Toc216098975" w:history="1">
            <w:r w:rsidRPr="009040C7">
              <w:rPr>
                <w:rStyle w:val="Hyperlink"/>
                <w:noProof/>
              </w:rPr>
              <w:t>4.</w:t>
            </w:r>
            <w:r>
              <w:rPr>
                <w:rFonts w:eastAsiaTheme="minorEastAsia" w:cstheme="minorBidi"/>
                <w:noProof/>
                <w:szCs w:val="24"/>
                <w:lang w:val="en-AU" w:eastAsia="en-AU" w:bidi="ar-SA"/>
              </w:rPr>
              <w:tab/>
            </w:r>
            <w:r w:rsidRPr="009040C7">
              <w:rPr>
                <w:rStyle w:val="Hyperlink"/>
                <w:noProof/>
              </w:rPr>
              <w:t>Guidance on preparing proposals</w:t>
            </w:r>
            <w:r>
              <w:rPr>
                <w:noProof/>
                <w:webHidden/>
              </w:rPr>
              <w:tab/>
            </w:r>
            <w:r>
              <w:rPr>
                <w:noProof/>
                <w:webHidden/>
              </w:rPr>
              <w:fldChar w:fldCharType="begin"/>
            </w:r>
            <w:r>
              <w:rPr>
                <w:noProof/>
                <w:webHidden/>
              </w:rPr>
              <w:instrText xml:space="preserve"> PAGEREF _Toc216098975 \h </w:instrText>
            </w:r>
            <w:r>
              <w:rPr>
                <w:noProof/>
                <w:webHidden/>
              </w:rPr>
            </w:r>
            <w:r>
              <w:rPr>
                <w:noProof/>
                <w:webHidden/>
              </w:rPr>
              <w:fldChar w:fldCharType="separate"/>
            </w:r>
            <w:r w:rsidR="00C343FF">
              <w:rPr>
                <w:noProof/>
                <w:webHidden/>
              </w:rPr>
              <w:t>4</w:t>
            </w:r>
            <w:r>
              <w:rPr>
                <w:noProof/>
                <w:webHidden/>
              </w:rPr>
              <w:fldChar w:fldCharType="end"/>
            </w:r>
          </w:hyperlink>
        </w:p>
        <w:p w14:paraId="0DCAC804" w14:textId="7CCD6DC6" w:rsidR="00C30323" w:rsidRDefault="00C30323">
          <w:pPr>
            <w:pStyle w:val="TOC2"/>
            <w:tabs>
              <w:tab w:val="left" w:pos="720"/>
              <w:tab w:val="right" w:leader="dot" w:pos="9016"/>
            </w:tabs>
            <w:rPr>
              <w:rFonts w:eastAsiaTheme="minorEastAsia" w:cstheme="minorBidi"/>
              <w:noProof/>
              <w:szCs w:val="24"/>
              <w:lang w:val="en-AU" w:eastAsia="en-AU" w:bidi="ar-SA"/>
            </w:rPr>
          </w:pPr>
          <w:hyperlink w:anchor="_Toc216098976" w:history="1">
            <w:r w:rsidRPr="009040C7">
              <w:rPr>
                <w:rStyle w:val="Hyperlink"/>
                <w:noProof/>
              </w:rPr>
              <w:t>5.</w:t>
            </w:r>
            <w:r>
              <w:rPr>
                <w:rFonts w:eastAsiaTheme="minorEastAsia" w:cstheme="minorBidi"/>
                <w:noProof/>
                <w:szCs w:val="24"/>
                <w:lang w:val="en-AU" w:eastAsia="en-AU" w:bidi="ar-SA"/>
              </w:rPr>
              <w:tab/>
            </w:r>
            <w:r w:rsidRPr="009040C7">
              <w:rPr>
                <w:rStyle w:val="Hyperlink"/>
                <w:noProof/>
              </w:rPr>
              <w:t>Selection process and criteria</w:t>
            </w:r>
            <w:r>
              <w:rPr>
                <w:noProof/>
                <w:webHidden/>
              </w:rPr>
              <w:tab/>
            </w:r>
            <w:r>
              <w:rPr>
                <w:noProof/>
                <w:webHidden/>
              </w:rPr>
              <w:fldChar w:fldCharType="begin"/>
            </w:r>
            <w:r>
              <w:rPr>
                <w:noProof/>
                <w:webHidden/>
              </w:rPr>
              <w:instrText xml:space="preserve"> PAGEREF _Toc216098976 \h </w:instrText>
            </w:r>
            <w:r>
              <w:rPr>
                <w:noProof/>
                <w:webHidden/>
              </w:rPr>
            </w:r>
            <w:r>
              <w:rPr>
                <w:noProof/>
                <w:webHidden/>
              </w:rPr>
              <w:fldChar w:fldCharType="separate"/>
            </w:r>
            <w:r w:rsidR="00C343FF">
              <w:rPr>
                <w:noProof/>
                <w:webHidden/>
              </w:rPr>
              <w:t>5</w:t>
            </w:r>
            <w:r>
              <w:rPr>
                <w:noProof/>
                <w:webHidden/>
              </w:rPr>
              <w:fldChar w:fldCharType="end"/>
            </w:r>
          </w:hyperlink>
        </w:p>
        <w:p w14:paraId="376802CB" w14:textId="737A576D" w:rsidR="00C30323" w:rsidRDefault="00C30323">
          <w:pPr>
            <w:pStyle w:val="TOC2"/>
            <w:tabs>
              <w:tab w:val="left" w:pos="720"/>
              <w:tab w:val="right" w:leader="dot" w:pos="9016"/>
            </w:tabs>
            <w:rPr>
              <w:rFonts w:eastAsiaTheme="minorEastAsia" w:cstheme="minorBidi"/>
              <w:noProof/>
              <w:szCs w:val="24"/>
              <w:lang w:val="en-AU" w:eastAsia="en-AU" w:bidi="ar-SA"/>
            </w:rPr>
          </w:pPr>
          <w:hyperlink w:anchor="_Toc216098977" w:history="1">
            <w:r w:rsidRPr="009040C7">
              <w:rPr>
                <w:rStyle w:val="Hyperlink"/>
                <w:noProof/>
                <w:lang w:val="en-AU"/>
              </w:rPr>
              <w:t>6.</w:t>
            </w:r>
            <w:r>
              <w:rPr>
                <w:rFonts w:eastAsiaTheme="minorEastAsia" w:cstheme="minorBidi"/>
                <w:noProof/>
                <w:szCs w:val="24"/>
                <w:lang w:val="en-AU" w:eastAsia="en-AU" w:bidi="ar-SA"/>
              </w:rPr>
              <w:tab/>
            </w:r>
            <w:r w:rsidRPr="009040C7">
              <w:rPr>
                <w:rStyle w:val="Hyperlink"/>
                <w:noProof/>
                <w:lang w:val="en-AU"/>
              </w:rPr>
              <w:t>Timeline</w:t>
            </w:r>
            <w:r>
              <w:rPr>
                <w:noProof/>
                <w:webHidden/>
              </w:rPr>
              <w:tab/>
            </w:r>
            <w:r>
              <w:rPr>
                <w:noProof/>
                <w:webHidden/>
              </w:rPr>
              <w:fldChar w:fldCharType="begin"/>
            </w:r>
            <w:r>
              <w:rPr>
                <w:noProof/>
                <w:webHidden/>
              </w:rPr>
              <w:instrText xml:space="preserve"> PAGEREF _Toc216098977 \h </w:instrText>
            </w:r>
            <w:r>
              <w:rPr>
                <w:noProof/>
                <w:webHidden/>
              </w:rPr>
            </w:r>
            <w:r>
              <w:rPr>
                <w:noProof/>
                <w:webHidden/>
              </w:rPr>
              <w:fldChar w:fldCharType="separate"/>
            </w:r>
            <w:r w:rsidR="00C343FF">
              <w:rPr>
                <w:noProof/>
                <w:webHidden/>
              </w:rPr>
              <w:t>6</w:t>
            </w:r>
            <w:r>
              <w:rPr>
                <w:noProof/>
                <w:webHidden/>
              </w:rPr>
              <w:fldChar w:fldCharType="end"/>
            </w:r>
          </w:hyperlink>
        </w:p>
        <w:p w14:paraId="0A41167A" w14:textId="2C3FE836" w:rsidR="00C30323" w:rsidRDefault="00C30323" w:rsidP="00C30323">
          <w:pPr>
            <w:ind w:left="0"/>
          </w:pPr>
          <w:r>
            <w:rPr>
              <w:rFonts w:cs="Angsana New"/>
            </w:rPr>
            <w:fldChar w:fldCharType="end"/>
          </w:r>
        </w:p>
      </w:sdtContent>
    </w:sdt>
    <w:p w14:paraId="533C8A46" w14:textId="77777777" w:rsidR="00D07DAA" w:rsidRDefault="00D07DAA" w:rsidP="00FA24DE">
      <w:pPr>
        <w:rPr>
          <w:lang w:val="en-AU" w:bidi="ar-SA"/>
        </w:rPr>
      </w:pPr>
    </w:p>
    <w:p w14:paraId="3E5F7682" w14:textId="2DC94D0E" w:rsidR="00ED64BE" w:rsidRDefault="00ED64BE" w:rsidP="00FA24DE">
      <w:r>
        <w:br w:type="page"/>
      </w:r>
    </w:p>
    <w:p w14:paraId="3BA5F6ED" w14:textId="22DF46F3" w:rsidR="00ED64BE" w:rsidRPr="007F5B99" w:rsidRDefault="00ED64BE" w:rsidP="007F5B99">
      <w:pPr>
        <w:pStyle w:val="Heading2"/>
      </w:pPr>
      <w:bookmarkStart w:id="1" w:name="_Toc216098972"/>
      <w:r w:rsidRPr="007F5B99">
        <w:lastRenderedPageBreak/>
        <w:t>Background</w:t>
      </w:r>
      <w:bookmarkEnd w:id="1"/>
      <w:r w:rsidRPr="007F5B99">
        <w:t xml:space="preserve"> </w:t>
      </w:r>
    </w:p>
    <w:p w14:paraId="78D99440" w14:textId="77777777" w:rsidR="00ED64BE" w:rsidRPr="00ED64BE" w:rsidRDefault="00ED64BE" w:rsidP="007F5B99">
      <w:pPr>
        <w:pStyle w:val="ListParagraph"/>
      </w:pPr>
      <w:r w:rsidRPr="00ED64BE">
        <w:t xml:space="preserve">Fiji recorded its highest ever annual total of HIV diagnoses in 2024 (1,583 cases), with the number of new cases </w:t>
      </w:r>
      <w:r w:rsidRPr="007D43CE">
        <w:t>reported</w:t>
      </w:r>
      <w:r w:rsidRPr="00ED64BE">
        <w:t xml:space="preserve"> up nearly threefold on the previous year and almost nine times since 2018. The Government of Fiji formally declared an HIV outbreak in January 2025. </w:t>
      </w:r>
    </w:p>
    <w:p w14:paraId="4E1961D2" w14:textId="77777777" w:rsidR="00ED64BE" w:rsidRDefault="00ED64BE" w:rsidP="007F5B99">
      <w:pPr>
        <w:pStyle w:val="ListParagraph"/>
      </w:pPr>
      <w:r>
        <w:t xml:space="preserve">The reported incidence of HIV in other Pacific Island countries (PICs) has to date been low. However, these countries share multiple risk factors making the transmission of HIV more likely. </w:t>
      </w:r>
    </w:p>
    <w:p w14:paraId="3ECA97D2" w14:textId="77777777" w:rsidR="00ED64BE" w:rsidRDefault="00ED64BE" w:rsidP="007F5B99">
      <w:pPr>
        <w:pStyle w:val="ListParagraph"/>
      </w:pPr>
      <w:r>
        <w:t>Rising rates of HIV would create a major, long-term burden on the region, compounded by increasing rates of co-infections, particularly tuberculosis (TB), sexually transmitted infections (STIs) and blood-borne viruses such as viral hepatitis.</w:t>
      </w:r>
    </w:p>
    <w:p w14:paraId="67727867" w14:textId="2D0FCDF9" w:rsidR="00ED64BE" w:rsidRPr="009A1DAD" w:rsidRDefault="005B10EF" w:rsidP="009A1DAD">
      <w:pPr>
        <w:pStyle w:val="Heading3"/>
      </w:pPr>
      <w:r w:rsidRPr="009A1DAD">
        <w:t xml:space="preserve">Australian Support for Pacific HIV Action </w:t>
      </w:r>
    </w:p>
    <w:p w14:paraId="1007E1F7" w14:textId="7FD7ECD3" w:rsidR="0094615C" w:rsidRDefault="00BA2A95" w:rsidP="007F5B99">
      <w:pPr>
        <w:pStyle w:val="ListParagraph"/>
      </w:pPr>
      <w:r w:rsidRPr="00BA2A95">
        <w:t xml:space="preserve">Australian Support for Pacific HIV Action (ASPHA) is a six-year (2025-26 to </w:t>
      </w:r>
      <w:r w:rsidRPr="0086530D">
        <w:t>2030</w:t>
      </w:r>
      <w:r w:rsidR="00710867">
        <w:noBreakHyphen/>
      </w:r>
      <w:r w:rsidRPr="0086530D">
        <w:t>31</w:t>
      </w:r>
      <w:r w:rsidRPr="00BA2A95">
        <w:t>) Australian Government investment of a minimum of $48 million to strengthen the capacity of Fiji and other ODA-eligible PICs</w:t>
      </w:r>
      <w:r w:rsidR="00715C17">
        <w:rPr>
          <w:rStyle w:val="FootnoteReference"/>
        </w:rPr>
        <w:footnoteReference w:id="1"/>
      </w:r>
      <w:r w:rsidRPr="00BA2A95">
        <w:t xml:space="preserve"> to detect, prevent, and contain HIV and related co-infections. ASPHA was announced by Australia’s Minister for Foreign Affairs in November 2025. It will support </w:t>
      </w:r>
      <w:proofErr w:type="gramStart"/>
      <w:r w:rsidRPr="00BA2A95">
        <w:t>nationally-led</w:t>
      </w:r>
      <w:proofErr w:type="gramEnd"/>
      <w:r w:rsidRPr="00BA2A95">
        <w:t xml:space="preserve"> HIV response efforts, with Australian support intended to encourage partner government co-investment and embed sustainable, long-term, </w:t>
      </w:r>
      <w:proofErr w:type="gramStart"/>
      <w:r w:rsidRPr="00BA2A95">
        <w:t>nationally-led</w:t>
      </w:r>
      <w:proofErr w:type="gramEnd"/>
      <w:r w:rsidRPr="00BA2A95">
        <w:t xml:space="preserve"> approaches to managing HIV as a public health threat.</w:t>
      </w:r>
    </w:p>
    <w:p w14:paraId="4C367213" w14:textId="77777777" w:rsidR="00780B4C" w:rsidRDefault="00780B4C" w:rsidP="007F5B99">
      <w:pPr>
        <w:pStyle w:val="ListParagraph"/>
      </w:pPr>
      <w:r>
        <w:t>ASPHA will be delivered through three complementary streams:</w:t>
      </w:r>
    </w:p>
    <w:p w14:paraId="5FC30EE1" w14:textId="13256869" w:rsidR="00780B4C" w:rsidRDefault="00780B4C" w:rsidP="007F5B99">
      <w:pPr>
        <w:pStyle w:val="ListParagraph"/>
        <w:numPr>
          <w:ilvl w:val="3"/>
          <w:numId w:val="6"/>
        </w:numPr>
        <w:ind w:left="1276" w:hanging="425"/>
      </w:pPr>
      <w:r>
        <w:t xml:space="preserve">a National Systems stream </w:t>
      </w:r>
      <w:r w:rsidR="005564D5">
        <w:t xml:space="preserve">to </w:t>
      </w:r>
      <w:r>
        <w:t xml:space="preserve">support strengthening government-led HIV </w:t>
      </w:r>
      <w:proofErr w:type="gramStart"/>
      <w:r>
        <w:t>responses;</w:t>
      </w:r>
      <w:proofErr w:type="gramEnd"/>
    </w:p>
    <w:p w14:paraId="591EAE9F" w14:textId="6BF136BB" w:rsidR="00780B4C" w:rsidRDefault="00780B4C" w:rsidP="007F5B99">
      <w:pPr>
        <w:pStyle w:val="ListParagraph"/>
        <w:numPr>
          <w:ilvl w:val="3"/>
          <w:numId w:val="6"/>
        </w:numPr>
        <w:ind w:left="1276" w:hanging="425"/>
      </w:pPr>
      <w:r>
        <w:t xml:space="preserve">a </w:t>
      </w:r>
      <w:proofErr w:type="gramStart"/>
      <w:r>
        <w:t>Community</w:t>
      </w:r>
      <w:proofErr w:type="gramEnd"/>
      <w:r>
        <w:t xml:space="preserve"> stream </w:t>
      </w:r>
      <w:r w:rsidR="005564D5">
        <w:t xml:space="preserve">to </w:t>
      </w:r>
      <w:r>
        <w:t>bolster community-led and non-governmental responses; and</w:t>
      </w:r>
    </w:p>
    <w:p w14:paraId="091DDE49" w14:textId="68191832" w:rsidR="00780B4C" w:rsidRDefault="00780B4C" w:rsidP="00DF1CAB">
      <w:pPr>
        <w:pStyle w:val="ListParagraph"/>
        <w:numPr>
          <w:ilvl w:val="3"/>
          <w:numId w:val="6"/>
        </w:numPr>
        <w:ind w:left="1276" w:hanging="425"/>
      </w:pPr>
      <w:r>
        <w:t xml:space="preserve">a Commodity stream to procure high-priority commodities (not part of this call for proposals). </w:t>
      </w:r>
    </w:p>
    <w:p w14:paraId="52FAB594" w14:textId="18619BAB" w:rsidR="00F677A2" w:rsidRDefault="00F677A2" w:rsidP="009A1DAD">
      <w:pPr>
        <w:pStyle w:val="Heading3"/>
      </w:pPr>
      <w:r>
        <w:t xml:space="preserve">Country-specific approaches </w:t>
      </w:r>
    </w:p>
    <w:p w14:paraId="38D1140F" w14:textId="665E7322" w:rsidR="00B5242E" w:rsidRDefault="00B5242E" w:rsidP="007F5B99">
      <w:pPr>
        <w:pStyle w:val="ListParagraph"/>
      </w:pPr>
      <w:r>
        <w:t>ASPHA is intended to be flexible</w:t>
      </w:r>
      <w:r w:rsidR="009E0C89">
        <w:t xml:space="preserve"> and adaptive</w:t>
      </w:r>
      <w:r>
        <w:t xml:space="preserve"> to country circumstances, including as these change over the course of the initiative. ASPHA implementing partners will need to be able to scale interventions and reallocate resources accordingly.</w:t>
      </w:r>
    </w:p>
    <w:p w14:paraId="47FB64DB" w14:textId="77777777" w:rsidR="00B5242E" w:rsidRDefault="00B5242E" w:rsidP="007F5B99">
      <w:pPr>
        <w:pStyle w:val="ListParagraph"/>
      </w:pPr>
      <w:r>
        <w:lastRenderedPageBreak/>
        <w:t>In Fiji, where the HIV epidemic is escalating rapidly, ASPHA will prioritise support for the implementation of the National HIV Outbreak Response Plan and any subsequent national strategies.</w:t>
      </w:r>
    </w:p>
    <w:p w14:paraId="1259047F" w14:textId="31F4C92F" w:rsidR="00B5242E" w:rsidRDefault="00B5242E" w:rsidP="007F5B99">
      <w:pPr>
        <w:pStyle w:val="ListParagraph"/>
      </w:pPr>
      <w:r>
        <w:t xml:space="preserve">In other ODA-eligible PICs, Australia’s support will be informed by baseline ‘rapid assessments’ of national HIV and TB programs funded by DFAT and undertaken by the Burnet Institute. These assessments will generally not be complete before the close of applications, and detailed planning for interventions in these countries is not required in this call for proposals. Successful applicants will have an opportunity to </w:t>
      </w:r>
      <w:r w:rsidR="00A06034">
        <w:t xml:space="preserve">access these assessments and </w:t>
      </w:r>
      <w:r>
        <w:t xml:space="preserve">refine their approach during the inception phase (July-December 2026). </w:t>
      </w:r>
    </w:p>
    <w:p w14:paraId="7C0E34EE" w14:textId="77777777" w:rsidR="00B5242E" w:rsidRDefault="00B5242E" w:rsidP="007F5B99">
      <w:pPr>
        <w:pStyle w:val="ListParagraph"/>
      </w:pPr>
      <w:r>
        <w:t>ASPHA will also provide some targeted support to PNG, generally through PNG’s inclusion in region-wide activities. Australia’s bilateral health program will remain the main channel for support to PNG on HIV.</w:t>
      </w:r>
    </w:p>
    <w:p w14:paraId="48118286" w14:textId="6E98FCA3" w:rsidR="00B5242E" w:rsidRDefault="00B5242E" w:rsidP="007F5B99">
      <w:pPr>
        <w:pStyle w:val="ListParagraph"/>
      </w:pPr>
      <w:r>
        <w:t>Further information on ASPHA, including the development objectives and End of Program Outcomes</w:t>
      </w:r>
      <w:r w:rsidR="00AF642E">
        <w:t xml:space="preserve"> (EO</w:t>
      </w:r>
      <w:r w:rsidR="00FD3AE7">
        <w:t>PO)</w:t>
      </w:r>
      <w:r>
        <w:t xml:space="preserve">, is available in the ASPHA Investment Concept Note available at: </w:t>
      </w:r>
      <w:hyperlink r:id="rId11" w:history="1">
        <w:r w:rsidR="00B5742E" w:rsidRPr="000761EA">
          <w:rPr>
            <w:rStyle w:val="Hyperlink"/>
          </w:rPr>
          <w:t>https://www.dfat.gov.au/publications/development/australian-support-pacific-hiv-action-investment-concept-note</w:t>
        </w:r>
      </w:hyperlink>
      <w:r w:rsidR="00555C1D">
        <w:t>.</w:t>
      </w:r>
      <w:r w:rsidR="00B5742E">
        <w:t xml:space="preserve"> </w:t>
      </w:r>
    </w:p>
    <w:p w14:paraId="40C54AAB" w14:textId="2C0300A4" w:rsidR="00780B4C" w:rsidRDefault="000402BF" w:rsidP="007F5B99">
      <w:pPr>
        <w:pStyle w:val="Heading2"/>
      </w:pPr>
      <w:bookmarkStart w:id="2" w:name="_Toc216098973"/>
      <w:r w:rsidRPr="00D56081">
        <w:t>Eli</w:t>
      </w:r>
      <w:r w:rsidR="0079606A" w:rsidRPr="00D56081">
        <w:t>gibility</w:t>
      </w:r>
      <w:bookmarkEnd w:id="2"/>
      <w:r w:rsidR="0079606A">
        <w:t xml:space="preserve"> </w:t>
      </w:r>
    </w:p>
    <w:p w14:paraId="46536C30" w14:textId="0F16B37B" w:rsidR="0079606A" w:rsidRDefault="009A75BE" w:rsidP="009A1DAD">
      <w:pPr>
        <w:pStyle w:val="Heading3"/>
      </w:pPr>
      <w:r>
        <w:t xml:space="preserve">Eligibility criteria </w:t>
      </w:r>
    </w:p>
    <w:p w14:paraId="7DB9BE17" w14:textId="0C6A333E" w:rsidR="003E778C" w:rsidRPr="003E778C" w:rsidRDefault="003E778C" w:rsidP="007F5B99">
      <w:pPr>
        <w:pStyle w:val="ListParagraph"/>
      </w:pPr>
      <w:r w:rsidRPr="00A65B5B">
        <w:t>Applications</w:t>
      </w:r>
      <w:r w:rsidRPr="003E778C">
        <w:t xml:space="preserve"> are invited </w:t>
      </w:r>
      <w:r w:rsidR="000D1B4A" w:rsidRPr="003E778C">
        <w:t xml:space="preserve">from eligible organisations or consortia of eligible organisations </w:t>
      </w:r>
      <w:r w:rsidRPr="003E778C">
        <w:t>to deliver the National Systems and Community streams.</w:t>
      </w:r>
    </w:p>
    <w:p w14:paraId="59BE642D" w14:textId="77777777" w:rsidR="003E778C" w:rsidRPr="003E778C" w:rsidRDefault="003E778C" w:rsidP="007F5B99">
      <w:pPr>
        <w:pStyle w:val="ListParagraph"/>
      </w:pPr>
      <w:r w:rsidRPr="003E778C">
        <w:t xml:space="preserve">For the purposes of this call for proposals, an eligible organisation is a non-governmental organisation (NGO), civil society organisation (CSO), a university, a research institution or a Pacific regional organisation. </w:t>
      </w:r>
    </w:p>
    <w:p w14:paraId="7815FADF" w14:textId="3FC6B70F" w:rsidR="003E778C" w:rsidRPr="003E778C" w:rsidRDefault="003E778C" w:rsidP="007F5B99">
      <w:pPr>
        <w:pStyle w:val="ListParagraph"/>
      </w:pPr>
      <w:r w:rsidRPr="003E778C">
        <w:t xml:space="preserve">Government agencies, multilateral organisations, managing contractors, commercial service providers and development banks are not eligible organisations, cannot submit applications </w:t>
      </w:r>
      <w:r w:rsidR="00AA681B">
        <w:t>n</w:t>
      </w:r>
      <w:r w:rsidRPr="003E778C">
        <w:t>or form part of a consortium. This does not limit subsequent subcontract or subgrant arrangements, provided these are consistent with the terms and requirements of the funding agreement with DFAT.</w:t>
      </w:r>
    </w:p>
    <w:p w14:paraId="7E4625C2" w14:textId="77777777" w:rsidR="003E778C" w:rsidRPr="003E778C" w:rsidRDefault="003E778C" w:rsidP="007F5B99">
      <w:pPr>
        <w:pStyle w:val="ListParagraph"/>
      </w:pPr>
      <w:r w:rsidRPr="003E778C">
        <w:t>Consortia must nominate a lead organisation, which will be responsible to DFAT for the performance of the consortium under the agreement and accountable for all funds and compliance requirements.</w:t>
      </w:r>
    </w:p>
    <w:p w14:paraId="64238147" w14:textId="77777777" w:rsidR="003E778C" w:rsidRPr="003E778C" w:rsidRDefault="003E778C" w:rsidP="007F5B99">
      <w:pPr>
        <w:pStyle w:val="ListParagraph"/>
      </w:pPr>
      <w:r w:rsidRPr="003E778C">
        <w:t>An organisation may submit only one proposal as an individual application or consortium lead. An organisation cannot be the lead organisation for proposals submitted in more than one stream. There is no limit on the number of proposals for which an organisation can be a consortium partner.</w:t>
      </w:r>
    </w:p>
    <w:p w14:paraId="3EBDC0AB" w14:textId="797CC13B" w:rsidR="009A75BE" w:rsidRDefault="00666FC3" w:rsidP="007F5B99">
      <w:pPr>
        <w:pStyle w:val="Heading2"/>
      </w:pPr>
      <w:bookmarkStart w:id="3" w:name="_Toc216098974"/>
      <w:r>
        <w:lastRenderedPageBreak/>
        <w:t xml:space="preserve">Agreement </w:t>
      </w:r>
      <w:r w:rsidR="00C93D9E">
        <w:t>length and budget</w:t>
      </w:r>
      <w:bookmarkEnd w:id="3"/>
      <w:r w:rsidR="00C93D9E">
        <w:t xml:space="preserve"> </w:t>
      </w:r>
    </w:p>
    <w:p w14:paraId="66636E78" w14:textId="33CB96EB" w:rsidR="00573AC3" w:rsidRDefault="00522507" w:rsidP="007F5B99">
      <w:pPr>
        <w:pStyle w:val="ListParagraph"/>
      </w:pPr>
      <w:r>
        <w:t>T</w:t>
      </w:r>
      <w:r w:rsidR="00573AC3">
        <w:t>he HIV outbreak in Fiji is escalating rapidly. There is a risk of fast-moving outbreaks elsewhere in the Pacific. DFAT recognises that Australia’s approach to supporting regional HIV responses may need to change significantly in coming years.</w:t>
      </w:r>
    </w:p>
    <w:p w14:paraId="194A2D8A" w14:textId="7DF9772A" w:rsidR="0060097C" w:rsidRDefault="00573AC3" w:rsidP="007F5B99">
      <w:pPr>
        <w:pStyle w:val="ListParagraph"/>
      </w:pPr>
      <w:r>
        <w:t xml:space="preserve">DFAT therefore invites proposals for an initial 30-month period (July 2026 – December 2028) and budget of $8 million for each of the National Systems and Community streams. </w:t>
      </w:r>
    </w:p>
    <w:p w14:paraId="2C8E819E" w14:textId="451D31B9" w:rsidR="00C93D9E" w:rsidRDefault="00573AC3" w:rsidP="007F5B99">
      <w:pPr>
        <w:pStyle w:val="ListParagraph"/>
      </w:pPr>
      <w:r>
        <w:t xml:space="preserve">Subject to need, progress, performance and available funding, DFAT may extend and/or expand funding agreements </w:t>
      </w:r>
      <w:proofErr w:type="gramStart"/>
      <w:r>
        <w:t>at a later date</w:t>
      </w:r>
      <w:proofErr w:type="gramEnd"/>
      <w:r>
        <w:t>.</w:t>
      </w:r>
    </w:p>
    <w:p w14:paraId="0587B8E7" w14:textId="5FACD70A" w:rsidR="003C0756" w:rsidRDefault="007933D3" w:rsidP="007F5B99">
      <w:pPr>
        <w:pStyle w:val="ListParagraph"/>
      </w:pPr>
      <w:r w:rsidRPr="007933D3">
        <w:t>DFAT will engage partners for other elements of ASPHA, including initial scoping and urgent response activities in the 2025-26 financial year and the Commodity stream, through separate processes. DFAT will also retain a flexible allocation of the ASPHA budget to respond to emerging priorities.</w:t>
      </w:r>
    </w:p>
    <w:p w14:paraId="5F0A16C2" w14:textId="61D5193A" w:rsidR="00A84F60" w:rsidRDefault="00A84F60" w:rsidP="007F5B99">
      <w:pPr>
        <w:pStyle w:val="Heading2"/>
      </w:pPr>
      <w:bookmarkStart w:id="4" w:name="_Toc216098975"/>
      <w:r>
        <w:t>Guidance on preparing proposals</w:t>
      </w:r>
      <w:bookmarkEnd w:id="4"/>
      <w:r>
        <w:t xml:space="preserve"> </w:t>
      </w:r>
    </w:p>
    <w:p w14:paraId="74748391" w14:textId="42288ACC" w:rsidR="00A84F60" w:rsidRDefault="00014271" w:rsidP="009A1DAD">
      <w:pPr>
        <w:pStyle w:val="Heading3"/>
      </w:pPr>
      <w:r w:rsidRPr="00014271">
        <w:t>Consultation in preparing proposals</w:t>
      </w:r>
    </w:p>
    <w:p w14:paraId="7504B494" w14:textId="77777777" w:rsidR="009D29A1" w:rsidRPr="009D29A1" w:rsidRDefault="009D29A1" w:rsidP="007F5B99">
      <w:pPr>
        <w:pStyle w:val="ListParagraph"/>
      </w:pPr>
      <w:r w:rsidRPr="009D29A1">
        <w:t>DFAT recognises the importance of meaningful consultation with partner governments, communities and key populations in design and implementation. However, DFAT does not expect applicants to undertake comprehensive consultations at the proposal development stage.</w:t>
      </w:r>
    </w:p>
    <w:p w14:paraId="50907D36" w14:textId="13DD0A4E" w:rsidR="009D29A1" w:rsidRPr="009D29A1" w:rsidRDefault="009D29A1" w:rsidP="007F5B99">
      <w:pPr>
        <w:pStyle w:val="ListParagraph"/>
      </w:pPr>
      <w:r w:rsidRPr="009D29A1">
        <w:t>Noting the acute pressures on Fiji’s health system</w:t>
      </w:r>
      <w:r w:rsidR="00CD579F">
        <w:t xml:space="preserve"> related to the HIV ou</w:t>
      </w:r>
      <w:r w:rsidR="00C21CBE">
        <w:t>tbreak</w:t>
      </w:r>
      <w:r w:rsidRPr="009D29A1">
        <w:t xml:space="preserve">, </w:t>
      </w:r>
      <w:r w:rsidRPr="00265986">
        <w:t xml:space="preserve">applicants </w:t>
      </w:r>
      <w:r w:rsidRPr="009D6064">
        <w:rPr>
          <w:b/>
          <w:bCs/>
        </w:rPr>
        <w:t>should not</w:t>
      </w:r>
      <w:r w:rsidRPr="00265986">
        <w:t xml:space="preserve"> consult Fiji’s Ministry of Health and Medical Services, including its Sexual Reproductive Health and HIV Unit, in relation to developing their proposal</w:t>
      </w:r>
      <w:r w:rsidRPr="009D29A1">
        <w:t xml:space="preserve">. </w:t>
      </w:r>
    </w:p>
    <w:p w14:paraId="52206CBD" w14:textId="28E05A41" w:rsidR="009D29A1" w:rsidRPr="009D29A1" w:rsidRDefault="009D29A1" w:rsidP="007F5B99">
      <w:pPr>
        <w:pStyle w:val="ListParagraph"/>
      </w:pPr>
      <w:r w:rsidRPr="009D29A1">
        <w:t xml:space="preserve">DFAT will instead make available a detailed document prepared by Fiji’s Ministry of Health and Medical Services on its priorities for support. Applicants may request this document by contacting </w:t>
      </w:r>
      <w:hyperlink r:id="rId12" w:history="1">
        <w:r w:rsidR="00795CD8" w:rsidRPr="000761EA">
          <w:rPr>
            <w:rStyle w:val="Hyperlink"/>
          </w:rPr>
          <w:t>chs@dfat.gov.au</w:t>
        </w:r>
      </w:hyperlink>
      <w:r w:rsidRPr="009D29A1">
        <w:t xml:space="preserve">. </w:t>
      </w:r>
    </w:p>
    <w:p w14:paraId="40F86C9F" w14:textId="77777777" w:rsidR="009D29A1" w:rsidRPr="009D29A1" w:rsidRDefault="009D29A1" w:rsidP="007F5B99">
      <w:pPr>
        <w:pStyle w:val="ListParagraph"/>
      </w:pPr>
      <w:r w:rsidRPr="009D29A1">
        <w:t xml:space="preserve">Applicants are not expected to incorporate all elements of this document into their proposal but to use it as a reference document in lieu of detailed consultations.  </w:t>
      </w:r>
    </w:p>
    <w:p w14:paraId="156BE110" w14:textId="16D6D131" w:rsidR="009D29A1" w:rsidRDefault="009D29A1" w:rsidP="007F5B99">
      <w:pPr>
        <w:pStyle w:val="ListParagraph"/>
      </w:pPr>
      <w:r w:rsidRPr="009D29A1">
        <w:t xml:space="preserve">Successful applicants will have </w:t>
      </w:r>
      <w:r w:rsidR="008C6966">
        <w:t>the opportunity</w:t>
      </w:r>
      <w:r w:rsidRPr="009D29A1">
        <w:t xml:space="preserve"> to undertake consultations as part of the inception phase. </w:t>
      </w:r>
    </w:p>
    <w:p w14:paraId="241F2962" w14:textId="0CD013B5" w:rsidR="0092743F" w:rsidRDefault="00D32B4D" w:rsidP="007F5B99">
      <w:pPr>
        <w:pStyle w:val="Heading2"/>
      </w:pPr>
      <w:bookmarkStart w:id="5" w:name="_Toc216098976"/>
      <w:r w:rsidRPr="00D32B4D">
        <w:t>Selection process and criteria</w:t>
      </w:r>
      <w:bookmarkEnd w:id="5"/>
    </w:p>
    <w:p w14:paraId="10C8EFD4" w14:textId="77777777" w:rsidR="003A1870" w:rsidRPr="003A1870" w:rsidRDefault="003A1870" w:rsidP="007F5B99">
      <w:pPr>
        <w:pStyle w:val="ListParagraph"/>
      </w:pPr>
      <w:r w:rsidRPr="007F5B99">
        <w:t>DFAT</w:t>
      </w:r>
      <w:r w:rsidRPr="003A1870">
        <w:t xml:space="preserve"> will undertake eligibility checks against the eligibility criteria listed in this document.</w:t>
      </w:r>
    </w:p>
    <w:p w14:paraId="07A551A4" w14:textId="77777777" w:rsidR="003A1870" w:rsidRPr="003A1870" w:rsidRDefault="003A1870" w:rsidP="007F5B99">
      <w:pPr>
        <w:pStyle w:val="ListParagraph"/>
      </w:pPr>
      <w:r w:rsidRPr="003A1870">
        <w:lastRenderedPageBreak/>
        <w:t xml:space="preserve">Eligible proposals will progress to the evaluation stage, where they will be assessed by a DFAT Evaluation Committee. </w:t>
      </w:r>
    </w:p>
    <w:p w14:paraId="6C39A7D7" w14:textId="77777777" w:rsidR="003A1870" w:rsidRPr="003A1870" w:rsidRDefault="003A1870" w:rsidP="007F5B99">
      <w:pPr>
        <w:pStyle w:val="ListParagraph"/>
      </w:pPr>
      <w:r w:rsidRPr="003A1870">
        <w:t>The Evaluation Committee will review applications against the following criteria and relative weightings:</w:t>
      </w:r>
    </w:p>
    <w:p w14:paraId="1248DE37" w14:textId="49FB287C" w:rsidR="00D32B4D" w:rsidRDefault="00C20BCA" w:rsidP="00510381">
      <w:pPr>
        <w:pStyle w:val="Heading3"/>
        <w:spacing w:after="40"/>
      </w:pPr>
      <w:r>
        <w:t xml:space="preserve">Criterion 1: </w:t>
      </w:r>
      <w:r w:rsidRPr="003F61D3">
        <w:t xml:space="preserve">Technical </w:t>
      </w:r>
      <w:r w:rsidRPr="009279CA">
        <w:t>Soundness</w:t>
      </w:r>
      <w:r w:rsidRPr="003F61D3">
        <w:t xml:space="preserve"> &amp; Strategic Alignment (</w:t>
      </w:r>
      <w:r>
        <w:t>4</w:t>
      </w:r>
      <w:r w:rsidRPr="003F61D3">
        <w:t>0%)</w:t>
      </w:r>
    </w:p>
    <w:p w14:paraId="39B85563" w14:textId="601577AE" w:rsidR="00B10643" w:rsidRPr="00510381" w:rsidRDefault="00B10643" w:rsidP="007F5B99">
      <w:pPr>
        <w:pStyle w:val="Bulletpoints"/>
      </w:pPr>
      <w:r>
        <w:t>P</w:t>
      </w:r>
      <w:r w:rsidRPr="00CE4E26">
        <w:t>roposed interventions and activities are evidence-based</w:t>
      </w:r>
      <w:r>
        <w:t xml:space="preserve"> </w:t>
      </w:r>
      <w:r w:rsidRPr="00CE4E26">
        <w:t xml:space="preserve">and would contribute to ASPHA’s </w:t>
      </w:r>
      <w:r w:rsidR="00FA7293">
        <w:t>policy</w:t>
      </w:r>
      <w:r w:rsidR="00FA7293" w:rsidRPr="00CE4E26">
        <w:t xml:space="preserve"> </w:t>
      </w:r>
      <w:r w:rsidRPr="00CE4E26">
        <w:t xml:space="preserve">objectives and </w:t>
      </w:r>
      <w:r w:rsidR="00FD3AE7">
        <w:t>EOPOs.</w:t>
      </w:r>
    </w:p>
    <w:p w14:paraId="236F4EE5" w14:textId="1A6FA64A" w:rsidR="00B10643" w:rsidRPr="00FE02EA" w:rsidRDefault="00B10643" w:rsidP="007F5B99">
      <w:pPr>
        <w:pStyle w:val="Bulletpoints"/>
      </w:pPr>
      <w:r>
        <w:t>Robustness</w:t>
      </w:r>
      <w:r w:rsidRPr="00FE02EA">
        <w:t xml:space="preserve"> of program logic linking interventions to outcomes, supported by a robust </w:t>
      </w:r>
      <w:r w:rsidR="00C43F7A">
        <w:t>monitoring, evaluation and learning (</w:t>
      </w:r>
      <w:r w:rsidRPr="00FE02EA">
        <w:t>MEL</w:t>
      </w:r>
      <w:r w:rsidR="00C43F7A">
        <w:t>)</w:t>
      </w:r>
      <w:r w:rsidRPr="00FE02EA">
        <w:t xml:space="preserve"> framework, including a gender outcome and integration of disability and social inclusion</w:t>
      </w:r>
      <w:r w:rsidR="00C43F7A">
        <w:t>.</w:t>
      </w:r>
    </w:p>
    <w:p w14:paraId="44FA1432" w14:textId="30E26411" w:rsidR="00C43F7A" w:rsidRPr="00D81D4D" w:rsidRDefault="00C43F7A" w:rsidP="00C43F7A">
      <w:pPr>
        <w:pStyle w:val="Bulletpoints"/>
      </w:pPr>
      <w:r>
        <w:t xml:space="preserve">Technical soundness and appropriateness of </w:t>
      </w:r>
      <w:r w:rsidR="007041EF" w:rsidRPr="00144C52">
        <w:t>gender equality, disability equity and social inclusion</w:t>
      </w:r>
      <w:r w:rsidR="007041EF">
        <w:t xml:space="preserve"> </w:t>
      </w:r>
      <w:r w:rsidR="00B350E1">
        <w:t>(</w:t>
      </w:r>
      <w:r>
        <w:t>GEDSI</w:t>
      </w:r>
      <w:r w:rsidR="00B350E1">
        <w:t>)</w:t>
      </w:r>
      <w:r>
        <w:t xml:space="preserve"> approaches to the operating context.</w:t>
      </w:r>
      <w:r w:rsidRPr="3411C648">
        <w:t xml:space="preserve"> </w:t>
      </w:r>
    </w:p>
    <w:p w14:paraId="0032604A" w14:textId="75D4E507" w:rsidR="00B10643" w:rsidRDefault="00B10643" w:rsidP="007F5B99">
      <w:pPr>
        <w:pStyle w:val="Bulletpoints"/>
      </w:pPr>
      <w:r w:rsidRPr="3411C648">
        <w:t>Clarity and feasibility of delivery model and partnership approach, including, as relevant, roles and responsibilities within consortium</w:t>
      </w:r>
      <w:r w:rsidR="00C25C6D">
        <w:t xml:space="preserve">. </w:t>
      </w:r>
    </w:p>
    <w:p w14:paraId="35A7AC3D" w14:textId="1A12CD2E" w:rsidR="00C25C6D" w:rsidRDefault="00C25C6D" w:rsidP="007F5B99">
      <w:pPr>
        <w:pStyle w:val="Bulletpoints"/>
      </w:pPr>
      <w:r>
        <w:t>Capacity to implement a broad range of intervention</w:t>
      </w:r>
      <w:r w:rsidR="00242344">
        <w:t>s</w:t>
      </w:r>
      <w:r w:rsidR="00D021CF">
        <w:t xml:space="preserve"> in a </w:t>
      </w:r>
      <w:r w:rsidR="00154AFD">
        <w:t>r</w:t>
      </w:r>
      <w:r w:rsidR="00217F49">
        <w:t>apidly evolving context</w:t>
      </w:r>
      <w:r w:rsidR="00242344">
        <w:t xml:space="preserve">, adjusting according to emerging needs, country demands and available </w:t>
      </w:r>
      <w:r w:rsidR="006F482E">
        <w:t xml:space="preserve">funding. </w:t>
      </w:r>
    </w:p>
    <w:p w14:paraId="758401EF" w14:textId="542C729A" w:rsidR="00B10643" w:rsidRPr="00D81D4D" w:rsidRDefault="00B10643" w:rsidP="007F5B99">
      <w:pPr>
        <w:pStyle w:val="Bulletpoints"/>
      </w:pPr>
      <w:r>
        <w:t>Quality of s</w:t>
      </w:r>
      <w:r w:rsidRPr="009279CA">
        <w:t xml:space="preserve">trategies to </w:t>
      </w:r>
      <w:r w:rsidR="000739CB">
        <w:t>build</w:t>
      </w:r>
      <w:r w:rsidR="000739CB" w:rsidRPr="00D81D4D">
        <w:t xml:space="preserve"> </w:t>
      </w:r>
      <w:r w:rsidRPr="0452985B">
        <w:t xml:space="preserve">sustainability, </w:t>
      </w:r>
      <w:r w:rsidRPr="00D81D4D">
        <w:t xml:space="preserve">national ownership and </w:t>
      </w:r>
      <w:proofErr w:type="gramStart"/>
      <w:r w:rsidRPr="00D81D4D">
        <w:t>locally-led</w:t>
      </w:r>
      <w:proofErr w:type="gramEnd"/>
      <w:r w:rsidRPr="00D81D4D">
        <w:t xml:space="preserve"> responses.</w:t>
      </w:r>
    </w:p>
    <w:p w14:paraId="644B2688" w14:textId="77777777" w:rsidR="00B10643" w:rsidRPr="00D81D4D" w:rsidRDefault="00B10643" w:rsidP="007F5B99">
      <w:pPr>
        <w:pStyle w:val="Bulletpoints"/>
      </w:pPr>
      <w:r>
        <w:t>Incorporates multi-country and regional activities in a manner that improves the effectiveness and efficiency of the response</w:t>
      </w:r>
      <w:r w:rsidRPr="3411C648">
        <w:t>.</w:t>
      </w:r>
    </w:p>
    <w:p w14:paraId="2BBEA351" w14:textId="6720FBE9" w:rsidR="00E625F4" w:rsidRDefault="0043558A" w:rsidP="009A1DAD">
      <w:pPr>
        <w:pStyle w:val="Heading3"/>
        <w:rPr>
          <w:rFonts w:eastAsia="Times New Roman"/>
          <w:lang w:val="en-AU" w:bidi="ar-SA"/>
        </w:rPr>
      </w:pPr>
      <w:r w:rsidRPr="0043558A">
        <w:rPr>
          <w:rFonts w:eastAsia="Times New Roman"/>
          <w:lang w:val="en-AU" w:bidi="ar-SA"/>
        </w:rPr>
        <w:t>Criterion 2: Organisational Capacity &amp; Experience (30%)</w:t>
      </w:r>
    </w:p>
    <w:p w14:paraId="1AB71F0F" w14:textId="77777777" w:rsidR="00F4748D" w:rsidRPr="00F4748D" w:rsidRDefault="00F4748D" w:rsidP="007F5B99">
      <w:pPr>
        <w:pStyle w:val="Bulletpoints"/>
      </w:pPr>
      <w:r w:rsidRPr="00F4748D">
        <w:t xml:space="preserve">Record in HIV programming, especially in the Pacific and particularly in Fiji. Experience in TB and STI programming. </w:t>
      </w:r>
    </w:p>
    <w:p w14:paraId="7E2F3313" w14:textId="0A703F2B" w:rsidR="00F4748D" w:rsidRPr="00F4748D" w:rsidRDefault="00F4748D" w:rsidP="007F5B99">
      <w:pPr>
        <w:pStyle w:val="Bulletpoints"/>
      </w:pPr>
      <w:r w:rsidRPr="00F4748D">
        <w:t>Ability of the lead organisation to</w:t>
      </w:r>
      <w:r w:rsidR="007B423C">
        <w:t xml:space="preserve"> flexibly</w:t>
      </w:r>
      <w:r w:rsidRPr="00F4748D">
        <w:t xml:space="preserve"> manage multi-country programs of comparable financial value, to manage consortia, and to work in collaboration with </w:t>
      </w:r>
      <w:r w:rsidR="00D54A28">
        <w:t>organisations implementing the other ASPHA streams</w:t>
      </w:r>
      <w:r w:rsidR="0077214E">
        <w:t xml:space="preserve"> and other relevant Australian-funded activities</w:t>
      </w:r>
      <w:r w:rsidRPr="00F4748D">
        <w:t>.</w:t>
      </w:r>
    </w:p>
    <w:p w14:paraId="73C75BAE" w14:textId="77777777" w:rsidR="00F4748D" w:rsidRPr="00F4748D" w:rsidRDefault="00F4748D" w:rsidP="007F5B99">
      <w:pPr>
        <w:pStyle w:val="Bulletpoints"/>
      </w:pPr>
      <w:r w:rsidRPr="00F4748D">
        <w:t>Financial, administrative and grant management capability.</w:t>
      </w:r>
    </w:p>
    <w:p w14:paraId="0B131F60" w14:textId="32C0FEEF" w:rsidR="00FA06DB" w:rsidRDefault="009860E6" w:rsidP="00506AEE">
      <w:pPr>
        <w:pStyle w:val="Heading3"/>
        <w:spacing w:after="40"/>
        <w:rPr>
          <w:rFonts w:eastAsiaTheme="minorHAnsi"/>
          <w:lang w:val="en-AU" w:bidi="ar-SA"/>
        </w:rPr>
      </w:pPr>
      <w:r w:rsidRPr="009860E6">
        <w:rPr>
          <w:rFonts w:eastAsiaTheme="minorHAnsi"/>
          <w:lang w:val="en-AU" w:bidi="ar-SA"/>
        </w:rPr>
        <w:t>Criterion 3: Budget &amp; Value for Money (20%)</w:t>
      </w:r>
    </w:p>
    <w:p w14:paraId="75D42455" w14:textId="2A2EEFCC" w:rsidR="00144C52" w:rsidRPr="00144C52" w:rsidRDefault="00144C52" w:rsidP="007F5B99">
      <w:pPr>
        <w:pStyle w:val="Bulletpoints"/>
      </w:pPr>
      <w:r w:rsidRPr="00144C52">
        <w:t>Efficiency and cost-effectiveness of the proposed approach</w:t>
      </w:r>
      <w:r w:rsidR="00465F4C">
        <w:t>.</w:t>
      </w:r>
    </w:p>
    <w:p w14:paraId="6682D1FA" w14:textId="06D7BAFA" w:rsidR="00144C52" w:rsidRPr="00144C52" w:rsidRDefault="00144C52" w:rsidP="007F5B99">
      <w:pPr>
        <w:pStyle w:val="Bulletpoints"/>
      </w:pPr>
      <w:r w:rsidRPr="00144C52">
        <w:t>Appropriate resourcing for MEL</w:t>
      </w:r>
      <w:r w:rsidR="00B350E1">
        <w:t xml:space="preserve"> and GEDSI</w:t>
      </w:r>
      <w:r w:rsidR="001C5E82">
        <w:t xml:space="preserve"> approaches</w:t>
      </w:r>
      <w:r w:rsidRPr="00144C52">
        <w:t>.</w:t>
      </w:r>
    </w:p>
    <w:p w14:paraId="43BE62D3" w14:textId="2676AA3E" w:rsidR="00144C52" w:rsidRPr="00144C52" w:rsidRDefault="00144C52" w:rsidP="007F5B99">
      <w:pPr>
        <w:pStyle w:val="Bulletpoints"/>
      </w:pPr>
      <w:r w:rsidRPr="00144C52">
        <w:t>Alignment with DFAT’s Value for Money principles</w:t>
      </w:r>
      <w:r w:rsidR="00F34BEF">
        <w:rPr>
          <w:rStyle w:val="FootnoteReference"/>
        </w:rPr>
        <w:footnoteReference w:id="2"/>
      </w:r>
      <w:r w:rsidRPr="00144C52">
        <w:t>.</w:t>
      </w:r>
    </w:p>
    <w:p w14:paraId="4244A6D7" w14:textId="77777777" w:rsidR="005B0839" w:rsidRPr="003F61D3" w:rsidRDefault="005B0839" w:rsidP="00506AEE">
      <w:pPr>
        <w:pStyle w:val="Heading3"/>
        <w:spacing w:after="40"/>
      </w:pPr>
      <w:r>
        <w:lastRenderedPageBreak/>
        <w:t xml:space="preserve">Criterion 4: </w:t>
      </w:r>
      <w:r w:rsidRPr="003F61D3">
        <w:t>Risk Management &amp; Safeguards (</w:t>
      </w:r>
      <w:r>
        <w:t>10</w:t>
      </w:r>
      <w:r w:rsidRPr="003F61D3">
        <w:t>%)</w:t>
      </w:r>
    </w:p>
    <w:p w14:paraId="622847E2" w14:textId="3FCF6018" w:rsidR="00CB12A6" w:rsidRPr="00CB12A6" w:rsidRDefault="00CB12A6" w:rsidP="007F5B99">
      <w:pPr>
        <w:pStyle w:val="Bulletpoints"/>
      </w:pPr>
      <w:r w:rsidRPr="00CB12A6">
        <w:t>Consideration of relevant risks and safeguards concerns</w:t>
      </w:r>
      <w:r w:rsidR="008D0531">
        <w:rPr>
          <w:rStyle w:val="FootnoteReference"/>
        </w:rPr>
        <w:footnoteReference w:id="3"/>
      </w:r>
      <w:r w:rsidRPr="00CB12A6">
        <w:t>, effectiveness of mitigation strategies and governance measures.</w:t>
      </w:r>
    </w:p>
    <w:p w14:paraId="3E5A9021" w14:textId="244DB745" w:rsidR="00CB12A6" w:rsidRDefault="00CB12A6" w:rsidP="007F5B99">
      <w:pPr>
        <w:pStyle w:val="Bulletpoints"/>
      </w:pPr>
      <w:r w:rsidRPr="00CB12A6">
        <w:t>Quality of a risk assessment highlighting major risks and proposed treatments.</w:t>
      </w:r>
      <w:r w:rsidR="004D22BE">
        <w:t xml:space="preserve"> </w:t>
      </w:r>
    </w:p>
    <w:p w14:paraId="0C0740FE" w14:textId="1D2CAC0A" w:rsidR="00073093" w:rsidRPr="00073093" w:rsidRDefault="00073093" w:rsidP="007F5B99">
      <w:pPr>
        <w:pStyle w:val="ListParagraph"/>
      </w:pPr>
      <w:r w:rsidRPr="00073093">
        <w:t xml:space="preserve">Following the evaluation process, DFAT may invite highly ranked lead organisations to enter negotiations </w:t>
      </w:r>
      <w:r w:rsidR="00DF52AD">
        <w:t>for</w:t>
      </w:r>
      <w:r w:rsidR="00DF52AD" w:rsidRPr="00073093">
        <w:t xml:space="preserve"> </w:t>
      </w:r>
      <w:r w:rsidRPr="00073093">
        <w:t xml:space="preserve">a funding agreement with DFAT. As part of these negotiations, DFAT may request modifications to the proposal, including the budget. DFAT will also require lead organisations to meet DFAT’s due diligence requirements and other DFAT policies prior to entering into a funding agreement. </w:t>
      </w:r>
    </w:p>
    <w:p w14:paraId="0D5512AA" w14:textId="77777777" w:rsidR="00073093" w:rsidRPr="00073093" w:rsidRDefault="00073093" w:rsidP="007F5B99">
      <w:pPr>
        <w:pStyle w:val="ListParagraph"/>
      </w:pPr>
      <w:r w:rsidRPr="00073093">
        <w:t>DFAT will notify applicants if proposals are successful or unsuccessful. Some proposals may be found suitable but not recommended for immediate funding. These proposals may be considered if additional funding becomes available in future.</w:t>
      </w:r>
    </w:p>
    <w:p w14:paraId="13B9B4B0" w14:textId="77777777" w:rsidR="00073093" w:rsidRPr="00073093" w:rsidRDefault="00073093" w:rsidP="0018157B">
      <w:pPr>
        <w:pStyle w:val="ListParagraph"/>
        <w:spacing w:after="80"/>
        <w:ind w:left="850" w:hanging="493"/>
      </w:pPr>
      <w:r w:rsidRPr="00073093">
        <w:t xml:space="preserve">Individualised feedback will not be provided to unsuccessful applicants. </w:t>
      </w:r>
    </w:p>
    <w:p w14:paraId="5B5B6BC1" w14:textId="6D45E5B9" w:rsidR="0043558A" w:rsidRDefault="004D22BE" w:rsidP="007F5B99">
      <w:pPr>
        <w:pStyle w:val="Heading2"/>
        <w:rPr>
          <w:lang w:val="en-AU" w:bidi="ar-SA"/>
        </w:rPr>
      </w:pPr>
      <w:bookmarkStart w:id="6" w:name="_Toc216098977"/>
      <w:r>
        <w:rPr>
          <w:lang w:val="en-AU" w:bidi="ar-SA"/>
        </w:rPr>
        <w:t>Timeline</w:t>
      </w:r>
      <w:bookmarkEnd w:id="6"/>
    </w:p>
    <w:p w14:paraId="3ECD1EEC" w14:textId="37D8FE1D" w:rsidR="001543C9" w:rsidRPr="001543C9" w:rsidRDefault="001543C9" w:rsidP="001543C9">
      <w:pPr>
        <w:pStyle w:val="Caption"/>
      </w:pPr>
      <w:r w:rsidRPr="001543C9">
        <w:t xml:space="preserve">Table </w:t>
      </w:r>
      <w:r>
        <w:fldChar w:fldCharType="begin"/>
      </w:r>
      <w:r>
        <w:instrText xml:space="preserve"> SEQ Table \* ARABIC </w:instrText>
      </w:r>
      <w:r>
        <w:fldChar w:fldCharType="separate"/>
      </w:r>
      <w:r w:rsidR="00C343FF">
        <w:rPr>
          <w:noProof/>
        </w:rPr>
        <w:t>1</w:t>
      </w:r>
      <w:r>
        <w:fldChar w:fldCharType="end"/>
      </w:r>
      <w:r w:rsidRPr="001543C9">
        <w:t xml:space="preserve"> - Indicative Key Dates for Applicants</w:t>
      </w:r>
    </w:p>
    <w:tbl>
      <w:tblPr>
        <w:tblStyle w:val="TableGrid"/>
        <w:tblW w:w="8505" w:type="dxa"/>
        <w:tblInd w:w="421" w:type="dxa"/>
        <w:tblLook w:val="04A0" w:firstRow="1" w:lastRow="0" w:firstColumn="1" w:lastColumn="0" w:noHBand="0" w:noVBand="1"/>
      </w:tblPr>
      <w:tblGrid>
        <w:gridCol w:w="2835"/>
        <w:gridCol w:w="5670"/>
      </w:tblGrid>
      <w:tr w:rsidR="001543C9" w:rsidRPr="00DE3B8A" w14:paraId="010AC713" w14:textId="77777777" w:rsidTr="008471FB">
        <w:tc>
          <w:tcPr>
            <w:tcW w:w="2835" w:type="dxa"/>
            <w:shd w:val="clear" w:color="auto" w:fill="F2F2F2" w:themeFill="background1" w:themeFillShade="F2"/>
            <w:vAlign w:val="center"/>
          </w:tcPr>
          <w:p w14:paraId="555BD061" w14:textId="77777777" w:rsidR="001543C9" w:rsidRPr="00DE3B8A" w:rsidRDefault="001543C9" w:rsidP="0018157B">
            <w:pPr>
              <w:spacing w:before="60" w:after="60" w:line="240" w:lineRule="auto"/>
              <w:ind w:left="173"/>
              <w:rPr>
                <w:b/>
                <w:bCs/>
                <w:sz w:val="24"/>
                <w:szCs w:val="24"/>
                <w:lang w:val="en-AU" w:bidi="ar-SA"/>
              </w:rPr>
            </w:pPr>
            <w:r w:rsidRPr="00DE3B8A">
              <w:rPr>
                <w:b/>
                <w:bCs/>
                <w:sz w:val="24"/>
                <w:szCs w:val="24"/>
                <w:lang w:val="en-AU" w:bidi="ar-SA"/>
              </w:rPr>
              <w:t>Date</w:t>
            </w:r>
          </w:p>
        </w:tc>
        <w:tc>
          <w:tcPr>
            <w:tcW w:w="5670" w:type="dxa"/>
            <w:shd w:val="clear" w:color="auto" w:fill="F2F2F2" w:themeFill="background1" w:themeFillShade="F2"/>
            <w:vAlign w:val="center"/>
          </w:tcPr>
          <w:p w14:paraId="3E55EA50" w14:textId="77777777" w:rsidR="001543C9" w:rsidRPr="00DE3B8A" w:rsidRDefault="001543C9" w:rsidP="0018157B">
            <w:pPr>
              <w:spacing w:before="60" w:after="60" w:line="240" w:lineRule="auto"/>
              <w:ind w:left="173"/>
              <w:rPr>
                <w:b/>
                <w:bCs/>
                <w:sz w:val="24"/>
                <w:szCs w:val="24"/>
                <w:lang w:val="en-AU" w:bidi="ar-SA"/>
              </w:rPr>
            </w:pPr>
            <w:r w:rsidRPr="00DE3B8A">
              <w:rPr>
                <w:b/>
                <w:bCs/>
                <w:sz w:val="24"/>
                <w:szCs w:val="24"/>
                <w:lang w:val="en-AU" w:bidi="ar-SA"/>
              </w:rPr>
              <w:t>Activity</w:t>
            </w:r>
          </w:p>
        </w:tc>
      </w:tr>
      <w:tr w:rsidR="001543C9" w:rsidRPr="00DE3B8A" w14:paraId="5E4A6B5A" w14:textId="77777777" w:rsidTr="008471FB">
        <w:tc>
          <w:tcPr>
            <w:tcW w:w="2835" w:type="dxa"/>
            <w:vAlign w:val="center"/>
          </w:tcPr>
          <w:p w14:paraId="1583C65F" w14:textId="7D03612D" w:rsidR="001543C9" w:rsidRPr="00DE3B8A" w:rsidRDefault="001543C9" w:rsidP="0018157B">
            <w:pPr>
              <w:spacing w:before="60" w:after="60" w:line="240" w:lineRule="auto"/>
              <w:ind w:left="176"/>
              <w:rPr>
                <w:sz w:val="24"/>
                <w:szCs w:val="24"/>
                <w:highlight w:val="yellow"/>
                <w:lang w:val="en-AU" w:bidi="ar-SA"/>
              </w:rPr>
            </w:pPr>
            <w:r w:rsidRPr="00335C85">
              <w:rPr>
                <w:sz w:val="24"/>
                <w:szCs w:val="24"/>
                <w:lang w:val="en-AU" w:bidi="ar-SA"/>
              </w:rPr>
              <w:t>1</w:t>
            </w:r>
            <w:r w:rsidR="0094370D" w:rsidRPr="00335C85">
              <w:rPr>
                <w:sz w:val="24"/>
                <w:szCs w:val="24"/>
                <w:lang w:val="en-AU" w:bidi="ar-SA"/>
              </w:rPr>
              <w:t>2</w:t>
            </w:r>
            <w:r w:rsidRPr="00335C85">
              <w:rPr>
                <w:sz w:val="24"/>
                <w:szCs w:val="24"/>
                <w:lang w:val="en-AU" w:bidi="ar-SA"/>
              </w:rPr>
              <w:t xml:space="preserve"> December 2025</w:t>
            </w:r>
          </w:p>
        </w:tc>
        <w:tc>
          <w:tcPr>
            <w:tcW w:w="5670" w:type="dxa"/>
            <w:vAlign w:val="center"/>
          </w:tcPr>
          <w:p w14:paraId="7B5DF344"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 xml:space="preserve">Call for Proposals launched on DFAT </w:t>
            </w:r>
            <w:hyperlink r:id="rId13" w:history="1">
              <w:r w:rsidRPr="00DE3B8A">
                <w:rPr>
                  <w:rStyle w:val="Hyperlink"/>
                  <w:rFonts w:eastAsia="Times New Roman" w:cs="Arial"/>
                  <w:kern w:val="0"/>
                  <w:sz w:val="24"/>
                  <w:szCs w:val="24"/>
                  <w:lang w:val="en-AU" w:bidi="ar-SA"/>
                  <w14:ligatures w14:val="none"/>
                </w:rPr>
                <w:t>Business Notifications</w:t>
              </w:r>
            </w:hyperlink>
            <w:r w:rsidRPr="00DE3B8A">
              <w:rPr>
                <w:sz w:val="24"/>
                <w:szCs w:val="24"/>
                <w:lang w:val="en-AU" w:bidi="ar-SA"/>
              </w:rPr>
              <w:t>.</w:t>
            </w:r>
          </w:p>
        </w:tc>
      </w:tr>
      <w:tr w:rsidR="001543C9" w:rsidRPr="00DE3B8A" w14:paraId="5E3B8E1D" w14:textId="77777777" w:rsidTr="008471FB">
        <w:tc>
          <w:tcPr>
            <w:tcW w:w="2835" w:type="dxa"/>
            <w:vAlign w:val="center"/>
          </w:tcPr>
          <w:p w14:paraId="680556A7" w14:textId="0A16310B" w:rsidR="001543C9" w:rsidRPr="002C379D" w:rsidRDefault="0094370D" w:rsidP="0018157B">
            <w:pPr>
              <w:spacing w:before="60" w:after="60" w:line="240" w:lineRule="auto"/>
              <w:ind w:left="176"/>
              <w:rPr>
                <w:sz w:val="24"/>
                <w:szCs w:val="24"/>
                <w:lang w:val="en-AU" w:bidi="ar-SA"/>
              </w:rPr>
            </w:pPr>
            <w:r w:rsidRPr="002C379D">
              <w:rPr>
                <w:sz w:val="24"/>
                <w:szCs w:val="24"/>
                <w:lang w:val="en-AU" w:bidi="ar-SA"/>
              </w:rPr>
              <w:t>20</w:t>
            </w:r>
            <w:r w:rsidR="001543C9" w:rsidRPr="002C379D">
              <w:rPr>
                <w:sz w:val="24"/>
                <w:szCs w:val="24"/>
                <w:lang w:val="en-AU" w:bidi="ar-SA"/>
              </w:rPr>
              <w:t xml:space="preserve"> </w:t>
            </w:r>
            <w:r w:rsidRPr="002C379D">
              <w:rPr>
                <w:sz w:val="24"/>
                <w:szCs w:val="24"/>
                <w:lang w:val="en-AU" w:bidi="ar-SA"/>
              </w:rPr>
              <w:t xml:space="preserve">January </w:t>
            </w:r>
            <w:r w:rsidR="001543C9" w:rsidRPr="002C379D">
              <w:rPr>
                <w:sz w:val="24"/>
                <w:szCs w:val="24"/>
                <w:lang w:val="en-AU" w:bidi="ar-SA"/>
              </w:rPr>
              <w:t>202</w:t>
            </w:r>
            <w:r w:rsidRPr="002C379D">
              <w:rPr>
                <w:sz w:val="24"/>
                <w:szCs w:val="24"/>
                <w:lang w:val="en-AU" w:bidi="ar-SA"/>
              </w:rPr>
              <w:t>6</w:t>
            </w:r>
          </w:p>
        </w:tc>
        <w:tc>
          <w:tcPr>
            <w:tcW w:w="5670" w:type="dxa"/>
            <w:vAlign w:val="center"/>
          </w:tcPr>
          <w:p w14:paraId="2FDA2148"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Information/ briefing session and Q&amp;A.</w:t>
            </w:r>
          </w:p>
        </w:tc>
      </w:tr>
      <w:tr w:rsidR="001543C9" w:rsidRPr="00DE3B8A" w14:paraId="2A2CA57C" w14:textId="77777777" w:rsidTr="008471FB">
        <w:tc>
          <w:tcPr>
            <w:tcW w:w="2835" w:type="dxa"/>
            <w:vAlign w:val="center"/>
          </w:tcPr>
          <w:p w14:paraId="2DC7C8E6" w14:textId="0B357864" w:rsidR="001543C9" w:rsidRPr="002C379D" w:rsidRDefault="0008325A" w:rsidP="0018157B">
            <w:pPr>
              <w:spacing w:before="60" w:after="60" w:line="240" w:lineRule="auto"/>
              <w:ind w:left="176"/>
              <w:rPr>
                <w:sz w:val="24"/>
                <w:szCs w:val="24"/>
                <w:lang w:val="en-AU" w:bidi="ar-SA"/>
              </w:rPr>
            </w:pPr>
            <w:r w:rsidRPr="002C379D">
              <w:rPr>
                <w:sz w:val="24"/>
                <w:szCs w:val="24"/>
                <w:lang w:val="en-AU" w:bidi="ar-SA"/>
              </w:rPr>
              <w:t>8 February</w:t>
            </w:r>
            <w:r w:rsidR="001543C9" w:rsidRPr="002C379D">
              <w:rPr>
                <w:sz w:val="24"/>
                <w:szCs w:val="24"/>
                <w:lang w:val="en-AU" w:bidi="ar-SA"/>
              </w:rPr>
              <w:t xml:space="preserve"> 2026</w:t>
            </w:r>
          </w:p>
        </w:tc>
        <w:tc>
          <w:tcPr>
            <w:tcW w:w="5670" w:type="dxa"/>
            <w:vAlign w:val="center"/>
          </w:tcPr>
          <w:p w14:paraId="6472FBA4"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Final day for applicant questions.</w:t>
            </w:r>
          </w:p>
        </w:tc>
      </w:tr>
      <w:tr w:rsidR="001543C9" w:rsidRPr="00DE3B8A" w14:paraId="0282CA3B" w14:textId="77777777" w:rsidTr="008471FB">
        <w:tc>
          <w:tcPr>
            <w:tcW w:w="2835" w:type="dxa"/>
            <w:vAlign w:val="center"/>
          </w:tcPr>
          <w:p w14:paraId="0DD556E6" w14:textId="7B28F519" w:rsidR="001543C9" w:rsidRPr="002C379D" w:rsidRDefault="0008325A" w:rsidP="0018157B">
            <w:pPr>
              <w:spacing w:before="60" w:after="60" w:line="240" w:lineRule="auto"/>
              <w:ind w:left="176"/>
              <w:rPr>
                <w:sz w:val="24"/>
                <w:szCs w:val="24"/>
                <w:lang w:val="en-AU" w:bidi="ar-SA"/>
              </w:rPr>
            </w:pPr>
            <w:r w:rsidRPr="002C379D">
              <w:rPr>
                <w:sz w:val="24"/>
                <w:szCs w:val="24"/>
                <w:lang w:val="en-AU" w:bidi="ar-SA"/>
              </w:rPr>
              <w:t>13 February</w:t>
            </w:r>
            <w:r w:rsidR="001543C9" w:rsidRPr="002C379D">
              <w:rPr>
                <w:sz w:val="24"/>
                <w:szCs w:val="24"/>
                <w:lang w:val="en-AU" w:bidi="ar-SA"/>
              </w:rPr>
              <w:t xml:space="preserve"> 2026</w:t>
            </w:r>
          </w:p>
        </w:tc>
        <w:tc>
          <w:tcPr>
            <w:tcW w:w="5670" w:type="dxa"/>
            <w:vAlign w:val="center"/>
          </w:tcPr>
          <w:p w14:paraId="4C7368A8"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Final date for DFAT response to questions.</w:t>
            </w:r>
          </w:p>
        </w:tc>
      </w:tr>
      <w:tr w:rsidR="001543C9" w:rsidRPr="00DE3B8A" w14:paraId="3DAB2863" w14:textId="77777777" w:rsidTr="008471FB">
        <w:tc>
          <w:tcPr>
            <w:tcW w:w="2835" w:type="dxa"/>
            <w:vAlign w:val="center"/>
          </w:tcPr>
          <w:p w14:paraId="6E94DAB3" w14:textId="28FE7496" w:rsidR="001543C9" w:rsidRPr="002C379D" w:rsidRDefault="004D768B" w:rsidP="0018157B">
            <w:pPr>
              <w:spacing w:before="60" w:after="60" w:line="240" w:lineRule="auto"/>
              <w:ind w:left="176"/>
              <w:rPr>
                <w:sz w:val="24"/>
                <w:szCs w:val="24"/>
                <w:lang w:val="en-AU" w:bidi="ar-SA"/>
              </w:rPr>
            </w:pPr>
            <w:r w:rsidRPr="002C379D">
              <w:rPr>
                <w:sz w:val="24"/>
                <w:szCs w:val="24"/>
                <w:lang w:val="en-AU" w:bidi="ar-SA"/>
              </w:rPr>
              <w:t>22</w:t>
            </w:r>
            <w:r w:rsidR="001543C9" w:rsidRPr="002C379D">
              <w:rPr>
                <w:sz w:val="24"/>
                <w:szCs w:val="24"/>
                <w:lang w:val="en-AU" w:bidi="ar-SA"/>
              </w:rPr>
              <w:t xml:space="preserve"> February 2026</w:t>
            </w:r>
          </w:p>
        </w:tc>
        <w:tc>
          <w:tcPr>
            <w:tcW w:w="5670" w:type="dxa"/>
            <w:vAlign w:val="center"/>
          </w:tcPr>
          <w:p w14:paraId="5F96F7BE"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Closing date for proposals.</w:t>
            </w:r>
          </w:p>
        </w:tc>
      </w:tr>
      <w:tr w:rsidR="001543C9" w:rsidRPr="00DE3B8A" w14:paraId="060710B3" w14:textId="77777777" w:rsidTr="008471FB">
        <w:tc>
          <w:tcPr>
            <w:tcW w:w="2835" w:type="dxa"/>
            <w:vAlign w:val="center"/>
          </w:tcPr>
          <w:p w14:paraId="6A393B2C"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February-March 2026</w:t>
            </w:r>
          </w:p>
        </w:tc>
        <w:tc>
          <w:tcPr>
            <w:tcW w:w="5670" w:type="dxa"/>
            <w:vAlign w:val="center"/>
          </w:tcPr>
          <w:p w14:paraId="30A005B0" w14:textId="55A66148"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Conformity checks and Evaluation Committee assessment</w:t>
            </w:r>
            <w:r w:rsidR="00DF52AD">
              <w:rPr>
                <w:sz w:val="24"/>
                <w:szCs w:val="24"/>
                <w:lang w:val="en-AU" w:bidi="ar-SA"/>
              </w:rPr>
              <w:t>.</w:t>
            </w:r>
          </w:p>
        </w:tc>
      </w:tr>
      <w:tr w:rsidR="001543C9" w:rsidRPr="00DE3B8A" w14:paraId="2F4DA982" w14:textId="77777777" w:rsidTr="008471FB">
        <w:tc>
          <w:tcPr>
            <w:tcW w:w="2835" w:type="dxa"/>
            <w:vAlign w:val="center"/>
          </w:tcPr>
          <w:p w14:paraId="58185BBF"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April 2026</w:t>
            </w:r>
          </w:p>
        </w:tc>
        <w:tc>
          <w:tcPr>
            <w:tcW w:w="5670" w:type="dxa"/>
            <w:vAlign w:val="center"/>
          </w:tcPr>
          <w:p w14:paraId="39849B7C"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Applicants notified of evaluation outcome.</w:t>
            </w:r>
          </w:p>
        </w:tc>
      </w:tr>
      <w:tr w:rsidR="001543C9" w:rsidRPr="00DE3B8A" w14:paraId="240F11E2" w14:textId="77777777" w:rsidTr="008471FB">
        <w:tc>
          <w:tcPr>
            <w:tcW w:w="2835" w:type="dxa"/>
            <w:vAlign w:val="center"/>
          </w:tcPr>
          <w:p w14:paraId="516CA250"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April-June 2026</w:t>
            </w:r>
          </w:p>
        </w:tc>
        <w:tc>
          <w:tcPr>
            <w:tcW w:w="5670" w:type="dxa"/>
            <w:vAlign w:val="center"/>
          </w:tcPr>
          <w:p w14:paraId="4F9BB8D8" w14:textId="77777777" w:rsidR="001543C9" w:rsidRPr="00DE3B8A" w:rsidRDefault="001543C9" w:rsidP="0018157B">
            <w:pPr>
              <w:spacing w:before="60" w:after="60" w:line="240" w:lineRule="auto"/>
              <w:ind w:left="176"/>
              <w:rPr>
                <w:sz w:val="24"/>
                <w:szCs w:val="24"/>
                <w:lang w:val="en-AU" w:bidi="ar-SA"/>
              </w:rPr>
            </w:pPr>
            <w:r w:rsidRPr="00DE3B8A">
              <w:rPr>
                <w:sz w:val="24"/>
                <w:szCs w:val="24"/>
                <w:lang w:val="en-AU" w:bidi="ar-SA"/>
              </w:rPr>
              <w:t>Grant arrangement negotiations, clearances, financial approval and agreement signing.</w:t>
            </w:r>
          </w:p>
        </w:tc>
      </w:tr>
      <w:tr w:rsidR="001543C9" w:rsidRPr="00DE3B8A" w14:paraId="3995D98D" w14:textId="77777777" w:rsidTr="008471FB">
        <w:tc>
          <w:tcPr>
            <w:tcW w:w="2835" w:type="dxa"/>
            <w:vAlign w:val="center"/>
          </w:tcPr>
          <w:p w14:paraId="712DD5A7" w14:textId="77777777" w:rsidR="001543C9" w:rsidRPr="00DE3B8A" w:rsidRDefault="001543C9" w:rsidP="0018157B">
            <w:pPr>
              <w:spacing w:before="60" w:after="60" w:line="240" w:lineRule="auto"/>
              <w:ind w:left="176"/>
              <w:rPr>
                <w:iCs/>
                <w:sz w:val="24"/>
                <w:szCs w:val="24"/>
                <w:lang w:val="en-AU" w:bidi="ar-SA"/>
              </w:rPr>
            </w:pPr>
            <w:r w:rsidRPr="00DE3B8A">
              <w:rPr>
                <w:iCs/>
                <w:sz w:val="24"/>
                <w:szCs w:val="24"/>
                <w:lang w:val="en-AU" w:bidi="ar-SA"/>
              </w:rPr>
              <w:t>July 2026</w:t>
            </w:r>
          </w:p>
        </w:tc>
        <w:tc>
          <w:tcPr>
            <w:tcW w:w="5670" w:type="dxa"/>
            <w:vAlign w:val="center"/>
          </w:tcPr>
          <w:p w14:paraId="066A5D9C" w14:textId="68B03DC4" w:rsidR="001543C9" w:rsidRPr="00DE3B8A" w:rsidRDefault="001543C9" w:rsidP="0018157B">
            <w:pPr>
              <w:spacing w:before="60" w:after="60" w:line="240" w:lineRule="auto"/>
              <w:ind w:left="176"/>
              <w:rPr>
                <w:iCs/>
                <w:sz w:val="24"/>
                <w:szCs w:val="24"/>
                <w:lang w:val="en-AU" w:bidi="ar-SA"/>
              </w:rPr>
            </w:pPr>
            <w:r w:rsidRPr="00DE3B8A">
              <w:rPr>
                <w:iCs/>
                <w:sz w:val="24"/>
                <w:szCs w:val="24"/>
                <w:lang w:val="en-AU" w:bidi="ar-SA"/>
              </w:rPr>
              <w:t>Arrangement start date</w:t>
            </w:r>
            <w:r w:rsidR="00DF52AD">
              <w:rPr>
                <w:iCs/>
                <w:sz w:val="24"/>
                <w:szCs w:val="24"/>
                <w:lang w:val="en-AU" w:bidi="ar-SA"/>
              </w:rPr>
              <w:t>.</w:t>
            </w:r>
          </w:p>
        </w:tc>
      </w:tr>
      <w:tr w:rsidR="001543C9" w:rsidRPr="00DE3B8A" w14:paraId="7AE3339B" w14:textId="77777777" w:rsidTr="008471FB">
        <w:tc>
          <w:tcPr>
            <w:tcW w:w="2835" w:type="dxa"/>
            <w:vAlign w:val="center"/>
          </w:tcPr>
          <w:p w14:paraId="44C7D2AF" w14:textId="77777777" w:rsidR="001543C9" w:rsidRPr="00DE3B8A" w:rsidRDefault="001543C9" w:rsidP="0018157B">
            <w:pPr>
              <w:spacing w:before="60" w:after="60" w:line="240" w:lineRule="auto"/>
              <w:ind w:left="176"/>
              <w:rPr>
                <w:iCs/>
                <w:sz w:val="24"/>
                <w:szCs w:val="24"/>
                <w:lang w:val="en-AU" w:bidi="ar-SA"/>
              </w:rPr>
            </w:pPr>
            <w:r w:rsidRPr="00DE3B8A">
              <w:rPr>
                <w:iCs/>
                <w:sz w:val="24"/>
                <w:szCs w:val="24"/>
                <w:lang w:val="en-AU" w:bidi="ar-SA"/>
              </w:rPr>
              <w:t>July – December 2026</w:t>
            </w:r>
          </w:p>
        </w:tc>
        <w:tc>
          <w:tcPr>
            <w:tcW w:w="5670" w:type="dxa"/>
            <w:vAlign w:val="center"/>
          </w:tcPr>
          <w:p w14:paraId="40EA62F5" w14:textId="1103EF01" w:rsidR="001543C9" w:rsidRPr="00DE3B8A" w:rsidRDefault="001543C9" w:rsidP="0018157B">
            <w:pPr>
              <w:spacing w:before="60" w:after="60" w:line="240" w:lineRule="auto"/>
              <w:ind w:left="176"/>
              <w:rPr>
                <w:iCs/>
                <w:sz w:val="24"/>
                <w:szCs w:val="24"/>
                <w:lang w:val="en-AU" w:bidi="ar-SA"/>
              </w:rPr>
            </w:pPr>
            <w:r w:rsidRPr="00DE3B8A">
              <w:rPr>
                <w:iCs/>
                <w:sz w:val="24"/>
                <w:szCs w:val="24"/>
                <w:lang w:val="en-AU" w:bidi="ar-SA"/>
              </w:rPr>
              <w:t>Inception phase</w:t>
            </w:r>
            <w:r w:rsidR="00DF52AD">
              <w:rPr>
                <w:iCs/>
                <w:sz w:val="24"/>
                <w:szCs w:val="24"/>
                <w:lang w:val="en-AU" w:bidi="ar-SA"/>
              </w:rPr>
              <w:t>.</w:t>
            </w:r>
          </w:p>
        </w:tc>
      </w:tr>
    </w:tbl>
    <w:p w14:paraId="08AC4143" w14:textId="77777777" w:rsidR="00014271" w:rsidRPr="00014271" w:rsidRDefault="00014271" w:rsidP="0018157B">
      <w:pPr>
        <w:ind w:left="0"/>
      </w:pPr>
    </w:p>
    <w:sectPr w:rsidR="00014271" w:rsidRPr="00014271" w:rsidSect="00A046C3">
      <w:footerReference w:type="default" r:id="rId14"/>
      <w:headerReference w:type="first" r:id="rId15"/>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C48C" w14:textId="77777777" w:rsidR="00091AE2" w:rsidRDefault="00091AE2" w:rsidP="00FA24DE">
      <w:r>
        <w:separator/>
      </w:r>
    </w:p>
  </w:endnote>
  <w:endnote w:type="continuationSeparator" w:id="0">
    <w:p w14:paraId="3D133073" w14:textId="77777777" w:rsidR="00091AE2" w:rsidRDefault="00091AE2" w:rsidP="00FA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721757"/>
      <w:docPartObj>
        <w:docPartGallery w:val="Page Numbers (Bottom of Page)"/>
        <w:docPartUnique/>
      </w:docPartObj>
    </w:sdtPr>
    <w:sdtEndPr>
      <w:rPr>
        <w:noProof/>
      </w:rPr>
    </w:sdtEndPr>
    <w:sdtContent>
      <w:p w14:paraId="4BA90411" w14:textId="244FB7ED" w:rsidR="008D6520" w:rsidRDefault="008D65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09793" w14:textId="77777777" w:rsidR="008A3ECD" w:rsidRDefault="008A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3A47" w14:textId="77777777" w:rsidR="00091AE2" w:rsidRDefault="00091AE2" w:rsidP="00FA24DE">
      <w:r>
        <w:separator/>
      </w:r>
    </w:p>
  </w:footnote>
  <w:footnote w:type="continuationSeparator" w:id="0">
    <w:p w14:paraId="2AAF807E" w14:textId="77777777" w:rsidR="00091AE2" w:rsidRDefault="00091AE2" w:rsidP="00FA24DE">
      <w:r>
        <w:continuationSeparator/>
      </w:r>
    </w:p>
  </w:footnote>
  <w:footnote w:id="1">
    <w:p w14:paraId="6CFDD673" w14:textId="77777777" w:rsidR="00715C17" w:rsidRPr="00500130" w:rsidRDefault="00715C17" w:rsidP="00715C17">
      <w:pPr>
        <w:pStyle w:val="FootnoteText"/>
        <w:rPr>
          <w:lang w:val="en-AU"/>
        </w:rPr>
      </w:pPr>
      <w:r>
        <w:rPr>
          <w:rStyle w:val="FootnoteReference"/>
        </w:rPr>
        <w:footnoteRef/>
      </w:r>
      <w:r>
        <w:t xml:space="preserve"> Currently </w:t>
      </w:r>
      <w:r w:rsidRPr="00143423">
        <w:t>Fiji, Kiribati, Republic of the Marshall Islands, Federated States of Micronesia, Nauru, Niue, Republic of Palau, Samoa, Solomon Islands, Tonga, Tuvalu and Vanuatu</w:t>
      </w:r>
    </w:p>
  </w:footnote>
  <w:footnote w:id="2">
    <w:p w14:paraId="316DC41F" w14:textId="0C1621CC" w:rsidR="00F34BEF" w:rsidRPr="00335C85" w:rsidRDefault="00F34BEF">
      <w:pPr>
        <w:pStyle w:val="FootnoteText"/>
        <w:rPr>
          <w:lang w:val="en-AU"/>
        </w:rPr>
      </w:pPr>
      <w:r>
        <w:rPr>
          <w:rStyle w:val="FootnoteReference"/>
        </w:rPr>
        <w:footnoteRef/>
      </w:r>
      <w:r>
        <w:t xml:space="preserve"> </w:t>
      </w:r>
      <w:hyperlink r:id="rId1" w:history="1">
        <w:r w:rsidRPr="00F34BEF">
          <w:rPr>
            <w:rStyle w:val="Hyperlink"/>
          </w:rPr>
          <w:t>Value for Money principles | Australian Government Department of Foreign Affairs and Trade</w:t>
        </w:r>
      </w:hyperlink>
    </w:p>
  </w:footnote>
  <w:footnote w:id="3">
    <w:p w14:paraId="11A63D95" w14:textId="14494EB5" w:rsidR="008D0531" w:rsidRPr="00335C85" w:rsidRDefault="008D0531">
      <w:pPr>
        <w:pStyle w:val="FootnoteText"/>
        <w:rPr>
          <w:lang w:val="en-AU"/>
        </w:rPr>
      </w:pPr>
      <w:r>
        <w:rPr>
          <w:rStyle w:val="FootnoteReference"/>
        </w:rPr>
        <w:footnoteRef/>
      </w:r>
      <w:r>
        <w:t xml:space="preserve"> </w:t>
      </w:r>
      <w:r>
        <w:rPr>
          <w:lang w:val="en-AU"/>
        </w:rPr>
        <w:t xml:space="preserve">See </w:t>
      </w:r>
      <w:hyperlink r:id="rId2" w:history="1">
        <w:r w:rsidR="00C65AE9" w:rsidRPr="00C65AE9">
          <w:rPr>
            <w:rStyle w:val="Hyperlink"/>
          </w:rPr>
          <w:t>Development risk management | Australian Government Department of Foreign Affairs and Trade</w:t>
        </w:r>
      </w:hyperlink>
      <w:r w:rsidR="00C65AE9">
        <w:rPr>
          <w:lang w:val="en-AU"/>
        </w:rPr>
        <w:t xml:space="preserve"> for relevant risk and safeguards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BBF9" w14:textId="6F8E4675" w:rsidR="00ED64BE" w:rsidRDefault="0026353C" w:rsidP="00FA24DE">
    <w:pPr>
      <w:pStyle w:val="Header"/>
    </w:pPr>
    <w:r>
      <w:rPr>
        <w:noProof/>
      </w:rPr>
      <w:drawing>
        <wp:anchor distT="0" distB="0" distL="114300" distR="114300" simplePos="0" relativeHeight="251658240" behindDoc="1" locked="0" layoutInCell="1" allowOverlap="1" wp14:anchorId="623BB457" wp14:editId="22A61018">
          <wp:simplePos x="0" y="0"/>
          <wp:positionH relativeFrom="column">
            <wp:posOffset>-209550</wp:posOffset>
          </wp:positionH>
          <wp:positionV relativeFrom="paragraph">
            <wp:posOffset>-44450</wp:posOffset>
          </wp:positionV>
          <wp:extent cx="3349625" cy="602615"/>
          <wp:effectExtent l="0" t="0" r="3175" b="6985"/>
          <wp:wrapTight wrapText="bothSides">
            <wp:wrapPolygon edited="0">
              <wp:start x="0" y="0"/>
              <wp:lineTo x="0" y="21168"/>
              <wp:lineTo x="21498" y="21168"/>
              <wp:lineTo x="21498" y="0"/>
              <wp:lineTo x="0" y="0"/>
            </wp:wrapPolygon>
          </wp:wrapTight>
          <wp:docPr id="714718916" name="Picture 714718916" descr="DFAT-stri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T-stri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602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D7FC0A0" wp14:editId="4E65637A">
          <wp:simplePos x="0" y="0"/>
          <wp:positionH relativeFrom="column">
            <wp:posOffset>4632325</wp:posOffset>
          </wp:positionH>
          <wp:positionV relativeFrom="paragraph">
            <wp:posOffset>106680</wp:posOffset>
          </wp:positionV>
          <wp:extent cx="1310193" cy="593665"/>
          <wp:effectExtent l="0" t="0" r="4445" b="0"/>
          <wp:wrapTight wrapText="bothSides">
            <wp:wrapPolygon edited="0">
              <wp:start x="314" y="0"/>
              <wp:lineTo x="0" y="4857"/>
              <wp:lineTo x="0" y="16651"/>
              <wp:lineTo x="14449" y="20814"/>
              <wp:lineTo x="16962" y="20814"/>
              <wp:lineTo x="17276" y="20814"/>
              <wp:lineTo x="18532" y="12488"/>
              <wp:lineTo x="18218" y="11101"/>
              <wp:lineTo x="21359" y="7632"/>
              <wp:lineTo x="21359" y="694"/>
              <wp:lineTo x="16962" y="0"/>
              <wp:lineTo x="314" y="0"/>
            </wp:wrapPolygon>
          </wp:wrapTight>
          <wp:docPr id="1207533538" name="Picture 1" descr="A red kangaroo with blu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33538" name="Picture 1" descr="A red kangaroo with blue text&#10;&#10;"/>
                  <pic:cNvPicPr/>
                </pic:nvPicPr>
                <pic:blipFill>
                  <a:blip r:embed="rId2">
                    <a:extLst>
                      <a:ext uri="{28A0092B-C50C-407E-A947-70E740481C1C}">
                        <a14:useLocalDpi xmlns:a14="http://schemas.microsoft.com/office/drawing/2010/main" val="0"/>
                      </a:ext>
                    </a:extLst>
                  </a:blip>
                  <a:stretch>
                    <a:fillRect/>
                  </a:stretch>
                </pic:blipFill>
                <pic:spPr>
                  <a:xfrm>
                    <a:off x="0" y="0"/>
                    <a:ext cx="1310193" cy="593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733"/>
    <w:multiLevelType w:val="multilevel"/>
    <w:tmpl w:val="FFF2A94E"/>
    <w:lvl w:ilvl="0">
      <w:start w:val="1"/>
      <w:numFmt w:val="decimal"/>
      <w:pStyle w:val="Heading2"/>
      <w:lvlText w:val="%1."/>
      <w:lvlJc w:val="left"/>
      <w:pPr>
        <w:ind w:left="720" w:hanging="360"/>
      </w:pPr>
    </w:lvl>
    <w:lvl w:ilvl="1">
      <w:start w:val="1"/>
      <w:numFmt w:val="decimal"/>
      <w:pStyle w:val="ListParagraph"/>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7F02F7"/>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B7385A"/>
    <w:multiLevelType w:val="multilevel"/>
    <w:tmpl w:val="2EBA0E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EB5207"/>
    <w:multiLevelType w:val="multilevel"/>
    <w:tmpl w:val="8E46A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3B4D7D"/>
    <w:multiLevelType w:val="hybridMultilevel"/>
    <w:tmpl w:val="D6F870DE"/>
    <w:lvl w:ilvl="0" w:tplc="01C66DE0">
      <w:start w:val="1"/>
      <w:numFmt w:val="decimal"/>
      <w:lvlText w:val="3.%1"/>
      <w:lvlJc w:val="left"/>
      <w:pPr>
        <w:ind w:left="720" w:hanging="360"/>
      </w:pPr>
      <w:rPr>
        <w:rFonts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141A5"/>
    <w:multiLevelType w:val="multilevel"/>
    <w:tmpl w:val="354AAEF6"/>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306FC"/>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716589"/>
    <w:multiLevelType w:val="hybridMultilevel"/>
    <w:tmpl w:val="23A4A774"/>
    <w:lvl w:ilvl="0" w:tplc="01C66DE0">
      <w:start w:val="1"/>
      <w:numFmt w:val="decimal"/>
      <w:lvlText w:val="3.%1"/>
      <w:lvlJc w:val="left"/>
      <w:pPr>
        <w:ind w:left="72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E07558"/>
    <w:multiLevelType w:val="hybridMultilevel"/>
    <w:tmpl w:val="A0F09B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0E39BF"/>
    <w:multiLevelType w:val="multilevel"/>
    <w:tmpl w:val="15A22A6E"/>
    <w:lvl w:ilvl="0">
      <w:start w:val="1"/>
      <w:numFmt w:val="decimal"/>
      <w:lvlText w:val="%1."/>
      <w:lvlJc w:val="left"/>
      <w:pPr>
        <w:ind w:left="720" w:hanging="360"/>
      </w:pPr>
    </w:lvl>
    <w:lvl w:ilvl="1">
      <w:start w:val="1"/>
      <w:numFmt w:val="bullet"/>
      <w:pStyle w:val="Bulletpoints"/>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AF6FF3"/>
    <w:multiLevelType w:val="multilevel"/>
    <w:tmpl w:val="BEAC46A2"/>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6E2C65"/>
    <w:multiLevelType w:val="multilevel"/>
    <w:tmpl w:val="1B201068"/>
    <w:lvl w:ilvl="0">
      <w:start w:val="4"/>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ED1482"/>
    <w:multiLevelType w:val="multilevel"/>
    <w:tmpl w:val="998292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0A313C"/>
    <w:multiLevelType w:val="hybridMultilevel"/>
    <w:tmpl w:val="ED50AAE2"/>
    <w:lvl w:ilvl="0" w:tplc="019054D4">
      <w:start w:val="1"/>
      <w:numFmt w:val="decimal"/>
      <w:lvlText w:val="1.%1"/>
      <w:lvlJc w:val="left"/>
      <w:pPr>
        <w:ind w:left="108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A2409D"/>
    <w:multiLevelType w:val="hybridMultilevel"/>
    <w:tmpl w:val="322AE87C"/>
    <w:lvl w:ilvl="0" w:tplc="01C66DE0">
      <w:start w:val="1"/>
      <w:numFmt w:val="decimal"/>
      <w:lvlText w:val="3.%1"/>
      <w:lvlJc w:val="left"/>
      <w:pPr>
        <w:ind w:left="720" w:hanging="360"/>
      </w:pPr>
      <w:rPr>
        <w:rFonts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3019398">
    <w:abstractNumId w:val="0"/>
  </w:num>
  <w:num w:numId="2" w16cid:durableId="368380993">
    <w:abstractNumId w:val="7"/>
  </w:num>
  <w:num w:numId="3" w16cid:durableId="1872911001">
    <w:abstractNumId w:val="14"/>
  </w:num>
  <w:num w:numId="4" w16cid:durableId="1422870665">
    <w:abstractNumId w:val="13"/>
  </w:num>
  <w:num w:numId="5" w16cid:durableId="2076007341">
    <w:abstractNumId w:val="12"/>
  </w:num>
  <w:num w:numId="6" w16cid:durableId="275060297">
    <w:abstractNumId w:val="2"/>
  </w:num>
  <w:num w:numId="7" w16cid:durableId="893583919">
    <w:abstractNumId w:val="10"/>
  </w:num>
  <w:num w:numId="8" w16cid:durableId="207573218">
    <w:abstractNumId w:val="0"/>
  </w:num>
  <w:num w:numId="9" w16cid:durableId="1800494207">
    <w:abstractNumId w:val="0"/>
  </w:num>
  <w:num w:numId="10" w16cid:durableId="1889412173">
    <w:abstractNumId w:val="3"/>
  </w:num>
  <w:num w:numId="11" w16cid:durableId="1365473519">
    <w:abstractNumId w:val="11"/>
  </w:num>
  <w:num w:numId="12" w16cid:durableId="1585533007">
    <w:abstractNumId w:val="4"/>
  </w:num>
  <w:num w:numId="13" w16cid:durableId="262305112">
    <w:abstractNumId w:val="9"/>
  </w:num>
  <w:num w:numId="14" w16cid:durableId="2068648219">
    <w:abstractNumId w:val="8"/>
  </w:num>
  <w:num w:numId="15" w16cid:durableId="1891265200">
    <w:abstractNumId w:val="0"/>
  </w:num>
  <w:num w:numId="16" w16cid:durableId="570577977">
    <w:abstractNumId w:val="6"/>
  </w:num>
  <w:num w:numId="17" w16cid:durableId="1715421872">
    <w:abstractNumId w:val="0"/>
  </w:num>
  <w:num w:numId="18" w16cid:durableId="1634169012">
    <w:abstractNumId w:val="1"/>
  </w:num>
  <w:num w:numId="19" w16cid:durableId="1127361077">
    <w:abstractNumId w:val="0"/>
  </w:num>
  <w:num w:numId="20" w16cid:durableId="687682705">
    <w:abstractNumId w:val="5"/>
  </w:num>
  <w:num w:numId="21" w16cid:durableId="947658879">
    <w:abstractNumId w:val="0"/>
  </w:num>
  <w:num w:numId="22" w16cid:durableId="1223951878">
    <w:abstractNumId w:val="0"/>
  </w:num>
  <w:num w:numId="23" w16cid:durableId="1569456949">
    <w:abstractNumId w:val="0"/>
  </w:num>
  <w:num w:numId="24" w16cid:durableId="330526056">
    <w:abstractNumId w:val="0"/>
  </w:num>
  <w:num w:numId="25" w16cid:durableId="1284724366">
    <w:abstractNumId w:val="0"/>
  </w:num>
  <w:num w:numId="26" w16cid:durableId="1459032951">
    <w:abstractNumId w:val="0"/>
  </w:num>
  <w:num w:numId="27" w16cid:durableId="149318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E2"/>
    <w:rsid w:val="00014271"/>
    <w:rsid w:val="00030400"/>
    <w:rsid w:val="000402BF"/>
    <w:rsid w:val="00073093"/>
    <w:rsid w:val="000739CB"/>
    <w:rsid w:val="0007663D"/>
    <w:rsid w:val="0008325A"/>
    <w:rsid w:val="00091AE2"/>
    <w:rsid w:val="000D0E66"/>
    <w:rsid w:val="000D1B4A"/>
    <w:rsid w:val="000D548A"/>
    <w:rsid w:val="00117DF6"/>
    <w:rsid w:val="0013060D"/>
    <w:rsid w:val="00144C52"/>
    <w:rsid w:val="001543C9"/>
    <w:rsid w:val="00154AFD"/>
    <w:rsid w:val="00154D5B"/>
    <w:rsid w:val="00174200"/>
    <w:rsid w:val="0018157B"/>
    <w:rsid w:val="001C5E82"/>
    <w:rsid w:val="001E126E"/>
    <w:rsid w:val="00217F49"/>
    <w:rsid w:val="00242344"/>
    <w:rsid w:val="0026353C"/>
    <w:rsid w:val="00265986"/>
    <w:rsid w:val="002C379D"/>
    <w:rsid w:val="002D1E12"/>
    <w:rsid w:val="002E6515"/>
    <w:rsid w:val="003112B0"/>
    <w:rsid w:val="003304C1"/>
    <w:rsid w:val="00335C85"/>
    <w:rsid w:val="00352C71"/>
    <w:rsid w:val="00373B98"/>
    <w:rsid w:val="00391EFA"/>
    <w:rsid w:val="003A1870"/>
    <w:rsid w:val="003C0756"/>
    <w:rsid w:val="003E26D6"/>
    <w:rsid w:val="003E5579"/>
    <w:rsid w:val="003E778C"/>
    <w:rsid w:val="00425929"/>
    <w:rsid w:val="0043558A"/>
    <w:rsid w:val="00465F4C"/>
    <w:rsid w:val="004C691A"/>
    <w:rsid w:val="004D22BE"/>
    <w:rsid w:val="004D768B"/>
    <w:rsid w:val="00500130"/>
    <w:rsid w:val="00506AEE"/>
    <w:rsid w:val="00510381"/>
    <w:rsid w:val="00514422"/>
    <w:rsid w:val="00522507"/>
    <w:rsid w:val="00525C57"/>
    <w:rsid w:val="005556B9"/>
    <w:rsid w:val="00555C1D"/>
    <w:rsid w:val="005564D5"/>
    <w:rsid w:val="00573AC3"/>
    <w:rsid w:val="00581F64"/>
    <w:rsid w:val="005B0839"/>
    <w:rsid w:val="005B10EF"/>
    <w:rsid w:val="005B3CB5"/>
    <w:rsid w:val="0060097C"/>
    <w:rsid w:val="0061783D"/>
    <w:rsid w:val="00623F67"/>
    <w:rsid w:val="00641C4C"/>
    <w:rsid w:val="00666FC3"/>
    <w:rsid w:val="00674B55"/>
    <w:rsid w:val="006A0938"/>
    <w:rsid w:val="006F482E"/>
    <w:rsid w:val="007041EF"/>
    <w:rsid w:val="00710109"/>
    <w:rsid w:val="00710867"/>
    <w:rsid w:val="00715C17"/>
    <w:rsid w:val="0077214E"/>
    <w:rsid w:val="00776DA2"/>
    <w:rsid w:val="00780B4C"/>
    <w:rsid w:val="007825D1"/>
    <w:rsid w:val="007933D3"/>
    <w:rsid w:val="00795CD8"/>
    <w:rsid w:val="0079606A"/>
    <w:rsid w:val="007B423C"/>
    <w:rsid w:val="007B7F56"/>
    <w:rsid w:val="007D43CE"/>
    <w:rsid w:val="007F5B99"/>
    <w:rsid w:val="008000CA"/>
    <w:rsid w:val="0080697F"/>
    <w:rsid w:val="008103FF"/>
    <w:rsid w:val="008441FA"/>
    <w:rsid w:val="008471FB"/>
    <w:rsid w:val="00851090"/>
    <w:rsid w:val="0086530D"/>
    <w:rsid w:val="008A3ECD"/>
    <w:rsid w:val="008C0614"/>
    <w:rsid w:val="008C6966"/>
    <w:rsid w:val="008D0531"/>
    <w:rsid w:val="008D6520"/>
    <w:rsid w:val="009143AB"/>
    <w:rsid w:val="0092743F"/>
    <w:rsid w:val="0094370D"/>
    <w:rsid w:val="0094615C"/>
    <w:rsid w:val="00983374"/>
    <w:rsid w:val="009860E6"/>
    <w:rsid w:val="009A1DAD"/>
    <w:rsid w:val="009A75BE"/>
    <w:rsid w:val="009C7BA1"/>
    <w:rsid w:val="009D29A1"/>
    <w:rsid w:val="009D6064"/>
    <w:rsid w:val="009E0C89"/>
    <w:rsid w:val="00A046C3"/>
    <w:rsid w:val="00A06034"/>
    <w:rsid w:val="00A65B5B"/>
    <w:rsid w:val="00A84F60"/>
    <w:rsid w:val="00AA681B"/>
    <w:rsid w:val="00AA68CE"/>
    <w:rsid w:val="00AD6BC7"/>
    <w:rsid w:val="00AF642E"/>
    <w:rsid w:val="00B10643"/>
    <w:rsid w:val="00B24F2B"/>
    <w:rsid w:val="00B350E1"/>
    <w:rsid w:val="00B5242E"/>
    <w:rsid w:val="00B5742E"/>
    <w:rsid w:val="00BA2A95"/>
    <w:rsid w:val="00BC2D9C"/>
    <w:rsid w:val="00C20BCA"/>
    <w:rsid w:val="00C21CBE"/>
    <w:rsid w:val="00C25C6D"/>
    <w:rsid w:val="00C30323"/>
    <w:rsid w:val="00C343FF"/>
    <w:rsid w:val="00C43F7A"/>
    <w:rsid w:val="00C65AE9"/>
    <w:rsid w:val="00C93D9E"/>
    <w:rsid w:val="00CB12A6"/>
    <w:rsid w:val="00CC5BD4"/>
    <w:rsid w:val="00CD579F"/>
    <w:rsid w:val="00CE4568"/>
    <w:rsid w:val="00CE4C07"/>
    <w:rsid w:val="00CE6515"/>
    <w:rsid w:val="00D021CF"/>
    <w:rsid w:val="00D07DAA"/>
    <w:rsid w:val="00D10BA2"/>
    <w:rsid w:val="00D24A77"/>
    <w:rsid w:val="00D32B4D"/>
    <w:rsid w:val="00D54A28"/>
    <w:rsid w:val="00D56081"/>
    <w:rsid w:val="00D564C6"/>
    <w:rsid w:val="00DB4C79"/>
    <w:rsid w:val="00DC09FD"/>
    <w:rsid w:val="00DD56AB"/>
    <w:rsid w:val="00DE3B8A"/>
    <w:rsid w:val="00DF1CAB"/>
    <w:rsid w:val="00DF52AD"/>
    <w:rsid w:val="00E347C4"/>
    <w:rsid w:val="00E625F4"/>
    <w:rsid w:val="00E74EE0"/>
    <w:rsid w:val="00ED64BE"/>
    <w:rsid w:val="00F2140E"/>
    <w:rsid w:val="00F34BEF"/>
    <w:rsid w:val="00F4748D"/>
    <w:rsid w:val="00F65F99"/>
    <w:rsid w:val="00F677A2"/>
    <w:rsid w:val="00F70525"/>
    <w:rsid w:val="00F86BDD"/>
    <w:rsid w:val="00FA06DB"/>
    <w:rsid w:val="00FA24DE"/>
    <w:rsid w:val="00FA7293"/>
    <w:rsid w:val="00FA7651"/>
    <w:rsid w:val="00FB3426"/>
    <w:rsid w:val="00FD3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F4BF"/>
  <w15:chartTrackingRefBased/>
  <w15:docId w15:val="{EB881EC0-7F36-4B86-A881-5E9550E8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DE"/>
    <w:pPr>
      <w:spacing w:before="120" w:after="120" w:line="259" w:lineRule="auto"/>
      <w:ind w:left="357"/>
    </w:pPr>
    <w:rPr>
      <w:szCs w:val="32"/>
      <w:lang w:val="en-GB" w:bidi="th-TH"/>
    </w:rPr>
  </w:style>
  <w:style w:type="paragraph" w:styleId="Heading1">
    <w:name w:val="heading 1"/>
    <w:basedOn w:val="Normal"/>
    <w:next w:val="Normal"/>
    <w:link w:val="Heading1Char"/>
    <w:uiPriority w:val="9"/>
    <w:qFormat/>
    <w:rsid w:val="00091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5B99"/>
    <w:pPr>
      <w:keepNext/>
      <w:keepLines/>
      <w:numPr>
        <w:numId w:val="1"/>
      </w:numPr>
      <w:shd w:val="clear" w:color="auto" w:fill="AD1E23"/>
      <w:spacing w:before="480" w:after="80"/>
      <w:ind w:left="850" w:hanging="493"/>
      <w:outlineLvl w:val="1"/>
    </w:pPr>
    <w:rPr>
      <w:rFonts w:asciiTheme="majorHAnsi" w:eastAsiaTheme="majorEastAsia" w:hAnsiTheme="majorHAnsi" w:cstheme="majorBidi"/>
      <w:b/>
      <w:bCs/>
      <w:color w:val="FFFFFF" w:themeColor="background1"/>
      <w:sz w:val="32"/>
    </w:rPr>
  </w:style>
  <w:style w:type="paragraph" w:styleId="Heading3">
    <w:name w:val="heading 3"/>
    <w:basedOn w:val="Normal"/>
    <w:next w:val="Normal"/>
    <w:link w:val="Heading3Char"/>
    <w:uiPriority w:val="9"/>
    <w:unhideWhenUsed/>
    <w:qFormat/>
    <w:rsid w:val="009A1DAD"/>
    <w:pPr>
      <w:keepNext/>
      <w:keepLines/>
      <w:spacing w:before="160" w:after="80"/>
      <w:outlineLvl w:val="2"/>
    </w:pPr>
    <w:rPr>
      <w:rFonts w:eastAsiaTheme="majorEastAsia" w:cstheme="majorBidi"/>
      <w:i/>
      <w:iCs/>
      <w:color w:val="153D63" w:themeColor="text2" w:themeTint="E6"/>
      <w:sz w:val="28"/>
      <w:szCs w:val="28"/>
    </w:rPr>
  </w:style>
  <w:style w:type="paragraph" w:styleId="Heading4">
    <w:name w:val="heading 4"/>
    <w:basedOn w:val="Normal"/>
    <w:next w:val="Normal"/>
    <w:link w:val="Heading4Char"/>
    <w:uiPriority w:val="9"/>
    <w:semiHidden/>
    <w:unhideWhenUsed/>
    <w:qFormat/>
    <w:rsid w:val="00091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5B99"/>
    <w:rPr>
      <w:rFonts w:asciiTheme="majorHAnsi" w:eastAsiaTheme="majorEastAsia" w:hAnsiTheme="majorHAnsi" w:cstheme="majorBidi"/>
      <w:b/>
      <w:bCs/>
      <w:color w:val="FFFFFF" w:themeColor="background1"/>
      <w:sz w:val="32"/>
      <w:szCs w:val="32"/>
      <w:shd w:val="clear" w:color="auto" w:fill="AD1E23"/>
      <w:lang w:val="en-GB" w:bidi="th-TH"/>
    </w:rPr>
  </w:style>
  <w:style w:type="character" w:customStyle="1" w:styleId="Heading3Char">
    <w:name w:val="Heading 3 Char"/>
    <w:basedOn w:val="DefaultParagraphFont"/>
    <w:link w:val="Heading3"/>
    <w:uiPriority w:val="9"/>
    <w:rsid w:val="009A1DAD"/>
    <w:rPr>
      <w:rFonts w:eastAsiaTheme="majorEastAsia" w:cstheme="majorBidi"/>
      <w:i/>
      <w:iCs/>
      <w:color w:val="153D63" w:themeColor="text2" w:themeTint="E6"/>
      <w:sz w:val="28"/>
      <w:szCs w:val="28"/>
      <w:lang w:val="en-GB" w:bidi="th-TH"/>
    </w:rPr>
  </w:style>
  <w:style w:type="character" w:customStyle="1" w:styleId="Heading4Char">
    <w:name w:val="Heading 4 Char"/>
    <w:basedOn w:val="DefaultParagraphFont"/>
    <w:link w:val="Heading4"/>
    <w:uiPriority w:val="9"/>
    <w:semiHidden/>
    <w:rsid w:val="00091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AE2"/>
    <w:rPr>
      <w:rFonts w:eastAsiaTheme="majorEastAsia" w:cstheme="majorBidi"/>
      <w:color w:val="272727" w:themeColor="text1" w:themeTint="D8"/>
    </w:rPr>
  </w:style>
  <w:style w:type="paragraph" w:styleId="Title">
    <w:name w:val="Title"/>
    <w:basedOn w:val="Normal"/>
    <w:next w:val="Normal"/>
    <w:link w:val="TitleChar"/>
    <w:uiPriority w:val="10"/>
    <w:qFormat/>
    <w:rsid w:val="0009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AE2"/>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AE2"/>
    <w:pPr>
      <w:spacing w:before="160"/>
      <w:jc w:val="center"/>
    </w:pPr>
    <w:rPr>
      <w:i/>
      <w:iCs/>
      <w:color w:val="404040" w:themeColor="text1" w:themeTint="BF"/>
    </w:rPr>
  </w:style>
  <w:style w:type="character" w:customStyle="1" w:styleId="QuoteChar">
    <w:name w:val="Quote Char"/>
    <w:basedOn w:val="DefaultParagraphFont"/>
    <w:link w:val="Quote"/>
    <w:uiPriority w:val="29"/>
    <w:rsid w:val="00091AE2"/>
    <w:rPr>
      <w:i/>
      <w:iCs/>
      <w:color w:val="404040" w:themeColor="text1" w:themeTint="BF"/>
    </w:rPr>
  </w:style>
  <w:style w:type="paragraph" w:styleId="ListParagraph">
    <w:name w:val="List Paragraph"/>
    <w:basedOn w:val="Normal"/>
    <w:uiPriority w:val="34"/>
    <w:qFormat/>
    <w:rsid w:val="007F5B99"/>
    <w:pPr>
      <w:numPr>
        <w:ilvl w:val="1"/>
        <w:numId w:val="1"/>
      </w:numPr>
      <w:ind w:left="851" w:hanging="491"/>
      <w:jc w:val="both"/>
    </w:pPr>
    <w:rPr>
      <w:szCs w:val="24"/>
    </w:rPr>
  </w:style>
  <w:style w:type="character" w:styleId="IntenseEmphasis">
    <w:name w:val="Intense Emphasis"/>
    <w:basedOn w:val="DefaultParagraphFont"/>
    <w:uiPriority w:val="21"/>
    <w:qFormat/>
    <w:rsid w:val="00091AE2"/>
    <w:rPr>
      <w:i/>
      <w:iCs/>
      <w:color w:val="0F4761" w:themeColor="accent1" w:themeShade="BF"/>
    </w:rPr>
  </w:style>
  <w:style w:type="paragraph" w:styleId="IntenseQuote">
    <w:name w:val="Intense Quote"/>
    <w:basedOn w:val="Normal"/>
    <w:next w:val="Normal"/>
    <w:link w:val="IntenseQuoteChar"/>
    <w:uiPriority w:val="30"/>
    <w:qFormat/>
    <w:rsid w:val="00091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AE2"/>
    <w:rPr>
      <w:i/>
      <w:iCs/>
      <w:color w:val="0F4761" w:themeColor="accent1" w:themeShade="BF"/>
    </w:rPr>
  </w:style>
  <w:style w:type="character" w:styleId="IntenseReference">
    <w:name w:val="Intense Reference"/>
    <w:basedOn w:val="DefaultParagraphFont"/>
    <w:uiPriority w:val="32"/>
    <w:qFormat/>
    <w:rsid w:val="00091AE2"/>
    <w:rPr>
      <w:b/>
      <w:bCs/>
      <w:smallCaps/>
      <w:color w:val="0F4761" w:themeColor="accent1" w:themeShade="BF"/>
      <w:spacing w:val="5"/>
    </w:rPr>
  </w:style>
  <w:style w:type="paragraph" w:styleId="Header">
    <w:name w:val="header"/>
    <w:basedOn w:val="Normal"/>
    <w:link w:val="HeaderChar"/>
    <w:uiPriority w:val="99"/>
    <w:unhideWhenUsed/>
    <w:rsid w:val="00091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AE2"/>
  </w:style>
  <w:style w:type="paragraph" w:styleId="Footer">
    <w:name w:val="footer"/>
    <w:basedOn w:val="Normal"/>
    <w:link w:val="FooterChar"/>
    <w:uiPriority w:val="99"/>
    <w:unhideWhenUsed/>
    <w:rsid w:val="00091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AE2"/>
  </w:style>
  <w:style w:type="character" w:styleId="Hyperlink">
    <w:name w:val="Hyperlink"/>
    <w:basedOn w:val="DefaultParagraphFont"/>
    <w:uiPriority w:val="99"/>
    <w:unhideWhenUsed/>
    <w:rsid w:val="00B5742E"/>
    <w:rPr>
      <w:color w:val="467886" w:themeColor="hyperlink"/>
      <w:u w:val="single"/>
    </w:rPr>
  </w:style>
  <w:style w:type="character" w:styleId="UnresolvedMention">
    <w:name w:val="Unresolved Mention"/>
    <w:basedOn w:val="DefaultParagraphFont"/>
    <w:uiPriority w:val="99"/>
    <w:semiHidden/>
    <w:unhideWhenUsed/>
    <w:rsid w:val="00B5742E"/>
    <w:rPr>
      <w:color w:val="605E5C"/>
      <w:shd w:val="clear" w:color="auto" w:fill="E1DFDD"/>
    </w:rPr>
  </w:style>
  <w:style w:type="paragraph" w:styleId="Revision">
    <w:name w:val="Revision"/>
    <w:hidden/>
    <w:uiPriority w:val="99"/>
    <w:semiHidden/>
    <w:rsid w:val="00A06034"/>
    <w:pPr>
      <w:spacing w:after="0" w:line="240" w:lineRule="auto"/>
    </w:pPr>
    <w:rPr>
      <w:rFonts w:cs="Angsana New"/>
      <w:szCs w:val="32"/>
      <w:lang w:val="en-GB" w:bidi="th-TH"/>
    </w:rPr>
  </w:style>
  <w:style w:type="paragraph" w:styleId="FootnoteText">
    <w:name w:val="footnote text"/>
    <w:basedOn w:val="Normal"/>
    <w:link w:val="FootnoteTextChar"/>
    <w:uiPriority w:val="99"/>
    <w:semiHidden/>
    <w:unhideWhenUsed/>
    <w:rsid w:val="00500130"/>
    <w:pPr>
      <w:spacing w:before="0"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500130"/>
    <w:rPr>
      <w:rFonts w:cs="Angsana New"/>
      <w:sz w:val="20"/>
      <w:szCs w:val="25"/>
      <w:lang w:val="en-GB" w:bidi="th-TH"/>
    </w:rPr>
  </w:style>
  <w:style w:type="character" w:styleId="FootnoteReference">
    <w:name w:val="footnote reference"/>
    <w:basedOn w:val="DefaultParagraphFont"/>
    <w:uiPriority w:val="99"/>
    <w:semiHidden/>
    <w:unhideWhenUsed/>
    <w:rsid w:val="00500130"/>
    <w:rPr>
      <w:vertAlign w:val="superscript"/>
    </w:rPr>
  </w:style>
  <w:style w:type="paragraph" w:styleId="CommentText">
    <w:name w:val="annotation text"/>
    <w:basedOn w:val="Normal"/>
    <w:link w:val="CommentTextChar"/>
    <w:uiPriority w:val="99"/>
    <w:unhideWhenUsed/>
    <w:rsid w:val="003E778C"/>
    <w:pPr>
      <w:spacing w:line="240" w:lineRule="auto"/>
      <w:ind w:left="0"/>
    </w:pPr>
    <w:rPr>
      <w:sz w:val="20"/>
      <w:szCs w:val="25"/>
    </w:rPr>
  </w:style>
  <w:style w:type="character" w:customStyle="1" w:styleId="CommentTextChar">
    <w:name w:val="Comment Text Char"/>
    <w:basedOn w:val="DefaultParagraphFont"/>
    <w:link w:val="CommentText"/>
    <w:uiPriority w:val="99"/>
    <w:rsid w:val="003E778C"/>
    <w:rPr>
      <w:sz w:val="20"/>
      <w:szCs w:val="25"/>
      <w:lang w:val="en-GB" w:bidi="th-TH"/>
    </w:rPr>
  </w:style>
  <w:style w:type="character" w:styleId="CommentReference">
    <w:name w:val="annotation reference"/>
    <w:basedOn w:val="DefaultParagraphFont"/>
    <w:uiPriority w:val="99"/>
    <w:semiHidden/>
    <w:unhideWhenUsed/>
    <w:rsid w:val="003E778C"/>
    <w:rPr>
      <w:sz w:val="16"/>
      <w:szCs w:val="16"/>
    </w:rPr>
  </w:style>
  <w:style w:type="table" w:styleId="TableGrid">
    <w:name w:val="Table Grid"/>
    <w:basedOn w:val="TableNormal"/>
    <w:uiPriority w:val="39"/>
    <w:rsid w:val="001543C9"/>
    <w:pPr>
      <w:spacing w:after="0" w:line="240" w:lineRule="auto"/>
    </w:pPr>
    <w:rPr>
      <w:sz w:val="22"/>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543C9"/>
    <w:pPr>
      <w:keepNext/>
      <w:spacing w:before="0" w:after="200" w:line="240" w:lineRule="auto"/>
    </w:pPr>
    <w:rPr>
      <w:rFonts w:cs="Angsana New"/>
      <w:i/>
      <w:iCs/>
      <w:color w:val="0E2841" w:themeColor="text2"/>
    </w:rPr>
  </w:style>
  <w:style w:type="paragraph" w:customStyle="1" w:styleId="Bulletpoints">
    <w:name w:val="Bullet points"/>
    <w:basedOn w:val="ListParagraph"/>
    <w:qFormat/>
    <w:rsid w:val="007F5B99"/>
    <w:pPr>
      <w:numPr>
        <w:numId w:val="13"/>
      </w:numPr>
      <w:spacing w:before="40" w:after="40"/>
      <w:ind w:left="850" w:hanging="493"/>
    </w:pPr>
    <w:rPr>
      <w:lang w:val="en-AU" w:bidi="ar-SA"/>
    </w:rPr>
  </w:style>
  <w:style w:type="paragraph" w:styleId="CommentSubject">
    <w:name w:val="annotation subject"/>
    <w:basedOn w:val="CommentText"/>
    <w:next w:val="CommentText"/>
    <w:link w:val="CommentSubjectChar"/>
    <w:uiPriority w:val="99"/>
    <w:semiHidden/>
    <w:unhideWhenUsed/>
    <w:rsid w:val="005B3CB5"/>
    <w:pPr>
      <w:ind w:left="357"/>
    </w:pPr>
    <w:rPr>
      <w:rFonts w:cs="Angsana New"/>
      <w:b/>
      <w:bCs/>
    </w:rPr>
  </w:style>
  <w:style w:type="character" w:customStyle="1" w:styleId="CommentSubjectChar">
    <w:name w:val="Comment Subject Char"/>
    <w:basedOn w:val="CommentTextChar"/>
    <w:link w:val="CommentSubject"/>
    <w:uiPriority w:val="99"/>
    <w:semiHidden/>
    <w:rsid w:val="005B3CB5"/>
    <w:rPr>
      <w:rFonts w:cs="Angsana New"/>
      <w:b/>
      <w:bCs/>
      <w:sz w:val="20"/>
      <w:szCs w:val="25"/>
      <w:lang w:val="en-GB" w:bidi="th-TH"/>
    </w:rPr>
  </w:style>
  <w:style w:type="character" w:styleId="Mention">
    <w:name w:val="Mention"/>
    <w:basedOn w:val="DefaultParagraphFont"/>
    <w:uiPriority w:val="99"/>
    <w:unhideWhenUsed/>
    <w:rsid w:val="00776DA2"/>
    <w:rPr>
      <w:color w:val="2B579A"/>
      <w:shd w:val="clear" w:color="auto" w:fill="E1DFDD"/>
    </w:rPr>
  </w:style>
  <w:style w:type="paragraph" w:styleId="TOCHeading">
    <w:name w:val="TOC Heading"/>
    <w:basedOn w:val="Heading1"/>
    <w:next w:val="Normal"/>
    <w:uiPriority w:val="39"/>
    <w:unhideWhenUsed/>
    <w:qFormat/>
    <w:rsid w:val="00C30323"/>
    <w:pPr>
      <w:spacing w:before="240" w:after="0"/>
      <w:ind w:left="0"/>
      <w:outlineLvl w:val="9"/>
    </w:pPr>
    <w:rPr>
      <w:kern w:val="0"/>
      <w:sz w:val="32"/>
      <w:szCs w:val="32"/>
      <w:lang w:val="en-US" w:bidi="ar-SA"/>
      <w14:ligatures w14:val="none"/>
    </w:rPr>
  </w:style>
  <w:style w:type="paragraph" w:styleId="TOC1">
    <w:name w:val="toc 1"/>
    <w:basedOn w:val="Normal"/>
    <w:next w:val="Normal"/>
    <w:autoRedefine/>
    <w:uiPriority w:val="39"/>
    <w:unhideWhenUsed/>
    <w:rsid w:val="00C30323"/>
    <w:pPr>
      <w:spacing w:after="100"/>
      <w:ind w:left="0"/>
    </w:pPr>
    <w:rPr>
      <w:rFonts w:cs="Angsana New"/>
    </w:rPr>
  </w:style>
  <w:style w:type="paragraph" w:styleId="TOC2">
    <w:name w:val="toc 2"/>
    <w:basedOn w:val="Normal"/>
    <w:next w:val="Normal"/>
    <w:autoRedefine/>
    <w:uiPriority w:val="39"/>
    <w:unhideWhenUsed/>
    <w:rsid w:val="00C30323"/>
    <w:pPr>
      <w:spacing w:after="100"/>
      <w:ind w:left="240"/>
    </w:pPr>
    <w:rPr>
      <w:rFonts w:cs="Angsana New"/>
    </w:rPr>
  </w:style>
  <w:style w:type="paragraph" w:styleId="TOC3">
    <w:name w:val="toc 3"/>
    <w:basedOn w:val="Normal"/>
    <w:next w:val="Normal"/>
    <w:autoRedefine/>
    <w:uiPriority w:val="39"/>
    <w:unhideWhenUsed/>
    <w:rsid w:val="00C30323"/>
    <w:pPr>
      <w:spacing w:after="100"/>
      <w:ind w:left="480"/>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about-us/business-opportunities/business-notif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s@dfa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publications/development/australian-support-pacific-hiv-action-investment-concept-no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fat.gov.au/development/topics/development-risk-management" TargetMode="External"/><Relationship Id="rId1" Type="http://schemas.openxmlformats.org/officeDocument/2006/relationships/hyperlink" Target="https://www.dfat.gov.au/aid/who-we-work-with/value-for-money-principles/Pages/value-for-money-princip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42dd6e-4df0-4d02-bbff-1d5d6a9619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1AB3182ACAC740A38391E064323F68" ma:contentTypeVersion="13" ma:contentTypeDescription="Create a new document." ma:contentTypeScope="" ma:versionID="e3ebca778006b8028af9125055422fa0">
  <xsd:schema xmlns:xsd="http://www.w3.org/2001/XMLSchema" xmlns:xs="http://www.w3.org/2001/XMLSchema" xmlns:p="http://schemas.microsoft.com/office/2006/metadata/properties" xmlns:ns2="6342dd6e-4df0-4d02-bbff-1d5d6a961953" xmlns:ns3="7c562ea3-0b8f-4559-a348-beb3920e5a88" targetNamespace="http://schemas.microsoft.com/office/2006/metadata/properties" ma:root="true" ma:fieldsID="d7e935bc725e28e39531000a4ee5aeb7" ns2:_="" ns3:_="">
    <xsd:import namespace="6342dd6e-4df0-4d02-bbff-1d5d6a961953"/>
    <xsd:import namespace="7c562ea3-0b8f-4559-a348-beb3920e5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2dd6e-4df0-4d02-bbff-1d5d6a96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62ea3-0b8f-4559-a348-beb3920e5a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7A1E6-DCF3-4B70-8053-B74A484F7FE4}">
  <ds:schemaRefs>
    <ds:schemaRef ds:uri="http://schemas.openxmlformats.org/officeDocument/2006/bibliography"/>
  </ds:schemaRefs>
</ds:datastoreItem>
</file>

<file path=customXml/itemProps2.xml><?xml version="1.0" encoding="utf-8"?>
<ds:datastoreItem xmlns:ds="http://schemas.openxmlformats.org/officeDocument/2006/customXml" ds:itemID="{DFB323C4-C063-4CEC-8BC7-B588B531F646}">
  <ds:schemaRefs>
    <ds:schemaRef ds:uri="http://schemas.microsoft.com/sharepoint/v3/contenttype/forms"/>
  </ds:schemaRefs>
</ds:datastoreItem>
</file>

<file path=customXml/itemProps3.xml><?xml version="1.0" encoding="utf-8"?>
<ds:datastoreItem xmlns:ds="http://schemas.openxmlformats.org/officeDocument/2006/customXml" ds:itemID="{6369ECB3-F464-4A99-8E61-C75CE978B1ED}">
  <ds:schemaRefs>
    <ds:schemaRef ds:uri="http://schemas.microsoft.com/office/2006/metadata/properties"/>
    <ds:schemaRef ds:uri="http://schemas.microsoft.com/office/infopath/2007/PartnerControls"/>
    <ds:schemaRef ds:uri="6342dd6e-4df0-4d02-bbff-1d5d6a961953"/>
  </ds:schemaRefs>
</ds:datastoreItem>
</file>

<file path=customXml/itemProps4.xml><?xml version="1.0" encoding="utf-8"?>
<ds:datastoreItem xmlns:ds="http://schemas.openxmlformats.org/officeDocument/2006/customXml" ds:itemID="{8DAF7FD2-1DDF-4C43-A8E5-C94F542F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2dd6e-4df0-4d02-bbff-1d5d6a961953"/>
    <ds:schemaRef ds:uri="7c562ea3-0b8f-4559-a348-beb3920e5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165</TotalTime>
  <Pages>6</Pages>
  <Words>1513</Words>
  <Characters>9205</Characters>
  <Application>Microsoft Office Word</Application>
  <DocSecurity>0</DocSecurity>
  <Lines>208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Ung</dc:creator>
  <cp:keywords>[SEC=OFFICIAL]</cp:keywords>
  <dc:description/>
  <cp:lastModifiedBy>Elaine Ung</cp:lastModifiedBy>
  <cp:revision>35</cp:revision>
  <cp:lastPrinted>2025-12-11T04:54:00Z</cp:lastPrinted>
  <dcterms:created xsi:type="dcterms:W3CDTF">2025-12-08T05:41:00Z</dcterms:created>
  <dcterms:modified xsi:type="dcterms:W3CDTF">2025-12-12T02:22:00Z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v=2022.1;a=SHA256;h=310F75310CE8E671AC6558E6F42444D3F61C3250B78F3A0BAAFD341C4ECB6B4A</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2025-12-08T01:48:10Z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18AA31A439B55B57B30AAA124659F2046BDD6822</vt:lpwstr>
  </property>
  <property fmtid="{D5CDD505-2E9C-101B-9397-08002B2CF9AE}" pid="17" name="PM_Originating_FileId">
    <vt:lpwstr>17D436E72DFD4BA7B3228CDFDC4E8493</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06B16022E867E93FFB59DC18A7A3F5D2640E7A3577D02F99E55CF8B76ACE1B42</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CCC2138C9654F0BB6C9DE10E43DC1F37</vt:lpwstr>
  </property>
  <property fmtid="{D5CDD505-2E9C-101B-9397-08002B2CF9AE}" pid="25" name="PM_Hash_Salt">
    <vt:lpwstr>7B7FE031AA98873612A7D6601CD3F2C8</vt:lpwstr>
  </property>
  <property fmtid="{D5CDD505-2E9C-101B-9397-08002B2CF9AE}" pid="26" name="PM_Hash_SHA1">
    <vt:lpwstr>491FA5E50DF7AF3DE1515D023C588908EBE5D660</vt:lpwstr>
  </property>
  <property fmtid="{D5CDD505-2E9C-101B-9397-08002B2CF9AE}" pid="27" name="ContentTypeId">
    <vt:lpwstr>0x010100431AB3182ACAC740A38391E064323F68</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ies>
</file>